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drawings/drawing2.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8A303A8" w14:textId="10AAC3D3" w:rsidR="008B43AC" w:rsidRPr="00E97BC8" w:rsidRDefault="00AE2B30" w:rsidP="00E97BC8">
      <w:pPr>
        <w:spacing w:after="0" w:line="480" w:lineRule="auto"/>
        <w:jc w:val="both"/>
        <w:rPr>
          <w:rFonts w:cs="Times New Roman"/>
          <w:b/>
          <w:sz w:val="22"/>
          <w:szCs w:val="22"/>
        </w:rPr>
      </w:pPr>
      <w:r w:rsidRPr="00D309F4">
        <w:rPr>
          <w:b/>
        </w:rPr>
        <w:fldChar w:fldCharType="begin"/>
      </w:r>
      <w:r w:rsidRPr="00D309F4">
        <w:rPr>
          <w:b/>
        </w:rPr>
        <w:instrText xml:space="preserve"> MACROBUTTON MTEditEquationSection2 </w:instrText>
      </w:r>
      <w:r w:rsidRPr="00D309F4">
        <w:rPr>
          <w:rStyle w:val="MTEquationSection"/>
        </w:rPr>
        <w:instrText>Equation Chapter 1 Section 1</w:instrText>
      </w:r>
      <w:r w:rsidRPr="00D309F4">
        <w:rPr>
          <w:b/>
        </w:rPr>
        <w:fldChar w:fldCharType="begin"/>
      </w:r>
      <w:r w:rsidRPr="00D309F4">
        <w:rPr>
          <w:b/>
        </w:rPr>
        <w:instrText xml:space="preserve"> SEQ MTEqn \r \h \* MERGEFORMAT </w:instrText>
      </w:r>
      <w:r w:rsidRPr="00D309F4">
        <w:rPr>
          <w:b/>
        </w:rPr>
        <w:fldChar w:fldCharType="end"/>
      </w:r>
      <w:r w:rsidRPr="00D309F4">
        <w:rPr>
          <w:b/>
        </w:rPr>
        <w:fldChar w:fldCharType="begin"/>
      </w:r>
      <w:r w:rsidRPr="00D309F4">
        <w:rPr>
          <w:b/>
        </w:rPr>
        <w:instrText xml:space="preserve"> SEQ MTSec \r 1 \h \* MERGEFORMAT </w:instrText>
      </w:r>
      <w:r w:rsidRPr="00D309F4">
        <w:rPr>
          <w:b/>
        </w:rPr>
        <w:fldChar w:fldCharType="end"/>
      </w:r>
      <w:r w:rsidRPr="00D309F4">
        <w:rPr>
          <w:b/>
        </w:rPr>
        <w:fldChar w:fldCharType="begin"/>
      </w:r>
      <w:r w:rsidRPr="00D309F4">
        <w:rPr>
          <w:b/>
        </w:rPr>
        <w:instrText xml:space="preserve"> SEQ MTChap \r 1 \h \* MERGEFORMAT </w:instrText>
      </w:r>
      <w:r w:rsidRPr="00D309F4">
        <w:rPr>
          <w:b/>
        </w:rPr>
        <w:fldChar w:fldCharType="end"/>
      </w:r>
      <w:r w:rsidRPr="00D309F4">
        <w:rPr>
          <w:b/>
        </w:rPr>
        <w:fldChar w:fldCharType="end"/>
      </w:r>
    </w:p>
    <w:p w14:paraId="06D97AEE" w14:textId="77777777" w:rsidR="00E85093" w:rsidRDefault="00E85093" w:rsidP="00E85093">
      <w:pPr>
        <w:spacing w:after="0" w:line="240" w:lineRule="auto"/>
        <w:jc w:val="center"/>
        <w:rPr>
          <w:rFonts w:cs="Times New Roman"/>
          <w:b/>
          <w:sz w:val="22"/>
          <w:szCs w:val="22"/>
        </w:rPr>
      </w:pPr>
      <w:bookmarkStart w:id="0" w:name="_Hlk191409946"/>
    </w:p>
    <w:p w14:paraId="3697DDD0" w14:textId="75CAF9AE" w:rsidR="008744E8" w:rsidRPr="00E97BC8" w:rsidRDefault="00C8706A" w:rsidP="00E85093">
      <w:pPr>
        <w:spacing w:after="0" w:line="240" w:lineRule="auto"/>
        <w:jc w:val="center"/>
        <w:rPr>
          <w:rFonts w:cs="Times New Roman"/>
          <w:bCs/>
          <w:sz w:val="22"/>
          <w:szCs w:val="22"/>
        </w:rPr>
      </w:pPr>
      <w:r w:rsidRPr="00E97BC8">
        <w:rPr>
          <w:rFonts w:cs="Times New Roman"/>
          <w:b/>
          <w:sz w:val="22"/>
          <w:szCs w:val="22"/>
        </w:rPr>
        <w:t>A Model of E</w:t>
      </w:r>
      <w:r w:rsidR="004759ED" w:rsidRPr="00E97BC8">
        <w:rPr>
          <w:rFonts w:cs="Times New Roman"/>
          <w:b/>
          <w:sz w:val="22"/>
          <w:szCs w:val="22"/>
        </w:rPr>
        <w:t xml:space="preserve">lectric </w:t>
      </w:r>
      <w:r w:rsidRPr="00E97BC8">
        <w:rPr>
          <w:rFonts w:cs="Times New Roman"/>
          <w:b/>
          <w:sz w:val="22"/>
          <w:szCs w:val="22"/>
        </w:rPr>
        <w:t>V</w:t>
      </w:r>
      <w:r w:rsidR="004759ED" w:rsidRPr="00E97BC8">
        <w:rPr>
          <w:rFonts w:cs="Times New Roman"/>
          <w:b/>
          <w:sz w:val="22"/>
          <w:szCs w:val="22"/>
        </w:rPr>
        <w:t>ehicle</w:t>
      </w:r>
      <w:r w:rsidRPr="00E97BC8">
        <w:rPr>
          <w:rFonts w:cs="Times New Roman"/>
          <w:b/>
          <w:sz w:val="22"/>
          <w:szCs w:val="22"/>
        </w:rPr>
        <w:t xml:space="preserve"> Adoption and </w:t>
      </w:r>
      <w:r w:rsidR="00AE6AC3" w:rsidRPr="00E97BC8">
        <w:rPr>
          <w:rFonts w:cs="Times New Roman"/>
          <w:b/>
          <w:sz w:val="22"/>
          <w:szCs w:val="22"/>
        </w:rPr>
        <w:t>Motivating Reasons for Adoption</w:t>
      </w:r>
    </w:p>
    <w:bookmarkEnd w:id="0"/>
    <w:p w14:paraId="1B7745D7" w14:textId="10822507" w:rsidR="008B43AC" w:rsidRDefault="008B43AC" w:rsidP="00E85093">
      <w:pPr>
        <w:spacing w:after="0" w:line="240" w:lineRule="auto"/>
        <w:jc w:val="center"/>
        <w:rPr>
          <w:rFonts w:cs="Times New Roman"/>
          <w:b/>
          <w:sz w:val="22"/>
          <w:szCs w:val="22"/>
        </w:rPr>
      </w:pPr>
    </w:p>
    <w:p w14:paraId="6BD3336A" w14:textId="20685A5A" w:rsidR="00E85093" w:rsidRDefault="00E85093" w:rsidP="00E85093">
      <w:pPr>
        <w:spacing w:after="0" w:line="240" w:lineRule="auto"/>
        <w:jc w:val="center"/>
        <w:rPr>
          <w:rFonts w:cs="Times New Roman"/>
          <w:b/>
          <w:sz w:val="22"/>
          <w:szCs w:val="22"/>
        </w:rPr>
      </w:pPr>
    </w:p>
    <w:p w14:paraId="5E5EF773" w14:textId="604DB388" w:rsidR="00E85093" w:rsidRDefault="00E85093" w:rsidP="00E85093">
      <w:pPr>
        <w:spacing w:after="0" w:line="240" w:lineRule="auto"/>
        <w:jc w:val="center"/>
        <w:rPr>
          <w:rFonts w:cs="Times New Roman"/>
          <w:b/>
          <w:sz w:val="22"/>
          <w:szCs w:val="22"/>
        </w:rPr>
      </w:pPr>
    </w:p>
    <w:p w14:paraId="1FED55A7" w14:textId="77777777" w:rsidR="00E85093" w:rsidRPr="00E97BC8" w:rsidRDefault="00E85093" w:rsidP="00E85093">
      <w:pPr>
        <w:spacing w:after="0" w:line="240" w:lineRule="auto"/>
        <w:jc w:val="center"/>
        <w:rPr>
          <w:rFonts w:cs="Times New Roman"/>
          <w:b/>
          <w:sz w:val="22"/>
          <w:szCs w:val="22"/>
        </w:rPr>
      </w:pPr>
    </w:p>
    <w:p w14:paraId="63B542DC" w14:textId="77777777" w:rsidR="00A14C98" w:rsidRPr="00E97BC8" w:rsidRDefault="00A14C98" w:rsidP="00E85093">
      <w:pPr>
        <w:spacing w:after="0" w:line="240" w:lineRule="auto"/>
        <w:jc w:val="center"/>
        <w:rPr>
          <w:rFonts w:cs="Times New Roman"/>
          <w:b/>
          <w:sz w:val="22"/>
          <w:szCs w:val="22"/>
        </w:rPr>
      </w:pPr>
    </w:p>
    <w:p w14:paraId="5F326EA0" w14:textId="7C47DEED" w:rsidR="008744E8" w:rsidRPr="00E97BC8" w:rsidRDefault="008744E8" w:rsidP="00E85093">
      <w:pPr>
        <w:spacing w:after="0" w:line="240" w:lineRule="auto"/>
        <w:jc w:val="center"/>
        <w:rPr>
          <w:rFonts w:cs="Times New Roman"/>
          <w:b/>
          <w:sz w:val="22"/>
          <w:szCs w:val="22"/>
        </w:rPr>
      </w:pPr>
      <w:r w:rsidRPr="00E97BC8">
        <w:rPr>
          <w:rFonts w:cs="Times New Roman"/>
          <w:b/>
          <w:sz w:val="22"/>
          <w:szCs w:val="22"/>
        </w:rPr>
        <w:t>Dale Robbennolt</w:t>
      </w:r>
    </w:p>
    <w:p w14:paraId="6EBE90B0" w14:textId="77777777" w:rsidR="00E85093" w:rsidRDefault="008744E8" w:rsidP="00E85093">
      <w:pPr>
        <w:spacing w:after="0" w:line="240" w:lineRule="auto"/>
        <w:jc w:val="center"/>
        <w:rPr>
          <w:rFonts w:cs="Times New Roman"/>
          <w:bCs/>
          <w:sz w:val="22"/>
          <w:szCs w:val="22"/>
        </w:rPr>
      </w:pPr>
      <w:r w:rsidRPr="00E97BC8">
        <w:rPr>
          <w:rFonts w:cs="Times New Roman"/>
          <w:bCs/>
          <w:sz w:val="22"/>
          <w:szCs w:val="22"/>
        </w:rPr>
        <w:t>The University of Texas at Austin</w:t>
      </w:r>
    </w:p>
    <w:p w14:paraId="7DCC36B4" w14:textId="6BDF409C" w:rsidR="008744E8" w:rsidRPr="00E97BC8" w:rsidRDefault="008744E8" w:rsidP="00E85093">
      <w:pPr>
        <w:spacing w:after="0" w:line="240" w:lineRule="auto"/>
        <w:jc w:val="center"/>
        <w:rPr>
          <w:rFonts w:cs="Times New Roman"/>
          <w:bCs/>
          <w:sz w:val="22"/>
          <w:szCs w:val="22"/>
        </w:rPr>
      </w:pPr>
      <w:r w:rsidRPr="00E97BC8">
        <w:rPr>
          <w:rFonts w:cs="Times New Roman"/>
          <w:bCs/>
          <w:sz w:val="22"/>
          <w:szCs w:val="22"/>
        </w:rPr>
        <w:t>Department of Civil, Architectural and Environmental Engineering</w:t>
      </w:r>
    </w:p>
    <w:p w14:paraId="1E5BA4A2" w14:textId="71A7001E" w:rsidR="008744E8" w:rsidRPr="00E97BC8" w:rsidRDefault="008744E8" w:rsidP="00E85093">
      <w:pPr>
        <w:spacing w:after="0" w:line="240" w:lineRule="auto"/>
        <w:jc w:val="center"/>
        <w:rPr>
          <w:rFonts w:cs="Times New Roman"/>
          <w:bCs/>
          <w:sz w:val="22"/>
          <w:szCs w:val="22"/>
        </w:rPr>
      </w:pPr>
      <w:r w:rsidRPr="00E97BC8">
        <w:rPr>
          <w:rFonts w:cs="Times New Roman"/>
          <w:bCs/>
          <w:sz w:val="22"/>
          <w:szCs w:val="22"/>
        </w:rPr>
        <w:t>301 E. Dean Keeton St. Stop C1761, Austin TX 78712, USA</w:t>
      </w:r>
    </w:p>
    <w:p w14:paraId="3CC79D77" w14:textId="2EBC755D" w:rsidR="008744E8" w:rsidRPr="00E97BC8" w:rsidRDefault="008744E8" w:rsidP="00E85093">
      <w:pPr>
        <w:spacing w:after="0" w:line="240" w:lineRule="auto"/>
        <w:jc w:val="center"/>
        <w:rPr>
          <w:rFonts w:cs="Times New Roman"/>
          <w:bCs/>
          <w:sz w:val="22"/>
          <w:szCs w:val="22"/>
        </w:rPr>
      </w:pPr>
      <w:r w:rsidRPr="00E97BC8">
        <w:rPr>
          <w:rFonts w:cs="Times New Roman"/>
          <w:bCs/>
          <w:sz w:val="22"/>
          <w:szCs w:val="22"/>
        </w:rPr>
        <w:t>Email: dar4836@utexas.edu</w:t>
      </w:r>
    </w:p>
    <w:p w14:paraId="7C62371A" w14:textId="5EE8D0C3" w:rsidR="0075658F" w:rsidRPr="00E97BC8" w:rsidRDefault="0075658F" w:rsidP="00E85093">
      <w:pPr>
        <w:spacing w:after="0" w:line="240" w:lineRule="auto"/>
        <w:jc w:val="center"/>
        <w:rPr>
          <w:rFonts w:cs="Times New Roman"/>
          <w:bCs/>
          <w:sz w:val="22"/>
          <w:szCs w:val="22"/>
        </w:rPr>
      </w:pPr>
    </w:p>
    <w:p w14:paraId="249DAD78" w14:textId="767C8AC7" w:rsidR="0075658F" w:rsidRPr="00E97BC8" w:rsidRDefault="0075658F" w:rsidP="00E85093">
      <w:pPr>
        <w:spacing w:after="0" w:line="240" w:lineRule="auto"/>
        <w:jc w:val="center"/>
        <w:rPr>
          <w:rFonts w:cs="Times New Roman"/>
          <w:b/>
          <w:sz w:val="22"/>
          <w:szCs w:val="22"/>
        </w:rPr>
      </w:pPr>
      <w:r w:rsidRPr="00E97BC8">
        <w:rPr>
          <w:rFonts w:cs="Times New Roman"/>
          <w:b/>
          <w:sz w:val="22"/>
          <w:szCs w:val="22"/>
        </w:rPr>
        <w:t>Scott Hardman</w:t>
      </w:r>
    </w:p>
    <w:p w14:paraId="314D7A0C" w14:textId="77777777" w:rsidR="00E85093" w:rsidRDefault="0075658F" w:rsidP="00E85093">
      <w:pPr>
        <w:spacing w:after="0" w:line="240" w:lineRule="auto"/>
        <w:jc w:val="center"/>
        <w:rPr>
          <w:rFonts w:eastAsia="Times New Roman" w:cs="Times New Roman"/>
          <w:color w:val="000000"/>
          <w:sz w:val="22"/>
          <w:szCs w:val="22"/>
        </w:rPr>
      </w:pPr>
      <w:r w:rsidRPr="00E97BC8">
        <w:rPr>
          <w:rFonts w:eastAsia="Times New Roman" w:cs="Times New Roman"/>
          <w:color w:val="000000"/>
          <w:sz w:val="22"/>
          <w:szCs w:val="22"/>
        </w:rPr>
        <w:t>University of California at Davis</w:t>
      </w:r>
    </w:p>
    <w:p w14:paraId="2A823C99" w14:textId="01799B75" w:rsidR="0075658F" w:rsidRPr="00E97BC8" w:rsidRDefault="0075658F" w:rsidP="00E85093">
      <w:pPr>
        <w:spacing w:after="0" w:line="240" w:lineRule="auto"/>
        <w:jc w:val="center"/>
        <w:rPr>
          <w:rFonts w:eastAsia="Times New Roman" w:cs="Times New Roman"/>
          <w:color w:val="000000"/>
          <w:sz w:val="22"/>
          <w:szCs w:val="22"/>
        </w:rPr>
      </w:pPr>
      <w:r w:rsidRPr="00E97BC8">
        <w:rPr>
          <w:rFonts w:eastAsia="Times New Roman" w:cs="Times New Roman"/>
          <w:color w:val="000000"/>
          <w:sz w:val="22"/>
          <w:szCs w:val="22"/>
        </w:rPr>
        <w:t>Electric Vehicle Research Center</w:t>
      </w:r>
      <w:r w:rsidRPr="00E97BC8">
        <w:rPr>
          <w:rFonts w:eastAsia="Times New Roman" w:cs="Times New Roman"/>
          <w:color w:val="000000"/>
          <w:sz w:val="22"/>
          <w:szCs w:val="22"/>
        </w:rPr>
        <w:br/>
      </w:r>
      <w:r w:rsidR="00735A1F" w:rsidRPr="00E97BC8">
        <w:rPr>
          <w:rFonts w:cs="Times New Roman"/>
          <w:bCs/>
          <w:sz w:val="22"/>
          <w:szCs w:val="22"/>
        </w:rPr>
        <w:t>1605 Tilia Street, Davis CA 95616, USA</w:t>
      </w:r>
    </w:p>
    <w:p w14:paraId="2DEC408F" w14:textId="614D250E" w:rsidR="0075658F" w:rsidRPr="00E97BC8" w:rsidRDefault="0075658F" w:rsidP="00E85093">
      <w:pPr>
        <w:spacing w:after="0" w:line="240" w:lineRule="auto"/>
        <w:jc w:val="center"/>
        <w:rPr>
          <w:rFonts w:cs="Times New Roman"/>
          <w:bCs/>
          <w:sz w:val="22"/>
          <w:szCs w:val="22"/>
        </w:rPr>
      </w:pPr>
      <w:r w:rsidRPr="00E97BC8">
        <w:rPr>
          <w:rFonts w:cs="Times New Roman"/>
          <w:bCs/>
          <w:sz w:val="22"/>
          <w:szCs w:val="22"/>
        </w:rPr>
        <w:t>Email: shardman@ucdavis.edu</w:t>
      </w:r>
    </w:p>
    <w:p w14:paraId="2D8EDF52" w14:textId="77777777" w:rsidR="00CC6508" w:rsidRPr="00E97BC8" w:rsidRDefault="00CC6508" w:rsidP="00E85093">
      <w:pPr>
        <w:spacing w:after="0" w:line="240" w:lineRule="auto"/>
        <w:jc w:val="center"/>
        <w:rPr>
          <w:rFonts w:cs="Times New Roman"/>
          <w:bCs/>
          <w:sz w:val="22"/>
          <w:szCs w:val="22"/>
        </w:rPr>
      </w:pPr>
    </w:p>
    <w:p w14:paraId="5BA35037" w14:textId="0762879F" w:rsidR="00CC6508" w:rsidRPr="00E97BC8" w:rsidRDefault="00CC6508" w:rsidP="00E85093">
      <w:pPr>
        <w:spacing w:after="0" w:line="240" w:lineRule="auto"/>
        <w:jc w:val="center"/>
        <w:rPr>
          <w:rFonts w:cs="Times New Roman"/>
          <w:b/>
          <w:sz w:val="22"/>
          <w:szCs w:val="22"/>
        </w:rPr>
      </w:pPr>
      <w:r w:rsidRPr="00E97BC8">
        <w:rPr>
          <w:rFonts w:cs="Times New Roman"/>
          <w:b/>
          <w:sz w:val="22"/>
          <w:szCs w:val="22"/>
        </w:rPr>
        <w:t>J</w:t>
      </w:r>
      <w:r w:rsidR="004364D0" w:rsidRPr="00E97BC8">
        <w:rPr>
          <w:rFonts w:cs="Times New Roman"/>
          <w:b/>
          <w:sz w:val="22"/>
          <w:szCs w:val="22"/>
        </w:rPr>
        <w:t>eremy Firestone</w:t>
      </w:r>
    </w:p>
    <w:p w14:paraId="3DA81F71" w14:textId="77777777" w:rsidR="00E85093" w:rsidRDefault="00563F36" w:rsidP="00E85093">
      <w:pPr>
        <w:spacing w:after="0" w:line="240" w:lineRule="auto"/>
        <w:jc w:val="center"/>
        <w:rPr>
          <w:rFonts w:cs="Times New Roman"/>
          <w:bCs/>
          <w:sz w:val="22"/>
          <w:szCs w:val="22"/>
        </w:rPr>
      </w:pPr>
      <w:r w:rsidRPr="00E97BC8">
        <w:rPr>
          <w:rFonts w:cs="Times New Roman"/>
          <w:bCs/>
          <w:sz w:val="22"/>
          <w:szCs w:val="22"/>
        </w:rPr>
        <w:t>University of Delaware</w:t>
      </w:r>
    </w:p>
    <w:p w14:paraId="50F0A410" w14:textId="4A8078D3" w:rsidR="008744E8" w:rsidRPr="00E97BC8" w:rsidRDefault="005051CA" w:rsidP="00E85093">
      <w:pPr>
        <w:spacing w:after="0" w:line="240" w:lineRule="auto"/>
        <w:jc w:val="center"/>
        <w:rPr>
          <w:rFonts w:cs="Times New Roman"/>
          <w:bCs/>
          <w:sz w:val="22"/>
          <w:szCs w:val="22"/>
        </w:rPr>
      </w:pPr>
      <w:r w:rsidRPr="00E97BC8">
        <w:rPr>
          <w:rFonts w:cs="Times New Roman"/>
          <w:bCs/>
          <w:sz w:val="22"/>
          <w:szCs w:val="22"/>
        </w:rPr>
        <w:t>School of Marine Science and Policy</w:t>
      </w:r>
    </w:p>
    <w:p w14:paraId="5E989F70" w14:textId="11B96617" w:rsidR="005051CA" w:rsidRPr="00E97BC8" w:rsidRDefault="00E3540D" w:rsidP="00E85093">
      <w:pPr>
        <w:spacing w:after="0" w:line="240" w:lineRule="auto"/>
        <w:jc w:val="center"/>
        <w:rPr>
          <w:rFonts w:cs="Times New Roman"/>
          <w:bCs/>
          <w:sz w:val="22"/>
          <w:szCs w:val="22"/>
        </w:rPr>
      </w:pPr>
      <w:r w:rsidRPr="00E97BC8">
        <w:rPr>
          <w:rFonts w:cs="Times New Roman"/>
          <w:bCs/>
          <w:sz w:val="22"/>
          <w:szCs w:val="22"/>
        </w:rPr>
        <w:t>221 Academy Street</w:t>
      </w:r>
      <w:r w:rsidR="00195518" w:rsidRPr="00E97BC8">
        <w:rPr>
          <w:rFonts w:cs="Times New Roman"/>
          <w:bCs/>
          <w:sz w:val="22"/>
          <w:szCs w:val="22"/>
        </w:rPr>
        <w:t xml:space="preserve">, </w:t>
      </w:r>
      <w:r w:rsidRPr="00E97BC8">
        <w:rPr>
          <w:rFonts w:cs="Times New Roman"/>
          <w:bCs/>
          <w:sz w:val="22"/>
          <w:szCs w:val="22"/>
        </w:rPr>
        <w:t>Newark DE 19716</w:t>
      </w:r>
      <w:r w:rsidR="00195518" w:rsidRPr="00E97BC8">
        <w:rPr>
          <w:rFonts w:cs="Times New Roman"/>
          <w:bCs/>
          <w:sz w:val="22"/>
          <w:szCs w:val="22"/>
        </w:rPr>
        <w:t>, USA</w:t>
      </w:r>
    </w:p>
    <w:p w14:paraId="512ED8EC" w14:textId="0EF2688E" w:rsidR="00620880" w:rsidRPr="00E97BC8" w:rsidRDefault="00A9179C" w:rsidP="00E85093">
      <w:pPr>
        <w:spacing w:after="0" w:line="240" w:lineRule="auto"/>
        <w:jc w:val="center"/>
        <w:rPr>
          <w:rFonts w:cs="Times New Roman"/>
          <w:bCs/>
          <w:sz w:val="22"/>
          <w:szCs w:val="22"/>
        </w:rPr>
      </w:pPr>
      <w:r w:rsidRPr="00E97BC8">
        <w:rPr>
          <w:rFonts w:cs="Times New Roman"/>
          <w:bCs/>
          <w:sz w:val="22"/>
          <w:szCs w:val="22"/>
        </w:rPr>
        <w:t>Email: jf@udel.edu</w:t>
      </w:r>
    </w:p>
    <w:p w14:paraId="1F949CB5" w14:textId="77777777" w:rsidR="00620880" w:rsidRPr="00E97BC8" w:rsidRDefault="00620880" w:rsidP="00E85093">
      <w:pPr>
        <w:spacing w:after="0" w:line="240" w:lineRule="auto"/>
        <w:jc w:val="center"/>
        <w:rPr>
          <w:rFonts w:cs="Times New Roman"/>
          <w:b/>
          <w:sz w:val="22"/>
          <w:szCs w:val="22"/>
        </w:rPr>
      </w:pPr>
    </w:p>
    <w:p w14:paraId="3AD2DEBE" w14:textId="0EEF2B02" w:rsidR="008744E8" w:rsidRPr="00E97BC8" w:rsidRDefault="008744E8" w:rsidP="00E85093">
      <w:pPr>
        <w:spacing w:after="0" w:line="240" w:lineRule="auto"/>
        <w:jc w:val="center"/>
        <w:rPr>
          <w:rFonts w:cs="Times New Roman"/>
          <w:b/>
          <w:sz w:val="22"/>
          <w:szCs w:val="22"/>
        </w:rPr>
      </w:pPr>
      <w:r w:rsidRPr="00E97BC8">
        <w:rPr>
          <w:rFonts w:cs="Times New Roman"/>
          <w:b/>
          <w:sz w:val="22"/>
          <w:szCs w:val="22"/>
        </w:rPr>
        <w:t>Chandra R. Bhat (corresponding author)</w:t>
      </w:r>
    </w:p>
    <w:p w14:paraId="228CC7F7" w14:textId="77777777" w:rsidR="00E85093" w:rsidRDefault="008744E8" w:rsidP="00E85093">
      <w:pPr>
        <w:spacing w:after="0" w:line="240" w:lineRule="auto"/>
        <w:jc w:val="center"/>
        <w:rPr>
          <w:rFonts w:cs="Times New Roman"/>
          <w:bCs/>
          <w:sz w:val="22"/>
          <w:szCs w:val="22"/>
        </w:rPr>
      </w:pPr>
      <w:r w:rsidRPr="00E97BC8">
        <w:rPr>
          <w:rFonts w:cs="Times New Roman"/>
          <w:bCs/>
          <w:sz w:val="22"/>
          <w:szCs w:val="22"/>
        </w:rPr>
        <w:t>The University of Texas at Austin</w:t>
      </w:r>
      <w:r w:rsidR="00A14C98" w:rsidRPr="00E97BC8">
        <w:rPr>
          <w:rFonts w:cs="Times New Roman"/>
          <w:bCs/>
          <w:sz w:val="22"/>
          <w:szCs w:val="22"/>
        </w:rPr>
        <w:t xml:space="preserve">, </w:t>
      </w:r>
      <w:r w:rsidRPr="00E97BC8">
        <w:rPr>
          <w:rFonts w:cs="Times New Roman"/>
          <w:bCs/>
          <w:sz w:val="22"/>
          <w:szCs w:val="22"/>
        </w:rPr>
        <w:t>Department of Civil</w:t>
      </w:r>
    </w:p>
    <w:p w14:paraId="18ED3DD1" w14:textId="2C1AFDF1" w:rsidR="008744E8" w:rsidRPr="00E97BC8" w:rsidRDefault="008744E8" w:rsidP="00E85093">
      <w:pPr>
        <w:spacing w:after="0" w:line="240" w:lineRule="auto"/>
        <w:jc w:val="center"/>
        <w:rPr>
          <w:rFonts w:cs="Times New Roman"/>
          <w:bCs/>
          <w:sz w:val="22"/>
          <w:szCs w:val="22"/>
        </w:rPr>
      </w:pPr>
      <w:r w:rsidRPr="00E97BC8">
        <w:rPr>
          <w:rFonts w:cs="Times New Roman"/>
          <w:bCs/>
          <w:sz w:val="22"/>
          <w:szCs w:val="22"/>
        </w:rPr>
        <w:t>Architectural and Environmental Engineering</w:t>
      </w:r>
    </w:p>
    <w:p w14:paraId="606933DF" w14:textId="3F1BB6A4" w:rsidR="008744E8" w:rsidRPr="00E97BC8" w:rsidRDefault="008744E8" w:rsidP="00E85093">
      <w:pPr>
        <w:spacing w:after="0" w:line="240" w:lineRule="auto"/>
        <w:jc w:val="center"/>
        <w:rPr>
          <w:rFonts w:cs="Times New Roman"/>
          <w:bCs/>
          <w:sz w:val="22"/>
          <w:szCs w:val="22"/>
        </w:rPr>
      </w:pPr>
      <w:r w:rsidRPr="00E97BC8">
        <w:rPr>
          <w:rFonts w:cs="Times New Roman"/>
          <w:bCs/>
          <w:sz w:val="22"/>
          <w:szCs w:val="22"/>
        </w:rPr>
        <w:t>301 E. Dean Keeton St. Stop C1761, Austin TX 78712, USA</w:t>
      </w:r>
    </w:p>
    <w:p w14:paraId="3EF7CDA6" w14:textId="77777777" w:rsidR="008744E8" w:rsidRPr="00E97BC8" w:rsidRDefault="008744E8" w:rsidP="00E85093">
      <w:pPr>
        <w:spacing w:after="0" w:line="240" w:lineRule="auto"/>
        <w:jc w:val="center"/>
        <w:rPr>
          <w:rFonts w:cs="Times New Roman"/>
          <w:bCs/>
          <w:sz w:val="22"/>
          <w:szCs w:val="22"/>
        </w:rPr>
      </w:pPr>
      <w:r w:rsidRPr="00E97BC8">
        <w:rPr>
          <w:rFonts w:cs="Times New Roman"/>
          <w:bCs/>
          <w:sz w:val="22"/>
          <w:szCs w:val="22"/>
        </w:rPr>
        <w:t>Tel: +1-512-471-4535; Email: bhat@mail.utexas.edu</w:t>
      </w:r>
    </w:p>
    <w:p w14:paraId="20966285" w14:textId="77777777" w:rsidR="00BE5C37" w:rsidRPr="00E97BC8" w:rsidRDefault="00BE5C37" w:rsidP="00E85093">
      <w:pPr>
        <w:spacing w:after="0" w:line="240" w:lineRule="auto"/>
        <w:jc w:val="both"/>
        <w:rPr>
          <w:rFonts w:cs="Times New Roman"/>
          <w:b/>
          <w:sz w:val="22"/>
          <w:szCs w:val="22"/>
        </w:rPr>
      </w:pPr>
    </w:p>
    <w:p w14:paraId="0C2F656A" w14:textId="2010E16A" w:rsidR="001D5CF6" w:rsidRPr="00E97BC8" w:rsidRDefault="001D5CF6" w:rsidP="00E85093">
      <w:pPr>
        <w:spacing w:after="0" w:line="240" w:lineRule="auto"/>
        <w:rPr>
          <w:rFonts w:cs="Times New Roman"/>
          <w:b/>
          <w:sz w:val="22"/>
          <w:szCs w:val="22"/>
        </w:rPr>
      </w:pPr>
      <w:r w:rsidRPr="00E97BC8">
        <w:rPr>
          <w:rFonts w:cs="Times New Roman"/>
          <w:b/>
          <w:sz w:val="22"/>
          <w:szCs w:val="22"/>
        </w:rPr>
        <w:br w:type="page"/>
      </w:r>
    </w:p>
    <w:p w14:paraId="391850CB" w14:textId="77777777" w:rsidR="001D5CF6" w:rsidRPr="00E97BC8" w:rsidRDefault="001D5CF6" w:rsidP="00E85093">
      <w:pPr>
        <w:spacing w:after="0" w:line="240" w:lineRule="auto"/>
        <w:jc w:val="both"/>
        <w:rPr>
          <w:rFonts w:cs="Times New Roman"/>
          <w:b/>
          <w:sz w:val="22"/>
          <w:szCs w:val="22"/>
        </w:rPr>
      </w:pPr>
      <w:r w:rsidRPr="00E97BC8">
        <w:rPr>
          <w:rFonts w:cs="Times New Roman"/>
          <w:b/>
          <w:sz w:val="22"/>
          <w:szCs w:val="22"/>
        </w:rPr>
        <w:lastRenderedPageBreak/>
        <w:t>ABSTRACT</w:t>
      </w:r>
    </w:p>
    <w:p w14:paraId="59F03350" w14:textId="404F94FD" w:rsidR="001D5CF6" w:rsidRPr="00E97BC8" w:rsidRDefault="00E07C0C" w:rsidP="00E85093">
      <w:pPr>
        <w:spacing w:after="0" w:line="240" w:lineRule="auto"/>
        <w:jc w:val="both"/>
        <w:rPr>
          <w:rFonts w:cs="Times New Roman"/>
          <w:bCs/>
          <w:sz w:val="22"/>
          <w:szCs w:val="22"/>
        </w:rPr>
      </w:pPr>
      <w:r w:rsidRPr="00E97BC8">
        <w:rPr>
          <w:rFonts w:cs="Times New Roman"/>
          <w:bCs/>
          <w:sz w:val="22"/>
          <w:szCs w:val="22"/>
        </w:rPr>
        <w:t xml:space="preserve">While there is broad interest in understanding electric vehicle (EV) adoption patterns, many existing studies are confined to an examination of stated adoption intentions rather than revealed behaviors. Accordingly, </w:t>
      </w:r>
      <w:r w:rsidR="007510A2" w:rsidRPr="00E97BC8">
        <w:rPr>
          <w:rFonts w:cs="Times New Roman"/>
          <w:bCs/>
          <w:sz w:val="22"/>
          <w:szCs w:val="22"/>
        </w:rPr>
        <w:t xml:space="preserve">we use a survey of 1,098 California households to </w:t>
      </w:r>
      <w:r w:rsidRPr="00E97BC8">
        <w:rPr>
          <w:rFonts w:cs="Times New Roman"/>
          <w:bCs/>
          <w:sz w:val="22"/>
          <w:szCs w:val="22"/>
        </w:rPr>
        <w:t xml:space="preserve">examine the ways that demographics, lifestyle preferences, and perceptions of EV characteristics impact revealed adoption behaviors. In addition, </w:t>
      </w:r>
      <w:r w:rsidR="007510A2" w:rsidRPr="00E97BC8">
        <w:rPr>
          <w:rFonts w:cs="Times New Roman"/>
          <w:bCs/>
          <w:sz w:val="22"/>
          <w:szCs w:val="22"/>
        </w:rPr>
        <w:t>the</w:t>
      </w:r>
      <w:r w:rsidRPr="00E97BC8">
        <w:rPr>
          <w:rFonts w:cs="Times New Roman"/>
          <w:bCs/>
          <w:sz w:val="22"/>
          <w:szCs w:val="22"/>
        </w:rPr>
        <w:t xml:space="preserve"> survey asked current EV owners to rank the importance of a set of factors that influenced their adoption decision, </w:t>
      </w:r>
      <w:r w:rsidR="007510A2" w:rsidRPr="00E97BC8">
        <w:rPr>
          <w:rFonts w:cs="Times New Roman"/>
          <w:bCs/>
          <w:sz w:val="22"/>
          <w:szCs w:val="22"/>
        </w:rPr>
        <w:t>enabling an investigation of</w:t>
      </w:r>
      <w:r w:rsidRPr="00E97BC8">
        <w:rPr>
          <w:rFonts w:cs="Times New Roman"/>
          <w:bCs/>
          <w:sz w:val="22"/>
          <w:szCs w:val="22"/>
        </w:rPr>
        <w:t xml:space="preserve"> the motivations for EV ownership. By modeling EV adoption and the motivations in a joint binary-ranked choice framework, we account for sample selection effects, enabling us to generalize these motivations to the population at large and identify policy measures to encourage adoption among those who have yet to adopt. This approach provides insights into the implementation of EV incentive policies, deployment of EVs, and development of EV charging infrastructure.</w:t>
      </w:r>
    </w:p>
    <w:p w14:paraId="49701635" w14:textId="77777777" w:rsidR="00E07C0C" w:rsidRPr="00E97BC8" w:rsidRDefault="00E07C0C" w:rsidP="00E85093">
      <w:pPr>
        <w:spacing w:after="0" w:line="240" w:lineRule="auto"/>
        <w:jc w:val="both"/>
        <w:rPr>
          <w:rFonts w:cs="Times New Roman"/>
          <w:bCs/>
          <w:sz w:val="22"/>
          <w:szCs w:val="22"/>
        </w:rPr>
      </w:pPr>
    </w:p>
    <w:p w14:paraId="42A46DE2" w14:textId="2E247E0D" w:rsidR="006F1B21" w:rsidRPr="00E97BC8" w:rsidRDefault="001D5CF6" w:rsidP="00E85093">
      <w:pPr>
        <w:spacing w:after="0" w:line="240" w:lineRule="auto"/>
        <w:jc w:val="both"/>
        <w:rPr>
          <w:rFonts w:cs="Times New Roman"/>
          <w:bCs/>
          <w:sz w:val="22"/>
          <w:szCs w:val="22"/>
        </w:rPr>
      </w:pPr>
      <w:r w:rsidRPr="00E97BC8">
        <w:rPr>
          <w:rFonts w:cs="Times New Roman"/>
          <w:b/>
          <w:sz w:val="22"/>
          <w:szCs w:val="22"/>
        </w:rPr>
        <w:t>Keywords:</w:t>
      </w:r>
      <w:r w:rsidRPr="00E97BC8">
        <w:rPr>
          <w:rFonts w:cs="Times New Roman"/>
          <w:bCs/>
          <w:sz w:val="22"/>
          <w:szCs w:val="22"/>
        </w:rPr>
        <w:t xml:space="preserve"> </w:t>
      </w:r>
      <w:r w:rsidR="00875593" w:rsidRPr="00E97BC8">
        <w:rPr>
          <w:rFonts w:cs="Times New Roman"/>
          <w:bCs/>
          <w:sz w:val="22"/>
          <w:szCs w:val="22"/>
        </w:rPr>
        <w:t xml:space="preserve">Revealed </w:t>
      </w:r>
      <w:r w:rsidR="00C04B27" w:rsidRPr="00E97BC8">
        <w:rPr>
          <w:rFonts w:cs="Times New Roman"/>
          <w:bCs/>
          <w:sz w:val="22"/>
          <w:szCs w:val="22"/>
        </w:rPr>
        <w:t xml:space="preserve">Preference, Revealed </w:t>
      </w:r>
      <w:r w:rsidR="00875593" w:rsidRPr="00E97BC8">
        <w:rPr>
          <w:rFonts w:cs="Times New Roman"/>
          <w:bCs/>
          <w:sz w:val="22"/>
          <w:szCs w:val="22"/>
        </w:rPr>
        <w:t xml:space="preserve">EV Behavior, Rank-Ordered Model, Joint Mixed Model, EV Adoption </w:t>
      </w:r>
      <w:r w:rsidRPr="00E97BC8">
        <w:rPr>
          <w:rFonts w:cs="Times New Roman"/>
          <w:bCs/>
          <w:sz w:val="22"/>
          <w:szCs w:val="22"/>
        </w:rPr>
        <w:t>Latent Perceptions</w:t>
      </w:r>
    </w:p>
    <w:p w14:paraId="439938C3" w14:textId="444E472E" w:rsidR="008744E8" w:rsidRPr="00E97BC8" w:rsidRDefault="008744E8" w:rsidP="00E85093">
      <w:pPr>
        <w:spacing w:after="0" w:line="240" w:lineRule="auto"/>
        <w:jc w:val="both"/>
        <w:rPr>
          <w:rFonts w:cs="Times New Roman"/>
          <w:b/>
          <w:sz w:val="22"/>
          <w:szCs w:val="22"/>
        </w:rPr>
      </w:pPr>
      <w:r w:rsidRPr="00E97BC8">
        <w:rPr>
          <w:rFonts w:cs="Times New Roman"/>
          <w:b/>
          <w:sz w:val="22"/>
          <w:szCs w:val="22"/>
        </w:rPr>
        <w:br w:type="page"/>
      </w:r>
    </w:p>
    <w:p w14:paraId="5CA46271" w14:textId="1E00EEFF" w:rsidR="002657FA" w:rsidRPr="00E97BC8" w:rsidRDefault="002657FA" w:rsidP="00E85093">
      <w:pPr>
        <w:spacing w:after="0" w:line="240" w:lineRule="auto"/>
        <w:jc w:val="both"/>
        <w:rPr>
          <w:rFonts w:cs="Times New Roman"/>
          <w:bCs/>
          <w:sz w:val="22"/>
          <w:szCs w:val="22"/>
        </w:rPr>
        <w:sectPr w:rsidR="002657FA" w:rsidRPr="00E97BC8" w:rsidSect="002D7FEE">
          <w:pgSz w:w="12240" w:h="15840"/>
          <w:pgMar w:top="1440" w:right="1440" w:bottom="1440" w:left="1440" w:header="720" w:footer="720" w:gutter="0"/>
          <w:cols w:space="720"/>
          <w:docGrid w:linePitch="360"/>
        </w:sectPr>
      </w:pPr>
    </w:p>
    <w:p w14:paraId="296173AD" w14:textId="77777777" w:rsidR="008744E8" w:rsidRPr="00E97BC8" w:rsidRDefault="008744E8" w:rsidP="00E85093">
      <w:pPr>
        <w:spacing w:after="0" w:line="240" w:lineRule="auto"/>
        <w:jc w:val="both"/>
        <w:rPr>
          <w:rFonts w:cs="Times New Roman"/>
          <w:sz w:val="22"/>
          <w:szCs w:val="22"/>
        </w:rPr>
      </w:pPr>
      <w:r w:rsidRPr="00E97BC8">
        <w:rPr>
          <w:rFonts w:cs="Times New Roman"/>
          <w:b/>
          <w:sz w:val="22"/>
          <w:szCs w:val="22"/>
        </w:rPr>
        <w:lastRenderedPageBreak/>
        <w:t xml:space="preserve">1. INTRODUCTION </w:t>
      </w:r>
    </w:p>
    <w:p w14:paraId="35A36273" w14:textId="32F2153B" w:rsidR="004433E9" w:rsidRPr="00E97BC8" w:rsidRDefault="004433E9" w:rsidP="00E85093">
      <w:pPr>
        <w:pStyle w:val="ListParagraph"/>
        <w:shd w:val="clear" w:color="auto" w:fill="FFFFFF"/>
        <w:spacing w:after="0" w:line="240" w:lineRule="auto"/>
        <w:ind w:left="0"/>
        <w:jc w:val="both"/>
        <w:rPr>
          <w:rFonts w:cs="Times New Roman"/>
          <w:sz w:val="22"/>
          <w:szCs w:val="22"/>
        </w:rPr>
      </w:pPr>
      <w:r w:rsidRPr="00E97BC8">
        <w:rPr>
          <w:rFonts w:cs="Times New Roman"/>
          <w:sz w:val="22"/>
          <w:szCs w:val="22"/>
        </w:rPr>
        <w:t xml:space="preserve">The transportation sector </w:t>
      </w:r>
      <w:r w:rsidR="00243F84" w:rsidRPr="00E97BC8">
        <w:rPr>
          <w:rFonts w:cs="Times New Roman"/>
          <w:sz w:val="22"/>
          <w:szCs w:val="22"/>
        </w:rPr>
        <w:t xml:space="preserve">is one of the </w:t>
      </w:r>
      <w:r w:rsidR="00C80BE3" w:rsidRPr="00E97BC8">
        <w:rPr>
          <w:rFonts w:cs="Times New Roman"/>
          <w:sz w:val="22"/>
          <w:szCs w:val="22"/>
        </w:rPr>
        <w:t>largest</w:t>
      </w:r>
      <w:r w:rsidR="00243F84" w:rsidRPr="00E97BC8">
        <w:rPr>
          <w:rFonts w:cs="Times New Roman"/>
          <w:sz w:val="22"/>
          <w:szCs w:val="22"/>
        </w:rPr>
        <w:t xml:space="preserve"> contributors to </w:t>
      </w:r>
      <w:r w:rsidR="00506928" w:rsidRPr="00E97BC8">
        <w:rPr>
          <w:rFonts w:cs="Times New Roman"/>
          <w:sz w:val="22"/>
          <w:szCs w:val="22"/>
        </w:rPr>
        <w:t xml:space="preserve">greenhouse gas emissions </w:t>
      </w:r>
      <w:r w:rsidR="00995E4E" w:rsidRPr="00E97BC8">
        <w:rPr>
          <w:rFonts w:cs="Times New Roman"/>
          <w:sz w:val="22"/>
          <w:szCs w:val="22"/>
        </w:rPr>
        <w:t>and</w:t>
      </w:r>
      <w:r w:rsidR="00506928" w:rsidRPr="00E97BC8">
        <w:rPr>
          <w:rFonts w:cs="Times New Roman"/>
          <w:sz w:val="22"/>
          <w:szCs w:val="22"/>
        </w:rPr>
        <w:t xml:space="preserve"> </w:t>
      </w:r>
      <w:r w:rsidR="00E803BF" w:rsidRPr="00E97BC8">
        <w:rPr>
          <w:rFonts w:cs="Times New Roman"/>
          <w:sz w:val="22"/>
          <w:szCs w:val="22"/>
        </w:rPr>
        <w:t>acc</w:t>
      </w:r>
      <w:r w:rsidR="00137C13" w:rsidRPr="00E97BC8">
        <w:rPr>
          <w:rFonts w:cs="Times New Roman"/>
          <w:sz w:val="22"/>
          <w:szCs w:val="22"/>
        </w:rPr>
        <w:t>ount</w:t>
      </w:r>
      <w:r w:rsidR="00995E4E" w:rsidRPr="00E97BC8">
        <w:rPr>
          <w:rFonts w:cs="Times New Roman"/>
          <w:sz w:val="22"/>
          <w:szCs w:val="22"/>
        </w:rPr>
        <w:t>s</w:t>
      </w:r>
      <w:r w:rsidR="00137C13" w:rsidRPr="00E97BC8">
        <w:rPr>
          <w:rFonts w:cs="Times New Roman"/>
          <w:sz w:val="22"/>
          <w:szCs w:val="22"/>
        </w:rPr>
        <w:t xml:space="preserve"> for</w:t>
      </w:r>
      <w:r w:rsidR="00995E4E" w:rsidRPr="00E97BC8">
        <w:rPr>
          <w:rFonts w:cs="Times New Roman"/>
          <w:sz w:val="22"/>
          <w:szCs w:val="22"/>
        </w:rPr>
        <w:t xml:space="preserve"> nearly</w:t>
      </w:r>
      <w:r w:rsidR="00137C13" w:rsidRPr="00E97BC8">
        <w:rPr>
          <w:rFonts w:cs="Times New Roman"/>
          <w:sz w:val="22"/>
          <w:szCs w:val="22"/>
        </w:rPr>
        <w:t xml:space="preserve"> 45% of global oil demand</w:t>
      </w:r>
      <w:r w:rsidR="000A6189" w:rsidRPr="00E97BC8">
        <w:rPr>
          <w:rFonts w:cs="Times New Roman"/>
          <w:sz w:val="22"/>
          <w:szCs w:val="22"/>
        </w:rPr>
        <w:t>,</w:t>
      </w:r>
      <w:r w:rsidR="00137C13" w:rsidRPr="00E97BC8">
        <w:rPr>
          <w:rFonts w:cs="Times New Roman"/>
          <w:sz w:val="22"/>
          <w:szCs w:val="22"/>
        </w:rPr>
        <w:t xml:space="preserve"> </w:t>
      </w:r>
      <w:r w:rsidR="00506928" w:rsidRPr="00E97BC8">
        <w:rPr>
          <w:rFonts w:cs="Times New Roman"/>
          <w:sz w:val="22"/>
          <w:szCs w:val="22"/>
        </w:rPr>
        <w:t>primarily due to the widespread use of internal combustion engine vehicles</w:t>
      </w:r>
      <w:r w:rsidR="007D4EDA" w:rsidRPr="00E97BC8">
        <w:rPr>
          <w:rFonts w:cs="Times New Roman"/>
          <w:sz w:val="22"/>
          <w:szCs w:val="22"/>
        </w:rPr>
        <w:t xml:space="preserve"> (ICEVs)</w:t>
      </w:r>
      <w:r w:rsidR="000236A5" w:rsidRPr="00E97BC8">
        <w:rPr>
          <w:rFonts w:cs="Times New Roman"/>
          <w:sz w:val="22"/>
          <w:szCs w:val="22"/>
        </w:rPr>
        <w:t xml:space="preserve"> </w:t>
      </w:r>
      <w:r w:rsidR="008D2926" w:rsidRPr="00E97BC8">
        <w:rPr>
          <w:rFonts w:cs="Times New Roman"/>
          <w:sz w:val="22"/>
          <w:szCs w:val="22"/>
        </w:rPr>
        <w:fldChar w:fldCharType="begin"/>
      </w:r>
      <w:r w:rsidR="008D2926" w:rsidRPr="00E97BC8">
        <w:rPr>
          <w:rFonts w:cs="Times New Roman"/>
          <w:sz w:val="22"/>
          <w:szCs w:val="22"/>
        </w:rPr>
        <w:instrText xml:space="preserve"> ADDIN ZOTERO_ITEM CSL_CITATION {"citationID":"BWn3RZXs","properties":{"formattedCitation":"(IEA, 2023)","plainCitation":"(IEA, 2023)","noteIndex":0},"citationItems":[{"id":2502,"uris":["http://zotero.org/users/12832277/items/Y4L7BDK9"],"itemData":{"id":2502,"type":"report","event-place":"Paris","language":"en","publisher":"International Energy Agency","publisher-place":"Paris","source":"Zotero","title":"World Energy Outlook 2023","URL":"https://www.iea.org/reports/world-energy-outlook-2023","author":[{"family":"IEA","given":""}],"issued":{"date-parts":[["2023"]]}}}],"schema":"https://github.com/citation-style-language/schema/raw/master/csl-citation.json"} </w:instrText>
      </w:r>
      <w:r w:rsidR="008D2926" w:rsidRPr="00E97BC8">
        <w:rPr>
          <w:rFonts w:cs="Times New Roman"/>
          <w:sz w:val="22"/>
          <w:szCs w:val="22"/>
        </w:rPr>
        <w:fldChar w:fldCharType="separate"/>
      </w:r>
      <w:r w:rsidR="001E6A07" w:rsidRPr="00E97BC8">
        <w:rPr>
          <w:rFonts w:cs="Times New Roman"/>
          <w:sz w:val="22"/>
          <w:szCs w:val="22"/>
        </w:rPr>
        <w:t>(IEA, 2023)</w:t>
      </w:r>
      <w:r w:rsidR="008D2926" w:rsidRPr="00E97BC8">
        <w:rPr>
          <w:rFonts w:cs="Times New Roman"/>
          <w:sz w:val="22"/>
          <w:szCs w:val="22"/>
        </w:rPr>
        <w:fldChar w:fldCharType="end"/>
      </w:r>
      <w:r w:rsidR="00506928" w:rsidRPr="00E97BC8">
        <w:rPr>
          <w:rFonts w:cs="Times New Roman"/>
          <w:sz w:val="22"/>
          <w:szCs w:val="22"/>
        </w:rPr>
        <w:t xml:space="preserve">. </w:t>
      </w:r>
      <w:r w:rsidR="007D7D28" w:rsidRPr="00E97BC8">
        <w:rPr>
          <w:rFonts w:cs="Times New Roman"/>
          <w:sz w:val="22"/>
          <w:szCs w:val="22"/>
        </w:rPr>
        <w:t>In fact, w</w:t>
      </w:r>
      <w:r w:rsidR="00D00381" w:rsidRPr="00E97BC8">
        <w:rPr>
          <w:rFonts w:cs="Times New Roman"/>
          <w:sz w:val="22"/>
          <w:szCs w:val="22"/>
        </w:rPr>
        <w:t xml:space="preserve">hile the United States has seen </w:t>
      </w:r>
      <w:r w:rsidR="00125329" w:rsidRPr="00E97BC8">
        <w:rPr>
          <w:rFonts w:cs="Times New Roman"/>
          <w:sz w:val="22"/>
          <w:szCs w:val="22"/>
        </w:rPr>
        <w:t xml:space="preserve">an </w:t>
      </w:r>
      <w:r w:rsidR="007D7D28" w:rsidRPr="00E97BC8">
        <w:rPr>
          <w:rFonts w:cs="Times New Roman"/>
          <w:sz w:val="22"/>
          <w:szCs w:val="22"/>
        </w:rPr>
        <w:t xml:space="preserve">overall </w:t>
      </w:r>
      <w:r w:rsidR="00D00381" w:rsidRPr="00E97BC8">
        <w:rPr>
          <w:rFonts w:cs="Times New Roman"/>
          <w:sz w:val="22"/>
          <w:szCs w:val="22"/>
        </w:rPr>
        <w:t xml:space="preserve">reduction of </w:t>
      </w:r>
      <w:r w:rsidR="00124B45" w:rsidRPr="00E97BC8">
        <w:rPr>
          <w:rFonts w:cs="Times New Roman"/>
          <w:sz w:val="22"/>
          <w:szCs w:val="22"/>
        </w:rPr>
        <w:t>greenhouse gas</w:t>
      </w:r>
      <w:r w:rsidR="00D00381" w:rsidRPr="00E97BC8">
        <w:rPr>
          <w:rFonts w:cs="Times New Roman"/>
          <w:sz w:val="22"/>
          <w:szCs w:val="22"/>
        </w:rPr>
        <w:t xml:space="preserve"> emissions </w:t>
      </w:r>
      <w:r w:rsidR="002F7CD8" w:rsidRPr="00E97BC8">
        <w:rPr>
          <w:rFonts w:cs="Times New Roman"/>
          <w:sz w:val="22"/>
          <w:szCs w:val="22"/>
        </w:rPr>
        <w:t xml:space="preserve">of </w:t>
      </w:r>
      <w:r w:rsidR="00D00381" w:rsidRPr="00E97BC8">
        <w:rPr>
          <w:rFonts w:cs="Times New Roman"/>
          <w:sz w:val="22"/>
          <w:szCs w:val="22"/>
        </w:rPr>
        <w:t xml:space="preserve">around </w:t>
      </w:r>
      <w:r w:rsidR="00D6721E" w:rsidRPr="00E97BC8">
        <w:rPr>
          <w:rFonts w:cs="Times New Roman"/>
          <w:sz w:val="22"/>
          <w:szCs w:val="22"/>
        </w:rPr>
        <w:t>3</w:t>
      </w:r>
      <w:r w:rsidR="00D00381" w:rsidRPr="00E97BC8">
        <w:rPr>
          <w:rFonts w:cs="Times New Roman"/>
          <w:sz w:val="22"/>
          <w:szCs w:val="22"/>
        </w:rPr>
        <w:t xml:space="preserve">% since </w:t>
      </w:r>
      <w:r w:rsidR="00D6721E" w:rsidRPr="00E97BC8">
        <w:rPr>
          <w:rFonts w:cs="Times New Roman"/>
          <w:sz w:val="22"/>
          <w:szCs w:val="22"/>
        </w:rPr>
        <w:t>1990</w:t>
      </w:r>
      <w:r w:rsidR="00D00381" w:rsidRPr="00E97BC8">
        <w:rPr>
          <w:rFonts w:cs="Times New Roman"/>
          <w:sz w:val="22"/>
          <w:szCs w:val="22"/>
        </w:rPr>
        <w:t xml:space="preserve">, </w:t>
      </w:r>
      <w:r w:rsidR="007D7D28" w:rsidRPr="00E97BC8">
        <w:rPr>
          <w:rFonts w:cs="Times New Roman"/>
          <w:sz w:val="22"/>
          <w:szCs w:val="22"/>
        </w:rPr>
        <w:t xml:space="preserve">emissions in the transportation sector have increased </w:t>
      </w:r>
      <w:r w:rsidR="00681BF8" w:rsidRPr="00E97BC8">
        <w:rPr>
          <w:rFonts w:cs="Times New Roman"/>
          <w:sz w:val="22"/>
          <w:szCs w:val="22"/>
        </w:rPr>
        <w:t>by over 20% in the same period</w:t>
      </w:r>
      <w:r w:rsidR="002040E1" w:rsidRPr="00E97BC8">
        <w:rPr>
          <w:rFonts w:cs="Times New Roman"/>
          <w:sz w:val="22"/>
          <w:szCs w:val="22"/>
        </w:rPr>
        <w:t xml:space="preserve"> </w:t>
      </w:r>
      <w:r w:rsidR="002040E1" w:rsidRPr="00E97BC8">
        <w:rPr>
          <w:rFonts w:cs="Times New Roman"/>
          <w:b/>
          <w:bCs/>
          <w:sz w:val="22"/>
          <w:szCs w:val="22"/>
        </w:rPr>
        <w:fldChar w:fldCharType="begin"/>
      </w:r>
      <w:r w:rsidR="002040E1" w:rsidRPr="00E97BC8">
        <w:rPr>
          <w:rFonts w:cs="Times New Roman"/>
          <w:b/>
          <w:bCs/>
          <w:sz w:val="22"/>
          <w:szCs w:val="22"/>
        </w:rPr>
        <w:instrText xml:space="preserve"> ADDIN ZOTERO_ITEM CSL_CITATION {"citationID":"WVjC4xvy","properties":{"formattedCitation":"(EPA, 2024)","plainCitation":"(EPA, 2024)","noteIndex":0},"citationItems":[{"id":2499,"uris":["http://zotero.org/users/12832277/items/6EG84Y3Q"],"itemData":{"id":2499,"type":"report","number":"EPA 430-D-24-001","publisher":"United States Environmental Protection Agency","title":"Draft Inventory of U.S. Greenhouse Gas Emissions and Sinks 1990-2022","URL":"https://www.epa.gov/ghgemissions/draft-inventory-us-greenhouse-gas-emissions-and-sinks-1990-2022","author":[{"family":"EPA","given":""}],"issued":{"date-parts":[["2024"]]}}}],"schema":"https://github.com/citation-style-language/schema/raw/master/csl-citation.json"} </w:instrText>
      </w:r>
      <w:r w:rsidR="002040E1" w:rsidRPr="00E97BC8">
        <w:rPr>
          <w:rFonts w:cs="Times New Roman"/>
          <w:b/>
          <w:bCs/>
          <w:sz w:val="22"/>
          <w:szCs w:val="22"/>
        </w:rPr>
        <w:fldChar w:fldCharType="separate"/>
      </w:r>
      <w:r w:rsidR="001E6A07" w:rsidRPr="00E97BC8">
        <w:rPr>
          <w:rFonts w:cs="Times New Roman"/>
          <w:sz w:val="22"/>
          <w:szCs w:val="22"/>
        </w:rPr>
        <w:t>(EPA, 2024)</w:t>
      </w:r>
      <w:r w:rsidR="002040E1" w:rsidRPr="00E97BC8">
        <w:rPr>
          <w:rFonts w:cs="Times New Roman"/>
          <w:b/>
          <w:bCs/>
          <w:sz w:val="22"/>
          <w:szCs w:val="22"/>
        </w:rPr>
        <w:fldChar w:fldCharType="end"/>
      </w:r>
      <w:r w:rsidR="007D7D28" w:rsidRPr="00E97BC8">
        <w:rPr>
          <w:rFonts w:cs="Times New Roman"/>
          <w:sz w:val="22"/>
          <w:szCs w:val="22"/>
        </w:rPr>
        <w:t xml:space="preserve">. </w:t>
      </w:r>
      <w:r w:rsidR="002860EA" w:rsidRPr="00E97BC8">
        <w:rPr>
          <w:rFonts w:cs="Times New Roman"/>
          <w:sz w:val="22"/>
          <w:szCs w:val="22"/>
        </w:rPr>
        <w:t>In addition to climate impacts, v</w:t>
      </w:r>
      <w:r w:rsidR="00372F56" w:rsidRPr="00E97BC8">
        <w:rPr>
          <w:rFonts w:cs="Times New Roman"/>
          <w:sz w:val="22"/>
          <w:szCs w:val="22"/>
        </w:rPr>
        <w:t>ehicle</w:t>
      </w:r>
      <w:r w:rsidR="0095018F" w:rsidRPr="00E97BC8">
        <w:rPr>
          <w:rFonts w:cs="Times New Roman"/>
          <w:sz w:val="22"/>
          <w:szCs w:val="22"/>
        </w:rPr>
        <w:t xml:space="preserve"> emissions have been show</w:t>
      </w:r>
      <w:r w:rsidR="00372F56" w:rsidRPr="00E97BC8">
        <w:rPr>
          <w:rFonts w:cs="Times New Roman"/>
          <w:sz w:val="22"/>
          <w:szCs w:val="22"/>
        </w:rPr>
        <w:t>n</w:t>
      </w:r>
      <w:r w:rsidR="0095018F" w:rsidRPr="00E97BC8">
        <w:rPr>
          <w:rFonts w:cs="Times New Roman"/>
          <w:sz w:val="22"/>
          <w:szCs w:val="22"/>
        </w:rPr>
        <w:t xml:space="preserve"> to </w:t>
      </w:r>
      <w:r w:rsidR="00FA0497" w:rsidRPr="00E97BC8">
        <w:rPr>
          <w:rFonts w:cs="Times New Roman"/>
          <w:sz w:val="22"/>
          <w:szCs w:val="22"/>
        </w:rPr>
        <w:t>cause increased risks of respiratory and cardiovascular disease</w:t>
      </w:r>
      <w:r w:rsidR="00EC3210" w:rsidRPr="00E97BC8">
        <w:rPr>
          <w:rFonts w:cs="Times New Roman"/>
          <w:sz w:val="22"/>
          <w:szCs w:val="22"/>
        </w:rPr>
        <w:t xml:space="preserve">s, </w:t>
      </w:r>
      <w:r w:rsidR="00BA7565" w:rsidRPr="00E97BC8">
        <w:rPr>
          <w:rFonts w:cs="Times New Roman"/>
          <w:sz w:val="22"/>
          <w:szCs w:val="22"/>
        </w:rPr>
        <w:t xml:space="preserve">lung cancer, </w:t>
      </w:r>
      <w:r w:rsidR="00A032BA" w:rsidRPr="00E97BC8">
        <w:rPr>
          <w:rFonts w:cs="Times New Roman"/>
          <w:sz w:val="22"/>
          <w:szCs w:val="22"/>
        </w:rPr>
        <w:t xml:space="preserve">and </w:t>
      </w:r>
      <w:r w:rsidR="00431487" w:rsidRPr="00E97BC8">
        <w:rPr>
          <w:rFonts w:cs="Times New Roman"/>
          <w:sz w:val="22"/>
          <w:szCs w:val="22"/>
        </w:rPr>
        <w:t>childhood asthma</w:t>
      </w:r>
      <w:r w:rsidR="00A032BA" w:rsidRPr="00E97BC8">
        <w:rPr>
          <w:rFonts w:cs="Times New Roman"/>
          <w:sz w:val="22"/>
          <w:szCs w:val="22"/>
        </w:rPr>
        <w:t xml:space="preserve"> </w:t>
      </w:r>
      <w:r w:rsidR="00A032BA" w:rsidRPr="00E97BC8">
        <w:rPr>
          <w:rFonts w:cs="Times New Roman"/>
          <w:sz w:val="22"/>
          <w:szCs w:val="22"/>
        </w:rPr>
        <w:fldChar w:fldCharType="begin"/>
      </w:r>
      <w:r w:rsidR="00EC0E1D" w:rsidRPr="00E97BC8">
        <w:rPr>
          <w:rFonts w:cs="Times New Roman"/>
          <w:sz w:val="22"/>
          <w:szCs w:val="22"/>
        </w:rPr>
        <w:instrText xml:space="preserve"> ADDIN ZOTERO_ITEM CSL_CITATION {"citationID":"ZrgUX5AK","properties":{"formattedCitation":"(Brugge et al., 2007; Luo et al., 2022)","plainCitation":"(Brugge et al., 2007; Luo et al., 2022)","noteIndex":0},"citationItems":[{"id":2506,"uris":["http://zotero.org/users/12832277/items/ZWK6T4MQ"],"itemData":{"id":2506,"type":"article-journal","abstract":"There is growing evidence of a distinct set of freshly-emitted air pollutants downwind from major highways, motorways, and freeways that include elevated levels of ultrafine particulates (UFP), black carbon (BC), oxides of nitrogen (NOx), and carbon monoxide (CO). People living or otherwise spending substantial time within about 200 m of highways are exposed to these pollutants more so than persons living at a greater distance, even compared to living on busy urban streets. Evidence of the health hazards of these pollutants arises from studies that assess proximity to highways, actual exposure to the pollutants, or both. Taken as a whole, the health studies show elevated risk for development of asthma and reduced lung function in children who live near major highways. Studies of particulate matter (PM) that show associations with cardiac and pulmonary mortality also appear to indicate increasing risk as smaller geographic areas are studied, suggesting localized sources that likely include major highways. Although less work has tested the association between lung cancer and highways, the existing studies suggest an association as well. While the evidence is substantial for a link between near-highway exposures and adverse health outcomes, considerable work remains to understand the exact nature and magnitude of the risks.","container-title":"Environmental Health","DOI":"10.1186/1476-069X-6-23","ISSN":"1476-069X","issue":"1","source":"BioMed Central","title":"Near-Highway Pollutants in Motor Vehicle Exhaust: A Review of Epidemiologic Evidence of Cardiac and Pulmonary Health Risks","title-short":"Near-Highway Pollutants in Motor Vehicle Exhaust","URL":"https://doi.org/10.1186/1476-069X-6-23","volume":"6","author":[{"family":"Brugge","given":"Doug"},{"family":"Durant","given":"John L."},{"family":"Rioux","given":"Christine"}],"accessed":{"date-parts":[["2024",2,19]]},"issued":{"date-parts":[["2007",8,9]]}}},{"id":2509,"uris":["http://zotero.org/users/12832277/items/XQBU2763"],"itemData":{"id":2509,"type":"article-journal","abstract":"The growing of vehicle population aggravates air pollution and threatens human health. In this study, based on the refined whole-process vehicle emission inventory considering volatile organic compounds (VOCs) evaporation emission, the CAMx model was applied to comprehensively quantify the impacts of the vehicle sector on the annual and seasonal concentrations of PM2.5 and O3 in China. Also, the health risks caused by long-term exposure to PM2.5 and O3 were evaluated. The model results showed that vehicle emission was an important source of severe O3 pollution in summer, with a contribution of more than 30% in most parts of China, but not an important source of serious PM2.5 pollution in winter, with a contribution of less than 20% in heavily polluted regions in China. Compared to tailpipe emission, vehicle VOCs evaporation emission led to increases of 25% and 47% to sectoral contribution to PM2.5 and O3. Health risk assessment results showed that attributable deaths caused by long-term exposure to PM2.5 and O3 were 975,029 and 46,043 in 2018, to which vehicle emission contributed approximately 12.5% and 22.2%, respectively.","container-title":"Science of The Total Environment","DOI":"10.1016/j.scitotenv.2021.152655","ISSN":"0048-9697","source":"ScienceDirect","title":"Impacts of Vehicle Emission on Air Quality and Human Health in China","URL":"https://www.sciencedirect.com/science/article/pii/S0048969721077330","volume":"813","author":[{"family":"Luo","given":"Zhenyu"},{"family":"Wang","given":"Yue"},{"family":"Lv","given":"Zhaofeng"},{"family":"He","given":"Tingkun"},{"family":"Zhao","given":"Junchao"},{"family":"Wang","given":"Yongyue"},{"family":"Gao","given":"Fei"},{"family":"Zhang","given":"Zhining"},{"family":"Liu","given":"Huan"}],"accessed":{"date-parts":[["2024",2,19]]},"issued":{"date-parts":[["2022",3,20]]}}}],"schema":"https://github.com/citation-style-language/schema/raw/master/csl-citation.json"} </w:instrText>
      </w:r>
      <w:r w:rsidR="00A032BA" w:rsidRPr="00E97BC8">
        <w:rPr>
          <w:rFonts w:cs="Times New Roman"/>
          <w:sz w:val="22"/>
          <w:szCs w:val="22"/>
        </w:rPr>
        <w:fldChar w:fldCharType="separate"/>
      </w:r>
      <w:r w:rsidR="001E6A07" w:rsidRPr="00E97BC8">
        <w:rPr>
          <w:rFonts w:cs="Times New Roman"/>
          <w:sz w:val="22"/>
          <w:szCs w:val="22"/>
        </w:rPr>
        <w:t>(Brugge et al., 2007; Luo et al., 2022)</w:t>
      </w:r>
      <w:r w:rsidR="00A032BA" w:rsidRPr="00E97BC8">
        <w:rPr>
          <w:rFonts w:cs="Times New Roman"/>
          <w:sz w:val="22"/>
          <w:szCs w:val="22"/>
        </w:rPr>
        <w:fldChar w:fldCharType="end"/>
      </w:r>
      <w:r w:rsidR="00A032BA" w:rsidRPr="00E97BC8">
        <w:rPr>
          <w:rFonts w:cs="Times New Roman"/>
          <w:sz w:val="22"/>
          <w:szCs w:val="22"/>
        </w:rPr>
        <w:t>.</w:t>
      </w:r>
      <w:r w:rsidR="0095018F" w:rsidRPr="00E97BC8">
        <w:rPr>
          <w:rFonts w:cs="Times New Roman"/>
          <w:sz w:val="22"/>
          <w:szCs w:val="22"/>
        </w:rPr>
        <w:t xml:space="preserve"> </w:t>
      </w:r>
      <w:r w:rsidR="00517509" w:rsidRPr="00E97BC8">
        <w:rPr>
          <w:rFonts w:cs="Times New Roman"/>
          <w:sz w:val="22"/>
          <w:szCs w:val="22"/>
        </w:rPr>
        <w:t>Thus, there is growing recognition of the need to reduce transport-related</w:t>
      </w:r>
      <w:r w:rsidR="001A1E22" w:rsidRPr="00E97BC8">
        <w:rPr>
          <w:rFonts w:cs="Times New Roman"/>
          <w:sz w:val="22"/>
          <w:szCs w:val="22"/>
        </w:rPr>
        <w:t xml:space="preserve"> </w:t>
      </w:r>
      <w:r w:rsidR="00517509" w:rsidRPr="00E97BC8">
        <w:rPr>
          <w:rFonts w:cs="Times New Roman"/>
          <w:sz w:val="22"/>
          <w:szCs w:val="22"/>
        </w:rPr>
        <w:t>emissions, and policymakers have</w:t>
      </w:r>
      <w:r w:rsidR="00BD63BC" w:rsidRPr="00E97BC8">
        <w:rPr>
          <w:rFonts w:cs="Times New Roman"/>
          <w:sz w:val="22"/>
          <w:szCs w:val="22"/>
        </w:rPr>
        <w:t xml:space="preserve"> increasingly</w:t>
      </w:r>
      <w:r w:rsidR="00517509" w:rsidRPr="00E97BC8">
        <w:rPr>
          <w:rFonts w:cs="Times New Roman"/>
          <w:sz w:val="22"/>
          <w:szCs w:val="22"/>
        </w:rPr>
        <w:t xml:space="preserve"> looked to electric vehicles (EVs) </w:t>
      </w:r>
      <w:r w:rsidR="001F605D" w:rsidRPr="00E97BC8">
        <w:rPr>
          <w:rFonts w:cs="Times New Roman"/>
          <w:sz w:val="22"/>
          <w:szCs w:val="22"/>
        </w:rPr>
        <w:t>as an important tool to do so</w:t>
      </w:r>
      <w:r w:rsidR="00C93128" w:rsidRPr="00E97BC8">
        <w:rPr>
          <w:rFonts w:cs="Times New Roman"/>
          <w:sz w:val="22"/>
          <w:szCs w:val="22"/>
        </w:rPr>
        <w:t xml:space="preserve">. </w:t>
      </w:r>
    </w:p>
    <w:p w14:paraId="752A9EE6" w14:textId="3D29CA35" w:rsidR="000717E8" w:rsidRPr="00E97BC8" w:rsidRDefault="00847F21" w:rsidP="00E85093">
      <w:pPr>
        <w:pStyle w:val="ListParagraph"/>
        <w:shd w:val="clear" w:color="auto" w:fill="FFFFFF"/>
        <w:spacing w:after="0" w:line="240" w:lineRule="auto"/>
        <w:ind w:left="0"/>
        <w:jc w:val="both"/>
        <w:rPr>
          <w:rFonts w:cs="Times New Roman"/>
          <w:sz w:val="22"/>
          <w:szCs w:val="22"/>
        </w:rPr>
      </w:pPr>
      <w:r w:rsidRPr="00E97BC8">
        <w:rPr>
          <w:rFonts w:cs="Times New Roman"/>
          <w:sz w:val="22"/>
          <w:szCs w:val="22"/>
        </w:rPr>
        <w:tab/>
      </w:r>
      <w:r w:rsidR="00B80C43" w:rsidRPr="00E97BC8">
        <w:rPr>
          <w:rFonts w:cs="Times New Roman"/>
          <w:sz w:val="22"/>
          <w:szCs w:val="22"/>
        </w:rPr>
        <w:t xml:space="preserve">While EVs have broad potential to combat climate change and provide significant benefits for individual owners, </w:t>
      </w:r>
      <w:r w:rsidR="008D001F" w:rsidRPr="00E97BC8">
        <w:rPr>
          <w:rFonts w:cs="Times New Roman"/>
          <w:sz w:val="22"/>
          <w:szCs w:val="22"/>
        </w:rPr>
        <w:t xml:space="preserve">adoption rates have, thus far, remained relatively low </w:t>
      </w:r>
      <w:r w:rsidR="00055B48" w:rsidRPr="00E97BC8">
        <w:rPr>
          <w:rFonts w:cs="Times New Roman"/>
          <w:sz w:val="22"/>
          <w:szCs w:val="22"/>
        </w:rPr>
        <w:fldChar w:fldCharType="begin"/>
      </w:r>
      <w:r w:rsidR="00055B48" w:rsidRPr="00E97BC8">
        <w:rPr>
          <w:rFonts w:cs="Times New Roman"/>
          <w:sz w:val="22"/>
          <w:szCs w:val="22"/>
        </w:rPr>
        <w:instrText xml:space="preserve"> ADDIN ZOTERO_ITEM CSL_CITATION {"citationID":"utVeMoap","properties":{"formattedCitation":"(EIA, 2023)","plainCitation":"(EIA, 2023)","noteIndex":0},"citationItems":[{"id":2505,"uris":["http://zotero.org/users/12832277/items/RD59T2WI"],"itemData":{"id":2505,"type":"report","publisher":"U.S. Energy Information Administration","title":"State Energy Data System 2023","author":[{"family":"EIA","given":""}],"issued":{"date-parts":[["2023"]]}}}],"schema":"https://github.com/citation-style-language/schema/raw/master/csl-citation.json"} </w:instrText>
      </w:r>
      <w:r w:rsidR="00055B48" w:rsidRPr="00E97BC8">
        <w:rPr>
          <w:rFonts w:cs="Times New Roman"/>
          <w:sz w:val="22"/>
          <w:szCs w:val="22"/>
        </w:rPr>
        <w:fldChar w:fldCharType="separate"/>
      </w:r>
      <w:r w:rsidR="001E6A07" w:rsidRPr="00E97BC8">
        <w:rPr>
          <w:rFonts w:cs="Times New Roman"/>
          <w:sz w:val="22"/>
          <w:szCs w:val="22"/>
        </w:rPr>
        <w:t>(EIA, 2023)</w:t>
      </w:r>
      <w:r w:rsidR="00055B48" w:rsidRPr="00E97BC8">
        <w:rPr>
          <w:rFonts w:cs="Times New Roman"/>
          <w:sz w:val="22"/>
          <w:szCs w:val="22"/>
        </w:rPr>
        <w:fldChar w:fldCharType="end"/>
      </w:r>
      <w:r w:rsidR="008D001F" w:rsidRPr="00E97BC8">
        <w:rPr>
          <w:rFonts w:cs="Times New Roman"/>
          <w:sz w:val="22"/>
          <w:szCs w:val="22"/>
        </w:rPr>
        <w:t xml:space="preserve">. </w:t>
      </w:r>
      <w:r w:rsidR="00125329" w:rsidRPr="00E97BC8">
        <w:rPr>
          <w:rFonts w:cs="Times New Roman"/>
          <w:sz w:val="22"/>
          <w:szCs w:val="22"/>
        </w:rPr>
        <w:t xml:space="preserve">This situation has created a “chicken-and-egg” problem; while there is interest in better understanding why adoption rates have been low (and how EVs can be promoted) through a study of actual individual-level adoption behaviors, the low uptake of EVs has made such investigations of individual-level behaviors difficult. In particular, </w:t>
      </w:r>
      <w:r w:rsidR="009312FC" w:rsidRPr="00E97BC8">
        <w:rPr>
          <w:rFonts w:cs="Times New Roman"/>
          <w:sz w:val="22"/>
          <w:szCs w:val="22"/>
        </w:rPr>
        <w:t xml:space="preserve">most existing </w:t>
      </w:r>
      <w:r w:rsidR="00125329" w:rsidRPr="00E97BC8">
        <w:rPr>
          <w:rFonts w:cs="Times New Roman"/>
          <w:sz w:val="22"/>
          <w:szCs w:val="22"/>
        </w:rPr>
        <w:t xml:space="preserve">EV </w:t>
      </w:r>
      <w:r w:rsidR="000717E8" w:rsidRPr="00E97BC8">
        <w:rPr>
          <w:rFonts w:cs="Times New Roman"/>
          <w:sz w:val="22"/>
          <w:szCs w:val="22"/>
        </w:rPr>
        <w:t xml:space="preserve">adoption </w:t>
      </w:r>
      <w:r w:rsidR="009312FC" w:rsidRPr="00E97BC8">
        <w:rPr>
          <w:rFonts w:cs="Times New Roman"/>
          <w:sz w:val="22"/>
          <w:szCs w:val="22"/>
        </w:rPr>
        <w:t xml:space="preserve">studies </w:t>
      </w:r>
      <w:r w:rsidR="00125329" w:rsidRPr="00E97BC8">
        <w:rPr>
          <w:rFonts w:cs="Times New Roman"/>
          <w:sz w:val="22"/>
          <w:szCs w:val="22"/>
        </w:rPr>
        <w:t xml:space="preserve">have been confined </w:t>
      </w:r>
      <w:r w:rsidR="00DC6CB1" w:rsidRPr="00E97BC8">
        <w:rPr>
          <w:rFonts w:cs="Times New Roman"/>
          <w:sz w:val="22"/>
          <w:szCs w:val="22"/>
        </w:rPr>
        <w:t xml:space="preserve">to an examination of </w:t>
      </w:r>
      <w:r w:rsidR="00125329" w:rsidRPr="00E97BC8">
        <w:rPr>
          <w:rFonts w:cs="Times New Roman"/>
          <w:i/>
          <w:iCs/>
          <w:sz w:val="22"/>
          <w:szCs w:val="22"/>
        </w:rPr>
        <w:t xml:space="preserve">stated </w:t>
      </w:r>
      <w:r w:rsidR="009312FC" w:rsidRPr="00E97BC8">
        <w:rPr>
          <w:rFonts w:cs="Times New Roman"/>
          <w:i/>
          <w:iCs/>
          <w:sz w:val="22"/>
          <w:szCs w:val="22"/>
        </w:rPr>
        <w:t>intentions</w:t>
      </w:r>
      <w:r w:rsidR="009312FC" w:rsidRPr="00E97BC8">
        <w:rPr>
          <w:rFonts w:cs="Times New Roman"/>
          <w:sz w:val="22"/>
          <w:szCs w:val="22"/>
        </w:rPr>
        <w:t xml:space="preserve"> rather than </w:t>
      </w:r>
      <w:r w:rsidR="00125329" w:rsidRPr="00E97BC8">
        <w:rPr>
          <w:rFonts w:cs="Times New Roman"/>
          <w:i/>
          <w:iCs/>
          <w:sz w:val="22"/>
          <w:szCs w:val="22"/>
        </w:rPr>
        <w:t>revealed</w:t>
      </w:r>
      <w:r w:rsidR="00125329" w:rsidRPr="00E97BC8">
        <w:rPr>
          <w:rFonts w:cs="Times New Roman"/>
          <w:sz w:val="22"/>
          <w:szCs w:val="22"/>
        </w:rPr>
        <w:t xml:space="preserve"> </w:t>
      </w:r>
      <w:r w:rsidR="009312FC" w:rsidRPr="00E97BC8">
        <w:rPr>
          <w:rFonts w:cs="Times New Roman"/>
          <w:i/>
          <w:iCs/>
          <w:sz w:val="22"/>
          <w:szCs w:val="22"/>
        </w:rPr>
        <w:t>behaviors</w:t>
      </w:r>
      <w:r w:rsidR="004B5F81" w:rsidRPr="00E97BC8">
        <w:rPr>
          <w:rFonts w:cs="Times New Roman"/>
          <w:sz w:val="22"/>
          <w:szCs w:val="22"/>
        </w:rPr>
        <w:t xml:space="preserve"> </w:t>
      </w:r>
      <w:r w:rsidR="004B5F81" w:rsidRPr="00E97BC8">
        <w:rPr>
          <w:rFonts w:cs="Times New Roman"/>
          <w:sz w:val="22"/>
          <w:szCs w:val="22"/>
        </w:rPr>
        <w:fldChar w:fldCharType="begin"/>
      </w:r>
      <w:r w:rsidR="004B5F81" w:rsidRPr="00E97BC8">
        <w:rPr>
          <w:rFonts w:cs="Times New Roman"/>
          <w:sz w:val="22"/>
          <w:szCs w:val="22"/>
        </w:rPr>
        <w:instrText xml:space="preserve"> ADDIN ZOTERO_ITEM CSL_CITATION {"citationID":"vCZjSJnq","properties":{"formattedCitation":"(Pamidimukkala et al., 2024)","plainCitation":"(Pamidimukkala et al., 2024)","dontUpdate":true,"noteIndex":0},"citationItems":[{"id":2476,"uris":["http://zotero.org/users/12832277/items/BQR7JI3G"],"itemData":{"id":2476,"type":"article-journal","abstract":"Electric vehicles (EVs) have the potential to mitigate the severity of significant concerns including environmental pollution and reliance on fossil fuels; however, despite strong governmental promotional efforts, their market penetration is still at the nascent stage. This paper empirically investigates the factors that affect the consumers’ intention to adopt EVs by conducting an exhaustive literature review. The initial search resulted in 1,690 publications, but after a thorough exclusion process, 537 articles were deemed relevant and were sorted by source, publication year, country of origin, data collection method, and research domain. The results revealed the influential factors over individuals’ desire to adopt an EV were categorized into four main types (contextual, situational, demographic, and psychological); situational factors, that can act as both barriers and motivators, had the most influencing components. The most cited barriers to adoption of EVs were found to be the lack of charging stations availability and their limited driving range. The most cited motivators to EV adoption were found to be reduction in air pollution and the availability of policy incentives. The findings of this study may guide policymakers in formulating effective transportation and energy policies, as well as provide guidance to those who are responsible for designing EVs that fit the needs and demands of potential consumers.","container-title":"Green Energy and Intelligent Transportation","DOI":"10.1016/j.geits.2024.100153","ISSN":"2773-1537","source":"ScienceDirect","title":"Barriers and Motivators to the Adoption of Electric Vehicles: A Global Review","URL":"https://www.sciencedirect.com/science/article/pii/S2773153724000057","author":[{"family":"Pamidimukkala","given":"Apurva"},{"family":"Kermanshachi","given":"Sharareh"},{"family":"Rosenberger","given":"Jay Michael"},{"family":"Hladik","given":"Greg"}],"accessed":{"date-parts":[["2024",2,15]]},"issued":{"date-parts":[["2024",1,6]]}}}],"schema":"https://github.com/citation-style-language/schema/raw/master/csl-citation.json"} </w:instrText>
      </w:r>
      <w:r w:rsidR="004B5F81" w:rsidRPr="00E97BC8">
        <w:rPr>
          <w:rFonts w:cs="Times New Roman"/>
          <w:sz w:val="22"/>
          <w:szCs w:val="22"/>
        </w:rPr>
        <w:fldChar w:fldCharType="separate"/>
      </w:r>
      <w:r w:rsidR="004B5F81" w:rsidRPr="00E97BC8">
        <w:rPr>
          <w:rFonts w:cs="Times New Roman"/>
          <w:sz w:val="22"/>
          <w:szCs w:val="22"/>
        </w:rPr>
        <w:t>(see Pamidimukkala et al., 2024)</w:t>
      </w:r>
      <w:r w:rsidR="004B5F81" w:rsidRPr="00E97BC8">
        <w:rPr>
          <w:rFonts w:cs="Times New Roman"/>
          <w:sz w:val="22"/>
          <w:szCs w:val="22"/>
        </w:rPr>
        <w:fldChar w:fldCharType="end"/>
      </w:r>
      <w:r w:rsidR="009312FC" w:rsidRPr="00E97BC8">
        <w:rPr>
          <w:rFonts w:cs="Times New Roman"/>
          <w:sz w:val="22"/>
          <w:szCs w:val="22"/>
        </w:rPr>
        <w:t xml:space="preserve">. </w:t>
      </w:r>
      <w:r w:rsidR="004D2C47" w:rsidRPr="00E97BC8">
        <w:rPr>
          <w:rFonts w:cs="Times New Roman"/>
          <w:sz w:val="22"/>
          <w:szCs w:val="22"/>
        </w:rPr>
        <w:t xml:space="preserve">Notably, while </w:t>
      </w:r>
      <w:r w:rsidR="00A8435A" w:rsidRPr="00E97BC8">
        <w:rPr>
          <w:rFonts w:cs="Times New Roman"/>
          <w:sz w:val="22"/>
          <w:szCs w:val="22"/>
        </w:rPr>
        <w:t>stated</w:t>
      </w:r>
      <w:r w:rsidR="00EE5EBD" w:rsidRPr="00E97BC8">
        <w:rPr>
          <w:rFonts w:cs="Times New Roman"/>
          <w:sz w:val="22"/>
          <w:szCs w:val="22"/>
        </w:rPr>
        <w:t xml:space="preserve"> intentions are often </w:t>
      </w:r>
      <w:r w:rsidR="00125329" w:rsidRPr="00E97BC8">
        <w:rPr>
          <w:rFonts w:cs="Times New Roman"/>
          <w:sz w:val="22"/>
          <w:szCs w:val="22"/>
        </w:rPr>
        <w:t xml:space="preserve">viewed as </w:t>
      </w:r>
      <w:r w:rsidR="00EE5EBD" w:rsidRPr="00E97BC8">
        <w:rPr>
          <w:rFonts w:cs="Times New Roman"/>
          <w:sz w:val="22"/>
          <w:szCs w:val="22"/>
        </w:rPr>
        <w:t xml:space="preserve">good </w:t>
      </w:r>
      <w:r w:rsidR="00125329" w:rsidRPr="00E97BC8">
        <w:rPr>
          <w:rFonts w:cs="Times New Roman"/>
          <w:sz w:val="22"/>
          <w:szCs w:val="22"/>
        </w:rPr>
        <w:t>antecedent</w:t>
      </w:r>
      <w:r w:rsidR="000717E8" w:rsidRPr="00E97BC8">
        <w:rPr>
          <w:rFonts w:cs="Times New Roman"/>
          <w:sz w:val="22"/>
          <w:szCs w:val="22"/>
        </w:rPr>
        <w:t xml:space="preserve">s </w:t>
      </w:r>
      <w:r w:rsidR="00EE5EBD" w:rsidRPr="00E97BC8">
        <w:rPr>
          <w:rFonts w:cs="Times New Roman"/>
          <w:sz w:val="22"/>
          <w:szCs w:val="22"/>
        </w:rPr>
        <w:t xml:space="preserve">of </w:t>
      </w:r>
      <w:r w:rsidR="000717E8" w:rsidRPr="00E97BC8">
        <w:rPr>
          <w:rFonts w:cs="Times New Roman"/>
          <w:sz w:val="22"/>
          <w:szCs w:val="22"/>
        </w:rPr>
        <w:t xml:space="preserve">future </w:t>
      </w:r>
      <w:r w:rsidR="00EE5EBD" w:rsidRPr="00E97BC8">
        <w:rPr>
          <w:rFonts w:cs="Times New Roman"/>
          <w:sz w:val="22"/>
          <w:szCs w:val="22"/>
        </w:rPr>
        <w:t>behaviors,</w:t>
      </w:r>
      <w:r w:rsidR="000940C5" w:rsidRPr="00E97BC8">
        <w:rPr>
          <w:rFonts w:cs="Times New Roman"/>
          <w:sz w:val="22"/>
          <w:szCs w:val="22"/>
        </w:rPr>
        <w:t xml:space="preserve"> </w:t>
      </w:r>
      <w:r w:rsidR="00A8435A" w:rsidRPr="00E97BC8">
        <w:rPr>
          <w:rFonts w:cs="Times New Roman"/>
          <w:sz w:val="22"/>
          <w:szCs w:val="22"/>
        </w:rPr>
        <w:t xml:space="preserve">there is </w:t>
      </w:r>
      <w:r w:rsidR="000717E8" w:rsidRPr="00E97BC8">
        <w:rPr>
          <w:rFonts w:cs="Times New Roman"/>
          <w:sz w:val="22"/>
          <w:szCs w:val="22"/>
        </w:rPr>
        <w:t xml:space="preserve">also empirical </w:t>
      </w:r>
      <w:r w:rsidR="00A8435A" w:rsidRPr="00E97BC8">
        <w:rPr>
          <w:rFonts w:cs="Times New Roman"/>
          <w:sz w:val="22"/>
          <w:szCs w:val="22"/>
        </w:rPr>
        <w:t>evidence from a wide range of</w:t>
      </w:r>
      <w:r w:rsidR="00F658E4" w:rsidRPr="00E97BC8">
        <w:rPr>
          <w:rFonts w:cs="Times New Roman"/>
          <w:sz w:val="22"/>
          <w:szCs w:val="22"/>
        </w:rPr>
        <w:t xml:space="preserve"> contexts that stated intentions do not always align </w:t>
      </w:r>
      <w:r w:rsidR="000717E8" w:rsidRPr="00E97BC8">
        <w:rPr>
          <w:rFonts w:cs="Times New Roman"/>
          <w:sz w:val="22"/>
          <w:szCs w:val="22"/>
        </w:rPr>
        <w:t xml:space="preserve">well </w:t>
      </w:r>
      <w:r w:rsidR="00F658E4" w:rsidRPr="00E97BC8">
        <w:rPr>
          <w:rFonts w:cs="Times New Roman"/>
          <w:sz w:val="22"/>
          <w:szCs w:val="22"/>
        </w:rPr>
        <w:t>with revealed behaviors</w:t>
      </w:r>
      <w:r w:rsidR="004B70E4" w:rsidRPr="00E97BC8">
        <w:rPr>
          <w:rFonts w:cs="Times New Roman"/>
          <w:sz w:val="22"/>
          <w:szCs w:val="22"/>
        </w:rPr>
        <w:t xml:space="preserve"> </w:t>
      </w:r>
      <w:r w:rsidR="004B70E4" w:rsidRPr="00E97BC8">
        <w:rPr>
          <w:rFonts w:cs="Times New Roman"/>
          <w:sz w:val="22"/>
          <w:szCs w:val="22"/>
        </w:rPr>
        <w:fldChar w:fldCharType="begin"/>
      </w:r>
      <w:r w:rsidR="004B70E4" w:rsidRPr="00E97BC8">
        <w:rPr>
          <w:rFonts w:cs="Times New Roman"/>
          <w:sz w:val="22"/>
          <w:szCs w:val="22"/>
        </w:rPr>
        <w:instrText xml:space="preserve"> ADDIN ZOTERO_ITEM CSL_CITATION {"citationID":"Wkd4FwrR","properties":{"formattedCitation":"(Fifer et al., 2014; Z. Li et al., 2020)","plainCitation":"(Fifer et al., 2014; Z. Li et al., 2020)","noteIndex":0},"citationItems":[{"id":3592,"uris":["http://zotero.org/users/12832277/items/SEHCD7C4"],"itemData":{"id":3592,"type":"article-journal","abstract":"The extent to which Stated Choice (SC) experiments suffer from hypothetical bias continues to be a controversial topic in the literature. This research provides further evidence in this debate by examining the existence of hypothetical bias in a transport-related SC experiment. Data for this research were sourced from a University of Sydney study exploring the effect of exposure-based charging on motorist behaviour. The sample included 148 Sydney motorists who were recruited to take part in the 10-week GPS driving field study (Revealed Preference/RP data). In addition, participants were also required to complete an SC survey which was designed to mimic the RP decision context in order to capture what participants indicated they would do as opposed to what participants actually did in reaction to the charging regime. The current state of practice for measuring hypothetical bias in the literature is to compare aggregate differences in model outcomes using SC and RP data sources. Aggregate analysis is limited in its scope and does not allow for the calculation of the prevalence of hypothetical bias (i.e., how many participants are affected by hypothetical bias). This research is uniquely structured to allow for individual categorisation of hypothetical bias by comparing SC and RP data from the same sample for the direct purpose of investigating the prevalence of hypothetical bias. Furthermore, the extent to which mitigation techniques (cheap talk and certainty scales) influence hypothetical bias is also explored. The findings from this research show that the SC model estimates are prone to hypothetical bias and that the mitigation techniques have potential to compensate for this inherent bias.","container-title":"Transportation Research Part A: Policy and Practice","DOI":"10.1016/j.tra.2013.12.010","ISSN":"0965-8564","page":"164-177","source":"ScienceDirect","title":"Hypothetical Bias in Stated Choice Experiments: Is It a Problem? And If so, How Do We Deal with It?","volume":"61","author":[{"family":"Fifer","given":"Simon"},{"family":"Rose","given":"John"},{"family":"Greaves","given":"Stephen"}],"issued":{"date-parts":[["2014",3,1]]}}},{"id":3590,"uris":["http://zotero.org/users/12832277/items/KU9PVZK6"],"itemData":{"id":3590,"type":"article-journal","abstract":"A number of studies have found that the willingness-to-pay (WTP) results estimated from revealed preference (RP) and stated preference (SP) data tend to be different. In this paper, we empirically estimate values of travel time savings from an SP data set and an RP data set and compare the findings within this study and between studies. The evidence shows that the design of a stated choice experiment has a significant impact on the ratio of SP and RP WTP values and reveals that presenting a full distribution of travel time to address random travel time variation in the choice scenarios, along with using a real market reference alternative as a pivot in the SP design, significantly reduces the gap between values of travel time savings estimated from SP data and RP data.","container-title":"Transportation Letters","DOI":"10.1080/19427867.2018.1546806","ISSN":"1942-7867","issue":"3","note":"publisher: Taylor &amp; Francis\n_eprint: https://doi.org/10.1080/19427867.2018.1546806","page":"166-171","source":"Taylor and Francis+NEJM","title":"An Empirical Investigation of Values of Travel Time Savings from Stated Preference Data and Revealed Preference Data","volume":"12","author":[{"family":"Li","given":"Zheng"},{"family":"Hensher","given":"David A."},{"family":"Ho","given":"Chinh"}],"issued":{"date-parts":[["2020",3,15]]}}}],"schema":"https://github.com/citation-style-language/schema/raw/master/csl-citation.json"} </w:instrText>
      </w:r>
      <w:r w:rsidR="004B70E4" w:rsidRPr="00E97BC8">
        <w:rPr>
          <w:rFonts w:cs="Times New Roman"/>
          <w:sz w:val="22"/>
          <w:szCs w:val="22"/>
        </w:rPr>
        <w:fldChar w:fldCharType="separate"/>
      </w:r>
      <w:r w:rsidR="001E6A07" w:rsidRPr="00E97BC8">
        <w:rPr>
          <w:rFonts w:cs="Times New Roman"/>
          <w:sz w:val="22"/>
          <w:szCs w:val="22"/>
        </w:rPr>
        <w:t>(Fifer et al., 2014; Z. Li et al., 2020)</w:t>
      </w:r>
      <w:r w:rsidR="004B70E4" w:rsidRPr="00E97BC8">
        <w:rPr>
          <w:rFonts w:cs="Times New Roman"/>
          <w:sz w:val="22"/>
          <w:szCs w:val="22"/>
        </w:rPr>
        <w:fldChar w:fldCharType="end"/>
      </w:r>
      <w:r w:rsidR="000717E8" w:rsidRPr="00E97BC8">
        <w:rPr>
          <w:rFonts w:cs="Times New Roman"/>
          <w:sz w:val="22"/>
          <w:szCs w:val="22"/>
        </w:rPr>
        <w:t xml:space="preserve">. This has also been shown in an aggregate sense </w:t>
      </w:r>
      <w:r w:rsidR="008A0E42" w:rsidRPr="00E97BC8">
        <w:rPr>
          <w:rFonts w:cs="Times New Roman"/>
          <w:sz w:val="22"/>
          <w:szCs w:val="22"/>
        </w:rPr>
        <w:t>in the context of EV adoption</w:t>
      </w:r>
      <w:r w:rsidR="00A8435A" w:rsidRPr="00E97BC8">
        <w:rPr>
          <w:rFonts w:cs="Times New Roman"/>
          <w:sz w:val="22"/>
          <w:szCs w:val="22"/>
        </w:rPr>
        <w:t xml:space="preserve"> </w:t>
      </w:r>
      <w:r w:rsidR="000940C5" w:rsidRPr="00E97BC8">
        <w:rPr>
          <w:rFonts w:cs="Times New Roman"/>
          <w:sz w:val="22"/>
          <w:szCs w:val="22"/>
        </w:rPr>
        <w:fldChar w:fldCharType="begin"/>
      </w:r>
      <w:r w:rsidR="000940C5" w:rsidRPr="00E97BC8">
        <w:rPr>
          <w:rFonts w:cs="Times New Roman"/>
          <w:sz w:val="22"/>
          <w:szCs w:val="22"/>
        </w:rPr>
        <w:instrText xml:space="preserve"> ADDIN ZOTERO_ITEM CSL_CITATION {"citationID":"iXUKtPRq","properties":{"formattedCitation":"(Jia and Chen, 2021)","plainCitation":"(Jia and Chen, 2021)","noteIndex":0},"citationItems":[{"id":1457,"uris":["http://zotero.org/users/12832277/items/24ELGDQC"],"itemData":{"id":1457,"type":"article-journal","abstract":"Previous studies on factors affecting electric vehicle (EV) adoption mainly rely on individual stated preference surveys or aggregate market share analyses. This paper applies both approaches to study EV adoption patterns in the state of Virginia to compare and contrast findings from the two methods. An individual-level vehicle fuel type choice model is developed based on a 2018 stated preference survey of 837 Virginia drivers. A county-level EV ownership model is developed using Department of Motor Vehicles’ 2012–2016 vehicle registration data. Results show several consistent findings: 1) being male and having higher educational attainment have positive effects on EV adoption; 2) availability of DC fast charging stations is positively associated with EV adoption, particularly for battery electric vehicles (BEVs). However, the age effects are found to be inconsistent between the two study approaches: older individuals state negative preferences for EVs whereas counties with greater share of older populations are associated with more EV registrations. Additionally, the individual vehicle choice model complements the county-level EV ownership analysis by examining the effects of various vehicle-related attributes: 1) model results show positive effects of EV purchase incentives but negligible effects of EV annual use fees on EV preferences; 2) battery range is found to be significant for the utility of BEVs, but not for plug-in hybrid EVs; and 3) EV owners place greater importance on battery range and DC fast charging stations than non-EV owners. The combined analysis confirms several influential factors of EV adoption, and identifies instances when stated preference/interest are not consistent with realworld ownership patterns, which should be explicitly considered in EV policy making.","container-title":"Transportation Research Part D: Transport and Environment","DOI":"10.1016/j.trd.2021.102728","ISSN":"13619209","language":"en","source":"DOI.org (Crossref)","title":"Are Individuals’ Stated Preferences for Electric Vehicles (EVs) Consistent with Real-World EV Ownership Patterns?","URL":"https://linkinghub.elsevier.com/retrieve/pii/S1361920921000328","volume":"93","author":[{"family":"Jia","given":"Wenjian"},{"family":"Chen","given":"T. Donna"}],"accessed":{"date-parts":[["2023",12,1]]},"issued":{"date-parts":[["2021",4]]}}}],"schema":"https://github.com/citation-style-language/schema/raw/master/csl-citation.json"} </w:instrText>
      </w:r>
      <w:r w:rsidR="000940C5" w:rsidRPr="00E97BC8">
        <w:rPr>
          <w:rFonts w:cs="Times New Roman"/>
          <w:sz w:val="22"/>
          <w:szCs w:val="22"/>
        </w:rPr>
        <w:fldChar w:fldCharType="separate"/>
      </w:r>
      <w:r w:rsidR="001E6A07" w:rsidRPr="00E97BC8">
        <w:rPr>
          <w:rFonts w:cs="Times New Roman"/>
          <w:sz w:val="22"/>
          <w:szCs w:val="22"/>
        </w:rPr>
        <w:t>(Jia and Chen, 2021)</w:t>
      </w:r>
      <w:r w:rsidR="000940C5" w:rsidRPr="00E97BC8">
        <w:rPr>
          <w:rFonts w:cs="Times New Roman"/>
          <w:sz w:val="22"/>
          <w:szCs w:val="22"/>
        </w:rPr>
        <w:fldChar w:fldCharType="end"/>
      </w:r>
      <w:r w:rsidR="00234052" w:rsidRPr="00E97BC8">
        <w:rPr>
          <w:rFonts w:cs="Times New Roman"/>
          <w:sz w:val="22"/>
          <w:szCs w:val="22"/>
        </w:rPr>
        <w:t>.</w:t>
      </w:r>
      <w:r w:rsidR="00CC39B1" w:rsidRPr="00E97BC8">
        <w:rPr>
          <w:rFonts w:cs="Times New Roman"/>
          <w:sz w:val="22"/>
          <w:szCs w:val="22"/>
        </w:rPr>
        <w:t xml:space="preserve"> For instance, while </w:t>
      </w:r>
      <w:r w:rsidR="004A6768" w:rsidRPr="00E97BC8">
        <w:rPr>
          <w:rFonts w:cs="Times New Roman"/>
          <w:sz w:val="22"/>
          <w:szCs w:val="22"/>
        </w:rPr>
        <w:t>younger</w:t>
      </w:r>
      <w:r w:rsidR="00EB17F1" w:rsidRPr="00E97BC8">
        <w:rPr>
          <w:rFonts w:cs="Times New Roman"/>
          <w:sz w:val="22"/>
          <w:szCs w:val="22"/>
        </w:rPr>
        <w:t xml:space="preserve"> adults generally have </w:t>
      </w:r>
      <w:r w:rsidR="004A6768" w:rsidRPr="00E97BC8">
        <w:rPr>
          <w:rFonts w:cs="Times New Roman"/>
          <w:sz w:val="22"/>
          <w:szCs w:val="22"/>
        </w:rPr>
        <w:t>a stronger intention to adopt EVs compared with older adults</w:t>
      </w:r>
      <w:r w:rsidR="00EB17F1" w:rsidRPr="00E97BC8">
        <w:rPr>
          <w:rFonts w:cs="Times New Roman"/>
          <w:sz w:val="22"/>
          <w:szCs w:val="22"/>
        </w:rPr>
        <w:t xml:space="preserve">, </w:t>
      </w:r>
      <w:r w:rsidR="00C97C0D" w:rsidRPr="00E97BC8">
        <w:rPr>
          <w:rFonts w:cs="Times New Roman"/>
          <w:sz w:val="22"/>
          <w:szCs w:val="22"/>
        </w:rPr>
        <w:t xml:space="preserve">counties with larger shares of </w:t>
      </w:r>
      <w:r w:rsidR="004B6FF0" w:rsidRPr="00E97BC8">
        <w:rPr>
          <w:rFonts w:cs="Times New Roman"/>
          <w:sz w:val="22"/>
          <w:szCs w:val="22"/>
        </w:rPr>
        <w:t>older</w:t>
      </w:r>
      <w:r w:rsidR="0025094F" w:rsidRPr="00E97BC8">
        <w:rPr>
          <w:rFonts w:cs="Times New Roman"/>
          <w:sz w:val="22"/>
          <w:szCs w:val="22"/>
        </w:rPr>
        <w:t>, retired,</w:t>
      </w:r>
      <w:r w:rsidR="00C97C0D" w:rsidRPr="00E97BC8">
        <w:rPr>
          <w:rFonts w:cs="Times New Roman"/>
          <w:sz w:val="22"/>
          <w:szCs w:val="22"/>
        </w:rPr>
        <w:t xml:space="preserve"> individuals tend to have more registered EVs</w:t>
      </w:r>
      <w:r w:rsidR="007510A2" w:rsidRPr="00E97BC8">
        <w:rPr>
          <w:rFonts w:cs="Times New Roman"/>
          <w:sz w:val="22"/>
          <w:szCs w:val="22"/>
        </w:rPr>
        <w:t xml:space="preserve"> </w:t>
      </w:r>
      <w:bookmarkStart w:id="1" w:name="_Hlk198557214"/>
      <w:r w:rsidR="007510A2" w:rsidRPr="00E97BC8">
        <w:rPr>
          <w:rFonts w:cs="Times New Roman"/>
          <w:sz w:val="22"/>
          <w:szCs w:val="22"/>
        </w:rPr>
        <w:fldChar w:fldCharType="begin"/>
      </w:r>
      <w:r w:rsidR="005A775A" w:rsidRPr="00E97BC8">
        <w:rPr>
          <w:rFonts w:cs="Times New Roman"/>
          <w:sz w:val="22"/>
          <w:szCs w:val="22"/>
        </w:rPr>
        <w:instrText xml:space="preserve"> ADDIN ZOTERO_ITEM CSL_CITATION {"citationID":"8eZh50IG","properties":{"formattedCitation":"(Jia and Chen, 2021)","plainCitation":"(Jia and Chen, 2021)","dontUpdate":true,"noteIndex":0},"citationItems":[{"id":1457,"uris":["http://zotero.org/users/12832277/items/24ELGDQC"],"itemData":{"id":1457,"type":"article-journal","abstract":"Previous studies on factors affecting electric vehicle (EV) adoption mainly rely on individual stated preference surveys or aggregate market share analyses. This paper applies both approaches to study EV adoption patterns in the state of Virginia to compare and contrast findings from the two methods. An individual-level vehicle fuel type choice model is developed based on a 2018 stated preference survey of 837 Virginia drivers. A county-level EV ownership model is developed using Department of Motor Vehicles’ 2012–2016 vehicle registration data. Results show several consistent findings: 1) being male and having higher educational attainment have positive effects on EV adoption; 2) availability of DC fast charging stations is positively associated with EV adoption, particularly for battery electric vehicles (BEVs). However, the age effects are found to be inconsistent between the two study approaches: older individuals state negative preferences for EVs whereas counties with greater share of older populations are associated with more EV registrations. Additionally, the individual vehicle choice model complements the county-level EV ownership analysis by examining the effects of various vehicle-related attributes: 1) model results show positive effects of EV purchase incentives but negligible effects of EV annual use fees on EV preferences; 2) battery range is found to be significant for the utility of BEVs, but not for plug-in hybrid EVs; and 3) EV owners place greater importance on battery range and DC fast charging stations than non-EV owners. The combined analysis confirms several influential factors of EV adoption, and identifies instances when stated preference/interest are not consistent with realworld ownership patterns, which should be explicitly considered in EV policy making.","container-title":"Transportation Research Part D: Transport and Environment","DOI":"10.1016/j.trd.2021.102728","ISSN":"13619209","language":"en","source":"DOI.org (Crossref)","title":"Are Individuals’ Stated Preferences for Electric Vehicles (EVs) Consistent with Real-World EV Ownership Patterns?","URL":"https://linkinghub.elsevier.com/retrieve/pii/S1361920921000328","volume":"93","author":[{"family":"Jia","given":"Wenjian"},{"family":"Chen","given":"T. Donna"}],"accessed":{"date-parts":[["2023",12,1]]},"issued":{"date-parts":[["2021",4]]}}}],"schema":"https://github.com/citation-style-language/schema/raw/master/csl-citation.json"} </w:instrText>
      </w:r>
      <w:r w:rsidR="007510A2" w:rsidRPr="00E97BC8">
        <w:rPr>
          <w:rFonts w:cs="Times New Roman"/>
          <w:sz w:val="22"/>
          <w:szCs w:val="22"/>
        </w:rPr>
        <w:fldChar w:fldCharType="separate"/>
      </w:r>
      <w:r w:rsidR="007510A2" w:rsidRPr="00E97BC8">
        <w:rPr>
          <w:rFonts w:cs="Times New Roman"/>
          <w:sz w:val="22"/>
          <w:szCs w:val="22"/>
        </w:rPr>
        <w:t>(see Jia and Chen, 2021)</w:t>
      </w:r>
      <w:r w:rsidR="007510A2" w:rsidRPr="00E97BC8">
        <w:rPr>
          <w:rFonts w:cs="Times New Roman"/>
          <w:sz w:val="22"/>
          <w:szCs w:val="22"/>
        </w:rPr>
        <w:fldChar w:fldCharType="end"/>
      </w:r>
      <w:bookmarkEnd w:id="1"/>
      <w:r w:rsidR="00C97C0D" w:rsidRPr="00E97BC8">
        <w:rPr>
          <w:rFonts w:cs="Times New Roman"/>
          <w:sz w:val="22"/>
          <w:szCs w:val="22"/>
        </w:rPr>
        <w:t>.</w:t>
      </w:r>
      <w:r w:rsidR="0075477F" w:rsidRPr="00E97BC8">
        <w:rPr>
          <w:rFonts w:cs="Times New Roman"/>
          <w:sz w:val="22"/>
          <w:szCs w:val="22"/>
        </w:rPr>
        <w:t xml:space="preserve"> </w:t>
      </w:r>
    </w:p>
    <w:p w14:paraId="6C4C8ED2" w14:textId="1C6E9AE0" w:rsidR="002B4663" w:rsidRPr="00E97BC8" w:rsidRDefault="00282035" w:rsidP="00E85093">
      <w:pPr>
        <w:pStyle w:val="ListParagraph"/>
        <w:shd w:val="clear" w:color="auto" w:fill="FFFFFF"/>
        <w:spacing w:after="0" w:line="240" w:lineRule="auto"/>
        <w:ind w:left="0" w:firstLine="720"/>
        <w:jc w:val="both"/>
        <w:rPr>
          <w:rFonts w:eastAsia="Times New Roman" w:cs="Times New Roman"/>
          <w:color w:val="222222"/>
          <w:kern w:val="0"/>
          <w:sz w:val="22"/>
          <w:szCs w:val="22"/>
          <w14:ligatures w14:val="none"/>
        </w:rPr>
      </w:pPr>
      <w:r w:rsidRPr="00E97BC8">
        <w:rPr>
          <w:rFonts w:cs="Times New Roman"/>
          <w:sz w:val="22"/>
          <w:szCs w:val="22"/>
        </w:rPr>
        <w:t>A</w:t>
      </w:r>
      <w:r w:rsidR="000717E8" w:rsidRPr="00E97BC8">
        <w:rPr>
          <w:rFonts w:cs="Times New Roman"/>
          <w:sz w:val="22"/>
          <w:szCs w:val="22"/>
        </w:rPr>
        <w:t xml:space="preserve"> study of EV </w:t>
      </w:r>
      <w:r w:rsidR="005E6EC4" w:rsidRPr="00E97BC8">
        <w:rPr>
          <w:rFonts w:cs="Times New Roman"/>
          <w:sz w:val="22"/>
          <w:szCs w:val="22"/>
        </w:rPr>
        <w:t xml:space="preserve">adoption </w:t>
      </w:r>
      <w:r w:rsidR="000717E8" w:rsidRPr="00E97BC8">
        <w:rPr>
          <w:rFonts w:cs="Times New Roman"/>
          <w:sz w:val="22"/>
          <w:szCs w:val="22"/>
        </w:rPr>
        <w:t>revealed behaviors</w:t>
      </w:r>
      <w:r w:rsidR="00AD6D7B" w:rsidRPr="00E97BC8">
        <w:rPr>
          <w:rFonts w:cs="Times New Roman"/>
          <w:sz w:val="22"/>
          <w:szCs w:val="22"/>
        </w:rPr>
        <w:t xml:space="preserve"> </w:t>
      </w:r>
      <w:r w:rsidR="000717E8" w:rsidRPr="00E97BC8">
        <w:rPr>
          <w:rFonts w:cs="Times New Roman"/>
          <w:sz w:val="22"/>
          <w:szCs w:val="22"/>
        </w:rPr>
        <w:t xml:space="preserve">at the individual decision-making level would be valuable to add fresh insights </w:t>
      </w:r>
      <w:r w:rsidR="005E6EC4" w:rsidRPr="00E97BC8">
        <w:rPr>
          <w:rFonts w:cs="Times New Roman"/>
          <w:sz w:val="22"/>
          <w:szCs w:val="22"/>
        </w:rPr>
        <w:t>regarding the future of the EV market. Fortunately, r</w:t>
      </w:r>
      <w:r w:rsidR="0075477F" w:rsidRPr="00E97BC8">
        <w:rPr>
          <w:rFonts w:cs="Times New Roman"/>
          <w:sz w:val="22"/>
          <w:szCs w:val="22"/>
        </w:rPr>
        <w:t xml:space="preserve">ecent growth in </w:t>
      </w:r>
      <w:r w:rsidR="002C5706" w:rsidRPr="00E97BC8">
        <w:rPr>
          <w:rFonts w:cs="Times New Roman"/>
          <w:sz w:val="22"/>
          <w:szCs w:val="22"/>
        </w:rPr>
        <w:t xml:space="preserve">EV adoption in parts of the </w:t>
      </w:r>
      <w:r w:rsidR="00055B48" w:rsidRPr="00E97BC8">
        <w:rPr>
          <w:rFonts w:cs="Times New Roman"/>
          <w:sz w:val="22"/>
          <w:szCs w:val="22"/>
        </w:rPr>
        <w:t>United State</w:t>
      </w:r>
      <w:r w:rsidR="005E6EC4" w:rsidRPr="00E97BC8">
        <w:rPr>
          <w:rFonts w:cs="Times New Roman"/>
          <w:sz w:val="22"/>
          <w:szCs w:val="22"/>
        </w:rPr>
        <w:t xml:space="preserve">s </w:t>
      </w:r>
      <w:r w:rsidR="002C5706" w:rsidRPr="00E97BC8">
        <w:rPr>
          <w:rFonts w:cs="Times New Roman"/>
          <w:sz w:val="22"/>
          <w:szCs w:val="22"/>
        </w:rPr>
        <w:t xml:space="preserve">has made </w:t>
      </w:r>
      <w:r w:rsidR="005E6EC4" w:rsidRPr="00E97BC8">
        <w:rPr>
          <w:rFonts w:cs="Times New Roman"/>
          <w:sz w:val="22"/>
          <w:szCs w:val="22"/>
        </w:rPr>
        <w:t xml:space="preserve">such </w:t>
      </w:r>
      <w:r w:rsidR="002C5706" w:rsidRPr="00E97BC8">
        <w:rPr>
          <w:rFonts w:cs="Times New Roman"/>
          <w:sz w:val="22"/>
          <w:szCs w:val="22"/>
        </w:rPr>
        <w:t>a study</w:t>
      </w:r>
      <w:r w:rsidR="005E6EC4" w:rsidRPr="00E97BC8">
        <w:rPr>
          <w:rFonts w:cs="Times New Roman"/>
          <w:sz w:val="22"/>
          <w:szCs w:val="22"/>
        </w:rPr>
        <w:t xml:space="preserve"> </w:t>
      </w:r>
      <w:r w:rsidR="002C5706" w:rsidRPr="00E97BC8">
        <w:rPr>
          <w:rFonts w:cs="Times New Roman"/>
          <w:sz w:val="22"/>
          <w:szCs w:val="22"/>
        </w:rPr>
        <w:t>possible. Specifically, EV sales have grow</w:t>
      </w:r>
      <w:r w:rsidR="003369C0" w:rsidRPr="00E97BC8">
        <w:rPr>
          <w:rFonts w:cs="Times New Roman"/>
          <w:sz w:val="22"/>
          <w:szCs w:val="22"/>
        </w:rPr>
        <w:t>n</w:t>
      </w:r>
      <w:r w:rsidR="002C5706" w:rsidRPr="00E97BC8">
        <w:rPr>
          <w:rFonts w:cs="Times New Roman"/>
          <w:sz w:val="22"/>
          <w:szCs w:val="22"/>
        </w:rPr>
        <w:t xml:space="preserve"> steadily in California, making up 25% of all light-duty vehicle sales </w:t>
      </w:r>
      <w:r w:rsidR="005111E1" w:rsidRPr="00E97BC8">
        <w:rPr>
          <w:rFonts w:cs="Times New Roman"/>
          <w:sz w:val="22"/>
          <w:szCs w:val="22"/>
        </w:rPr>
        <w:t xml:space="preserve">in </w:t>
      </w:r>
      <w:r w:rsidR="002C5706" w:rsidRPr="00E97BC8">
        <w:rPr>
          <w:rFonts w:cs="Times New Roman"/>
          <w:sz w:val="22"/>
          <w:szCs w:val="22"/>
        </w:rPr>
        <w:t>2023</w:t>
      </w:r>
      <w:r w:rsidR="001A3E04" w:rsidRPr="00E97BC8">
        <w:rPr>
          <w:rFonts w:cs="Times New Roman"/>
          <w:sz w:val="22"/>
          <w:szCs w:val="22"/>
        </w:rPr>
        <w:t xml:space="preserve"> </w:t>
      </w:r>
      <w:r w:rsidR="001A3E04" w:rsidRPr="00E97BC8">
        <w:rPr>
          <w:rFonts w:cs="Times New Roman"/>
          <w:sz w:val="22"/>
          <w:szCs w:val="22"/>
        </w:rPr>
        <w:fldChar w:fldCharType="begin"/>
      </w:r>
      <w:r w:rsidR="001A3E04" w:rsidRPr="00E97BC8">
        <w:rPr>
          <w:rFonts w:cs="Times New Roman"/>
          <w:sz w:val="22"/>
          <w:szCs w:val="22"/>
        </w:rPr>
        <w:instrText xml:space="preserve"> ADDIN ZOTERO_ITEM CSL_CITATION {"citationID":"9KdTfFVW","properties":{"formattedCitation":"(California Energy Commission, 2024)","plainCitation":"(California Energy Commission, 2024)","noteIndex":0},"citationItems":[{"id":2494,"uris":["http://zotero.org/users/12832277/items/G947KTAY"],"itemData":{"id":2494,"type":"dataset","title":"California Energy Commission Zero Emission Vehicle and Infrastructure Statistics","URL":"http://www.energy.ca.gov/zevstats","author":[{"family":"California Energy Commission","given":""}],"issued":{"date-parts":[["2024"]]}}}],"schema":"https://github.com/citation-style-language/schema/raw/master/csl-citation.json"} </w:instrText>
      </w:r>
      <w:r w:rsidR="001A3E04" w:rsidRPr="00E97BC8">
        <w:rPr>
          <w:rFonts w:cs="Times New Roman"/>
          <w:sz w:val="22"/>
          <w:szCs w:val="22"/>
        </w:rPr>
        <w:fldChar w:fldCharType="separate"/>
      </w:r>
      <w:r w:rsidR="001E6A07" w:rsidRPr="00E97BC8">
        <w:rPr>
          <w:rFonts w:cs="Times New Roman"/>
          <w:sz w:val="22"/>
          <w:szCs w:val="22"/>
        </w:rPr>
        <w:t>(California Energy Commission, 2024)</w:t>
      </w:r>
      <w:r w:rsidR="001A3E04" w:rsidRPr="00E97BC8">
        <w:rPr>
          <w:rFonts w:cs="Times New Roman"/>
          <w:sz w:val="22"/>
          <w:szCs w:val="22"/>
        </w:rPr>
        <w:fldChar w:fldCharType="end"/>
      </w:r>
      <w:r w:rsidR="002C5706" w:rsidRPr="00E97BC8">
        <w:rPr>
          <w:rFonts w:cs="Times New Roman"/>
          <w:sz w:val="22"/>
          <w:szCs w:val="22"/>
        </w:rPr>
        <w:t>.</w:t>
      </w:r>
      <w:r w:rsidR="00AA2FD1" w:rsidRPr="00E97BC8">
        <w:rPr>
          <w:rFonts w:cs="Times New Roman"/>
          <w:sz w:val="22"/>
          <w:szCs w:val="22"/>
        </w:rPr>
        <w:t xml:space="preserve"> </w:t>
      </w:r>
      <w:r w:rsidR="005111E1" w:rsidRPr="00E97BC8">
        <w:rPr>
          <w:rFonts w:cs="Times New Roman"/>
          <w:sz w:val="22"/>
          <w:szCs w:val="22"/>
        </w:rPr>
        <w:t xml:space="preserve">Accordingly, in this study, using </w:t>
      </w:r>
      <w:r w:rsidR="006F604B" w:rsidRPr="00E97BC8">
        <w:rPr>
          <w:rFonts w:cs="Times New Roman"/>
          <w:sz w:val="22"/>
          <w:szCs w:val="22"/>
        </w:rPr>
        <w:t>data from California</w:t>
      </w:r>
      <w:r w:rsidR="002800A1" w:rsidRPr="00E97BC8">
        <w:rPr>
          <w:rFonts w:cs="Times New Roman"/>
          <w:sz w:val="22"/>
          <w:szCs w:val="22"/>
        </w:rPr>
        <w:t xml:space="preserve"> (collected between November 2022 and January 2023)</w:t>
      </w:r>
      <w:r w:rsidR="006F604B" w:rsidRPr="00E97BC8">
        <w:rPr>
          <w:rFonts w:cs="Times New Roman"/>
          <w:sz w:val="22"/>
          <w:szCs w:val="22"/>
        </w:rPr>
        <w:t>, a state which accounts for nearly 37% of registered electric vehicles in the U</w:t>
      </w:r>
      <w:r w:rsidR="004B6FF0" w:rsidRPr="00E97BC8">
        <w:rPr>
          <w:rFonts w:cs="Times New Roman"/>
          <w:sz w:val="22"/>
          <w:szCs w:val="22"/>
        </w:rPr>
        <w:t xml:space="preserve">nited </w:t>
      </w:r>
      <w:r w:rsidR="006F604B" w:rsidRPr="00E97BC8">
        <w:rPr>
          <w:rFonts w:cs="Times New Roman"/>
          <w:sz w:val="22"/>
          <w:szCs w:val="22"/>
        </w:rPr>
        <w:t>S</w:t>
      </w:r>
      <w:r w:rsidR="004B6FF0" w:rsidRPr="00E97BC8">
        <w:rPr>
          <w:rFonts w:cs="Times New Roman"/>
          <w:sz w:val="22"/>
          <w:szCs w:val="22"/>
        </w:rPr>
        <w:t>tates</w:t>
      </w:r>
      <w:r w:rsidR="006F604B" w:rsidRPr="00E97BC8">
        <w:rPr>
          <w:rFonts w:cs="Times New Roman"/>
          <w:sz w:val="22"/>
          <w:szCs w:val="22"/>
        </w:rPr>
        <w:t xml:space="preserve"> </w:t>
      </w:r>
      <w:r w:rsidR="006F604B" w:rsidRPr="00E97BC8">
        <w:rPr>
          <w:rFonts w:cs="Times New Roman"/>
          <w:sz w:val="22"/>
          <w:szCs w:val="22"/>
        </w:rPr>
        <w:fldChar w:fldCharType="begin"/>
      </w:r>
      <w:r w:rsidR="001C63B2" w:rsidRPr="00E97BC8">
        <w:rPr>
          <w:rFonts w:cs="Times New Roman"/>
          <w:sz w:val="22"/>
          <w:szCs w:val="22"/>
        </w:rPr>
        <w:instrText xml:space="preserve"> ADDIN ZOTERO_ITEM CSL_CITATION {"citationID":"0mdVcRKb","properties":{"formattedCitation":"(EIA, 2023)","plainCitation":"(EIA, 2023)","noteIndex":0},"citationItems":[{"id":2505,"uris":["http://zotero.org/users/12832277/items/RD59T2WI"],"itemData":{"id":2505,"type":"report","publisher":"U.S. Energy Information Administration","title":"State Energy Data System 2023","author":[{"family":"EIA","given":""}],"issued":{"date-parts":[["2023"]]}}}],"schema":"https://github.com/citation-style-language/schema/raw/master/csl-citation.json"} </w:instrText>
      </w:r>
      <w:r w:rsidR="006F604B" w:rsidRPr="00E97BC8">
        <w:rPr>
          <w:rFonts w:cs="Times New Roman"/>
          <w:sz w:val="22"/>
          <w:szCs w:val="22"/>
        </w:rPr>
        <w:fldChar w:fldCharType="separate"/>
      </w:r>
      <w:r w:rsidR="001E6A07" w:rsidRPr="00E97BC8">
        <w:rPr>
          <w:rFonts w:cs="Times New Roman"/>
          <w:sz w:val="22"/>
          <w:szCs w:val="22"/>
        </w:rPr>
        <w:t>(EIA, 2023)</w:t>
      </w:r>
      <w:r w:rsidR="006F604B" w:rsidRPr="00E97BC8">
        <w:rPr>
          <w:rFonts w:cs="Times New Roman"/>
          <w:sz w:val="22"/>
          <w:szCs w:val="22"/>
        </w:rPr>
        <w:fldChar w:fldCharType="end"/>
      </w:r>
      <w:r w:rsidR="006F604B" w:rsidRPr="00E97BC8">
        <w:rPr>
          <w:rFonts w:cs="Times New Roman"/>
          <w:sz w:val="22"/>
          <w:szCs w:val="22"/>
        </w:rPr>
        <w:t xml:space="preserve">, </w:t>
      </w:r>
      <w:r w:rsidR="00E85E4E" w:rsidRPr="00E97BC8">
        <w:rPr>
          <w:rFonts w:cs="Times New Roman"/>
          <w:sz w:val="22"/>
          <w:szCs w:val="22"/>
        </w:rPr>
        <w:t xml:space="preserve">we examine </w:t>
      </w:r>
      <w:r w:rsidR="00FC4C4B" w:rsidRPr="00E97BC8">
        <w:rPr>
          <w:rFonts w:cs="Times New Roman"/>
          <w:sz w:val="22"/>
          <w:szCs w:val="22"/>
        </w:rPr>
        <w:t xml:space="preserve">the ways that demographics, lifestyle preferences, and perceptions of EV characteristics impact </w:t>
      </w:r>
      <w:r w:rsidR="005111E1" w:rsidRPr="00E97BC8">
        <w:rPr>
          <w:rFonts w:cs="Times New Roman"/>
          <w:sz w:val="22"/>
          <w:szCs w:val="22"/>
        </w:rPr>
        <w:t xml:space="preserve">revealed </w:t>
      </w:r>
      <w:r w:rsidR="00FC4C4B" w:rsidRPr="00E97BC8">
        <w:rPr>
          <w:rFonts w:cs="Times New Roman"/>
          <w:sz w:val="22"/>
          <w:szCs w:val="22"/>
        </w:rPr>
        <w:t>EV adoption</w:t>
      </w:r>
      <w:r w:rsidR="005111E1" w:rsidRPr="00E97BC8">
        <w:rPr>
          <w:rFonts w:cs="Times New Roman"/>
          <w:sz w:val="22"/>
          <w:szCs w:val="22"/>
        </w:rPr>
        <w:t xml:space="preserve"> behavior</w:t>
      </w:r>
      <w:r w:rsidR="00973328" w:rsidRPr="00E97BC8">
        <w:rPr>
          <w:rFonts w:cs="Times New Roman"/>
          <w:sz w:val="22"/>
          <w:szCs w:val="22"/>
        </w:rPr>
        <w:t>s</w:t>
      </w:r>
      <w:r w:rsidR="00F969C3" w:rsidRPr="00E97BC8">
        <w:rPr>
          <w:rFonts w:cs="Times New Roman"/>
          <w:sz w:val="22"/>
          <w:szCs w:val="22"/>
        </w:rPr>
        <w:t>.</w:t>
      </w:r>
      <w:r w:rsidR="00A02BEB" w:rsidRPr="00E97BC8">
        <w:rPr>
          <w:rStyle w:val="FootnoteReference"/>
          <w:rFonts w:cs="Times New Roman"/>
          <w:sz w:val="22"/>
          <w:szCs w:val="22"/>
        </w:rPr>
        <w:footnoteReference w:id="2"/>
      </w:r>
      <w:r w:rsidR="00F969C3" w:rsidRPr="00E97BC8">
        <w:rPr>
          <w:rFonts w:cs="Times New Roman"/>
          <w:sz w:val="22"/>
          <w:szCs w:val="22"/>
        </w:rPr>
        <w:t xml:space="preserve"> F</w:t>
      </w:r>
      <w:r w:rsidR="00B40CD3" w:rsidRPr="00E97BC8">
        <w:rPr>
          <w:rFonts w:cs="Times New Roman"/>
          <w:sz w:val="22"/>
          <w:szCs w:val="22"/>
        </w:rPr>
        <w:t xml:space="preserve">or the purposes of our study, we consider </w:t>
      </w:r>
      <w:r w:rsidR="000B3875" w:rsidRPr="00E97BC8">
        <w:rPr>
          <w:rFonts w:cs="Times New Roman"/>
          <w:sz w:val="22"/>
          <w:szCs w:val="22"/>
        </w:rPr>
        <w:t xml:space="preserve">plug-in </w:t>
      </w:r>
      <w:r w:rsidR="00B40CD3" w:rsidRPr="00E97BC8">
        <w:rPr>
          <w:rFonts w:cs="Times New Roman"/>
          <w:sz w:val="22"/>
          <w:szCs w:val="22"/>
        </w:rPr>
        <w:t>EVs</w:t>
      </w:r>
      <w:r w:rsidR="000B3875" w:rsidRPr="00E97BC8">
        <w:rPr>
          <w:rFonts w:cs="Times New Roman"/>
          <w:sz w:val="22"/>
          <w:szCs w:val="22"/>
        </w:rPr>
        <w:t>, which</w:t>
      </w:r>
      <w:r w:rsidR="00B40CD3" w:rsidRPr="00E97BC8">
        <w:rPr>
          <w:rFonts w:cs="Times New Roman"/>
          <w:sz w:val="22"/>
          <w:szCs w:val="22"/>
        </w:rPr>
        <w:t xml:space="preserve"> include</w:t>
      </w:r>
      <w:r w:rsidR="000B3875" w:rsidRPr="00E97BC8">
        <w:rPr>
          <w:rFonts w:cs="Times New Roman"/>
          <w:sz w:val="22"/>
          <w:szCs w:val="22"/>
        </w:rPr>
        <w:t>s</w:t>
      </w:r>
      <w:r w:rsidR="00B40CD3" w:rsidRPr="00E97BC8">
        <w:rPr>
          <w:rFonts w:cs="Times New Roman"/>
          <w:sz w:val="22"/>
          <w:szCs w:val="22"/>
        </w:rPr>
        <w:t xml:space="preserve"> battery electric vehicles (BEVs) and plug-in hybrid electric vehicles (PHEVs)</w:t>
      </w:r>
      <w:r w:rsidR="000B3875" w:rsidRPr="00E97BC8">
        <w:rPr>
          <w:rFonts w:cs="Times New Roman"/>
          <w:sz w:val="22"/>
          <w:szCs w:val="22"/>
        </w:rPr>
        <w:t xml:space="preserve">. We focus on these technologies as they are emerging as the most prevalent and likely replacements for </w:t>
      </w:r>
      <w:r w:rsidR="001F5F0F" w:rsidRPr="00E97BC8">
        <w:rPr>
          <w:rFonts w:cs="Times New Roman"/>
          <w:sz w:val="22"/>
          <w:szCs w:val="22"/>
        </w:rPr>
        <w:t xml:space="preserve">ICEVs in the transition to sustainable passenger transportation. </w:t>
      </w:r>
      <w:r w:rsidR="00353607" w:rsidRPr="00E97BC8">
        <w:rPr>
          <w:rFonts w:cs="Times New Roman"/>
          <w:sz w:val="22"/>
          <w:szCs w:val="22"/>
        </w:rPr>
        <w:t xml:space="preserve">In addition to the </w:t>
      </w:r>
      <w:r w:rsidR="00D415B4" w:rsidRPr="00E97BC8">
        <w:rPr>
          <w:rFonts w:cs="Times New Roman"/>
          <w:sz w:val="22"/>
          <w:szCs w:val="22"/>
        </w:rPr>
        <w:t xml:space="preserve">binary adoption decision, </w:t>
      </w:r>
      <w:r w:rsidR="005111E1" w:rsidRPr="00E97BC8">
        <w:rPr>
          <w:rFonts w:cs="Times New Roman"/>
          <w:sz w:val="22"/>
          <w:szCs w:val="22"/>
        </w:rPr>
        <w:t xml:space="preserve">using information elicited from a survey that asked </w:t>
      </w:r>
      <w:r w:rsidR="00D415B4" w:rsidRPr="00E97BC8">
        <w:rPr>
          <w:rFonts w:cs="Times New Roman"/>
          <w:sz w:val="22"/>
          <w:szCs w:val="22"/>
        </w:rPr>
        <w:t xml:space="preserve">current EV owners </w:t>
      </w:r>
      <w:r w:rsidR="007E1470" w:rsidRPr="00E97BC8">
        <w:rPr>
          <w:rFonts w:cs="Times New Roman"/>
          <w:sz w:val="22"/>
          <w:szCs w:val="22"/>
        </w:rPr>
        <w:t xml:space="preserve">to rank the importance of a set of factors that </w:t>
      </w:r>
      <w:r w:rsidR="00971968" w:rsidRPr="00E97BC8">
        <w:rPr>
          <w:rFonts w:cs="Times New Roman"/>
          <w:sz w:val="22"/>
          <w:szCs w:val="22"/>
        </w:rPr>
        <w:t xml:space="preserve">influenced their adoption decision, </w:t>
      </w:r>
      <w:bookmarkStart w:id="2" w:name="_Hlk191453397"/>
      <w:r w:rsidR="005111E1" w:rsidRPr="00E97BC8">
        <w:rPr>
          <w:rFonts w:cs="Times New Roman"/>
          <w:sz w:val="22"/>
          <w:szCs w:val="22"/>
        </w:rPr>
        <w:t xml:space="preserve">we are able to investigate </w:t>
      </w:r>
      <w:r w:rsidR="00971968" w:rsidRPr="00E97BC8">
        <w:rPr>
          <w:rFonts w:cs="Times New Roman"/>
          <w:sz w:val="22"/>
          <w:szCs w:val="22"/>
        </w:rPr>
        <w:t xml:space="preserve">the </w:t>
      </w:r>
      <w:r w:rsidR="00BE28E1" w:rsidRPr="00E97BC8">
        <w:rPr>
          <w:rFonts w:cs="Times New Roman"/>
          <w:sz w:val="22"/>
          <w:szCs w:val="22"/>
        </w:rPr>
        <w:t xml:space="preserve">motivations for EV ownership and the ways these </w:t>
      </w:r>
      <w:r w:rsidR="007B0633" w:rsidRPr="00E97BC8">
        <w:rPr>
          <w:rFonts w:cs="Times New Roman"/>
          <w:sz w:val="22"/>
          <w:szCs w:val="22"/>
        </w:rPr>
        <w:t xml:space="preserve">reasons </w:t>
      </w:r>
      <w:r w:rsidR="00BE28E1" w:rsidRPr="00E97BC8">
        <w:rPr>
          <w:rFonts w:cs="Times New Roman"/>
          <w:sz w:val="22"/>
          <w:szCs w:val="22"/>
        </w:rPr>
        <w:t xml:space="preserve">translate into actual </w:t>
      </w:r>
      <w:r w:rsidR="005111E1" w:rsidRPr="00E97BC8">
        <w:rPr>
          <w:rFonts w:cs="Times New Roman"/>
          <w:sz w:val="22"/>
          <w:szCs w:val="22"/>
        </w:rPr>
        <w:t>EV adoption behavior</w:t>
      </w:r>
      <w:bookmarkEnd w:id="2"/>
      <w:r w:rsidR="005111E1" w:rsidRPr="00E97BC8">
        <w:rPr>
          <w:rFonts w:cs="Times New Roman"/>
          <w:sz w:val="22"/>
          <w:szCs w:val="22"/>
        </w:rPr>
        <w:t xml:space="preserve"> (also referred to as purchase </w:t>
      </w:r>
      <w:r w:rsidR="00BE28E1" w:rsidRPr="00E97BC8">
        <w:rPr>
          <w:rFonts w:cs="Times New Roman"/>
          <w:sz w:val="22"/>
          <w:szCs w:val="22"/>
        </w:rPr>
        <w:t>behavior</w:t>
      </w:r>
      <w:r w:rsidR="005111E1" w:rsidRPr="00E97BC8">
        <w:rPr>
          <w:rFonts w:cs="Times New Roman"/>
          <w:sz w:val="22"/>
          <w:szCs w:val="22"/>
        </w:rPr>
        <w:t xml:space="preserve"> in this paper)</w:t>
      </w:r>
      <w:r w:rsidR="00BE28E1" w:rsidRPr="00E97BC8">
        <w:rPr>
          <w:rFonts w:cs="Times New Roman"/>
          <w:sz w:val="22"/>
          <w:szCs w:val="22"/>
        </w:rPr>
        <w:t xml:space="preserve">. </w:t>
      </w:r>
      <w:r w:rsidR="007B3D42" w:rsidRPr="00E97BC8">
        <w:rPr>
          <w:rFonts w:cs="Times New Roman"/>
          <w:sz w:val="22"/>
          <w:szCs w:val="22"/>
        </w:rPr>
        <w:t>Importantly, by modeling EV adoption and the motivations in a joint framework, we account for sample selection effects</w:t>
      </w:r>
      <w:r w:rsidR="00D47A0E" w:rsidRPr="00E97BC8">
        <w:rPr>
          <w:rFonts w:cs="Times New Roman"/>
          <w:sz w:val="22"/>
          <w:szCs w:val="22"/>
        </w:rPr>
        <w:t xml:space="preserve">. This allows us </w:t>
      </w:r>
      <w:r w:rsidR="007B3D42" w:rsidRPr="00E97BC8">
        <w:rPr>
          <w:rFonts w:cs="Times New Roman"/>
          <w:sz w:val="22"/>
          <w:szCs w:val="22"/>
        </w:rPr>
        <w:t xml:space="preserve">to generalize the motivations for EV adoption to the population at large (including current non-EV owners), </w:t>
      </w:r>
      <w:r w:rsidR="009F21CB" w:rsidRPr="00E97BC8">
        <w:rPr>
          <w:rFonts w:cs="Times New Roman"/>
          <w:sz w:val="22"/>
          <w:szCs w:val="22"/>
        </w:rPr>
        <w:t>and in turn</w:t>
      </w:r>
      <w:r w:rsidR="007B3D42" w:rsidRPr="00E97BC8">
        <w:rPr>
          <w:rFonts w:cs="Times New Roman"/>
          <w:sz w:val="22"/>
          <w:szCs w:val="22"/>
        </w:rPr>
        <w:t xml:space="preserve"> identify potential policy measures that </w:t>
      </w:r>
      <w:r w:rsidR="00D541BB" w:rsidRPr="00E97BC8">
        <w:rPr>
          <w:rFonts w:cs="Times New Roman"/>
          <w:sz w:val="22"/>
          <w:szCs w:val="22"/>
        </w:rPr>
        <w:t xml:space="preserve">may promote EVs in the overall marketplace and </w:t>
      </w:r>
      <w:r w:rsidR="007B3D42" w:rsidRPr="00E97BC8">
        <w:rPr>
          <w:rFonts w:cs="Times New Roman"/>
          <w:sz w:val="22"/>
          <w:szCs w:val="22"/>
        </w:rPr>
        <w:t xml:space="preserve">encourage EV adoption among those who have yet to adopt EVs. In particular, </w:t>
      </w:r>
      <w:r w:rsidR="007B3D42" w:rsidRPr="00E97BC8">
        <w:rPr>
          <w:rFonts w:eastAsia="Times New Roman" w:cs="Times New Roman"/>
          <w:color w:val="222222"/>
          <w:kern w:val="0"/>
          <w:sz w:val="22"/>
          <w:szCs w:val="22"/>
          <w14:ligatures w14:val="none"/>
        </w:rPr>
        <w:t xml:space="preserve">our </w:t>
      </w:r>
      <w:r w:rsidR="00D85899" w:rsidRPr="00E97BC8">
        <w:rPr>
          <w:rFonts w:eastAsia="Times New Roman" w:cs="Times New Roman"/>
          <w:color w:val="222222"/>
          <w:kern w:val="0"/>
          <w:sz w:val="22"/>
          <w:szCs w:val="22"/>
          <w14:ligatures w14:val="none"/>
        </w:rPr>
        <w:t xml:space="preserve">model </w:t>
      </w:r>
      <w:r w:rsidR="007B3D42" w:rsidRPr="00E97BC8">
        <w:rPr>
          <w:rFonts w:eastAsia="Times New Roman" w:cs="Times New Roman"/>
          <w:color w:val="222222"/>
          <w:kern w:val="0"/>
          <w:sz w:val="22"/>
          <w:szCs w:val="22"/>
          <w14:ligatures w14:val="none"/>
        </w:rPr>
        <w:t xml:space="preserve">provides </w:t>
      </w:r>
      <w:r w:rsidR="00D85899" w:rsidRPr="00E97BC8">
        <w:rPr>
          <w:rFonts w:eastAsia="Times New Roman" w:cs="Times New Roman"/>
          <w:color w:val="222222"/>
          <w:kern w:val="0"/>
          <w:sz w:val="22"/>
          <w:szCs w:val="22"/>
          <w14:ligatures w14:val="none"/>
        </w:rPr>
        <w:t>important i</w:t>
      </w:r>
      <w:r w:rsidR="007B3D42" w:rsidRPr="00E97BC8">
        <w:rPr>
          <w:rFonts w:eastAsia="Times New Roman" w:cs="Times New Roman"/>
          <w:color w:val="222222"/>
          <w:kern w:val="0"/>
          <w:sz w:val="22"/>
          <w:szCs w:val="22"/>
          <w14:ligatures w14:val="none"/>
        </w:rPr>
        <w:t xml:space="preserve">nsights </w:t>
      </w:r>
      <w:r w:rsidR="00D85899" w:rsidRPr="00E97BC8">
        <w:rPr>
          <w:rFonts w:eastAsia="Times New Roman" w:cs="Times New Roman"/>
          <w:color w:val="222222"/>
          <w:kern w:val="0"/>
          <w:sz w:val="22"/>
          <w:szCs w:val="22"/>
          <w14:ligatures w14:val="none"/>
        </w:rPr>
        <w:t xml:space="preserve">for the deployment of EVs, the development of EV charging infrastructure, and the </w:t>
      </w:r>
      <w:r w:rsidR="002A3393" w:rsidRPr="00E97BC8">
        <w:rPr>
          <w:rFonts w:eastAsia="Times New Roman" w:cs="Times New Roman"/>
          <w:color w:val="222222"/>
          <w:kern w:val="0"/>
          <w:sz w:val="22"/>
          <w:szCs w:val="22"/>
          <w14:ligatures w14:val="none"/>
        </w:rPr>
        <w:t>implementation of</w:t>
      </w:r>
      <w:r w:rsidR="008C73E7" w:rsidRPr="00E97BC8">
        <w:rPr>
          <w:rFonts w:eastAsia="Times New Roman" w:cs="Times New Roman"/>
          <w:color w:val="222222"/>
          <w:kern w:val="0"/>
          <w:sz w:val="22"/>
          <w:szCs w:val="22"/>
          <w14:ligatures w14:val="none"/>
        </w:rPr>
        <w:t xml:space="preserve"> information and</w:t>
      </w:r>
      <w:r w:rsidR="002A3393" w:rsidRPr="00E97BC8">
        <w:rPr>
          <w:rFonts w:eastAsia="Times New Roman" w:cs="Times New Roman"/>
          <w:color w:val="222222"/>
          <w:kern w:val="0"/>
          <w:sz w:val="22"/>
          <w:szCs w:val="22"/>
          <w14:ligatures w14:val="none"/>
        </w:rPr>
        <w:t xml:space="preserve"> incentive policies </w:t>
      </w:r>
      <w:r w:rsidR="008C73E7" w:rsidRPr="00E97BC8">
        <w:rPr>
          <w:rFonts w:eastAsia="Times New Roman" w:cs="Times New Roman"/>
          <w:color w:val="222222"/>
          <w:kern w:val="0"/>
          <w:sz w:val="22"/>
          <w:szCs w:val="22"/>
          <w14:ligatures w14:val="none"/>
        </w:rPr>
        <w:t>to promote</w:t>
      </w:r>
      <w:r w:rsidR="002A3393" w:rsidRPr="00E97BC8">
        <w:rPr>
          <w:rFonts w:eastAsia="Times New Roman" w:cs="Times New Roman"/>
          <w:color w:val="222222"/>
          <w:kern w:val="0"/>
          <w:sz w:val="22"/>
          <w:szCs w:val="22"/>
          <w14:ligatures w14:val="none"/>
        </w:rPr>
        <w:t xml:space="preserve"> EV adoption</w:t>
      </w:r>
      <w:r w:rsidR="008D4E6C" w:rsidRPr="00E97BC8">
        <w:rPr>
          <w:rFonts w:eastAsia="Times New Roman" w:cs="Times New Roman"/>
          <w:color w:val="222222"/>
          <w:kern w:val="0"/>
          <w:sz w:val="22"/>
          <w:szCs w:val="22"/>
          <w14:ligatures w14:val="none"/>
        </w:rPr>
        <w:t>.</w:t>
      </w:r>
    </w:p>
    <w:p w14:paraId="03ACCAEE" w14:textId="2858C9DA" w:rsidR="0032253A" w:rsidRPr="00E97BC8" w:rsidRDefault="006240F3" w:rsidP="00E85093">
      <w:pPr>
        <w:spacing w:after="0" w:line="240" w:lineRule="auto"/>
        <w:ind w:firstLine="720"/>
        <w:jc w:val="both"/>
        <w:rPr>
          <w:rFonts w:cs="Times New Roman"/>
          <w:bCs/>
          <w:sz w:val="22"/>
          <w:szCs w:val="22"/>
        </w:rPr>
      </w:pPr>
      <w:r w:rsidRPr="00E97BC8">
        <w:rPr>
          <w:rFonts w:cs="Times New Roman"/>
          <w:bCs/>
          <w:sz w:val="22"/>
          <w:szCs w:val="22"/>
        </w:rPr>
        <w:t xml:space="preserve">The </w:t>
      </w:r>
      <w:r w:rsidR="007B3D42" w:rsidRPr="00E97BC8">
        <w:rPr>
          <w:rFonts w:cs="Times New Roman"/>
          <w:bCs/>
          <w:sz w:val="22"/>
          <w:szCs w:val="22"/>
        </w:rPr>
        <w:t xml:space="preserve">next </w:t>
      </w:r>
      <w:r w:rsidRPr="00E97BC8">
        <w:rPr>
          <w:rFonts w:cs="Times New Roman"/>
          <w:bCs/>
          <w:sz w:val="22"/>
          <w:szCs w:val="22"/>
        </w:rPr>
        <w:t xml:space="preserve">section provides an overview of the existing literature on </w:t>
      </w:r>
      <w:r w:rsidR="00AD0AB8" w:rsidRPr="00E97BC8">
        <w:rPr>
          <w:rFonts w:cs="Times New Roman"/>
          <w:bCs/>
          <w:sz w:val="22"/>
          <w:szCs w:val="22"/>
        </w:rPr>
        <w:t>EV</w:t>
      </w:r>
      <w:r w:rsidRPr="00E97BC8">
        <w:rPr>
          <w:rFonts w:cs="Times New Roman"/>
          <w:bCs/>
          <w:sz w:val="22"/>
          <w:szCs w:val="22"/>
        </w:rPr>
        <w:t xml:space="preserve"> adoption. Section 3 presents the characteristics of the dataset </w:t>
      </w:r>
      <w:r w:rsidR="007347B4" w:rsidRPr="00E97BC8">
        <w:rPr>
          <w:rFonts w:cs="Times New Roman"/>
          <w:bCs/>
          <w:sz w:val="22"/>
          <w:szCs w:val="22"/>
        </w:rPr>
        <w:t>along with</w:t>
      </w:r>
      <w:r w:rsidRPr="00E97BC8">
        <w:rPr>
          <w:rFonts w:cs="Times New Roman"/>
          <w:bCs/>
          <w:sz w:val="22"/>
          <w:szCs w:val="22"/>
        </w:rPr>
        <w:t xml:space="preserve"> the</w:t>
      </w:r>
      <w:r w:rsidR="00CD59CC" w:rsidRPr="00E97BC8">
        <w:rPr>
          <w:rFonts w:cs="Times New Roman"/>
          <w:bCs/>
          <w:sz w:val="22"/>
          <w:szCs w:val="22"/>
        </w:rPr>
        <w:t xml:space="preserve"> </w:t>
      </w:r>
      <w:r w:rsidR="007B3D42" w:rsidRPr="00E97BC8">
        <w:rPr>
          <w:rFonts w:cs="Times New Roman"/>
          <w:bCs/>
          <w:sz w:val="22"/>
          <w:szCs w:val="22"/>
        </w:rPr>
        <w:t xml:space="preserve">generalized heterogeneous data </w:t>
      </w:r>
      <w:r w:rsidRPr="00E97BC8">
        <w:rPr>
          <w:rFonts w:cs="Times New Roman"/>
          <w:bCs/>
          <w:sz w:val="22"/>
          <w:szCs w:val="22"/>
        </w:rPr>
        <w:t>modeling</w:t>
      </w:r>
      <w:r w:rsidR="007B3D42" w:rsidRPr="00E97BC8">
        <w:rPr>
          <w:rFonts w:cs="Times New Roman"/>
          <w:bCs/>
          <w:sz w:val="22"/>
          <w:szCs w:val="22"/>
        </w:rPr>
        <w:t xml:space="preserve"> (GHDM)</w:t>
      </w:r>
      <w:r w:rsidRPr="00E97BC8">
        <w:rPr>
          <w:rFonts w:cs="Times New Roman"/>
          <w:bCs/>
          <w:sz w:val="22"/>
          <w:szCs w:val="22"/>
        </w:rPr>
        <w:t xml:space="preserve"> </w:t>
      </w:r>
      <w:r w:rsidR="00CD59CC" w:rsidRPr="00E97BC8">
        <w:rPr>
          <w:rFonts w:cs="Times New Roman"/>
          <w:bCs/>
          <w:sz w:val="22"/>
          <w:szCs w:val="22"/>
        </w:rPr>
        <w:lastRenderedPageBreak/>
        <w:t>framework</w:t>
      </w:r>
      <w:r w:rsidRPr="00E97BC8">
        <w:rPr>
          <w:rFonts w:cs="Times New Roman"/>
          <w:bCs/>
          <w:sz w:val="22"/>
          <w:szCs w:val="22"/>
        </w:rPr>
        <w:t xml:space="preserve"> </w:t>
      </w:r>
      <w:r w:rsidR="00CD59CC" w:rsidRPr="00E97BC8">
        <w:rPr>
          <w:rFonts w:cs="Times New Roman"/>
          <w:bCs/>
          <w:sz w:val="22"/>
          <w:szCs w:val="22"/>
        </w:rPr>
        <w:t xml:space="preserve">employed </w:t>
      </w:r>
      <w:r w:rsidR="007B3D42" w:rsidRPr="00E97BC8">
        <w:rPr>
          <w:rFonts w:cs="Times New Roman"/>
          <w:bCs/>
          <w:sz w:val="22"/>
          <w:szCs w:val="22"/>
        </w:rPr>
        <w:t xml:space="preserve">to </w:t>
      </w:r>
      <w:r w:rsidR="00CD59CC" w:rsidRPr="00E97BC8">
        <w:rPr>
          <w:rFonts w:cs="Times New Roman"/>
          <w:bCs/>
          <w:sz w:val="22"/>
          <w:szCs w:val="22"/>
        </w:rPr>
        <w:t xml:space="preserve">jointly analyze </w:t>
      </w:r>
      <w:r w:rsidR="007B3D42" w:rsidRPr="00E97BC8">
        <w:rPr>
          <w:rFonts w:cs="Times New Roman"/>
          <w:bCs/>
          <w:sz w:val="22"/>
          <w:szCs w:val="22"/>
        </w:rPr>
        <w:t xml:space="preserve">the binary EV adoption decision </w:t>
      </w:r>
      <w:r w:rsidR="00313DDB" w:rsidRPr="00E97BC8">
        <w:rPr>
          <w:rFonts w:cs="Times New Roman"/>
          <w:bCs/>
          <w:sz w:val="22"/>
          <w:szCs w:val="22"/>
        </w:rPr>
        <w:t xml:space="preserve">and </w:t>
      </w:r>
      <w:r w:rsidR="007B3D42" w:rsidRPr="00E97BC8">
        <w:rPr>
          <w:rFonts w:cs="Times New Roman"/>
          <w:bCs/>
          <w:sz w:val="22"/>
          <w:szCs w:val="22"/>
        </w:rPr>
        <w:t>the ranked choice of the motivations from current EV owners</w:t>
      </w:r>
      <w:r w:rsidRPr="00E97BC8">
        <w:rPr>
          <w:rFonts w:cs="Times New Roman"/>
          <w:bCs/>
          <w:sz w:val="22"/>
          <w:szCs w:val="22"/>
        </w:rPr>
        <w:t xml:space="preserve">. </w:t>
      </w:r>
      <w:r w:rsidR="00CD59CC" w:rsidRPr="00E97BC8">
        <w:rPr>
          <w:rFonts w:cs="Times New Roman"/>
          <w:bCs/>
          <w:sz w:val="22"/>
          <w:szCs w:val="22"/>
        </w:rPr>
        <w:t>To our knowledge, this is the first application of the GHDM framework to a sample selection framework where the outcome</w:t>
      </w:r>
      <w:r w:rsidR="00B03A8E" w:rsidRPr="00E97BC8">
        <w:rPr>
          <w:rFonts w:cs="Times New Roman"/>
          <w:bCs/>
          <w:sz w:val="22"/>
          <w:szCs w:val="22"/>
        </w:rPr>
        <w:t xml:space="preserve"> equation</w:t>
      </w:r>
      <w:r w:rsidR="00CD59CC" w:rsidRPr="00E97BC8">
        <w:rPr>
          <w:rFonts w:cs="Times New Roman"/>
          <w:bCs/>
          <w:sz w:val="22"/>
          <w:szCs w:val="22"/>
        </w:rPr>
        <w:t xml:space="preserve"> </w:t>
      </w:r>
      <w:r w:rsidR="00B03A8E" w:rsidRPr="00E97BC8">
        <w:rPr>
          <w:rFonts w:cs="Times New Roman"/>
          <w:bCs/>
          <w:sz w:val="22"/>
          <w:szCs w:val="22"/>
        </w:rPr>
        <w:t xml:space="preserve">takes the form of a rank-ordering </w:t>
      </w:r>
      <w:r w:rsidR="00CD59CC" w:rsidRPr="00E97BC8">
        <w:rPr>
          <w:rFonts w:cs="Times New Roman"/>
          <w:bCs/>
          <w:sz w:val="22"/>
          <w:szCs w:val="22"/>
        </w:rPr>
        <w:t>(</w:t>
      </w:r>
      <w:r w:rsidR="00B03A8E" w:rsidRPr="00E97BC8">
        <w:rPr>
          <w:rFonts w:cs="Times New Roman"/>
          <w:bCs/>
          <w:sz w:val="22"/>
          <w:szCs w:val="22"/>
        </w:rPr>
        <w:t xml:space="preserve">this corresponds to </w:t>
      </w:r>
      <w:r w:rsidR="00CD59CC" w:rsidRPr="00E97BC8">
        <w:rPr>
          <w:rFonts w:cs="Times New Roman"/>
          <w:bCs/>
          <w:sz w:val="22"/>
          <w:szCs w:val="22"/>
        </w:rPr>
        <w:t>the motivations for EV adoption</w:t>
      </w:r>
      <w:r w:rsidR="00B03A8E" w:rsidRPr="00E97BC8">
        <w:rPr>
          <w:rFonts w:cs="Times New Roman"/>
          <w:bCs/>
          <w:sz w:val="22"/>
          <w:szCs w:val="22"/>
        </w:rPr>
        <w:t xml:space="preserve"> in our empirical context</w:t>
      </w:r>
      <w:r w:rsidR="00CD59CC" w:rsidRPr="00E97BC8">
        <w:rPr>
          <w:rFonts w:cs="Times New Roman"/>
          <w:bCs/>
          <w:sz w:val="22"/>
          <w:szCs w:val="22"/>
        </w:rPr>
        <w:t>)</w:t>
      </w:r>
      <w:r w:rsidR="00B03A8E" w:rsidRPr="00E97BC8">
        <w:rPr>
          <w:rFonts w:cs="Times New Roman"/>
          <w:bCs/>
          <w:sz w:val="22"/>
          <w:szCs w:val="22"/>
        </w:rPr>
        <w:t xml:space="preserve">, while the selection equation takes the form of a binary choice (whether or not an individual currently is an EV adopter). </w:t>
      </w:r>
      <w:r w:rsidRPr="00E97BC8">
        <w:rPr>
          <w:rFonts w:cs="Times New Roman"/>
          <w:bCs/>
          <w:sz w:val="22"/>
          <w:szCs w:val="22"/>
        </w:rPr>
        <w:t xml:space="preserve">Section 4 </w:t>
      </w:r>
      <w:r w:rsidR="009D4453" w:rsidRPr="00E97BC8">
        <w:rPr>
          <w:rFonts w:cs="Times New Roman"/>
          <w:bCs/>
          <w:sz w:val="22"/>
          <w:szCs w:val="22"/>
        </w:rPr>
        <w:t>presents</w:t>
      </w:r>
      <w:r w:rsidRPr="00E97BC8">
        <w:rPr>
          <w:rFonts w:cs="Times New Roman"/>
          <w:bCs/>
          <w:sz w:val="22"/>
          <w:szCs w:val="22"/>
        </w:rPr>
        <w:t xml:space="preserve"> the model estimation results and interpretations</w:t>
      </w:r>
      <w:r w:rsidR="005C3411" w:rsidRPr="00E97BC8">
        <w:rPr>
          <w:rFonts w:cs="Times New Roman"/>
          <w:bCs/>
          <w:sz w:val="22"/>
          <w:szCs w:val="22"/>
        </w:rPr>
        <w:t xml:space="preserve"> as well as the model </w:t>
      </w:r>
      <w:r w:rsidR="00D309F4" w:rsidRPr="00E97BC8">
        <w:rPr>
          <w:rFonts w:cs="Times New Roman"/>
          <w:bCs/>
          <w:sz w:val="22"/>
          <w:szCs w:val="22"/>
        </w:rPr>
        <w:t>fit</w:t>
      </w:r>
      <w:r w:rsidR="005C3411" w:rsidRPr="00E97BC8">
        <w:rPr>
          <w:rFonts w:cs="Times New Roman"/>
          <w:bCs/>
          <w:sz w:val="22"/>
          <w:szCs w:val="22"/>
        </w:rPr>
        <w:t xml:space="preserve"> and the approach used to compute the effect-sizes of each exogenous variable on EV adoption</w:t>
      </w:r>
      <w:r w:rsidR="00875593" w:rsidRPr="00E97BC8">
        <w:rPr>
          <w:rFonts w:cs="Times New Roman"/>
          <w:bCs/>
          <w:sz w:val="22"/>
          <w:szCs w:val="22"/>
        </w:rPr>
        <w:t xml:space="preserve">. </w:t>
      </w:r>
      <w:r w:rsidRPr="00E97BC8">
        <w:rPr>
          <w:rFonts w:cs="Times New Roman"/>
          <w:bCs/>
          <w:sz w:val="22"/>
          <w:szCs w:val="22"/>
        </w:rPr>
        <w:t xml:space="preserve">Section 5 discusses several implications of this research </w:t>
      </w:r>
      <w:r w:rsidR="00656B61" w:rsidRPr="00E97BC8">
        <w:rPr>
          <w:rFonts w:cs="Times New Roman"/>
          <w:bCs/>
          <w:sz w:val="22"/>
          <w:szCs w:val="22"/>
        </w:rPr>
        <w:t xml:space="preserve">for </w:t>
      </w:r>
      <w:r w:rsidR="00E4444C" w:rsidRPr="00E97BC8">
        <w:rPr>
          <w:rFonts w:cs="Times New Roman"/>
          <w:bCs/>
          <w:sz w:val="22"/>
          <w:szCs w:val="22"/>
        </w:rPr>
        <w:t>EV incentives and policies, vehicle development and marketing, and planning and infrastructure development</w:t>
      </w:r>
      <w:r w:rsidRPr="00E97BC8">
        <w:rPr>
          <w:rFonts w:cs="Times New Roman"/>
          <w:bCs/>
          <w:sz w:val="22"/>
          <w:szCs w:val="22"/>
        </w:rPr>
        <w:t>. Finally, Section 6 concludes the paper with a summary of important findings and identification of future research directions.</w:t>
      </w:r>
    </w:p>
    <w:p w14:paraId="2C5EF336" w14:textId="77777777" w:rsidR="00CD2A4C" w:rsidRPr="00E97BC8" w:rsidRDefault="00CD2A4C" w:rsidP="00E85093">
      <w:pPr>
        <w:spacing w:after="0" w:line="240" w:lineRule="auto"/>
        <w:ind w:firstLine="720"/>
        <w:jc w:val="both"/>
        <w:rPr>
          <w:rFonts w:cs="Times New Roman"/>
          <w:bCs/>
          <w:sz w:val="22"/>
          <w:szCs w:val="22"/>
        </w:rPr>
      </w:pPr>
    </w:p>
    <w:p w14:paraId="7BBA443D" w14:textId="66405968" w:rsidR="006F2E71" w:rsidRPr="00E97BC8" w:rsidRDefault="006F2E71" w:rsidP="00E85093">
      <w:pPr>
        <w:spacing w:after="0" w:line="240" w:lineRule="auto"/>
        <w:jc w:val="both"/>
        <w:rPr>
          <w:rFonts w:cs="Times New Roman"/>
          <w:b/>
          <w:sz w:val="22"/>
          <w:szCs w:val="22"/>
        </w:rPr>
      </w:pPr>
      <w:r w:rsidRPr="00E97BC8">
        <w:rPr>
          <w:rFonts w:cs="Times New Roman"/>
          <w:b/>
          <w:sz w:val="22"/>
          <w:szCs w:val="22"/>
        </w:rPr>
        <w:t xml:space="preserve">2. LITERATURE OVERVIEW </w:t>
      </w:r>
    </w:p>
    <w:p w14:paraId="2E721C58" w14:textId="3A2DE9D4" w:rsidR="00F70EEA" w:rsidRPr="00E97BC8" w:rsidRDefault="00FD2849" w:rsidP="00E85093">
      <w:pPr>
        <w:pStyle w:val="FootnoteText"/>
        <w:jc w:val="both"/>
        <w:rPr>
          <w:rFonts w:cs="Times New Roman"/>
          <w:sz w:val="22"/>
          <w:szCs w:val="22"/>
        </w:rPr>
      </w:pPr>
      <w:r w:rsidRPr="00E97BC8">
        <w:rPr>
          <w:rFonts w:cs="Times New Roman"/>
          <w:sz w:val="22"/>
          <w:szCs w:val="22"/>
        </w:rPr>
        <w:t>M</w:t>
      </w:r>
      <w:r w:rsidR="00273EEE" w:rsidRPr="00E97BC8">
        <w:rPr>
          <w:rFonts w:cs="Times New Roman"/>
          <w:sz w:val="22"/>
          <w:szCs w:val="22"/>
        </w:rPr>
        <w:t xml:space="preserve">uch of the </w:t>
      </w:r>
      <w:r w:rsidR="00427E08" w:rsidRPr="00E97BC8">
        <w:rPr>
          <w:rFonts w:cs="Times New Roman"/>
          <w:sz w:val="22"/>
          <w:szCs w:val="22"/>
        </w:rPr>
        <w:t xml:space="preserve">existing </w:t>
      </w:r>
      <w:r w:rsidRPr="00E97BC8">
        <w:rPr>
          <w:rFonts w:cs="Times New Roman"/>
          <w:sz w:val="22"/>
          <w:szCs w:val="22"/>
        </w:rPr>
        <w:t>EV</w:t>
      </w:r>
      <w:r w:rsidR="00BB7FCF" w:rsidRPr="00E97BC8">
        <w:rPr>
          <w:rFonts w:cs="Times New Roman"/>
          <w:sz w:val="22"/>
          <w:szCs w:val="22"/>
        </w:rPr>
        <w:t xml:space="preserve"> adoption </w:t>
      </w:r>
      <w:r w:rsidRPr="00E97BC8">
        <w:rPr>
          <w:rFonts w:cs="Times New Roman"/>
          <w:sz w:val="22"/>
          <w:szCs w:val="22"/>
        </w:rPr>
        <w:t xml:space="preserve">related </w:t>
      </w:r>
      <w:r w:rsidR="00273EEE" w:rsidRPr="00E97BC8">
        <w:rPr>
          <w:rFonts w:cs="Times New Roman"/>
          <w:sz w:val="22"/>
          <w:szCs w:val="22"/>
        </w:rPr>
        <w:t xml:space="preserve">literature </w:t>
      </w:r>
      <w:r w:rsidR="00427E08" w:rsidRPr="00E97BC8">
        <w:rPr>
          <w:rFonts w:cs="Times New Roman"/>
          <w:sz w:val="22"/>
          <w:szCs w:val="22"/>
        </w:rPr>
        <w:t xml:space="preserve">has </w:t>
      </w:r>
      <w:r w:rsidR="00273EEE" w:rsidRPr="00E97BC8">
        <w:rPr>
          <w:rFonts w:cs="Times New Roman"/>
          <w:sz w:val="22"/>
          <w:szCs w:val="22"/>
        </w:rPr>
        <w:t xml:space="preserve">focused </w:t>
      </w:r>
      <w:r w:rsidR="00997515" w:rsidRPr="00E97BC8">
        <w:rPr>
          <w:rFonts w:cs="Times New Roman"/>
          <w:sz w:val="22"/>
          <w:szCs w:val="22"/>
        </w:rPr>
        <w:t>on</w:t>
      </w:r>
      <w:r w:rsidR="00273EEE" w:rsidRPr="00E97BC8">
        <w:rPr>
          <w:rFonts w:cs="Times New Roman"/>
          <w:sz w:val="22"/>
          <w:szCs w:val="22"/>
        </w:rPr>
        <w:t xml:space="preserve"> two areas</w:t>
      </w:r>
      <w:r w:rsidR="00065FE8" w:rsidRPr="00E97BC8">
        <w:rPr>
          <w:rFonts w:cs="Times New Roman"/>
          <w:sz w:val="22"/>
          <w:szCs w:val="22"/>
        </w:rPr>
        <w:t>: (1)</w:t>
      </w:r>
      <w:r w:rsidR="00334535" w:rsidRPr="00E97BC8">
        <w:rPr>
          <w:rFonts w:cs="Times New Roman"/>
          <w:sz w:val="22"/>
          <w:szCs w:val="22"/>
        </w:rPr>
        <w:t xml:space="preserve"> studies of the intention to buy an EV using stated </w:t>
      </w:r>
      <w:r w:rsidRPr="00E97BC8">
        <w:rPr>
          <w:rFonts w:cs="Times New Roman"/>
          <w:sz w:val="22"/>
          <w:szCs w:val="22"/>
        </w:rPr>
        <w:t xml:space="preserve">(not revealed) </w:t>
      </w:r>
      <w:r w:rsidR="00334535" w:rsidRPr="00E97BC8">
        <w:rPr>
          <w:rFonts w:cs="Times New Roman"/>
          <w:sz w:val="22"/>
          <w:szCs w:val="22"/>
        </w:rPr>
        <w:t>preference surveys</w:t>
      </w:r>
      <w:r w:rsidR="00065FE8" w:rsidRPr="00E97BC8">
        <w:rPr>
          <w:rFonts w:cs="Times New Roman"/>
          <w:sz w:val="22"/>
          <w:szCs w:val="22"/>
        </w:rPr>
        <w:t>, and (2)</w:t>
      </w:r>
      <w:r w:rsidR="00334535" w:rsidRPr="00E97BC8">
        <w:rPr>
          <w:rFonts w:cs="Times New Roman"/>
          <w:sz w:val="22"/>
          <w:szCs w:val="22"/>
        </w:rPr>
        <w:t xml:space="preserve"> examinations of aggregate (not individual) trends in EV ownership levels across geographic areas</w:t>
      </w:r>
      <w:r w:rsidR="00065FE8" w:rsidRPr="00E97BC8">
        <w:rPr>
          <w:rFonts w:cs="Times New Roman"/>
          <w:sz w:val="22"/>
          <w:szCs w:val="22"/>
        </w:rPr>
        <w:t xml:space="preserve">. </w:t>
      </w:r>
      <w:r w:rsidR="00FA7B5D" w:rsidRPr="00E97BC8">
        <w:rPr>
          <w:rFonts w:cs="Times New Roman"/>
          <w:sz w:val="22"/>
          <w:szCs w:val="22"/>
        </w:rPr>
        <w:t xml:space="preserve">Each of these areas has relevance for the current study, as the first captures the characteristics and attitudes that impact adoption </w:t>
      </w:r>
      <w:r w:rsidR="003D1DD8" w:rsidRPr="00E97BC8">
        <w:rPr>
          <w:rFonts w:cs="Times New Roman"/>
          <w:sz w:val="22"/>
          <w:szCs w:val="22"/>
        </w:rPr>
        <w:t>intentions</w:t>
      </w:r>
      <w:r w:rsidR="00FA7B5D" w:rsidRPr="00E97BC8">
        <w:rPr>
          <w:rFonts w:cs="Times New Roman"/>
          <w:sz w:val="22"/>
          <w:szCs w:val="22"/>
        </w:rPr>
        <w:t xml:space="preserve"> and the second </w:t>
      </w:r>
      <w:r w:rsidR="008B1D07" w:rsidRPr="00E97BC8">
        <w:rPr>
          <w:rFonts w:cs="Times New Roman"/>
          <w:sz w:val="22"/>
          <w:szCs w:val="22"/>
        </w:rPr>
        <w:t>accounts for the</w:t>
      </w:r>
      <w:r w:rsidR="00FA7B5D" w:rsidRPr="00E97BC8">
        <w:rPr>
          <w:rFonts w:cs="Times New Roman"/>
          <w:sz w:val="22"/>
          <w:szCs w:val="22"/>
        </w:rPr>
        <w:t xml:space="preserve"> </w:t>
      </w:r>
      <w:r w:rsidR="003D1DD8" w:rsidRPr="00E97BC8">
        <w:rPr>
          <w:rFonts w:cs="Times New Roman"/>
          <w:sz w:val="22"/>
          <w:szCs w:val="22"/>
        </w:rPr>
        <w:t xml:space="preserve">revealed </w:t>
      </w:r>
      <w:r w:rsidR="00D73F5F" w:rsidRPr="00E97BC8">
        <w:rPr>
          <w:rFonts w:cs="Times New Roman"/>
          <w:sz w:val="22"/>
          <w:szCs w:val="22"/>
        </w:rPr>
        <w:t xml:space="preserve">aggregate </w:t>
      </w:r>
      <w:r w:rsidR="00FA7B5D" w:rsidRPr="00E97BC8">
        <w:rPr>
          <w:rFonts w:cs="Times New Roman"/>
          <w:sz w:val="22"/>
          <w:szCs w:val="22"/>
        </w:rPr>
        <w:t xml:space="preserve">behaviors of EV owners. </w:t>
      </w:r>
      <w:bookmarkStart w:id="3" w:name="_Hlk198719223"/>
      <w:bookmarkStart w:id="4" w:name="_Hlk199927790"/>
      <w:r w:rsidR="002D430F" w:rsidRPr="00E97BC8">
        <w:rPr>
          <w:rFonts w:cs="Times New Roman"/>
          <w:sz w:val="22"/>
          <w:szCs w:val="22"/>
        </w:rPr>
        <w:t xml:space="preserve">Additionally, </w:t>
      </w:r>
      <w:r w:rsidR="00210995" w:rsidRPr="00E97BC8">
        <w:rPr>
          <w:rFonts w:cs="Times New Roman"/>
          <w:sz w:val="22"/>
          <w:szCs w:val="22"/>
        </w:rPr>
        <w:t xml:space="preserve">while there are many ways that </w:t>
      </w:r>
      <w:r w:rsidRPr="00E97BC8">
        <w:rPr>
          <w:rFonts w:cs="Times New Roman"/>
          <w:sz w:val="22"/>
          <w:szCs w:val="22"/>
        </w:rPr>
        <w:t xml:space="preserve">determinant </w:t>
      </w:r>
      <w:r w:rsidR="00A05223" w:rsidRPr="00E97BC8">
        <w:rPr>
          <w:rFonts w:cs="Times New Roman"/>
          <w:sz w:val="22"/>
          <w:szCs w:val="22"/>
        </w:rPr>
        <w:t xml:space="preserve">variables have been grouped in </w:t>
      </w:r>
      <w:r w:rsidR="003D1DD8" w:rsidRPr="00E97BC8">
        <w:rPr>
          <w:rFonts w:cs="Times New Roman"/>
          <w:sz w:val="22"/>
          <w:szCs w:val="22"/>
        </w:rPr>
        <w:t>existing EV adoption studies</w:t>
      </w:r>
      <w:r w:rsidR="00A05223" w:rsidRPr="00E97BC8">
        <w:rPr>
          <w:rFonts w:cs="Times New Roman"/>
          <w:sz w:val="22"/>
          <w:szCs w:val="22"/>
        </w:rPr>
        <w:t xml:space="preserve">, we do so in a specific way </w:t>
      </w:r>
      <w:r w:rsidRPr="00E97BC8">
        <w:rPr>
          <w:rFonts w:cs="Times New Roman"/>
          <w:sz w:val="22"/>
          <w:szCs w:val="22"/>
        </w:rPr>
        <w:t xml:space="preserve">by grouping into four categories </w:t>
      </w:r>
      <w:r w:rsidR="00A05223" w:rsidRPr="00E97BC8">
        <w:rPr>
          <w:rFonts w:cs="Times New Roman"/>
          <w:sz w:val="22"/>
          <w:szCs w:val="22"/>
        </w:rPr>
        <w:t xml:space="preserve">that </w:t>
      </w:r>
      <w:r w:rsidR="006251F0" w:rsidRPr="00E97BC8">
        <w:rPr>
          <w:rFonts w:cs="Times New Roman"/>
          <w:sz w:val="22"/>
          <w:szCs w:val="22"/>
        </w:rPr>
        <w:t>highlight the importance of individual attitudes and perceptions</w:t>
      </w:r>
      <w:r w:rsidRPr="00E97BC8">
        <w:rPr>
          <w:rFonts w:cs="Times New Roman"/>
          <w:sz w:val="22"/>
          <w:szCs w:val="22"/>
        </w:rPr>
        <w:t>:</w:t>
      </w:r>
      <w:r w:rsidR="007A66F7" w:rsidRPr="00E97BC8">
        <w:rPr>
          <w:rFonts w:cs="Times New Roman"/>
          <w:sz w:val="22"/>
          <w:szCs w:val="22"/>
        </w:rPr>
        <w:t xml:space="preserve"> </w:t>
      </w:r>
      <w:r w:rsidR="002D430F" w:rsidRPr="00E97BC8">
        <w:rPr>
          <w:rFonts w:cs="Times New Roman"/>
          <w:sz w:val="22"/>
          <w:szCs w:val="22"/>
        </w:rPr>
        <w:t xml:space="preserve">(1) </w:t>
      </w:r>
      <w:r w:rsidRPr="00E97BC8">
        <w:rPr>
          <w:rFonts w:cs="Times New Roman"/>
          <w:sz w:val="22"/>
          <w:szCs w:val="22"/>
        </w:rPr>
        <w:t xml:space="preserve">psychological factors, (2) </w:t>
      </w:r>
      <w:r w:rsidR="002D430F" w:rsidRPr="00E97BC8">
        <w:rPr>
          <w:rFonts w:cs="Times New Roman"/>
          <w:sz w:val="22"/>
          <w:szCs w:val="22"/>
        </w:rPr>
        <w:t>contextual</w:t>
      </w:r>
      <w:r w:rsidR="001656BB" w:rsidRPr="00E97BC8">
        <w:rPr>
          <w:rFonts w:cs="Times New Roman"/>
          <w:sz w:val="22"/>
          <w:szCs w:val="22"/>
        </w:rPr>
        <w:t xml:space="preserve"> (or </w:t>
      </w:r>
      <w:r w:rsidR="002647C6" w:rsidRPr="00E97BC8">
        <w:rPr>
          <w:rFonts w:cs="Times New Roman"/>
          <w:sz w:val="22"/>
          <w:szCs w:val="22"/>
        </w:rPr>
        <w:t>political/</w:t>
      </w:r>
      <w:r w:rsidR="001656BB" w:rsidRPr="00E97BC8">
        <w:rPr>
          <w:rFonts w:cs="Times New Roman"/>
          <w:sz w:val="22"/>
          <w:szCs w:val="22"/>
        </w:rPr>
        <w:t>structural)</w:t>
      </w:r>
      <w:r w:rsidR="002D430F" w:rsidRPr="00E97BC8">
        <w:rPr>
          <w:rFonts w:cs="Times New Roman"/>
          <w:sz w:val="22"/>
          <w:szCs w:val="22"/>
        </w:rPr>
        <w:t xml:space="preserve"> factors, (</w:t>
      </w:r>
      <w:r w:rsidRPr="00E97BC8">
        <w:rPr>
          <w:rFonts w:cs="Times New Roman"/>
          <w:sz w:val="22"/>
          <w:szCs w:val="22"/>
        </w:rPr>
        <w:t>3</w:t>
      </w:r>
      <w:r w:rsidR="002D430F" w:rsidRPr="00E97BC8">
        <w:rPr>
          <w:rFonts w:cs="Times New Roman"/>
          <w:sz w:val="22"/>
          <w:szCs w:val="22"/>
        </w:rPr>
        <w:t xml:space="preserve">) </w:t>
      </w:r>
      <w:r w:rsidR="00BB7518" w:rsidRPr="00E97BC8">
        <w:rPr>
          <w:rFonts w:cs="Times New Roman"/>
          <w:sz w:val="22"/>
          <w:szCs w:val="22"/>
        </w:rPr>
        <w:t xml:space="preserve">technological </w:t>
      </w:r>
      <w:r w:rsidR="00E92CE5" w:rsidRPr="00E97BC8">
        <w:rPr>
          <w:rFonts w:cs="Times New Roman"/>
          <w:sz w:val="22"/>
          <w:szCs w:val="22"/>
        </w:rPr>
        <w:t xml:space="preserve">(or </w:t>
      </w:r>
      <w:r w:rsidR="00BB7518" w:rsidRPr="00E97BC8">
        <w:rPr>
          <w:rFonts w:cs="Times New Roman"/>
          <w:sz w:val="22"/>
          <w:szCs w:val="22"/>
        </w:rPr>
        <w:t>situational</w:t>
      </w:r>
      <w:r w:rsidR="00E92CE5" w:rsidRPr="00E97BC8">
        <w:rPr>
          <w:rFonts w:cs="Times New Roman"/>
          <w:sz w:val="22"/>
          <w:szCs w:val="22"/>
        </w:rPr>
        <w:t>)</w:t>
      </w:r>
      <w:r w:rsidR="002D430F" w:rsidRPr="00E97BC8">
        <w:rPr>
          <w:rFonts w:cs="Times New Roman"/>
          <w:sz w:val="22"/>
          <w:szCs w:val="22"/>
        </w:rPr>
        <w:t xml:space="preserve"> factors, and (</w:t>
      </w:r>
      <w:r w:rsidRPr="00E97BC8">
        <w:rPr>
          <w:rFonts w:cs="Times New Roman"/>
          <w:sz w:val="22"/>
          <w:szCs w:val="22"/>
        </w:rPr>
        <w:t>4</w:t>
      </w:r>
      <w:r w:rsidR="002D430F" w:rsidRPr="00E97BC8">
        <w:rPr>
          <w:rFonts w:cs="Times New Roman"/>
          <w:sz w:val="22"/>
          <w:szCs w:val="22"/>
        </w:rPr>
        <w:t>)</w:t>
      </w:r>
      <w:r w:rsidR="009B6B9C" w:rsidRPr="00E97BC8">
        <w:rPr>
          <w:rFonts w:cs="Times New Roman"/>
          <w:sz w:val="22"/>
          <w:szCs w:val="22"/>
        </w:rPr>
        <w:t xml:space="preserve"> demographic factors</w:t>
      </w:r>
      <w:r w:rsidR="00B94818" w:rsidRPr="00E97BC8">
        <w:rPr>
          <w:rFonts w:cs="Times New Roman"/>
          <w:sz w:val="22"/>
          <w:szCs w:val="22"/>
        </w:rPr>
        <w:t xml:space="preserve">. This </w:t>
      </w:r>
      <w:r w:rsidR="00AD4DD9" w:rsidRPr="00E97BC8">
        <w:rPr>
          <w:rFonts w:cs="Times New Roman"/>
          <w:sz w:val="22"/>
          <w:szCs w:val="22"/>
        </w:rPr>
        <w:t>grouping</w:t>
      </w:r>
      <w:r w:rsidR="00B94818" w:rsidRPr="00E97BC8">
        <w:rPr>
          <w:rFonts w:cs="Times New Roman"/>
          <w:sz w:val="22"/>
          <w:szCs w:val="22"/>
        </w:rPr>
        <w:t xml:space="preserve"> is consistent with </w:t>
      </w:r>
      <w:r w:rsidR="00AD4DD9" w:rsidRPr="00E97BC8">
        <w:rPr>
          <w:rFonts w:cs="Times New Roman"/>
          <w:sz w:val="22"/>
          <w:szCs w:val="22"/>
        </w:rPr>
        <w:t xml:space="preserve">those </w:t>
      </w:r>
      <w:r w:rsidR="00B94818" w:rsidRPr="00E97BC8">
        <w:rPr>
          <w:rFonts w:cs="Times New Roman"/>
          <w:sz w:val="22"/>
          <w:szCs w:val="22"/>
        </w:rPr>
        <w:t>used in several existing EV studies</w:t>
      </w:r>
      <w:r w:rsidR="007510A2" w:rsidRPr="00E97BC8">
        <w:rPr>
          <w:rFonts w:cs="Times New Roman"/>
          <w:sz w:val="22"/>
          <w:szCs w:val="22"/>
        </w:rPr>
        <w:t xml:space="preserve"> </w:t>
      </w:r>
      <w:r w:rsidR="007510A2" w:rsidRPr="00E97BC8">
        <w:rPr>
          <w:rFonts w:cs="Times New Roman"/>
          <w:sz w:val="22"/>
          <w:szCs w:val="22"/>
        </w:rPr>
        <w:fldChar w:fldCharType="begin"/>
      </w:r>
      <w:r w:rsidR="005A775A" w:rsidRPr="00E97BC8">
        <w:rPr>
          <w:rFonts w:cs="Times New Roman"/>
          <w:sz w:val="22"/>
          <w:szCs w:val="22"/>
        </w:rPr>
        <w:instrText xml:space="preserve"> ADDIN ZOTERO_ITEM CSL_CITATION {"citationID":"ysmAxIBU","properties":{"formattedCitation":"(Li et al., 2017; Singh et al., 2020)","plainCitation":"(Li et al., 2017; Singh et al., 2020)","dontUpdate":true,"noteIndex":0},"citationItems":[{"id":2641,"uris":["http://zotero.org/users/12832277/items/QBJWBNMI"],"itemData":{"id":2641,"type":"article-journal","abstract":"Despite reducing environmental pollution and the excessive consumption of fossil fuels, the number of battery electric vehicles (BEVs) on the road is still low. Why is this so? Why is the mass adoption of BEVs so difficult to realize? One important reason is that the adoption of BEVs is, to a large extent, dependent on the acceptance of private consumers, and their willingness to adopt this mode of transport is insufficient. This study is a systematic overview of peer-reviewed journal articles to identify the reasons for and against consumer intentions to adopt BEVs. A total of 1846 papers were retrieved and after a two-step identification, 40 papers were finally identified and analyzed in detail. The influencing factors were categorized into three main types, namely demographic, situational and psychological, and they were reviewed separately. In addition, the shortcomings and deficiencies in the current studies were also noted.","container-title":"Renewable and Sustainable Energy Reviews","DOI":"10.1016/j.rser.2017.04.076","ISSN":"1364-0321","page":"318-328","source":"ScienceDirect","title":"A Review of Factors Influencing Consumer Intentions to Adopt Battery Electric Vehicles","volume":"78","author":[{"family":"Li","given":"Wenbo"},{"family":"Long","given":"Ruyin"},{"family":"Chen","given":"Hong"},{"family":"Geng","given":"Jichao"}],"issued":{"date-parts":[["2017",10,1]]}}},{"id":1458,"uris":["http://zotero.org/users/12832277/items/NB2AU3AR"],"itemData":{"id":1458,"type":"article-journal","abstract":"The deployment of electric vehicles (EVs) may mitigate major issues such as environmental pollution and dependence on oil. However, the current market penetration of EV is still at the nascent stage despite many governments employing dynamic advertising policies. This paper empirically investigates the factors influencing a consumer’s intention to adopt an EV. A total of 211 peer-reviewed research articles published between 2009 and 2019 covering the main cate­ gories consumer intentions – adoption intention, purchase intention, behavioural intention, and usage intention, – were selected. This study categorises influential factors, into four main types, namely demographic, situational, contextual, and psychological. A comprehensive overview of the theoretical perspectives was also developed to understand adoption behaviour and a con­ sumer’s intentions towards EVs. The findings provide the most common research methodology employed for testing, analysing and comparing the relations among EV factors. A simple metaanalysis shows that the trend of studies on the influencing factors for adopting EVs has increased significantly over the past decade. Finally, this review study has managerial implications and shows future directions for EV researchers and practitioners that may help governments and the automobile industry to increase the usage share of EVs.","container-title":"Transportation Research Part D: Transport and Environment","DOI":"10.1016/j.trd.2020.102436","ISSN":"13619209","language":"en","source":"DOI.org (Crossref)","title":"A Review and Simple Meta-Analysis of Factors Influencing Adoption of Electric Vehicles","URL":"https://linkinghub.elsevier.com/retrieve/pii/S1361920920306234","volume":"86","author":[{"family":"Singh","given":"Virender"},{"family":"Singh","given":"Vedant"},{"family":"Vaibhav","given":"S."}],"accessed":{"date-parts":[["2023",12,1]]},"issued":{"date-parts":[["2020",9]]}}}],"schema":"https://github.com/citation-style-language/schema/raw/master/csl-citation.json"} </w:instrText>
      </w:r>
      <w:r w:rsidR="007510A2" w:rsidRPr="00E97BC8">
        <w:rPr>
          <w:rFonts w:cs="Times New Roman"/>
          <w:sz w:val="22"/>
          <w:szCs w:val="22"/>
        </w:rPr>
        <w:fldChar w:fldCharType="separate"/>
      </w:r>
      <w:r w:rsidR="007510A2" w:rsidRPr="00E97BC8">
        <w:rPr>
          <w:rFonts w:cs="Times New Roman"/>
          <w:sz w:val="22"/>
          <w:szCs w:val="22"/>
        </w:rPr>
        <w:t>(see Li et al., 2017; Singh et al., 2020 for comprehensive reviews using similar groupings of determinant variables)</w:t>
      </w:r>
      <w:r w:rsidR="007510A2" w:rsidRPr="00E97BC8">
        <w:rPr>
          <w:rFonts w:cs="Times New Roman"/>
          <w:sz w:val="22"/>
          <w:szCs w:val="22"/>
        </w:rPr>
        <w:fldChar w:fldCharType="end"/>
      </w:r>
      <w:r w:rsidR="0032075E" w:rsidRPr="00E97BC8">
        <w:rPr>
          <w:rFonts w:cs="Times New Roman"/>
          <w:sz w:val="22"/>
          <w:szCs w:val="22"/>
        </w:rPr>
        <w:t xml:space="preserve">. The framework also </w:t>
      </w:r>
      <w:r w:rsidR="00B94818" w:rsidRPr="00E97BC8">
        <w:rPr>
          <w:rFonts w:cs="Times New Roman"/>
          <w:sz w:val="22"/>
          <w:szCs w:val="22"/>
        </w:rPr>
        <w:t>align</w:t>
      </w:r>
      <w:r w:rsidR="0032075E" w:rsidRPr="00E97BC8">
        <w:rPr>
          <w:rFonts w:cs="Times New Roman"/>
          <w:sz w:val="22"/>
          <w:szCs w:val="22"/>
        </w:rPr>
        <w:t>s</w:t>
      </w:r>
      <w:r w:rsidR="00B94818" w:rsidRPr="00E97BC8">
        <w:rPr>
          <w:rFonts w:cs="Times New Roman"/>
          <w:sz w:val="22"/>
          <w:szCs w:val="22"/>
        </w:rPr>
        <w:t xml:space="preserve"> with the </w:t>
      </w:r>
      <w:r w:rsidR="00455D06" w:rsidRPr="00E97BC8">
        <w:rPr>
          <w:rFonts w:cs="Times New Roman"/>
          <w:sz w:val="22"/>
          <w:szCs w:val="22"/>
        </w:rPr>
        <w:t xml:space="preserve">Theory of Planned Behavior </w:t>
      </w:r>
      <w:bookmarkStart w:id="5" w:name="_Hlk200112557"/>
      <w:r w:rsidR="006C2A31" w:rsidRPr="00E97BC8">
        <w:rPr>
          <w:rFonts w:cs="Times New Roman"/>
          <w:sz w:val="22"/>
          <w:szCs w:val="22"/>
        </w:rPr>
        <w:fldChar w:fldCharType="begin"/>
      </w:r>
      <w:r w:rsidR="005A775A" w:rsidRPr="00E97BC8">
        <w:rPr>
          <w:rFonts w:cs="Times New Roman"/>
          <w:sz w:val="22"/>
          <w:szCs w:val="22"/>
        </w:rPr>
        <w:instrText xml:space="preserve"> ADDIN ZOTERO_ITEM CSL_CITATION {"citationID":"njkY9rd7","properties":{"formattedCitation":"(Ajzen, 1991)","plainCitation":"(Ajzen, 1991)","dontUpdate":true,"noteIndex":0},"citationItems":[{"id":3897,"uris":["http://zotero.org/users/12832277/items/GSE9IARC"],"itemData":{"id":3897,"type":"article-journal","container-title":"Organizational Behavior and Human Decision Processes","DOI":"https://doi.org/10.1016/0749-5978(91)90020-T","issue":"2","page":"179-211","source":"Google Scholar","title":"The Theory of Planned Behavior","volume":"50","author":[{"family":"Ajzen","given":"Icek"}],"issued":{"date-parts":[["1991"]]}}}],"schema":"https://github.com/citation-style-language/schema/raw/master/csl-citation.json"} </w:instrText>
      </w:r>
      <w:r w:rsidR="006C2A31" w:rsidRPr="00E97BC8">
        <w:rPr>
          <w:rFonts w:cs="Times New Roman"/>
          <w:sz w:val="22"/>
          <w:szCs w:val="22"/>
        </w:rPr>
        <w:fldChar w:fldCharType="separate"/>
      </w:r>
      <w:r w:rsidR="006C2A31" w:rsidRPr="00E97BC8">
        <w:rPr>
          <w:rFonts w:cs="Times New Roman"/>
          <w:sz w:val="22"/>
          <w:szCs w:val="22"/>
        </w:rPr>
        <w:t>(TPB; Ajzen, 1991)</w:t>
      </w:r>
      <w:r w:rsidR="006C2A31" w:rsidRPr="00E97BC8">
        <w:rPr>
          <w:rFonts w:cs="Times New Roman"/>
          <w:sz w:val="22"/>
          <w:szCs w:val="22"/>
        </w:rPr>
        <w:fldChar w:fldCharType="end"/>
      </w:r>
      <w:bookmarkEnd w:id="5"/>
      <w:r w:rsidR="00455D06" w:rsidRPr="00E97BC8">
        <w:rPr>
          <w:rFonts w:cs="Times New Roman"/>
          <w:sz w:val="22"/>
          <w:szCs w:val="22"/>
        </w:rPr>
        <w:t xml:space="preserve"> and the </w:t>
      </w:r>
      <w:r w:rsidR="00B94818" w:rsidRPr="00E97BC8">
        <w:rPr>
          <w:rFonts w:cs="Times New Roman"/>
          <w:sz w:val="22"/>
          <w:szCs w:val="22"/>
        </w:rPr>
        <w:t xml:space="preserve">Technology Acceptance Model </w:t>
      </w:r>
      <w:r w:rsidR="00B94818" w:rsidRPr="00E97BC8">
        <w:rPr>
          <w:rFonts w:cs="Times New Roman"/>
          <w:sz w:val="22"/>
          <w:szCs w:val="22"/>
        </w:rPr>
        <w:fldChar w:fldCharType="begin"/>
      </w:r>
      <w:r w:rsidR="005A775A" w:rsidRPr="00E97BC8">
        <w:rPr>
          <w:rFonts w:cs="Times New Roman"/>
          <w:sz w:val="22"/>
          <w:szCs w:val="22"/>
        </w:rPr>
        <w:instrText xml:space="preserve"> ADDIN ZOTERO_ITEM CSL_CITATION {"citationID":"a2avnagni1h","properties":{"formattedCitation":"(Davis, 1989; Venkatesh and Davis, 2000)","plainCitation":"(Davis, 1989; Venkatesh and Davis, 2000)","dontUpdate":true,"noteIndex":0},"citationItems":[{"id":3901,"uris":["http://zotero.org/users/12832277/items/SWACT4Z6"],"itemData":{"id":3901,"type":"article-journal","abstract":"Valid measurement scales for predicting user acceptance of computers are in short supply. Most subjective measures used in practice are unvalidated, and their relationship to system usage is unknown. The present research develops and validates new scales for two specific variables, perceived usefulness and perceived ease of use, which are hypothesized to be fundamental determinants of user acceptance. Definitions for these two variables were used to develop scale items that were pretested for content validity and then tested for reliability and construct validity in two studies involving a total of 152 users and four application programs. The measures were refined and stream-lined, resulting in two six-item scales with reliabilities of.98 for usefulness and.94 for ease of use. The scales exhibited high convergent, discriminant, and factorial validity. Perceived usefulness was significantly correlated with both self-reported current usage (r=.63, Study 1) and self-predicted future usage (r=.85, Study 2). Perceived ease of use was also significantly correlated with current usage (r=.45, Study 1) and future usage (r=.59, Study 2). In both studies, usefulness had a significantly greater correlation with usage behavior than did ease of use. Regression analyses suggest that perceived ease of use may actually be a causal antecedent to perceived usefulness, as opposed to a parallel, direct determinant of system usage. Implications are drawn for future research on user acceptance.","container-title":"MIS Quarterly","DOI":"10.2307/249008","ISSN":"0276-7783","issue":"3","note":"publisher: Management Information Systems Research Center, University of Minnesota","page":"319-340","source":"JSTOR","title":"Perceived Usefulness, Perceived Ease of Use, and User Acceptance of Information Technology","volume":"13","author":[{"family":"Davis","given":"Fred D."}],"issued":{"date-parts":[["1989"]]}}},{"id":3903,"uris":["http://zotero.org/users/12832277/items/B4G5YBJT"],"itemData":{"id":3903,"type":"article-journal","abstract":"The present research develops and tests a theoretical extension of the Technology Acceptance Model (TAM) that explains perceived usefulness and usage intentions in terms of social influence and cognitive instrumental processes. The extended model, referred to as TAM2, was tested using longitudinal data collected regarding four different systems at four organizations (N = 156), two involving voluntary usage and two involving mandatory usage. Model constructs were measured at three points in time at each organization: preimplementation, one month postimplementation, and three months postimplementation. The extended model was strongly supported for all four organizations at all three points of measurement, accounting for 40%–60% of the variance in usefulness perceptions and 34%–52% of the variance in usage intentions. Both social influence processes (subjective norm, voluntariness, and image) and cognitive instrumental processes (job relevance, output quality, result demonstrability, and perceived ease of use) significantly influenced user acceptance. These findings advance theory and contribute to the foundation for future research aimed at improving our understanding of user adoption behavior.","container-title":"Management Science","DOI":"10.1287/mnsc.46.2.186.11926","ISSN":"0025-1909","issue":"2","note":"publisher: INFORMS","page":"186-204","source":"pubsonline.informs.org (Atypon)","title":"A Theoretical Extension of the Technology Acceptance Model: Four Longitudinal Field Studies","volume":"46","author":[{"family":"Venkatesh","given":"Viswanath"},{"family":"Davis","given":"Fred D."}],"issued":{"date-parts":[["2000",2]]}}}],"schema":"https://github.com/citation-style-language/schema/raw/master/csl-citation.json"} </w:instrText>
      </w:r>
      <w:r w:rsidR="00B94818" w:rsidRPr="00E97BC8">
        <w:rPr>
          <w:rFonts w:cs="Times New Roman"/>
          <w:sz w:val="22"/>
          <w:szCs w:val="22"/>
        </w:rPr>
        <w:fldChar w:fldCharType="separate"/>
      </w:r>
      <w:r w:rsidR="00B94818" w:rsidRPr="00E97BC8">
        <w:rPr>
          <w:rFonts w:cs="Times New Roman"/>
          <w:kern w:val="0"/>
          <w:sz w:val="22"/>
          <w:szCs w:val="22"/>
        </w:rPr>
        <w:t>(</w:t>
      </w:r>
      <w:r w:rsidR="00455D06" w:rsidRPr="00E97BC8">
        <w:rPr>
          <w:rFonts w:cs="Times New Roman"/>
          <w:kern w:val="0"/>
          <w:sz w:val="22"/>
          <w:szCs w:val="22"/>
        </w:rPr>
        <w:t xml:space="preserve">TAM; </w:t>
      </w:r>
      <w:r w:rsidR="00B94818" w:rsidRPr="00E97BC8">
        <w:rPr>
          <w:rFonts w:cs="Times New Roman"/>
          <w:kern w:val="0"/>
          <w:sz w:val="22"/>
          <w:szCs w:val="22"/>
        </w:rPr>
        <w:t>Davis, 1989; Venkatesh and Davis, 2000)</w:t>
      </w:r>
      <w:r w:rsidR="00B94818" w:rsidRPr="00E97BC8">
        <w:rPr>
          <w:rFonts w:cs="Times New Roman"/>
          <w:sz w:val="22"/>
          <w:szCs w:val="22"/>
        </w:rPr>
        <w:fldChar w:fldCharType="end"/>
      </w:r>
      <w:r w:rsidR="00455D06" w:rsidRPr="00E97BC8">
        <w:rPr>
          <w:rFonts w:cs="Times New Roman"/>
          <w:sz w:val="22"/>
          <w:szCs w:val="22"/>
        </w:rPr>
        <w:t>. In particular, TPB identifies</w:t>
      </w:r>
      <w:r w:rsidR="002A6E1C" w:rsidRPr="00E97BC8">
        <w:rPr>
          <w:rFonts w:cs="Times New Roman"/>
          <w:sz w:val="22"/>
          <w:szCs w:val="22"/>
        </w:rPr>
        <w:t xml:space="preserve"> (a) </w:t>
      </w:r>
      <w:r w:rsidR="00455D06" w:rsidRPr="00E97BC8">
        <w:rPr>
          <w:rFonts w:cs="Times New Roman"/>
          <w:sz w:val="22"/>
          <w:szCs w:val="22"/>
        </w:rPr>
        <w:t>attitud</w:t>
      </w:r>
      <w:r w:rsidR="002A6E1C" w:rsidRPr="00E97BC8">
        <w:rPr>
          <w:rFonts w:cs="Times New Roman"/>
          <w:sz w:val="22"/>
          <w:szCs w:val="22"/>
        </w:rPr>
        <w:t>es toward a behavior</w:t>
      </w:r>
      <w:r w:rsidR="0032075E" w:rsidRPr="00E97BC8">
        <w:rPr>
          <w:rFonts w:cs="Times New Roman"/>
          <w:sz w:val="22"/>
          <w:szCs w:val="22"/>
        </w:rPr>
        <w:t xml:space="preserve">, which </w:t>
      </w:r>
      <w:r w:rsidR="00455D06" w:rsidRPr="00E97BC8">
        <w:rPr>
          <w:rFonts w:cs="Times New Roman"/>
          <w:sz w:val="22"/>
          <w:szCs w:val="22"/>
        </w:rPr>
        <w:t xml:space="preserve">are </w:t>
      </w:r>
      <w:r w:rsidR="0032075E" w:rsidRPr="00E97BC8">
        <w:rPr>
          <w:rFonts w:cs="Times New Roman"/>
          <w:sz w:val="22"/>
          <w:szCs w:val="22"/>
        </w:rPr>
        <w:t xml:space="preserve">well </w:t>
      </w:r>
      <w:r w:rsidR="00455D06" w:rsidRPr="00E97BC8">
        <w:rPr>
          <w:rFonts w:cs="Times New Roman"/>
          <w:sz w:val="22"/>
          <w:szCs w:val="22"/>
        </w:rPr>
        <w:t>aligned with the first set of “psychological factors” in our grouping</w:t>
      </w:r>
      <w:r w:rsidR="002A6E1C" w:rsidRPr="00E97BC8">
        <w:rPr>
          <w:rFonts w:cs="Times New Roman"/>
          <w:sz w:val="22"/>
          <w:szCs w:val="22"/>
        </w:rPr>
        <w:t xml:space="preserve">, and (b) </w:t>
      </w:r>
      <w:r w:rsidR="00455D06" w:rsidRPr="00E97BC8">
        <w:rPr>
          <w:rFonts w:cs="Times New Roman"/>
          <w:sz w:val="22"/>
          <w:szCs w:val="22"/>
        </w:rPr>
        <w:t xml:space="preserve">subjective norms or the general views of people, which </w:t>
      </w:r>
      <w:r w:rsidR="0032075E" w:rsidRPr="00E97BC8">
        <w:rPr>
          <w:rFonts w:cs="Times New Roman"/>
          <w:sz w:val="22"/>
          <w:szCs w:val="22"/>
        </w:rPr>
        <w:t xml:space="preserve">are </w:t>
      </w:r>
      <w:r w:rsidR="002A6E1C" w:rsidRPr="00E97BC8">
        <w:rPr>
          <w:rFonts w:cs="Times New Roman"/>
          <w:sz w:val="22"/>
          <w:szCs w:val="22"/>
        </w:rPr>
        <w:t>closely tied</w:t>
      </w:r>
      <w:r w:rsidR="00455D06" w:rsidRPr="00E97BC8">
        <w:rPr>
          <w:rFonts w:cs="Times New Roman"/>
          <w:sz w:val="22"/>
          <w:szCs w:val="22"/>
        </w:rPr>
        <w:t xml:space="preserve"> with our second set of “contextual</w:t>
      </w:r>
      <w:r w:rsidR="002A6E1C" w:rsidRPr="00E97BC8">
        <w:rPr>
          <w:rFonts w:cs="Times New Roman"/>
          <w:sz w:val="22"/>
          <w:szCs w:val="22"/>
        </w:rPr>
        <w:t xml:space="preserve"> factors</w:t>
      </w:r>
      <w:r w:rsidR="006C2A31" w:rsidRPr="00E97BC8">
        <w:rPr>
          <w:rFonts w:cs="Times New Roman"/>
          <w:sz w:val="22"/>
          <w:szCs w:val="22"/>
        </w:rPr>
        <w:t>.</w:t>
      </w:r>
      <w:r w:rsidR="002A6E1C" w:rsidRPr="00E97BC8">
        <w:rPr>
          <w:rFonts w:cs="Times New Roman"/>
          <w:sz w:val="22"/>
          <w:szCs w:val="22"/>
        </w:rPr>
        <w:t xml:space="preserve">” </w:t>
      </w:r>
      <w:r w:rsidR="0032075E" w:rsidRPr="00E97BC8">
        <w:rPr>
          <w:rFonts w:cs="Times New Roman"/>
          <w:sz w:val="22"/>
          <w:szCs w:val="22"/>
        </w:rPr>
        <w:t>Additionally, t</w:t>
      </w:r>
      <w:r w:rsidR="002A6E1C" w:rsidRPr="00E97BC8">
        <w:rPr>
          <w:rFonts w:cs="Times New Roman"/>
          <w:sz w:val="22"/>
          <w:szCs w:val="22"/>
        </w:rPr>
        <w:t xml:space="preserve">he TAM identifies perceived usefulness and perceived ease of use as important elements in technology adoption, </w:t>
      </w:r>
      <w:r w:rsidR="0032075E" w:rsidRPr="00E97BC8">
        <w:rPr>
          <w:rFonts w:cs="Times New Roman"/>
          <w:sz w:val="22"/>
          <w:szCs w:val="22"/>
        </w:rPr>
        <w:t xml:space="preserve">both of </w:t>
      </w:r>
      <w:r w:rsidR="002A6E1C" w:rsidRPr="00E97BC8">
        <w:rPr>
          <w:rFonts w:cs="Times New Roman"/>
          <w:sz w:val="22"/>
          <w:szCs w:val="22"/>
        </w:rPr>
        <w:t>which are closely tied to our third set of “technological</w:t>
      </w:r>
      <w:r w:rsidR="006C2A31" w:rsidRPr="00E97BC8">
        <w:rPr>
          <w:rFonts w:cs="Times New Roman"/>
          <w:sz w:val="22"/>
          <w:szCs w:val="22"/>
        </w:rPr>
        <w:t>”</w:t>
      </w:r>
      <w:r w:rsidR="002A6E1C" w:rsidRPr="00E97BC8">
        <w:rPr>
          <w:rFonts w:cs="Times New Roman"/>
          <w:sz w:val="22"/>
          <w:szCs w:val="22"/>
        </w:rPr>
        <w:t xml:space="preserve"> (or situational) factors. The last set of “demographic factors” are included because they influence attitudes, perceptions, and subjective norms, but also </w:t>
      </w:r>
      <w:r w:rsidR="0032075E" w:rsidRPr="00E97BC8">
        <w:rPr>
          <w:rFonts w:cs="Times New Roman"/>
          <w:sz w:val="22"/>
          <w:szCs w:val="22"/>
        </w:rPr>
        <w:t>because they serve as proxies for perceived behavior control</w:t>
      </w:r>
      <w:r w:rsidR="002A6E1C" w:rsidRPr="00E97BC8">
        <w:rPr>
          <w:rFonts w:cs="Times New Roman"/>
          <w:sz w:val="22"/>
          <w:szCs w:val="22"/>
        </w:rPr>
        <w:t xml:space="preserve"> </w:t>
      </w:r>
      <w:r w:rsidR="0032075E" w:rsidRPr="00E97BC8">
        <w:rPr>
          <w:rFonts w:cs="Times New Roman"/>
          <w:sz w:val="22"/>
          <w:szCs w:val="22"/>
        </w:rPr>
        <w:t xml:space="preserve">as identified by the TPB (that is, whether a new product/technology such as EVs is viewed as being within the technology skill set level for operation by an individual, which can itself depend on such demographic factors </w:t>
      </w:r>
      <w:r w:rsidR="00447013" w:rsidRPr="00E97BC8">
        <w:rPr>
          <w:rFonts w:cs="Times New Roman"/>
          <w:sz w:val="22"/>
          <w:szCs w:val="22"/>
        </w:rPr>
        <w:t xml:space="preserve">of the individual </w:t>
      </w:r>
      <w:r w:rsidR="0032075E" w:rsidRPr="00E97BC8">
        <w:rPr>
          <w:rFonts w:cs="Times New Roman"/>
          <w:sz w:val="22"/>
          <w:szCs w:val="22"/>
        </w:rPr>
        <w:t xml:space="preserve">as age, gender, income, and formal education level).  </w:t>
      </w:r>
      <w:bookmarkStart w:id="6" w:name="_Hlk198724450"/>
      <w:bookmarkEnd w:id="3"/>
      <w:r w:rsidR="0032075E" w:rsidRPr="00E97BC8">
        <w:rPr>
          <w:rFonts w:cs="Times New Roman"/>
          <w:sz w:val="22"/>
          <w:szCs w:val="22"/>
        </w:rPr>
        <w:t xml:space="preserve">Of course, we will also readily admit that </w:t>
      </w:r>
      <w:r w:rsidR="002E6E5C" w:rsidRPr="00E97BC8">
        <w:rPr>
          <w:rFonts w:cs="Times New Roman"/>
          <w:sz w:val="22"/>
          <w:szCs w:val="22"/>
        </w:rPr>
        <w:t xml:space="preserve">there is </w:t>
      </w:r>
      <w:r w:rsidR="0032075E" w:rsidRPr="00E97BC8">
        <w:rPr>
          <w:rFonts w:cs="Times New Roman"/>
          <w:sz w:val="22"/>
          <w:szCs w:val="22"/>
        </w:rPr>
        <w:t xml:space="preserve">some </w:t>
      </w:r>
      <w:r w:rsidR="002E6E5C" w:rsidRPr="00E97BC8">
        <w:rPr>
          <w:rFonts w:cs="Times New Roman"/>
          <w:sz w:val="22"/>
          <w:szCs w:val="22"/>
        </w:rPr>
        <w:t xml:space="preserve">overlap </w:t>
      </w:r>
      <w:r w:rsidR="0032075E" w:rsidRPr="00E97BC8">
        <w:rPr>
          <w:rFonts w:cs="Times New Roman"/>
          <w:sz w:val="22"/>
          <w:szCs w:val="22"/>
        </w:rPr>
        <w:t xml:space="preserve">in </w:t>
      </w:r>
      <w:r w:rsidR="002E6E5C" w:rsidRPr="00E97BC8">
        <w:rPr>
          <w:rFonts w:cs="Times New Roman"/>
          <w:sz w:val="22"/>
          <w:szCs w:val="22"/>
        </w:rPr>
        <w:t xml:space="preserve">the </w:t>
      </w:r>
      <w:r w:rsidR="0032075E" w:rsidRPr="00E97BC8">
        <w:rPr>
          <w:rFonts w:cs="Times New Roman"/>
          <w:sz w:val="22"/>
          <w:szCs w:val="22"/>
        </w:rPr>
        <w:t xml:space="preserve">four </w:t>
      </w:r>
      <w:r w:rsidR="002E6E5C" w:rsidRPr="00E97BC8">
        <w:rPr>
          <w:rFonts w:cs="Times New Roman"/>
          <w:sz w:val="22"/>
          <w:szCs w:val="22"/>
        </w:rPr>
        <w:t xml:space="preserve">categories of </w:t>
      </w:r>
      <w:r w:rsidR="00494171" w:rsidRPr="00E97BC8">
        <w:rPr>
          <w:rFonts w:cs="Times New Roman"/>
          <w:sz w:val="22"/>
          <w:szCs w:val="22"/>
        </w:rPr>
        <w:t>variables</w:t>
      </w:r>
      <w:r w:rsidR="002E6E5C" w:rsidRPr="00E97BC8">
        <w:rPr>
          <w:rFonts w:cs="Times New Roman"/>
          <w:sz w:val="22"/>
          <w:szCs w:val="22"/>
        </w:rPr>
        <w:t xml:space="preserve"> </w:t>
      </w:r>
      <w:r w:rsidR="0032075E" w:rsidRPr="00E97BC8">
        <w:rPr>
          <w:rFonts w:cs="Times New Roman"/>
          <w:sz w:val="22"/>
          <w:szCs w:val="22"/>
        </w:rPr>
        <w:t xml:space="preserve">identified </w:t>
      </w:r>
      <w:r w:rsidR="002E6E5C" w:rsidRPr="00E97BC8">
        <w:rPr>
          <w:rFonts w:cs="Times New Roman"/>
          <w:sz w:val="22"/>
          <w:szCs w:val="22"/>
        </w:rPr>
        <w:t xml:space="preserve">and close connections between the variables grouped into </w:t>
      </w:r>
      <w:r w:rsidR="0032075E" w:rsidRPr="00E97BC8">
        <w:rPr>
          <w:rFonts w:cs="Times New Roman"/>
          <w:sz w:val="22"/>
          <w:szCs w:val="22"/>
        </w:rPr>
        <w:t xml:space="preserve">the </w:t>
      </w:r>
      <w:r w:rsidR="002E6E5C" w:rsidRPr="00E97BC8">
        <w:rPr>
          <w:rFonts w:cs="Times New Roman"/>
          <w:sz w:val="22"/>
          <w:szCs w:val="22"/>
        </w:rPr>
        <w:t>four categories</w:t>
      </w:r>
      <w:r w:rsidR="00AD4DD9" w:rsidRPr="00E97BC8">
        <w:rPr>
          <w:rFonts w:cs="Times New Roman"/>
          <w:sz w:val="22"/>
          <w:szCs w:val="22"/>
        </w:rPr>
        <w:t>. B</w:t>
      </w:r>
      <w:r w:rsidR="0032075E" w:rsidRPr="00E97BC8">
        <w:rPr>
          <w:rFonts w:cs="Times New Roman"/>
          <w:sz w:val="22"/>
          <w:szCs w:val="22"/>
        </w:rPr>
        <w:t xml:space="preserve">ut </w:t>
      </w:r>
      <w:r w:rsidR="00AD4DD9" w:rsidRPr="00E97BC8">
        <w:rPr>
          <w:rFonts w:cs="Times New Roman"/>
          <w:sz w:val="22"/>
          <w:szCs w:val="22"/>
        </w:rPr>
        <w:t>our grouping</w:t>
      </w:r>
      <w:r w:rsidR="002E6E5C" w:rsidRPr="00E97BC8">
        <w:rPr>
          <w:rFonts w:cs="Times New Roman"/>
          <w:sz w:val="22"/>
          <w:szCs w:val="22"/>
        </w:rPr>
        <w:t xml:space="preserve"> provides a useful </w:t>
      </w:r>
      <w:r w:rsidR="0032075E" w:rsidRPr="00E97BC8">
        <w:rPr>
          <w:rFonts w:cs="Times New Roman"/>
          <w:sz w:val="22"/>
          <w:szCs w:val="22"/>
        </w:rPr>
        <w:t xml:space="preserve">structure </w:t>
      </w:r>
      <w:r w:rsidR="00494171" w:rsidRPr="00E97BC8">
        <w:rPr>
          <w:rFonts w:cs="Times New Roman"/>
          <w:sz w:val="22"/>
          <w:szCs w:val="22"/>
        </w:rPr>
        <w:t>to discuss the broad range of factors at play in EV adoption decisions</w:t>
      </w:r>
      <w:r w:rsidR="002E6E5C" w:rsidRPr="00E97BC8">
        <w:rPr>
          <w:rFonts w:cs="Times New Roman"/>
          <w:sz w:val="22"/>
          <w:szCs w:val="22"/>
        </w:rPr>
        <w:t xml:space="preserve">. </w:t>
      </w:r>
      <w:bookmarkEnd w:id="6"/>
    </w:p>
    <w:bookmarkEnd w:id="4"/>
    <w:p w14:paraId="2A4D27C6" w14:textId="77777777" w:rsidR="00447013" w:rsidRPr="00E97BC8" w:rsidRDefault="00447013" w:rsidP="00E85093">
      <w:pPr>
        <w:pStyle w:val="FootnoteText"/>
        <w:rPr>
          <w:rFonts w:cs="Times New Roman"/>
          <w:sz w:val="22"/>
          <w:szCs w:val="22"/>
        </w:rPr>
      </w:pPr>
    </w:p>
    <w:p w14:paraId="6C53FC33" w14:textId="7A8CB42D" w:rsidR="005D6D29" w:rsidRPr="00E97BC8" w:rsidRDefault="005D6D29" w:rsidP="00E85093">
      <w:pPr>
        <w:pStyle w:val="ListParagraph"/>
        <w:shd w:val="clear" w:color="auto" w:fill="FFFFFF"/>
        <w:spacing w:after="0" w:line="240" w:lineRule="auto"/>
        <w:ind w:left="0"/>
        <w:jc w:val="both"/>
        <w:rPr>
          <w:rFonts w:cs="Times New Roman"/>
          <w:b/>
          <w:bCs/>
          <w:sz w:val="22"/>
          <w:szCs w:val="22"/>
        </w:rPr>
      </w:pPr>
      <w:r w:rsidRPr="00E97BC8">
        <w:rPr>
          <w:rFonts w:cs="Times New Roman"/>
          <w:b/>
          <w:bCs/>
          <w:sz w:val="22"/>
          <w:szCs w:val="22"/>
        </w:rPr>
        <w:t>2.</w:t>
      </w:r>
      <w:r w:rsidR="0052226E" w:rsidRPr="00E97BC8">
        <w:rPr>
          <w:rFonts w:cs="Times New Roman"/>
          <w:b/>
          <w:bCs/>
          <w:sz w:val="22"/>
          <w:szCs w:val="22"/>
        </w:rPr>
        <w:t>1</w:t>
      </w:r>
      <w:r w:rsidRPr="00E97BC8">
        <w:rPr>
          <w:rFonts w:cs="Times New Roman"/>
          <w:b/>
          <w:bCs/>
          <w:sz w:val="22"/>
          <w:szCs w:val="22"/>
        </w:rPr>
        <w:t xml:space="preserve"> Individual Adoption Intentions</w:t>
      </w:r>
    </w:p>
    <w:p w14:paraId="615F8479" w14:textId="02C1C02B" w:rsidR="00FD2849" w:rsidRPr="00E97BC8" w:rsidRDefault="00FD2849" w:rsidP="00E85093">
      <w:pPr>
        <w:shd w:val="clear" w:color="auto" w:fill="FFFFFF"/>
        <w:spacing w:after="0" w:line="240" w:lineRule="auto"/>
        <w:jc w:val="both"/>
        <w:rPr>
          <w:rFonts w:cs="Times New Roman"/>
          <w:b/>
          <w:bCs/>
          <w:i/>
          <w:iCs/>
          <w:sz w:val="22"/>
          <w:szCs w:val="22"/>
        </w:rPr>
      </w:pPr>
      <w:bookmarkStart w:id="7" w:name="_Hlk198818682"/>
      <w:r w:rsidRPr="00E97BC8">
        <w:rPr>
          <w:rFonts w:cs="Times New Roman"/>
          <w:b/>
          <w:bCs/>
          <w:i/>
          <w:iCs/>
          <w:sz w:val="22"/>
          <w:szCs w:val="22"/>
        </w:rPr>
        <w:t>2.1.1 Psychological Factors</w:t>
      </w:r>
    </w:p>
    <w:p w14:paraId="286A0215" w14:textId="4250CEC1" w:rsidR="00FD2849" w:rsidRPr="00E97BC8" w:rsidRDefault="00195DA7" w:rsidP="00E85093">
      <w:pPr>
        <w:shd w:val="clear" w:color="auto" w:fill="FFFFFF"/>
        <w:spacing w:after="0" w:line="240" w:lineRule="auto"/>
        <w:jc w:val="both"/>
        <w:rPr>
          <w:rFonts w:cs="Times New Roman"/>
          <w:sz w:val="22"/>
          <w:szCs w:val="22"/>
        </w:rPr>
      </w:pPr>
      <w:r w:rsidRPr="00E97BC8">
        <w:rPr>
          <w:rFonts w:cs="Times New Roman"/>
          <w:sz w:val="22"/>
          <w:szCs w:val="22"/>
        </w:rPr>
        <w:t>R</w:t>
      </w:r>
      <w:r w:rsidR="00FD2849" w:rsidRPr="00E97BC8">
        <w:rPr>
          <w:rFonts w:cs="Times New Roman"/>
          <w:sz w:val="22"/>
          <w:szCs w:val="22"/>
        </w:rPr>
        <w:t xml:space="preserve">ecent research </w:t>
      </w:r>
      <w:r w:rsidR="00082482" w:rsidRPr="00E97BC8">
        <w:rPr>
          <w:rFonts w:cs="Times New Roman"/>
          <w:sz w:val="22"/>
          <w:szCs w:val="22"/>
        </w:rPr>
        <w:t xml:space="preserve">has </w:t>
      </w:r>
      <w:r w:rsidR="00FD2849" w:rsidRPr="00E97BC8">
        <w:rPr>
          <w:rFonts w:cs="Times New Roman"/>
          <w:sz w:val="22"/>
          <w:szCs w:val="22"/>
        </w:rPr>
        <w:t>suggest</w:t>
      </w:r>
      <w:r w:rsidR="00082482" w:rsidRPr="00E97BC8">
        <w:rPr>
          <w:rFonts w:cs="Times New Roman"/>
          <w:sz w:val="22"/>
          <w:szCs w:val="22"/>
        </w:rPr>
        <w:t>ed</w:t>
      </w:r>
      <w:r w:rsidR="00FD2849" w:rsidRPr="00E97BC8">
        <w:rPr>
          <w:rFonts w:cs="Times New Roman"/>
          <w:sz w:val="22"/>
          <w:szCs w:val="22"/>
        </w:rPr>
        <w:t xml:space="preserve"> that perceptions of EVs play a</w:t>
      </w:r>
      <w:r w:rsidRPr="00E97BC8">
        <w:rPr>
          <w:rFonts w:cs="Times New Roman"/>
          <w:sz w:val="22"/>
          <w:szCs w:val="22"/>
        </w:rPr>
        <w:t xml:space="preserve"> </w:t>
      </w:r>
      <w:r w:rsidR="00FD2849" w:rsidRPr="00E97BC8">
        <w:rPr>
          <w:rFonts w:cs="Times New Roman"/>
          <w:sz w:val="22"/>
          <w:szCs w:val="22"/>
        </w:rPr>
        <w:t xml:space="preserve">large role </w:t>
      </w:r>
      <w:r w:rsidRPr="00E97BC8">
        <w:rPr>
          <w:rFonts w:cs="Times New Roman"/>
          <w:sz w:val="22"/>
          <w:szCs w:val="22"/>
        </w:rPr>
        <w:t>in determining EV adoption, typically even more than objective EV factors</w:t>
      </w:r>
      <w:r w:rsidR="00FD2849" w:rsidRPr="00E97BC8">
        <w:rPr>
          <w:rFonts w:cs="Times New Roman"/>
          <w:sz w:val="22"/>
          <w:szCs w:val="22"/>
        </w:rPr>
        <w:t xml:space="preserve"> </w:t>
      </w:r>
      <w:r w:rsidR="00FD2849" w:rsidRPr="00E97BC8">
        <w:rPr>
          <w:rFonts w:cs="Times New Roman"/>
          <w:b/>
          <w:bCs/>
          <w:sz w:val="22"/>
          <w:szCs w:val="22"/>
        </w:rPr>
        <w:fldChar w:fldCharType="begin"/>
      </w:r>
      <w:r w:rsidR="00FD2849" w:rsidRPr="00E97BC8">
        <w:rPr>
          <w:rFonts w:cs="Times New Roman"/>
          <w:b/>
          <w:bCs/>
          <w:sz w:val="22"/>
          <w:szCs w:val="22"/>
        </w:rPr>
        <w:instrText xml:space="preserve"> ADDIN ZOTERO_ITEM CSL_CITATION {"citationID":"6rhlu4Wv","properties":{"unsorted":true,"formattedCitation":"(Zhang et al., 2022; Rye and Sintov, 2024; Pamidimukkala et al., 2024)","plainCitation":"(Zhang et al., 2022; Rye and Sintov, 2024; Pamidimukkala et al., 2024)","dontUpdate":true,"noteIndex":0},"citationItems":[{"id":2762,"uris":["http://zotero.org/users/12832277/items/GHNMJ7GR"],"itemData":{"id":2762,"type":"article-journal","abstract":"This research aims to explore the relationships between electric vehicle (EV)-related information (e.g., environmentally friendly information and performance and attribute information) and consumers’ perceptions (perceived value and perceived trust) of EVs and adoption intentions. Based on survey data from 343 respondents, this research indicated that environmentally friendly information and performance and attribute information regarding EVs are positively associated with consumers’ perceived value and perceived trust of EVs. However, the positive relationships between environmentally friendly information and performance and attribute information and consumers’ perceived value and perceived trust are dependent on information quality. Information quality positively moderates and strengthens the relationships between EV-related information and perceived value and perceived trust. In addition, perceived value and perceived trust are positively associated with consumers’ intentions to adopt EVs. On the basis of the research findings, policy implications and suggestions to further promote EVs are discussed.","container-title":"Transportation Research Part D: Transport and Environment","DOI":"10.1016/j.trd.2021.103157","ISSN":"1361-9209","source":"ScienceDirect","title":"Information Perspective for Understanding Consumers’ Perceptions of Electric Vehicles and Adoption Intentions","URL":"https://www.sciencedirect.com/science/article/pii/S1361920921004521","volume":"102","author":[{"family":"Zhang","given":"Wenliang"},{"family":"Wang","given":"Shanyong"},{"family":"Wan","given":"Liang"},{"family":"Zhang","given":"Zengtian"},{"family":"Zhao","given":"Dingtao"}],"accessed":{"date-parts":[["2024",2,28]]},"issued":{"date-parts":[["2022",1,1]]}}},{"id":2574,"uris":["http://zotero.org/users/12832277/items/4HJ8IF87"],"itemData":{"id":2574,"type":"article-journal","abstract":"Research examining electric vehicle (EV) adoption intent is growing, but neglects rideshare drivers (e.g., Uber &amp; Lyft), who drive up to 13% of all miles driven in metropolitan areas. This study uses Noppers’ framework on sustainable innovation adoption to compare rideshare drivers to commuters on symbolic and instrumental attribute (e.g., costs, maintenance) perceptions, and their influences on EV adoption intent. It is possible that rideshare drivers have stronger symbolic attribute ratings than commuters because more people see their vehicles for extended periods of time, so what the vehicle signals about drivers may be more salient to drivers; alternatively, because rideshare drivers use their vehicles for work, drivers may perceive vehicles in primarily instrumental terms. We test these competing hypotheses using a survey of 136 rideshare drivers and 378 commuters. Relative to commuters, rideshare drivers rated symbolic attributes higher and EV maintenance costs somewhat more favorably, but significantly fewer had access to a charging spot. A regression model found that both instrumental and symbolic attributes positively predicted EV adoption intent for both groups. Relative to commuters, symbolic attributes were weaker predictors of EV adoption intent among rideshare drivers, whereas instrumental attributes, particularly perceptions that the purchase cost of an EV was lower than that of a gasoline car, were stronger.","container-title":"Transportation Research Part A: Policy and Practice","DOI":"10.1016/j.tra.2023.103943","ISSN":"0965-8564","page":"103943","source":"ScienceDirect","title":"Predictors of Electric Vehicle Adoption Intent in Rideshare Drivers Relative to Commuters","volume":"179","author":[{"family":"Rye","given":"Jamie"},{"family":"Sintov","given":"Nicole D."}],"issued":{"date-parts":[["2024",1,1]]}}},{"id":2476,"uris":["http://zotero.org/users/12832277/items/BQR7JI3G"],"itemData":{"id":2476,"type":"article-journal","abstract":"Electric vehicles (EVs) have the potential to mitigate the severity of significant concerns including environmental pollution and reliance on fossil fuels; however, despite strong governmental promotional efforts, their market penetration is still at the nascent stage. This paper empirically investigates the factors that affect the consumers’ intention to adopt EVs by conducting an exhaustive literature review. The initial search resulted in 1,690 publications, but after a thorough exclusion process, 537 articles were deemed relevant and were sorted by source, publication year, country of origin, data collection method, and research domain. The results revealed the influential factors over individuals’ desire to adopt an EV were categorized into four main types (contextual, situational, demographic, and psychological); situational factors, that can act as both barriers and motivators, had the most influencing components. The most cited barriers to adoption of EVs were found to be the lack of charging stations availability and their limited driving range. The most cited motivators to EV adoption were found to be reduction in air pollution and the availability of policy incentives. The findings of this study may guide policymakers in formulating effective transportation and energy policies, as well as provide guidance to those who are responsible for designing EVs that fit the needs and demands of potential consumers.","container-title":"Green Energy and Intelligent Transportation","DOI":"10.1016/j.geits.2024.100153","ISSN":"2773-1537","source":"ScienceDirect","title":"Barriers and Motivators to the Adoption of Electric Vehicles: A Global Review","URL":"https://www.sciencedirect.com/science/article/pii/S2773153724000057","author":[{"family":"Pamidimukkala","given":"Apurva"},{"family":"Kermanshachi","given":"Sharareh"},{"family":"Rosenberger","given":"Jay Michael"},{"family":"Hladik","given":"Greg"}],"accessed":{"date-parts":[["2024",2,15]]},"issued":{"date-parts":[["2024",1,6]]}},"label":"page"}],"schema":"https://github.com/citation-style-language/schema/raw/master/csl-citation.json"} </w:instrText>
      </w:r>
      <w:r w:rsidR="00FD2849" w:rsidRPr="00E97BC8">
        <w:rPr>
          <w:rFonts w:cs="Times New Roman"/>
          <w:b/>
          <w:bCs/>
          <w:sz w:val="22"/>
          <w:szCs w:val="22"/>
        </w:rPr>
        <w:fldChar w:fldCharType="separate"/>
      </w:r>
      <w:r w:rsidR="00FD2849" w:rsidRPr="00E97BC8">
        <w:rPr>
          <w:rFonts w:cs="Times New Roman"/>
          <w:sz w:val="22"/>
          <w:szCs w:val="22"/>
        </w:rPr>
        <w:t>(see, for example, Zhang et al., 2022; Rye and Sintov, 2024; Pamidimukkala et al., 2024)</w:t>
      </w:r>
      <w:r w:rsidR="00FD2849" w:rsidRPr="00E97BC8">
        <w:rPr>
          <w:rFonts w:cs="Times New Roman"/>
          <w:b/>
          <w:bCs/>
          <w:sz w:val="22"/>
          <w:szCs w:val="22"/>
        </w:rPr>
        <w:fldChar w:fldCharType="end"/>
      </w:r>
      <w:r w:rsidRPr="00E97BC8">
        <w:rPr>
          <w:rFonts w:cs="Times New Roman"/>
          <w:sz w:val="22"/>
          <w:szCs w:val="22"/>
        </w:rPr>
        <w:t>,</w:t>
      </w:r>
      <w:r w:rsidR="00FD2849" w:rsidRPr="00E97BC8">
        <w:rPr>
          <w:rFonts w:cs="Times New Roman"/>
          <w:sz w:val="22"/>
          <w:szCs w:val="22"/>
        </w:rPr>
        <w:t xml:space="preserve"> </w:t>
      </w:r>
      <w:r w:rsidR="008641CA" w:rsidRPr="00E97BC8">
        <w:rPr>
          <w:rFonts w:cs="Times New Roman"/>
          <w:sz w:val="22"/>
          <w:szCs w:val="22"/>
        </w:rPr>
        <w:t xml:space="preserve">potentially </w:t>
      </w:r>
      <w:r w:rsidR="00FD2849" w:rsidRPr="00E97BC8">
        <w:rPr>
          <w:rFonts w:cs="Times New Roman"/>
          <w:sz w:val="22"/>
          <w:szCs w:val="22"/>
        </w:rPr>
        <w:t xml:space="preserve">resulting in misconceptions about the value of </w:t>
      </w:r>
      <w:r w:rsidRPr="00E97BC8">
        <w:rPr>
          <w:rFonts w:cs="Times New Roman"/>
          <w:sz w:val="22"/>
          <w:szCs w:val="22"/>
        </w:rPr>
        <w:t xml:space="preserve">EVs </w:t>
      </w:r>
      <w:r w:rsidR="00FD2849" w:rsidRPr="00E97BC8">
        <w:rPr>
          <w:rFonts w:cs="Times New Roman"/>
          <w:sz w:val="22"/>
          <w:szCs w:val="22"/>
        </w:rPr>
        <w:fldChar w:fldCharType="begin"/>
      </w:r>
      <w:r w:rsidR="00FD2849" w:rsidRPr="00E97BC8">
        <w:rPr>
          <w:rFonts w:cs="Times New Roman"/>
          <w:sz w:val="22"/>
          <w:szCs w:val="22"/>
        </w:rPr>
        <w:instrText xml:space="preserve"> ADDIN ZOTERO_ITEM CSL_CITATION {"citationID":"FeRdssS6","properties":{"unsorted":true,"formattedCitation":"(Junquera et al., 2016; He et al., 2018)","plainCitation":"(Junquera et al., 2016; He et al., 2018)","noteIndex":0},"citationItems":[{"id":2635,"uris":["http://zotero.org/users/12832277/items/FSZZ5K2B"],"itemData":{"id":2635,"type":"article-journal","abstract":"The history of the automotive industry was initially linked to electricity. However, the combustion engines would become the dominant paradigm later. Nowadays, because of several factors, the automotive industry has been researched on electric vehicles (EVs) for several decades, although this industry will have to overcome important obstacles to commercialise this kind of vehicles efficiently. In this context, the main aim of this paper is to discover to what extent some issues are key to explain consumers' willingness to buy an electric vehicle. We focus on consumers' perceptions about technical specifications of electric cars, such as charging times, consumers' perception of the price of the electric vehicle, driving range and drivers' ages, among others. We design a survey in order to obtain some factors linked to consumers' profile which are later crossed with their expectations to buy an electric vehicle. A logistic regression analysis was conducted to explain the willingness to buy an electric car by using the information of 1245 Spanish respondents. Our results indicate that the higher a consumer's perception of the price of electric vehicles and the longer charging times are, the less a consumer's willingness to buy a new electric car is. The results are useful to define key elements linked to the most appropriate industrial policy which helps companies promote the electric vehicle.","container-title":"Technological Forecasting and Social Change","DOI":"10.1016/j.techfore.2016.05.006","ISSN":"0040-1625","page":"6-14","source":"ScienceDirect","title":"Analyzing Consumer Attitudes Towards Electric Vehicle Purchasing Intentions in Spain: Technological Limitations and Vehicle Confidence","title-short":"Analyzing Consumer Attitudes Towards Electric Vehicle Purchasing Intentions in Spain","volume":"109","author":[{"family":"Junquera","given":"Beatriz"},{"family":"Moreno","given":"Blanca"},{"family":"Álvarez","given":"Roberto"}],"issued":{"date-parts":[["2016",8,1]]}}},{"id":2473,"uris":["http://zotero.org/users/12832277/items/ZQLPT8S6"],"itemData":{"id":2473,"type":"article-journal","abstract":"Electric vehicles (EVs) have been developed rapidly with the strong support of governments in recent years, but the market share of EVs is still small in China and the vast majority of Chinese consumers hesitate to adopt them. Thus, for the successful development of EVs, this paper proposes a personality-perception-intention framework to explore consumers' EV adoption behavior. The research model is empirically tested with data collected from 369 participants in China. Results indicate that the EV purchase intention can be explained 57.1% variance by consumer perception and personality. Two types of personality, such as personal innovativeness and environmental concern, significantly affect EV purchase intention directly. They are also significantly mediated by two kinds of perceptions (i.e. positive and negative utilities). The findings give a deeper understanding of EV adoption behavior, and provide recommendations for policymakers and manufacturers on promoting EVs.","container-title":"Journal of Cleaner Production","DOI":"10.1016/j.jclepro.2018.08.260","ISSN":"0959-6526","page":"1060-1069","source":"ScienceDirect","title":"Consumer Purchase Intention of Electric Vehicles in China: The Roles of Perception and Personality","title-short":"Consumer Purchase Intention of Electric Vehicles in China","volume":"204","author":[{"family":"He","given":"Xiuhong"},{"family":"Zhan","given":"Wenjie"},{"family":"Hu","given":"Yingying"}],"issued":{"date-parts":[["2018",12,10]]}}}],"schema":"https://github.com/citation-style-language/schema/raw/master/csl-citation.json"} </w:instrText>
      </w:r>
      <w:r w:rsidR="00FD2849" w:rsidRPr="00E97BC8">
        <w:rPr>
          <w:rFonts w:cs="Times New Roman"/>
          <w:sz w:val="22"/>
          <w:szCs w:val="22"/>
        </w:rPr>
        <w:fldChar w:fldCharType="separate"/>
      </w:r>
      <w:r w:rsidR="001E6A07" w:rsidRPr="00E97BC8">
        <w:rPr>
          <w:rFonts w:cs="Times New Roman"/>
          <w:sz w:val="22"/>
          <w:szCs w:val="22"/>
        </w:rPr>
        <w:t>(Junquera et al., 2016; He et al., 2018)</w:t>
      </w:r>
      <w:r w:rsidR="00FD2849" w:rsidRPr="00E97BC8">
        <w:rPr>
          <w:rFonts w:cs="Times New Roman"/>
          <w:sz w:val="22"/>
          <w:szCs w:val="22"/>
        </w:rPr>
        <w:fldChar w:fldCharType="end"/>
      </w:r>
      <w:r w:rsidR="00FD2849" w:rsidRPr="00E97BC8">
        <w:rPr>
          <w:rFonts w:cs="Times New Roman"/>
          <w:sz w:val="22"/>
          <w:szCs w:val="22"/>
        </w:rPr>
        <w:t xml:space="preserve">. For instance, </w:t>
      </w:r>
      <w:r w:rsidR="007A66F7" w:rsidRPr="00E97BC8">
        <w:rPr>
          <w:rFonts w:cs="Times New Roman"/>
          <w:sz w:val="22"/>
          <w:szCs w:val="22"/>
        </w:rPr>
        <w:t xml:space="preserve">studies </w:t>
      </w:r>
      <w:r w:rsidR="008F0947" w:rsidRPr="00E97BC8">
        <w:rPr>
          <w:rFonts w:cs="Times New Roman"/>
          <w:sz w:val="22"/>
          <w:szCs w:val="22"/>
        </w:rPr>
        <w:fldChar w:fldCharType="begin"/>
      </w:r>
      <w:r w:rsidR="008F0947" w:rsidRPr="00E97BC8">
        <w:rPr>
          <w:rFonts w:cs="Times New Roman"/>
          <w:sz w:val="22"/>
          <w:szCs w:val="22"/>
        </w:rPr>
        <w:instrText xml:space="preserve"> ADDIN ZOTERO_ITEM CSL_CITATION {"citationID":"DEeZcwRA","properties":{"formattedCitation":"(Ayetor et al., 2023; Rye and Sintov, 2024)","plainCitation":"(Ayetor et al., 2023; Rye and Sintov, 2024)","noteIndex":0},"citationItems":[{"id":2570,"uris":["http://zotero.org/users/12832277/items/8ZLXXIIZ"],"itemData":{"id":2570,"type":"article-journal","abstract":"Reducing ambient air pollution could potentially prevent 1790 deaths a year in Accra alone. Vehicular emissions are a major source of air pollution, especially (PM)2.5, and a transition to battery electric vehicles (BEVs) is considered a solution to this. This paper estimates the cost per mile of electric vehicles compared with internal combustion engine vehicles (ICEVs) based on the retail price, fuel/energy, depreciation, maintenance, insurance, taxes, and charging infrastructure in Ghana for 10 years. The 10-year costs per mile of the BEV are less than those of the ICEV by 9.4%–24%. The advantage is only after the seventh year, while before this the BEVs were more expensive to own. Total import tax contributes up to 20% of the BEV cost per mile. It costs 83% less to charge a BEV for a mile compared to fueling an ICEV. A significant rise in electricity tariffs is very likely to negatively affect the transition to e-mobility. We found the electricity tariff to be the most sensitive to the cost per mile of the BEV because, for every US$1 price increase in the cost per kWh, the cost per mile of the BEV increased by US$ 0.315. The results also showed that a transition to e-mobility could reduce CO2 emissions from transportation by 72%, NOx emissions by 79%, volatile organic compounds by 99%, and particulate matter by 56%. Future policy should target the removal of import tax on BEVs and their parts, especially high-voltage batteries.","container-title":"Transportation Research Record","DOI":"10.1177/03611981221135804","ISSN":"0361-1981","issue":"5","language":"en","note":"publisher: SAGE Publications Inc","page":"682-693","source":"SAGE Journals","title":"Comparing the Cost Per Mile of Electric Vehicles and Internal Combustion Engine Vehicles in Ghana","volume":"2677","author":[{"family":"Ayetor","given":"Godwin Kafui"},{"family":"Dzebre","given":"Denis Kwame Edem"},{"family":"Mensah","given":"Lena Dzifa"},{"family":"Boahen","given":"Samuel"},{"family":"Amoabeng","given":"Kofi Owura"},{"family":"Tay","given":"Godwin Fabiola Kwaku"}],"issued":{"date-parts":[["2023",5,1]]}}},{"id":2574,"uris":["http://zotero.org/users/12832277/items/4HJ8IF87"],"itemData":{"id":2574,"type":"article-journal","abstract":"Research examining electric vehicle (EV) adoption intent is growing, but neglects rideshare drivers (e.g., Uber &amp; Lyft), who drive up to 13% of all miles driven in metropolitan areas. This study uses Noppers’ framework on sustainable innovation adoption to compare rideshare drivers to commuters on symbolic and instrumental attribute (e.g., costs, maintenance) perceptions, and their influences on EV adoption intent. It is possible that rideshare drivers have stronger symbolic attribute ratings than commuters because more people see their vehicles for extended periods of time, so what the vehicle signals about drivers may be more salient to drivers; alternatively, because rideshare drivers use their vehicles for work, drivers may perceive vehicles in primarily instrumental terms. We test these competing hypotheses using a survey of 136 rideshare drivers and 378 commuters. Relative to commuters, rideshare drivers rated symbolic attributes higher and EV maintenance costs somewhat more favorably, but significantly fewer had access to a charging spot. A regression model found that both instrumental and symbolic attributes positively predicted EV adoption intent for both groups. Relative to commuters, symbolic attributes were weaker predictors of EV adoption intent among rideshare drivers, whereas instrumental attributes, particularly perceptions that the purchase cost of an EV was lower than that of a gasoline car, were stronger.","container-title":"Transportation Research Part A: Policy and Practice","DOI":"10.1016/j.tra.2023.103943","ISSN":"0965-8564","page":"103943","source":"ScienceDirect","title":"Predictors of Electric Vehicle Adoption Intent in Rideshare Drivers Relative to Commuters","volume":"179","author":[{"family":"Rye","given":"Jamie"},{"family":"Sintov","given":"Nicole D."}],"issued":{"date-parts":[["2024",1,1]]}}}],"schema":"https://github.com/citation-style-language/schema/raw/master/csl-citation.json"} </w:instrText>
      </w:r>
      <w:r w:rsidR="008F0947" w:rsidRPr="00E97BC8">
        <w:rPr>
          <w:rFonts w:cs="Times New Roman"/>
          <w:sz w:val="22"/>
          <w:szCs w:val="22"/>
        </w:rPr>
        <w:fldChar w:fldCharType="separate"/>
      </w:r>
      <w:r w:rsidR="001E6A07" w:rsidRPr="00E97BC8">
        <w:rPr>
          <w:rFonts w:cs="Times New Roman"/>
          <w:sz w:val="22"/>
          <w:szCs w:val="22"/>
        </w:rPr>
        <w:t>(Ayetor et al., 2023; Rye and Sintov, 2024)</w:t>
      </w:r>
      <w:r w:rsidR="008F0947" w:rsidRPr="00E97BC8">
        <w:rPr>
          <w:rFonts w:cs="Times New Roman"/>
          <w:sz w:val="22"/>
          <w:szCs w:val="22"/>
        </w:rPr>
        <w:fldChar w:fldCharType="end"/>
      </w:r>
      <w:r w:rsidR="007A66F7" w:rsidRPr="00E97BC8">
        <w:rPr>
          <w:rFonts w:cs="Times New Roman"/>
          <w:sz w:val="22"/>
          <w:szCs w:val="22"/>
        </w:rPr>
        <w:t xml:space="preserve"> </w:t>
      </w:r>
      <w:r w:rsidR="00E21AE3" w:rsidRPr="00E97BC8">
        <w:rPr>
          <w:rFonts w:cs="Times New Roman"/>
          <w:sz w:val="22"/>
          <w:szCs w:val="22"/>
        </w:rPr>
        <w:t xml:space="preserve">have </w:t>
      </w:r>
      <w:r w:rsidR="007A66F7" w:rsidRPr="00E97BC8">
        <w:rPr>
          <w:rFonts w:cs="Times New Roman"/>
          <w:sz w:val="22"/>
          <w:szCs w:val="22"/>
        </w:rPr>
        <w:t>indicate</w:t>
      </w:r>
      <w:r w:rsidR="00E21AE3" w:rsidRPr="00E97BC8">
        <w:rPr>
          <w:rFonts w:cs="Times New Roman"/>
          <w:sz w:val="22"/>
          <w:szCs w:val="22"/>
        </w:rPr>
        <w:t>d</w:t>
      </w:r>
      <w:r w:rsidR="007A66F7" w:rsidRPr="00E97BC8">
        <w:rPr>
          <w:rFonts w:cs="Times New Roman"/>
          <w:sz w:val="22"/>
          <w:szCs w:val="22"/>
        </w:rPr>
        <w:t xml:space="preserve"> that, for individuals who are not too knowledgeable about EV technology, there is a perception that EVs entail higher maintenance costs than ICEVs</w:t>
      </w:r>
      <w:r w:rsidR="00562848" w:rsidRPr="00E97BC8">
        <w:rPr>
          <w:rFonts w:cs="Times New Roman"/>
          <w:sz w:val="22"/>
          <w:szCs w:val="22"/>
        </w:rPr>
        <w:t xml:space="preserve">. In contrast, for those with specific knowledge about EV maintenance costs, the more objective reality of the </w:t>
      </w:r>
      <w:r w:rsidR="001B21A5" w:rsidRPr="00E97BC8">
        <w:rPr>
          <w:rFonts w:cs="Times New Roman"/>
          <w:sz w:val="22"/>
          <w:szCs w:val="22"/>
        </w:rPr>
        <w:t xml:space="preserve">economic competitiveness of </w:t>
      </w:r>
      <w:r w:rsidR="00562848" w:rsidRPr="00E97BC8">
        <w:rPr>
          <w:rFonts w:cs="Times New Roman"/>
          <w:sz w:val="22"/>
          <w:szCs w:val="22"/>
        </w:rPr>
        <w:t xml:space="preserve">EVs </w:t>
      </w:r>
      <w:r w:rsidR="001B21A5" w:rsidRPr="00E97BC8">
        <w:rPr>
          <w:rFonts w:cs="Times New Roman"/>
          <w:sz w:val="22"/>
          <w:szCs w:val="22"/>
        </w:rPr>
        <w:t xml:space="preserve">over the long run </w:t>
      </w:r>
      <w:r w:rsidR="00562848" w:rsidRPr="00E97BC8">
        <w:rPr>
          <w:rFonts w:cs="Times New Roman"/>
          <w:sz w:val="22"/>
          <w:szCs w:val="22"/>
        </w:rPr>
        <w:t>appear</w:t>
      </w:r>
      <w:r w:rsidR="001B21A5" w:rsidRPr="00E97BC8">
        <w:rPr>
          <w:rFonts w:cs="Times New Roman"/>
          <w:sz w:val="22"/>
          <w:szCs w:val="22"/>
        </w:rPr>
        <w:t>s</w:t>
      </w:r>
      <w:r w:rsidR="00562848" w:rsidRPr="00E97BC8">
        <w:rPr>
          <w:rFonts w:cs="Times New Roman"/>
          <w:sz w:val="22"/>
          <w:szCs w:val="22"/>
        </w:rPr>
        <w:t xml:space="preserve"> to contribute to EV adoption. </w:t>
      </w:r>
      <w:r w:rsidR="00FD2849" w:rsidRPr="00E97BC8">
        <w:rPr>
          <w:rFonts w:cs="Times New Roman"/>
          <w:sz w:val="22"/>
          <w:szCs w:val="22"/>
        </w:rPr>
        <w:t xml:space="preserve">Similarly, greater knowledge of EVs and practical experience with EV charging have been shown </w:t>
      </w:r>
      <w:r w:rsidR="00562848" w:rsidRPr="00E97BC8">
        <w:rPr>
          <w:rFonts w:cs="Times New Roman"/>
          <w:sz w:val="22"/>
          <w:szCs w:val="22"/>
        </w:rPr>
        <w:t xml:space="preserve">to </w:t>
      </w:r>
      <w:r w:rsidR="00FD2849" w:rsidRPr="00E97BC8">
        <w:rPr>
          <w:rFonts w:cs="Times New Roman"/>
          <w:sz w:val="22"/>
          <w:szCs w:val="22"/>
        </w:rPr>
        <w:t>improve attitudes towards EV adoption, particularly by helping alleviate range anxiety</w:t>
      </w:r>
      <w:r w:rsidR="001A4F69" w:rsidRPr="00E97BC8">
        <w:rPr>
          <w:rFonts w:cs="Times New Roman"/>
          <w:sz w:val="22"/>
          <w:szCs w:val="22"/>
        </w:rPr>
        <w:t>, which generally impacts perceptions of BEVs more so than PHEVs,</w:t>
      </w:r>
      <w:r w:rsidR="00FD2849" w:rsidRPr="00E97BC8">
        <w:rPr>
          <w:rFonts w:cs="Times New Roman"/>
          <w:sz w:val="22"/>
          <w:szCs w:val="22"/>
        </w:rPr>
        <w:t xml:space="preserve"> regardless of whether individuals live in areas with high or low public charging station availability </w:t>
      </w:r>
      <w:r w:rsidR="00FD2849" w:rsidRPr="00E97BC8">
        <w:rPr>
          <w:rFonts w:cs="Times New Roman"/>
          <w:sz w:val="22"/>
          <w:szCs w:val="22"/>
        </w:rPr>
        <w:fldChar w:fldCharType="begin"/>
      </w:r>
      <w:r w:rsidR="00FD2849" w:rsidRPr="00E97BC8">
        <w:rPr>
          <w:rFonts w:cs="Times New Roman"/>
          <w:sz w:val="22"/>
          <w:szCs w:val="22"/>
        </w:rPr>
        <w:instrText xml:space="preserve"> ADDIN ZOTERO_ITEM CSL_CITATION {"citationID":"uy9j4tzm","properties":{"formattedCitation":"(Ackaah et al., 2022; Ju and Hun Kim, 2022)","plainCitation":"(Ackaah et al., 2022; Ju and Hun Kim, 2022)","noteIndex":0},"citationItems":[{"id":2689,"uris":["http://zotero.org/users/12832277/items/39INFEK2"],"itemData":{"id":2689,"type":"article-journal","abstract":"Human activity has caused an increase in greenhouse gas emissions – the main cause of major changes in the environment. The transport sector contributes more than a quarter of these emissions. There are efforts, including electrification of the transport sector, underway to reduce these emissions. Ghana, in furtherance of these efforts, intends to introduce electric vehicles to help reduce emissions; but there is no research to understand the factors that influence consumers’ electric vehicle purchase intentions. To explain the purchase intentions, an expanded form of the Theory of Planned Behavior (TPB) was used. Descriptive statistics was used to analyze the demographic items. The constructs of the TPB were analyzed – the measurement model and structural model – using AMOS 23. The models satisfied the reliability, validity, and model fit requirements. Factors which influence intentions to purchase electric vehicles have been identified and recommendations given.","container-title":"Transportation Letters","DOI":"10.1080/19427867.2021.1990828","ISSN":"1942-7867","issue":"9","note":"publisher: Taylor &amp; Francis\n_eprint: https://doi.org/10.1080/19427867.2021.1990828","page":"1031-1042","source":"Taylor and Francis+NEJM","title":"Factors Influencing Consumers’ Intentions to Purchase Electric Vehicles in Ghana","volume":"14","author":[{"family":"Ackaah","given":"Williams"},{"family":"Kanton","given":"Augustus Terry"},{"family":"Osei","given":"Kwame Kwakwa"}],"issued":{"date-parts":[["2022",10,21]]}}},{"id":2771,"uris":["http://zotero.org/users/12832277/items/MFS6IK2T"],"itemData":{"id":2771,"type":"article-journal","abstract":"This study aimed to elucidate the relationship among consumers’ environmental concerns, perceived electric vehicle (EV) characteristics (advantages, risks, availability, cost), and resistance to EVs. Data were collected from an online panel targeting Korean and US millennial drivers (24–40 years) interested in EVs, and cross-cultural comparisons were conducted. A total of 592 valid survey responses were obtained, and a structural equation model (SEM) was used for an empirical analysis of the factors associated with EV resistance. The results suggest that consumers’ environmental concerns are related to perceived EV characteristics, excluding availability, and that this perception is associated with resistance to EV acceptance. The analysis results of the multi-group SEM indicate significant differences across countries in the relationships between environmental concerns, perceived EV characteristics, and consumers’ EV resistance. Researchers interested in EV marketing and the awareness of EVs and green motivations for EV adoption can use these findings for further studies.","container-title":"Transportation Research Part D: Transport and Environment","DOI":"10.1016/j.trd.2022.103387","ISSN":"1361-9209","source":"ScienceDirect","title":"Electric Vehicle Resistance from Korean and American Millennials: Environmental Concerns and Perception","URL":"https://www.sciencedirect.com/science/article/pii/S1361920922002152","volume":"109","author":[{"family":"Ju","given":"Naan"},{"family":"Hun Kim","given":"Seong"}],"accessed":{"date-parts":[["2024",2,28]]},"issued":{"date-parts":[["2022",8,1]]}}}],"schema":"https://github.com/citation-style-language/schema/raw/master/csl-citation.json"} </w:instrText>
      </w:r>
      <w:r w:rsidR="00FD2849" w:rsidRPr="00E97BC8">
        <w:rPr>
          <w:rFonts w:cs="Times New Roman"/>
          <w:sz w:val="22"/>
          <w:szCs w:val="22"/>
        </w:rPr>
        <w:fldChar w:fldCharType="separate"/>
      </w:r>
      <w:r w:rsidR="001E6A07" w:rsidRPr="00E97BC8">
        <w:rPr>
          <w:rFonts w:cs="Times New Roman"/>
          <w:sz w:val="22"/>
          <w:szCs w:val="22"/>
        </w:rPr>
        <w:t>(Ackaah et al., 2022; Ju and Hun Kim, 2022)</w:t>
      </w:r>
      <w:r w:rsidR="00FD2849" w:rsidRPr="00E97BC8">
        <w:rPr>
          <w:rFonts w:cs="Times New Roman"/>
          <w:sz w:val="22"/>
          <w:szCs w:val="22"/>
        </w:rPr>
        <w:fldChar w:fldCharType="end"/>
      </w:r>
      <w:r w:rsidR="00FD2849" w:rsidRPr="00E97BC8">
        <w:rPr>
          <w:rFonts w:cs="Times New Roman"/>
          <w:sz w:val="22"/>
          <w:szCs w:val="22"/>
        </w:rPr>
        <w:t>.</w:t>
      </w:r>
      <w:r w:rsidR="00C55868" w:rsidRPr="00E97BC8">
        <w:rPr>
          <w:rFonts w:cs="Times New Roman"/>
          <w:sz w:val="22"/>
          <w:szCs w:val="22"/>
        </w:rPr>
        <w:t xml:space="preserve"> Additionally, perceptions regarding non-ionizing radiation from electric vehicles </w:t>
      </w:r>
      <w:r w:rsidR="002E6E5C" w:rsidRPr="00E97BC8">
        <w:rPr>
          <w:rFonts w:cs="Times New Roman"/>
          <w:sz w:val="22"/>
          <w:szCs w:val="22"/>
        </w:rPr>
        <w:t>have</w:t>
      </w:r>
      <w:r w:rsidR="00C55868" w:rsidRPr="00E97BC8">
        <w:rPr>
          <w:rFonts w:cs="Times New Roman"/>
          <w:sz w:val="22"/>
          <w:szCs w:val="22"/>
        </w:rPr>
        <w:t xml:space="preserve"> </w:t>
      </w:r>
      <w:r w:rsidR="00C55868" w:rsidRPr="00E97BC8">
        <w:rPr>
          <w:rFonts w:cs="Times New Roman"/>
          <w:sz w:val="22"/>
          <w:szCs w:val="22"/>
        </w:rPr>
        <w:lastRenderedPageBreak/>
        <w:t xml:space="preserve">been shown to influence consumer choices, reducing intentions for </w:t>
      </w:r>
      <w:r w:rsidR="001A4F69" w:rsidRPr="00E97BC8">
        <w:rPr>
          <w:rFonts w:cs="Times New Roman"/>
          <w:sz w:val="22"/>
          <w:szCs w:val="22"/>
        </w:rPr>
        <w:t>PHEV</w:t>
      </w:r>
      <w:r w:rsidR="00C55868" w:rsidRPr="00E97BC8">
        <w:rPr>
          <w:rFonts w:cs="Times New Roman"/>
          <w:sz w:val="22"/>
          <w:szCs w:val="22"/>
        </w:rPr>
        <w:t xml:space="preserve"> adoption</w:t>
      </w:r>
      <w:r w:rsidR="002E6E5C" w:rsidRPr="00E97BC8">
        <w:rPr>
          <w:rFonts w:cs="Times New Roman"/>
          <w:sz w:val="22"/>
          <w:szCs w:val="22"/>
        </w:rPr>
        <w:t xml:space="preserve"> </w:t>
      </w:r>
      <w:r w:rsidR="002E6E5C" w:rsidRPr="00E97BC8">
        <w:rPr>
          <w:rFonts w:cs="Times New Roman"/>
          <w:sz w:val="22"/>
          <w:szCs w:val="22"/>
        </w:rPr>
        <w:fldChar w:fldCharType="begin"/>
      </w:r>
      <w:r w:rsidR="002E6E5C" w:rsidRPr="00E97BC8">
        <w:rPr>
          <w:rFonts w:cs="Times New Roman"/>
          <w:sz w:val="22"/>
          <w:szCs w:val="22"/>
        </w:rPr>
        <w:instrText xml:space="preserve"> ADDIN ZOTERO_ITEM CSL_CITATION {"citationID":"RnKBRG6f","properties":{"formattedCitation":"(Tchetchik et al., 2024)","plainCitation":"(Tchetchik et al., 2024)","noteIndex":0},"citationItems":[{"id":4582,"uris":["http://zotero.org/users/12832277/items/BWB6BIS8"],"itemData":{"id":4582,"type":"article-journal","abstract":"The growing market for hybrid electric vehicles (HEV) has raised concerns about the long-term impacts of non-ionizing radiation (NIR) exposure. This study is the first to address the impact of NIR on consumer choice between HEV and internal combustion engine (ICE) vehicles. We explore the hypothesis that NIR is associated with a lower probability of HEV choice in the presence of NIR information and the relative effect of NIR-health concerns versus environmental attitudes and driving norms. The data are collected from a stated choice experiment and estimated via a hybrid choice model. The results show that i NIR is associated with a lower choice probability of HEV, ii NIR-dread is associated with a higher probability of choosing ICE vehicles, while skepticism about NIR is associated with a higher probability of choosing HEV, iii prompting positively or negatively framed information about NIR discourages HEV choice compared to providing no information.","container-title":"Transportation Research Part D: Transport and Environment","DOI":"10.1016/j.trd.2024.104226","ISSN":"1361-9209","source":"ScienceDirect","title":"Do Non-Ionizing Radiation Concerns Affect People's Choice Between Hybrid and Traditional Cars?","URL":"https://www.sciencedirect.com/science/article/pii/S1361920924001834","volume":"131","author":[{"family":"Tchetchik","given":"Anat"},{"family":"Kaplan","given":"Sigal"},{"family":"Rotem-Mindali","given":"Orit"}],"accessed":{"date-parts":[["2025",5,21]]},"issued":{"date-parts":[["2024",6,1]]}}}],"schema":"https://github.com/citation-style-language/schema/raw/master/csl-citation.json"} </w:instrText>
      </w:r>
      <w:r w:rsidR="002E6E5C" w:rsidRPr="00E97BC8">
        <w:rPr>
          <w:rFonts w:cs="Times New Roman"/>
          <w:sz w:val="22"/>
          <w:szCs w:val="22"/>
        </w:rPr>
        <w:fldChar w:fldCharType="separate"/>
      </w:r>
      <w:r w:rsidR="002E6E5C" w:rsidRPr="00E97BC8">
        <w:rPr>
          <w:rFonts w:cs="Times New Roman"/>
          <w:sz w:val="22"/>
          <w:szCs w:val="22"/>
        </w:rPr>
        <w:t>(Tchetchik et al., 2024)</w:t>
      </w:r>
      <w:r w:rsidR="002E6E5C" w:rsidRPr="00E97BC8">
        <w:rPr>
          <w:rFonts w:cs="Times New Roman"/>
          <w:sz w:val="22"/>
          <w:szCs w:val="22"/>
        </w:rPr>
        <w:fldChar w:fldCharType="end"/>
      </w:r>
      <w:r w:rsidR="00C55868" w:rsidRPr="00E97BC8">
        <w:rPr>
          <w:rFonts w:cs="Times New Roman"/>
          <w:sz w:val="22"/>
          <w:szCs w:val="22"/>
        </w:rPr>
        <w:t>.</w:t>
      </w:r>
      <w:r w:rsidR="00FD2849" w:rsidRPr="00E97BC8">
        <w:rPr>
          <w:rFonts w:cs="Times New Roman"/>
          <w:sz w:val="22"/>
          <w:szCs w:val="22"/>
        </w:rPr>
        <w:t xml:space="preserve"> For these reasons, it is important to consider how individuals perceive EVs, not solely their objective characteristics</w:t>
      </w:r>
      <w:r w:rsidR="00094AB8" w:rsidRPr="00E97BC8">
        <w:rPr>
          <w:rFonts w:cs="Times New Roman"/>
          <w:sz w:val="22"/>
          <w:szCs w:val="22"/>
        </w:rPr>
        <w:t xml:space="preserve"> </w:t>
      </w:r>
      <w:r w:rsidR="00094AB8" w:rsidRPr="00E97BC8">
        <w:rPr>
          <w:rFonts w:cs="Times New Roman"/>
          <w:sz w:val="22"/>
          <w:szCs w:val="22"/>
        </w:rPr>
        <w:fldChar w:fldCharType="begin"/>
      </w:r>
      <w:r w:rsidR="00094AB8" w:rsidRPr="00E97BC8">
        <w:rPr>
          <w:rFonts w:cs="Times New Roman"/>
          <w:sz w:val="22"/>
          <w:szCs w:val="22"/>
        </w:rPr>
        <w:instrText xml:space="preserve"> ADDIN ZOTERO_ITEM CSL_CITATION {"citationID":"F3m1pY1m","properties":{"unsorted":true,"formattedCitation":"(Pradeep et al., 2021; Ayetor et al., 2023)","plainCitation":"(Pradeep et al., 2021; Ayetor et al., 2023)","noteIndex":0},"citationItems":[{"id":2751,"uris":["http://zotero.org/users/12832277/items/TGANZARQ"],"itemData":{"id":2751,"type":"article-journal","abstract":"Electric vehicles have been widely regarded as an alternative to conventional combustion fuel vehicles in reducing traffic emissions. In this study, an extended theory of planned behaviour has been proposed to study the factors that influence the adoption of battery electric vehicles in Indian context. Analysis has been performed using factor-based regression technique and results revealed that attitude is found to be the strongest predictor. Moreover, the impact of knowledge of maintenance and perceived technology was explored on purchase intention of Battery Electric Vehicle (BEV). Also, a mediation analysis has been performed to determine its significance. Results revealed that knowledge of maintenance did not have any direct effects, but showed significant indirect effects, whereas the perceived technology had a pronounced impact with significant direct and indirect effects on purchase intentions. Further, these results are beneficial to policymakers and transport planners in motivating the urban commuters towards a more sustainable transport mode.","container-title":"Transportation Research Part D: Transport and Environment","DOI":"10.1016/j.trd.2021.102759","ISSN":"1361-9209","source":"ScienceDirect","title":"Does Perceived Technology and Knowledge of Maintenance Influence Purchase Intention of BEVs","URL":"https://www.sciencedirect.com/science/article/pii/S1361920921000638","volume":"93","author":[{"family":"Pradeep","given":"Viyaluru Harinath"},{"family":"Amshala","given":"Vijay Teja"},{"family":"Raghuram Kadali","given":"B"}],"accessed":{"date-parts":[["2024",2,28]]},"issued":{"date-parts":[["2021",4,1]]}}},{"id":2570,"uris":["http://zotero.org/users/12832277/items/8ZLXXIIZ"],"itemData":{"id":2570,"type":"article-journal","abstract":"Reducing ambient air pollution could potentially prevent 1790 deaths a year in Accra alone. Vehicular emissions are a major source of air pollution, especially (PM)2.5, and a transition to battery electric vehicles (BEVs) is considered a solution to this. This paper estimates the cost per mile of electric vehicles compared with internal combustion engine vehicles (ICEVs) based on the retail price, fuel/energy, depreciation, maintenance, insurance, taxes, and charging infrastructure in Ghana for 10 years. The 10-year costs per mile of the BEV are less than those of the ICEV by 9.4%–24%. The advantage is only after the seventh year, while before this the BEVs were more expensive to own. Total import tax contributes up to 20% of the BEV cost per mile. It costs 83% less to charge a BEV for a mile compared to fueling an ICEV. A significant rise in electricity tariffs is very likely to negatively affect the transition to e-mobility. We found the electricity tariff to be the most sensitive to the cost per mile of the BEV because, for every US$1 price increase in the cost per kWh, the cost per mile of the BEV increased by US$ 0.315. The results also showed that a transition to e-mobility could reduce CO2 emissions from transportation by 72%, NOx emissions by 79%, volatile organic compounds by 99%, and particulate matter by 56%. Future policy should target the removal of import tax on BEVs and their parts, especially high-voltage batteries.","container-title":"Transportation Research Record","DOI":"10.1177/03611981221135804","ISSN":"0361-1981","issue":"5","language":"en","note":"publisher: SAGE Publications Inc","page":"682-693","source":"SAGE Journals","title":"Comparing the Cost Per Mile of Electric Vehicles and Internal Combustion Engine Vehicles in Ghana","volume":"2677","author":[{"family":"Ayetor","given":"Godwin Kafui"},{"family":"Dzebre","given":"Denis Kwame Edem"},{"family":"Mensah","given":"Lena Dzifa"},{"family":"Boahen","given":"Samuel"},{"family":"Amoabeng","given":"Kofi Owura"},{"family":"Tay","given":"Godwin Fabiola Kwaku"}],"issued":{"date-parts":[["2023",5,1]]}}}],"schema":"https://github.com/citation-style-language/schema/raw/master/csl-citation.json"} </w:instrText>
      </w:r>
      <w:r w:rsidR="00094AB8" w:rsidRPr="00E97BC8">
        <w:rPr>
          <w:rFonts w:cs="Times New Roman"/>
          <w:sz w:val="22"/>
          <w:szCs w:val="22"/>
        </w:rPr>
        <w:fldChar w:fldCharType="separate"/>
      </w:r>
      <w:r w:rsidR="001E6A07" w:rsidRPr="00E97BC8">
        <w:rPr>
          <w:rFonts w:cs="Times New Roman"/>
          <w:sz w:val="22"/>
          <w:szCs w:val="22"/>
        </w:rPr>
        <w:t>(Pradeep et al., 2021; Ayetor et al., 2023)</w:t>
      </w:r>
      <w:r w:rsidR="00094AB8" w:rsidRPr="00E97BC8">
        <w:rPr>
          <w:rFonts w:cs="Times New Roman"/>
          <w:sz w:val="22"/>
          <w:szCs w:val="22"/>
        </w:rPr>
        <w:fldChar w:fldCharType="end"/>
      </w:r>
      <w:r w:rsidR="001B21A5" w:rsidRPr="00E97BC8">
        <w:rPr>
          <w:rFonts w:cs="Times New Roman"/>
          <w:sz w:val="22"/>
          <w:szCs w:val="22"/>
        </w:rPr>
        <w:t>.</w:t>
      </w:r>
      <w:r w:rsidR="00FD2849" w:rsidRPr="00E97BC8">
        <w:rPr>
          <w:rFonts w:cs="Times New Roman"/>
          <w:sz w:val="22"/>
          <w:szCs w:val="22"/>
        </w:rPr>
        <w:t xml:space="preserve"> Beyond perceptions of EVs themselves, psychological and attitudinal characteristics (such as individual-level attitudes towards climate change, comfort with technology, and views of vehicle ownership) directly influence EV adoption intentions. </w:t>
      </w:r>
      <w:r w:rsidR="00C55868" w:rsidRPr="00E97BC8">
        <w:rPr>
          <w:rFonts w:cs="Times New Roman"/>
          <w:sz w:val="22"/>
          <w:szCs w:val="22"/>
        </w:rPr>
        <w:t>For instance, f</w:t>
      </w:r>
      <w:r w:rsidR="00FD2849" w:rsidRPr="00E97BC8">
        <w:rPr>
          <w:rFonts w:cs="Times New Roman"/>
          <w:sz w:val="22"/>
          <w:szCs w:val="22"/>
        </w:rPr>
        <w:t xml:space="preserve">eelings about the importance of sustainability are a crucial predictor of adoption, particularly due to the widespread portrayal of EVs as a climate change solution </w:t>
      </w:r>
      <w:r w:rsidR="00FD2849" w:rsidRPr="00E97BC8">
        <w:rPr>
          <w:rFonts w:cs="Times New Roman"/>
          <w:sz w:val="22"/>
          <w:szCs w:val="22"/>
        </w:rPr>
        <w:fldChar w:fldCharType="begin"/>
      </w:r>
      <w:r w:rsidR="00FD2849" w:rsidRPr="00E97BC8">
        <w:rPr>
          <w:rFonts w:cs="Times New Roman"/>
          <w:sz w:val="22"/>
          <w:szCs w:val="22"/>
        </w:rPr>
        <w:instrText xml:space="preserve"> ADDIN ZOTERO_ITEM CSL_CITATION {"citationID":"I2VsVZnq","properties":{"unsorted":true,"formattedCitation":"(Adnan et al., 2018; Zhang et al., 2018; Asadi et al., 2021; Kautish et al., 2024)","plainCitation":"(Adnan et al., 2018; Zhang et al., 2018; Asadi et al., 2021; Kautish et al., 2024)","noteIndex":0},"citationItems":[{"id":2451,"uris":["http://zotero.org/users/12832277/items/56HL3EK9"],"itemData":{"id":2451,"type":"article-journal","abstract":"Malaysia is amongst the major energy intense countries and is under an excessive burden to advance its energy efficiency and to also work towards the reduction of its carbon emission. Plug-in Hybrid Electric Vehicles (PHEVs) have the potential to lessen the carbon emission and gasoline consumption in order to alleviate environmental problems. Consequently, attempts are being initiated to popularise the use of PHEVs as the main mode of transportation. The diffusion of PHEV adoption is a positive initiative. A sample of 403 respondents has been collected from Malaysia in order to forecast the customer’s intention to adopt PHEVs by using the extended theory of planned behaviour. The empirical outcome using the PLS investigation exposed that all four constructs, subjective norm, personal moral norm, perceived behavioural control, and attitude ominously shows an indirect effect which has inclined towards the Malaysian consumers’ intention to adopt PHEVs. All these four major constructs were significantly predetermined by their respective environmental concern. Whereas, hyperbolic discounting moderated the relationship between intention and adoption. The fostering result verifies that the relevance of the extended TPB had a good explanatory power in the line of predicting the Malaysian consumers’ intention to adopt PHEVs. For future study, grounded by the observed outcome, authors explain the implication aimed at promoting the PHEV adoption.","container-title":"Transportation Research Part A: Policy and Practice","DOI":"10.1016/j.tra.2018.04.007","ISSN":"0965-8564","page":"259-278","source":"ScienceDirect","title":"What Make Consumer Sign up to PHEVs? Predicting Malaysian Consumer Behavior in Adoption of PHEVs","title-short":"What Make Consumer Sign up to Phevs?","volume":"113","author":[{"family":"Adnan","given":"Nadia"},{"family":"Md Nordin","given":"Shahrina"},{"family":"Hadi Amini","given":"M."},{"family":"Langove","given":"Naseebullah"}],"issued":{"date-parts":[["2018",7,1]]}}},{"id":1480,"uris":["http://zotero.org/users/12832277/items/LJJHZDAG"],"itemData":{"id":1480,"type":"article-journal","abstract":"Whether the subsidized adoption is sustainable largely depends on consumers' perceptions and motivation toward EVs purchase. In this study, we reveal the mechanism on how perceptions and motivation impact consumers' EV purchase intention. Based on the analysis of 264 respondents, we ﬁnd that perceived economic beneﬁts, perceived environmental beneﬁts, and perceived risks are correlated with each other. These perceptions can explain and predict attitudes towards EV purchase intention, thus playing primary roles in inﬂuencing EV adoption. We further ﬁnd that regulatory focus (i.e. promotionfocus versus prevention-focus) has profound impacts on perceptions and the constructs of the theory of planned behavior. Promotion-focused respondents are more sensitive to perceived environmental beneﬁts and more easily to form positive attitudes toward EV purchase, whereas the prevention-focused respondents are not. The ﬁndings can help policy-makers to make more effective adoption policy by emphasizing EV's environmental beneﬁts to consumers, and guide managers to more accurately activate consumers' purchase intention through the angles of perceptions and motivation.","container-title":"Journal of Cleaner Production","DOI":"10.1016/j.jclepro.2018.04.252","ISSN":"09596526","language":"en","page":"71-79","source":"DOI.org (Crossref)","title":"Is Subsidized Electric Vehicles Adoption Sustainable: Consumers’ Perceptions and Motivation Toward Incentive Policies, Environmental Benefits, and Risks","volume":"192","author":[{"family":"Zhang","given":"Xiang"},{"family":"Bai","given":"Xue"},{"family":"Shang","given":"Jennifer"}],"issued":{"date-parts":[["2018",8]]}}},{"id":2698,"uris":["http://zotero.org/users/12832277/items/HSE79K37"],"itemData":{"id":2698,"type":"article-journal","abstract":"Electric vehicles have significantly contributed to the sustainability of world economic growth. It is of critical importance to understand and examine the factors impacting the consumers’ attitude toward the adoption of electric vehicles. However, limited study investigated the effect of altruism on electric vehicles adoption from a pro-environmental behaviour perspective. Therefore, the present work aimed at identifying the influencing factors on consumers’ intention to use electric vehicles. To this end, a model has been developed based on two theoretical models called the Norm Activation Model and the Theory of Planned Behaviour. The potential consumers in Malaysia were selected to answer questionnaires. Accordingly, 177 valid questionnaires were collected and the influencing factors on the electric vehicles purchase intention were empirically analyzed using a structural equation model. According to the results, perceived value, attitude, the ascription of responsibility, subjective norms, personal norms, perceived consumer effectiveness, and awareness of consequences affected the consumers’ electric vehicles’ purchase intention significantly and positively. Consumers’ behaviour regarding the adoption of electric vehicles can be understood better through the findings of this study, while electric vehicle development can be promoted as well.","container-title":"Journal of Cleaner Production","DOI":"10.1016/j.jclepro.2020.124474","ISSN":"0959-6526","source":"ScienceDirect","title":"Factors Impacting Consumers’ Intention Toward Adoption of Electric Vehicles in Malaysia","URL":"https://www.sciencedirect.com/science/article/pii/S0959652620345182","volume":"282","author":[{"family":"Asadi","given":"Shahla"},{"family":"Nilashi","given":"Mehrbakhsh"},{"family":"Samad","given":"Sarminah"},{"family":"Abdullah","given":"Rusli"},{"family":"Mahmoud","given":"Marwan"},{"family":"Alkinani","given":"Monagi H."},{"family":"Yadegaridehkordi","given":"Elaheh"}],"accessed":{"date-parts":[["2024",2,28]]},"issued":{"date-parts":[["2021",2,1]]}}},{"id":2561,"uris":["http://zotero.org/users/12832277/items/HAYIUK7X"],"itemData":{"id":2561,"type":"article-journal","abstract":"Worldwide, the adoption of electric automobiles is gaining momentum, owing to a steady rise in customers’ sustainability consciousness. So far, electric vehicle-related studies have investigated consumer motives, attitudes, and intentions toward adoption. However, empirical research on enablers and inhibitors of electric vehicle choice behaviour has not been fully explored, particularly in an emerging market context, (e.g., India). The present study employed a judicious mix of three notable theoretical lenses of dual-factor theory, innovation resistance theory, and the stimulus-organism-response model to empirically scrutinize electric vehicle adoption enablers and inhibitors by analysing data collected from 391 young Indian sustainability-oriented electric vehicle users. The sample was gathered via the purposive sampling method, and the data was analysed employing structural equation and PROCESS macro modelling. The research posits that consumer sustainability consciousness (CSC) is a stimulus with a positive influence on enablers (e.g., personal motives, social motives, and incentive policy) as well as inhibitors (e.g., usage, value, and risk barriers). Additionally, product involvement and perceived marketplace influence significantly moderate the relationship between choice behaviour and facilitators and inhibitors. The research offers a few useful strategic decision-making insights for electric vehicle manufacturers, green marketers, and policymakers from emerging markets.","container-title":"Journal of Environmental Management","DOI":"10.1016/j.jenvman.2024.120250","ISSN":"0301-4797","source":"ScienceDirect","title":"Electric Vehicles’ Choice Behaviour: An Emerging Market Scenario","URL":"https://www.sciencedirect.com/science/article/pii/S0301479724002366","volume":"354","author":[{"family":"Kautish","given":"Pradeep"},{"family":"Lavuri","given":"Rambabu"},{"family":"Roubaud","given":"David"},{"family":"Grebinevych","given":"Oksana"}],"accessed":{"date-parts":[["2024",2,23]]},"issued":{"date-parts":[["2024",3,1]]}}}],"schema":"https://github.com/citation-style-language/schema/raw/master/csl-citation.json"} </w:instrText>
      </w:r>
      <w:r w:rsidR="00FD2849" w:rsidRPr="00E97BC8">
        <w:rPr>
          <w:rFonts w:cs="Times New Roman"/>
          <w:sz w:val="22"/>
          <w:szCs w:val="22"/>
        </w:rPr>
        <w:fldChar w:fldCharType="separate"/>
      </w:r>
      <w:r w:rsidR="001E6A07" w:rsidRPr="00E97BC8">
        <w:rPr>
          <w:rFonts w:cs="Times New Roman"/>
          <w:sz w:val="22"/>
          <w:szCs w:val="22"/>
        </w:rPr>
        <w:t>(Adnan et al., 2018; Zhang et al., 2018; Asadi et al., 2021; Kautish et al., 2024)</w:t>
      </w:r>
      <w:r w:rsidR="00FD2849" w:rsidRPr="00E97BC8">
        <w:rPr>
          <w:rFonts w:cs="Times New Roman"/>
          <w:sz w:val="22"/>
          <w:szCs w:val="22"/>
        </w:rPr>
        <w:fldChar w:fldCharType="end"/>
      </w:r>
      <w:r w:rsidR="00FD2849" w:rsidRPr="00E97BC8">
        <w:rPr>
          <w:rFonts w:cs="Times New Roman"/>
          <w:sz w:val="22"/>
          <w:szCs w:val="22"/>
        </w:rPr>
        <w:t xml:space="preserve">. </w:t>
      </w:r>
      <w:r w:rsidR="00C55868" w:rsidRPr="00E97BC8">
        <w:rPr>
          <w:rFonts w:cs="Times New Roman"/>
          <w:sz w:val="22"/>
          <w:szCs w:val="22"/>
        </w:rPr>
        <w:t>Similarly, driving hedonism has been shown to impact vehicle preferences, as driving experience differs in vehicles with different fuel types, with individuals with high levels of driving hedonism generally choosing ICEVs or PHEVs rather than BEVs</w:t>
      </w:r>
      <w:r w:rsidR="002E6E5C" w:rsidRPr="00E97BC8">
        <w:rPr>
          <w:rFonts w:cs="Times New Roman"/>
          <w:sz w:val="22"/>
          <w:szCs w:val="22"/>
        </w:rPr>
        <w:t xml:space="preserve"> </w:t>
      </w:r>
      <w:r w:rsidR="002E6E5C" w:rsidRPr="00E97BC8">
        <w:rPr>
          <w:rFonts w:cs="Times New Roman"/>
          <w:sz w:val="22"/>
          <w:szCs w:val="22"/>
        </w:rPr>
        <w:fldChar w:fldCharType="begin"/>
      </w:r>
      <w:r w:rsidR="002E6E5C" w:rsidRPr="00E97BC8">
        <w:rPr>
          <w:rFonts w:cs="Times New Roman"/>
          <w:sz w:val="22"/>
          <w:szCs w:val="22"/>
        </w:rPr>
        <w:instrText xml:space="preserve"> ADDIN ZOTERO_ITEM CSL_CITATION {"citationID":"FG8xNgYg","properties":{"formattedCitation":"(Tchetchik et al., 2020)","plainCitation":"(Tchetchik et al., 2020)","noteIndex":0},"citationItems":[{"id":4579,"uris":["http://zotero.org/users/12832277/items/MZVLYLA2"],"itemData":{"id":4579,"type":"article-journal","abstract":"The low penetration rate of electric vehicles (EVs) is raising concern among policy makers and car designers who face risky decisions whether to invest in EV technology and promotion. Traditionally, battery electric vehicles (BEV) and hybrid electric vehicles (HEV) were considered successive technologies. Yet, it is becoming apparent that in the next few decades these technologies will co-exist, which revives the interest in the choice amongst them. This study focuses on normative and hedonic goals to understand the impact of innovativeness and driving hedonism and their interaction with user experience and pro-environmental attitudes of consumers choosing between conventional, hybrid and electric cars. The behavioral model challenges utility-based models of auto propulsion choices by integrating hedonic goal-framing and its interaction with product experience into Rogers’ diffusion of innovation model. In a discrete choice experiment informed by stated-preference Bayesian efficient design among 309 participants, we find that the interaction between driving hedonism and BEV 'trialability' is positively related to the adoption of HEVs rather than of BEVs. Compared to environmental consumers who lack driving hedonism, the segment of innovative-environmentalists act as BEV adoption pioneers and the segment of innovative-environmentalist-hedonists are HEV adoption pioneers.","container-title":"Technological Forecasting and Social Change","DOI":"10.1016/j.techfore.2019.119815","ISSN":"0040-1625","source":"ScienceDirect","title":"The Joint Effects of Driving Hedonism and Trialability on the Choice Between Internal Combustion Engine, Hybrid, and Electric Vehicles","URL":"https://www.sciencedirect.com/science/article/pii/S0040162518319875","volume":"151","author":[{"family":"Tchetchik","given":"Anat"},{"family":"Zvi","given":"Liat I."},{"family":"Kaplan","given":"Sigal"},{"family":"Blass","given":"Vered"}],"accessed":{"date-parts":[["2025",5,21]]},"issued":{"date-parts":[["2020",2,1]]}}}],"schema":"https://github.com/citation-style-language/schema/raw/master/csl-citation.json"} </w:instrText>
      </w:r>
      <w:r w:rsidR="002E6E5C" w:rsidRPr="00E97BC8">
        <w:rPr>
          <w:rFonts w:cs="Times New Roman"/>
          <w:sz w:val="22"/>
          <w:szCs w:val="22"/>
        </w:rPr>
        <w:fldChar w:fldCharType="separate"/>
      </w:r>
      <w:r w:rsidR="002E6E5C" w:rsidRPr="00E97BC8">
        <w:rPr>
          <w:rFonts w:cs="Times New Roman"/>
          <w:sz w:val="22"/>
          <w:szCs w:val="22"/>
        </w:rPr>
        <w:t>(Tchetchik et al., 2020)</w:t>
      </w:r>
      <w:r w:rsidR="002E6E5C" w:rsidRPr="00E97BC8">
        <w:rPr>
          <w:rFonts w:cs="Times New Roman"/>
          <w:sz w:val="22"/>
          <w:szCs w:val="22"/>
        </w:rPr>
        <w:fldChar w:fldCharType="end"/>
      </w:r>
      <w:r w:rsidR="00C55868" w:rsidRPr="00E97BC8">
        <w:rPr>
          <w:rFonts w:cs="Times New Roman"/>
          <w:sz w:val="22"/>
          <w:szCs w:val="22"/>
        </w:rPr>
        <w:t xml:space="preserve">. </w:t>
      </w:r>
      <w:r w:rsidR="00FD2849" w:rsidRPr="00E97BC8">
        <w:rPr>
          <w:rFonts w:cs="Times New Roman"/>
          <w:sz w:val="22"/>
          <w:szCs w:val="22"/>
        </w:rPr>
        <w:t xml:space="preserve">Finally, social expectations and peer influences have significant impacts on EV adoption, particularly as attitudes toward the role of the vehicle (as primarily functional or as a status symbol) relate to these peer effects </w:t>
      </w:r>
      <w:r w:rsidR="00FD2849" w:rsidRPr="00E97BC8">
        <w:rPr>
          <w:rFonts w:cs="Times New Roman"/>
          <w:sz w:val="22"/>
          <w:szCs w:val="22"/>
        </w:rPr>
        <w:fldChar w:fldCharType="begin"/>
      </w:r>
      <w:r w:rsidR="00FD2849" w:rsidRPr="00E97BC8">
        <w:rPr>
          <w:rFonts w:cs="Times New Roman"/>
          <w:sz w:val="22"/>
          <w:szCs w:val="22"/>
        </w:rPr>
        <w:instrText xml:space="preserve"> ADDIN ZOTERO_ITEM CSL_CITATION {"citationID":"FHSHGzoE","properties":{"unsorted":true,"formattedCitation":"(Burs et al., 2020; Cui et al., 2021; Xia et al., 2022; Deka et al., 2023; Buhmann et al., 2024)","plainCitation":"(Burs et al., 2020; Cui et al., 2021; Xia et al., 2022; Deka et al., 2023; Buhmann et al., 2024)","noteIndex":0},"citationItems":[{"id":2743,"uris":["http://zotero.org/users/12832277/items/WH5WG42H"],"itemData":{"id":2743,"type":"article-journal","abstract":"Battery Electric Vehicles are regarded as highly important to reach environmental goals, such as CO2 savings in the transport sector. Despite governments making strong efforts to encourage their adoption and diffusion, sales still remain at a notoriously low level. One of the reasons may be the lack of a deeper understanding of the differences among potential adopters of Battery Electric Vehicles. To close this research gap, the authors segment adopter groups in a new way. They simultaneously use preferences for product attributes and personal characteristics to identify and characterize adopter groups of Battery Electric Vehicles. In this way, adopters can be effectively segmented, uncovering a more precise picture of adopters’ needs. Moreover, the authors introduce a three-step-procedure combining inputs from an adaptive choice-based conjoint experiment with a questionnaire. This approach can be used to segment adopter groups of other eco-innovations, as well. Based on three adopter groups of Battery Electric Vehicles (Utilitarian Savers, Performance Seekers, and Green Technologists), the authors develop tailored measures for decision-makers in policy and management to foster the adoption and diffusion of Battery Electric Vehicles.","container-title":"Sustainability","DOI":"10.3390/su12072815","ISSN":"2071-1050","issue":"7","language":"en","license":"http://creativecommons.org/licenses/by/3.0/","note":"number: 7\npublisher: Multidisciplinary Digital Publishing Institute","source":"www.mdpi.com","title":"Are They All Equal? Uncovering Adopter Groups of Battery Electric Vehicles","URL":"https://www.mdpi.com/2071-1050/12/7/2815","volume":"12","author":[{"family":"Burs","given":"Lukas"},{"family":"Roemer","given":"Ellen"},{"family":"Worm","given":"Stefan"},{"family":"Masini","given":"Andrea"}],"accessed":{"date-parts":[["2024",2,28]]},"issued":{"date-parts":[["2020",1]]}}},{"id":2748,"uris":["http://zotero.org/users/12832277/items/JH84NNAI"],"itemData":{"id":2748,"type":"article-journal","abstract":"Adopting electric vehicles (EVs) is regarded as one of the leading solutions to environmental issues. However, recent research on the promotion of EVs adoption focuses on perceptions and attitudes towards EVs and neglects the importance of different human needs in consumers' purchase decision-making processes. Maslow's Hierarchy of Needs model provides a basic concept stating different human needs which play essential roles in shaping consumers purchase behaviors towards a particular product or service. Based on Maslow's Hierarchy of Needs model, this study predicts the determinants of consumers' purchase motivation for EVs. Data were collected from 550 Chinese residents and analyzed using multiple regression analysis. Result shows that environmental concern is the most significant predictor of EVs purchase motivation, followed by price consciousness, openness to experience, social influence, and self-esteem. From a practical point of view, we make useful recommendations for local policymakers to formulate and implement policies regarding promoting EVs adoption among society. We also provide global EVs marketers and manufacturers with a deeper understanding of Chinese consumers' motivation to purchase EVs.","container-title":"Energy Policy","DOI":"10.1016/j.enpol.2021.112167","ISSN":"0301-4215","source":"ScienceDirect","title":"Predicting Determinants of Consumers' Purchase Motivation for Electric Vehicles: An Application of Maslow's Hierarchy of Needs Model","URL":"https://www.sciencedirect.com/science/article/pii/S0301421521000367","volume":"151","author":[{"family":"Cui","given":"Lixin"},{"family":"Wang","given":"Yonggui"},{"family":"Chen","given":"Weiming"},{"family":"Wen","given":"Wen"},{"family":"Han","given":"Myat Su"}],"accessed":{"date-parts":[["2024",2,28]]},"issued":{"date-parts":[["2021",4,1]]}}},{"id":2691,"uris":["http://zotero.org/users/12832277/items/8QB2SF4V"],"itemData":{"id":2691,"type":"article-journal","abstract":"Although electric vehicles (EVs) have been heavily promoted as an effective solution to sustainable problems such as environmental pollution and resource constraints, the market penetration of EVs remains below expectations. By viewing EVs as innovative products that are different from traditional fuel vehicles, this study proposes a research model based on the diffusion of innovation theory, in which a series of factors influencing the adoption of EVs are identified. We collected 375 valid responses through an offline survey, and the structural equation modeling technique was used to empirically test the proposed model. The empirical results indicate that consumer adoption of EVs can be effectively predicted by three important innovation characteristics, namely perceived compatibility, perceived complexity, and perceived relative advantage. Furthermore, the results also suggest that factors in the economic aspect (monetary subsidy and risk of a price reduction), functional aspect (intelligent function and risk of sustainability), and social aspect (status symbol and risk of reputation), exert significant impacts on the adoption of EVs by influencing consumers’ perceptions of innovation characteristics. Theoretically, this study contributes to the literature by providing an appropriate theoretical perspective for understanding consumer adoption of EVs and identifying numerous significant antecedents of such behavior. Practically, the findings of this study can be applied to promote the market penetration of EVs.","container-title":"Sustainability","DOI":"10.3390/su14106283","ISSN":"2071-1050","issue":"10","language":"en","license":"http://creativecommons.org/licenses/by/3.0/","note":"number: 10\npublisher: Multidisciplinary Digital Publishing Institute","source":"www.mdpi.com","title":"Economic, Functional, and Social Factors Influencing Electric Vehicles’ Adoption: An Empirical Study Based on the Diffusion of Innovation Theory","title-short":"Economic, Functional, and Social Factors Influencing Electric Vehicles’ Adoption","URL":"https://www.mdpi.com/2071-1050/14/10/6283","volume":"14","author":[{"family":"Xia","given":"Zhengwei"},{"family":"Wu","given":"Dongming"},{"family":"Zhang","given":"Langlang"}],"accessed":{"date-parts":[["2024",2,28]]},"issued":{"date-parts":[["2022",1]]}}},{"id":1481,"uris":["http://zotero.org/users/12832277/items/ANYACNGK"],"itemData":{"id":1481,"type":"article-journal","abstract":"With the rising demands for personal vehicles of the growing middle class in India, their increasing quest for comfort and social status, the emissions from road transportation are increasing manifold times. To fulfil the dual need of increasing personal demand as well as lower vehicular emissions, it is important to replace all future vehicle purchase with purchase of electric vehicles (EVs). This study analyses the socio-psychological de­ terminants of the process by which an individual might develop an intention to buy an EV in the near future. Using Structural Equation Modeling and mediation analysis, the interrelationships between the Theory of Planned Behavior (TPB) constructs along with three additional constructs, ‘‘cost’, ‘herd behavior’, and ‘personal norm’ are analyzed and several direct and indirect pathways in which intentions possibly form in people’s mind are outlined. Subjective norms followed by perceived behavioral control emerge as the significant and direct intention formation pathway. Though cost, herd behavior, and personal norms alone do not influence intention formation, these factors mediates the TPB variables in forming intention to adopt EVs. Hence, the current EV promotion policies, primarily focused on subsidies need to be complemented with other attitudinal and normbased nudges to promote faster EV adoption in India.","container-title":"Energy Policy","DOI":"10.1016/j.enpol.2023.113724","ISSN":"03014215","language":"en","source":"DOI.org (Crossref)","title":"Can Gain Motivation Induce Indians to Adopt Electric Vehicles? Application of an Extended Theory of Planned Behavior to Map EV Adoption Intention","title-short":"Can Gain Motivation Induce Indians to Adopt Electric Vehicles?","URL":"https://linkinghub.elsevier.com/retrieve/pii/S0301421523003099","volume":"182","author":[{"family":"Deka","given":"Chayasmita"},{"family":"Dutta","given":"Mrinal Kanti"},{"family":"Yazdanpanah","given":"Masoud"},{"family":"Komendantova","given":"Nadejda"}],"accessed":{"date-parts":[["2023",12,1]]},"issued":{"date-parts":[["2023",11]]}}},{"id":2694,"uris":["http://zotero.org/users/12832277/items/AJEDZHRX"],"itemData":{"id":2694,"type":"article-journal","abstract":"Societies worldwide are under increasing pressure to reduce carbon footprints, combat air pollution, and address climate change. Battery electric vehicles (BEVs) represent a sustainable transportation solution to mitigate environmental issues. Despite growing consumer demand, BEV adoption rates remain relatively low. This study extends the theory of planned behavior to analyze factors influencing consumer adoption intentions for BEVs in Spain. The research incorporates the constructs Attitude, Perceived Behavioral Control, Subjective Norm, Moral Norm, Environmental Concern, and a unique consumer ‘profile’ dimension comprising experience, education, and gender, alongside the moderating variable of ‘price sensitivity’. This study comprises 1816 responses collected through an online survey, and it utilized the partial least squares structural equation model. The empirical findings indicate that Attitude, Perceived Behavioral Control, Subjective Norm, and Moral Norm significantly impact consumer adoption intention. Attitude emerges as the strongest influencer, emphasizing the significance of personal beliefs. Environmental Concern suggests environmentally conscious consumers may lean toward BEV adoption due to positive attitudes. The ‘profile’ dimension does not affect the relationship toward adoption intention. Price sensitivity moderates these relationships, indicating pricing strategies and incentives could significantly influence BEV adoption decisions. These findings offer practical guidance for governments and manufacturers aiming to promote sustainable, eco-friendly transportation methods in the face of global environmental challenges.","container-title":"Sustainability","DOI":"10.3390/su16031284","ISSN":"2071-1050","issue":"3","language":"en","license":"http://creativecommons.org/licenses/by/3.0/","note":"number: 3\npublisher: Multidisciplinary Digital Publishing Institute","source":"www.mdpi.com","title":"Predicting Consumer Intention to Adopt Battery Electric Vehicles: Extending the Theory of Planned Behavior","URL":"https://www.mdpi.com/2071-1050/16/3/1284","volume":"16","author":[{"family":"Buhmann","given":"Kathrin Monika"},{"family":"Rialp-Criado","given":"Josep"},{"family":"Rialp-Criado","given":"Alex"}],"accessed":{"date-parts":[["2024",2,28]]},"issued":{"date-parts":[["2024",1]]}}}],"schema":"https://github.com/citation-style-language/schema/raw/master/csl-citation.json"} </w:instrText>
      </w:r>
      <w:r w:rsidR="00FD2849" w:rsidRPr="00E97BC8">
        <w:rPr>
          <w:rFonts w:cs="Times New Roman"/>
          <w:sz w:val="22"/>
          <w:szCs w:val="22"/>
        </w:rPr>
        <w:fldChar w:fldCharType="separate"/>
      </w:r>
      <w:r w:rsidR="001E6A07" w:rsidRPr="00E97BC8">
        <w:rPr>
          <w:rFonts w:cs="Times New Roman"/>
          <w:sz w:val="22"/>
          <w:szCs w:val="22"/>
        </w:rPr>
        <w:t>(Burs et al., 2020; Cui et al., 2021; Xia et al., 2022; Deka et al., 2023; Buhmann et al., 2024)</w:t>
      </w:r>
      <w:r w:rsidR="00FD2849" w:rsidRPr="00E97BC8">
        <w:rPr>
          <w:rFonts w:cs="Times New Roman"/>
          <w:sz w:val="22"/>
          <w:szCs w:val="22"/>
        </w:rPr>
        <w:fldChar w:fldCharType="end"/>
      </w:r>
      <w:r w:rsidR="00FD2849" w:rsidRPr="00E97BC8">
        <w:rPr>
          <w:rFonts w:cs="Times New Roman"/>
          <w:sz w:val="22"/>
          <w:szCs w:val="22"/>
        </w:rPr>
        <w:t>.</w:t>
      </w:r>
    </w:p>
    <w:bookmarkEnd w:id="7"/>
    <w:p w14:paraId="25A26092" w14:textId="77777777" w:rsidR="00FD2849" w:rsidRPr="00E97BC8" w:rsidRDefault="00FD2849" w:rsidP="00E85093">
      <w:pPr>
        <w:shd w:val="clear" w:color="auto" w:fill="FFFFFF"/>
        <w:spacing w:after="0" w:line="240" w:lineRule="auto"/>
        <w:jc w:val="both"/>
        <w:rPr>
          <w:rFonts w:cs="Times New Roman"/>
          <w:b/>
          <w:bCs/>
          <w:i/>
          <w:iCs/>
          <w:sz w:val="22"/>
          <w:szCs w:val="22"/>
        </w:rPr>
      </w:pPr>
    </w:p>
    <w:p w14:paraId="6CFF29E9" w14:textId="1FA7DAF8" w:rsidR="005D6D29" w:rsidRPr="00E97BC8" w:rsidRDefault="0052226E" w:rsidP="00E85093">
      <w:pPr>
        <w:shd w:val="clear" w:color="auto" w:fill="FFFFFF"/>
        <w:spacing w:after="0" w:line="240" w:lineRule="auto"/>
        <w:jc w:val="both"/>
        <w:rPr>
          <w:rFonts w:cs="Times New Roman"/>
          <w:b/>
          <w:bCs/>
          <w:i/>
          <w:iCs/>
          <w:sz w:val="22"/>
          <w:szCs w:val="22"/>
        </w:rPr>
      </w:pPr>
      <w:r w:rsidRPr="00E97BC8">
        <w:rPr>
          <w:rFonts w:cs="Times New Roman"/>
          <w:b/>
          <w:bCs/>
          <w:i/>
          <w:iCs/>
          <w:sz w:val="22"/>
          <w:szCs w:val="22"/>
        </w:rPr>
        <w:t>2.1.</w:t>
      </w:r>
      <w:r w:rsidR="00DE4D03" w:rsidRPr="00E97BC8">
        <w:rPr>
          <w:rFonts w:cs="Times New Roman"/>
          <w:b/>
          <w:bCs/>
          <w:i/>
          <w:iCs/>
          <w:sz w:val="22"/>
          <w:szCs w:val="22"/>
        </w:rPr>
        <w:t>2</w:t>
      </w:r>
      <w:r w:rsidRPr="00E97BC8">
        <w:rPr>
          <w:rFonts w:cs="Times New Roman"/>
          <w:b/>
          <w:bCs/>
          <w:i/>
          <w:iCs/>
          <w:sz w:val="22"/>
          <w:szCs w:val="22"/>
        </w:rPr>
        <w:t xml:space="preserve"> Contextual Factors</w:t>
      </w:r>
    </w:p>
    <w:p w14:paraId="2751960B" w14:textId="0FBC2CCB" w:rsidR="00691DFA" w:rsidRPr="00E97BC8" w:rsidRDefault="0072349A" w:rsidP="00E85093">
      <w:pPr>
        <w:shd w:val="clear" w:color="auto" w:fill="FFFFFF"/>
        <w:spacing w:after="0" w:line="240" w:lineRule="auto"/>
        <w:jc w:val="both"/>
        <w:rPr>
          <w:rFonts w:cs="Times New Roman"/>
          <w:sz w:val="22"/>
          <w:szCs w:val="22"/>
        </w:rPr>
      </w:pPr>
      <w:r w:rsidRPr="00E97BC8">
        <w:rPr>
          <w:rFonts w:cs="Times New Roman"/>
          <w:sz w:val="22"/>
          <w:szCs w:val="22"/>
        </w:rPr>
        <w:t xml:space="preserve">Contextual factors include the </w:t>
      </w:r>
      <w:r w:rsidR="008667FD" w:rsidRPr="00E97BC8">
        <w:rPr>
          <w:rFonts w:cs="Times New Roman"/>
          <w:sz w:val="22"/>
          <w:szCs w:val="22"/>
        </w:rPr>
        <w:t>local infrastructure and policy incentives that are available.</w:t>
      </w:r>
      <w:r w:rsidR="009050EB" w:rsidRPr="00E97BC8">
        <w:rPr>
          <w:rFonts w:cs="Times New Roman"/>
          <w:sz w:val="22"/>
          <w:szCs w:val="22"/>
        </w:rPr>
        <w:t xml:space="preserve"> T</w:t>
      </w:r>
      <w:r w:rsidR="00B014AA" w:rsidRPr="00E97BC8">
        <w:rPr>
          <w:rFonts w:cs="Times New Roman"/>
          <w:sz w:val="22"/>
          <w:szCs w:val="22"/>
        </w:rPr>
        <w:t>he a</w:t>
      </w:r>
      <w:r w:rsidR="00A86074" w:rsidRPr="00E97BC8">
        <w:rPr>
          <w:rFonts w:cs="Times New Roman"/>
          <w:sz w:val="22"/>
          <w:szCs w:val="22"/>
        </w:rPr>
        <w:t xml:space="preserve">vailability of </w:t>
      </w:r>
      <w:r w:rsidR="008667FD" w:rsidRPr="00E97BC8">
        <w:rPr>
          <w:rFonts w:cs="Times New Roman"/>
          <w:sz w:val="22"/>
          <w:szCs w:val="22"/>
        </w:rPr>
        <w:t xml:space="preserve">EV charging infrastructure </w:t>
      </w:r>
      <w:r w:rsidR="00D53550" w:rsidRPr="00E97BC8">
        <w:rPr>
          <w:rFonts w:cs="Times New Roman"/>
          <w:sz w:val="22"/>
          <w:szCs w:val="22"/>
        </w:rPr>
        <w:t>is</w:t>
      </w:r>
      <w:r w:rsidR="008667FD" w:rsidRPr="00E97BC8">
        <w:rPr>
          <w:rFonts w:cs="Times New Roman"/>
          <w:sz w:val="22"/>
          <w:szCs w:val="22"/>
        </w:rPr>
        <w:t xml:space="preserve"> one of the most commonly cited </w:t>
      </w:r>
      <w:r w:rsidR="00A0614C" w:rsidRPr="00E97BC8">
        <w:rPr>
          <w:rFonts w:cs="Times New Roman"/>
          <w:sz w:val="22"/>
          <w:szCs w:val="22"/>
        </w:rPr>
        <w:t>barriers to EV adoption</w:t>
      </w:r>
      <w:r w:rsidR="000B37DC" w:rsidRPr="00E97BC8">
        <w:rPr>
          <w:rFonts w:cs="Times New Roman"/>
          <w:sz w:val="22"/>
          <w:szCs w:val="22"/>
        </w:rPr>
        <w:t>, particularly for BEVs compared with PHEVs</w:t>
      </w:r>
      <w:r w:rsidR="003924FC" w:rsidRPr="00E97BC8">
        <w:rPr>
          <w:rFonts w:cs="Times New Roman"/>
          <w:sz w:val="22"/>
          <w:szCs w:val="22"/>
        </w:rPr>
        <w:t xml:space="preserve"> </w:t>
      </w:r>
      <w:r w:rsidR="00BC3F09" w:rsidRPr="00E97BC8">
        <w:rPr>
          <w:rFonts w:cs="Times New Roman"/>
          <w:sz w:val="22"/>
          <w:szCs w:val="22"/>
        </w:rPr>
        <w:fldChar w:fldCharType="begin"/>
      </w:r>
      <w:r w:rsidR="00E10D8B" w:rsidRPr="00E97BC8">
        <w:rPr>
          <w:rFonts w:cs="Times New Roman"/>
          <w:sz w:val="22"/>
          <w:szCs w:val="22"/>
        </w:rPr>
        <w:instrText xml:space="preserve"> ADDIN ZOTERO_ITEM CSL_CITATION {"citationID":"D3p45WJj","properties":{"unsorted":true,"formattedCitation":"(Hardman et al., 2018; Dutta and Hwang, 2021; Buhmann et al., 2024; Pandita et al., 2024)","plainCitation":"(Hardman et al., 2018; Dutta and Hwang, 2021; Buhmann et al., 2024; Pandita et al., 2024)","noteIndex":0},"citationItems":[{"id":1464,"uris":["http://zotero.org/groups/5309052/items/RVPJRZSC"],"itemData":{"id":1464,"type":"article-journal","abstract":"This paper presents a literature review of studies that investigate infrastructure needs to support the market introduction of plug-in electric vehicles (PEVs). It focuses on literature relating to consumer preferences for charging infrastructure, and how consumers interact with and use this infrastructure. This includes studies that use questionnaire surveys, interviews, modelling, GPS data from vehicles, and data from electric vehicle charging equipment. These studies indicate that the most important location for PEV charging is at home, followed by work, and then public locations. Studies have found that more effort is needed to ensure consumers have easy access to PEV charging and that charging at home, work, or public locations should not be free of cost. Research indicates that PEV charging will not impact electricity grids on the short term, however charging may need to be managed when the vehicles are deployed in greater numbers. In some areas of study the literature is not sufficiently mature to draw any conclusions from. More research is especially needed to determine how much infrastructure is needed to support the roll out of PEVs. This paper ends with policy implications and suggests avenues of future research.","container-title":"Transportation Research Part D: Transport and Environment","DOI":"10.1016/j.trd.2018.04.002","ISSN":"13619209","journalAbbreviation":"Transportation Research Part D: Transport and Environment","language":"en","page":"508-523","source":"DOI.org (Crossref)","title":"A review of consumer preferences of and interactions with electric vehicle charging infrastructure","volume":"62","author":[{"family":"Hardman","given":"Scott"},{"family":"Jenn","given":"Alan"},{"family":"Tal","given":"Gil"},{"family":"Axsen","given":"Jonn"},{"family":"Beard","given":"George"},{"family":"Daina","given":"Nicolo"},{"family":"Figenbaum","given":"Erik"},{"family":"Jakobsson","given":"Niklas"},{"family":"Jochem","given":"Patrick"},{"family":"Kinnear","given":"Neale"},{"family":"Plötz","given":"Patrick"},{"family":"Pontes","given":"Jose"},{"family":"Refa","given":"Nazir"},{"family":"Sprei","given":"Frances"},{"family":"Turrentine","given":"Tom"},{"family":"Witkamp","given":"Bert"}],"issued":{"date-parts":[["2018",7]]}}},{"id":2557,"uris":["http://zotero.org/users/12832277/items/37DUH98R"],"itemData":{"id":2557,"type":"article-journal","abstract":"The purpose of the current study is to explore barriers influencing consumers’ intention to adopt sustainable electric vehicles (EV) based on the modified theory of planned behavior (TPB) model. Structural equation modeling (SEM) and confirmatory factor analysis (CFA) were employed to analyze the research model, using 262 valid responses. The findings of the current study explored how attitude (ATT), subjective norm (SN), and perceived behavioral control (PBC) significantly influenced users’ sustainable consumption intentions. The finding also explored ways in which environmental concern significantly influenced ATT, SN, PBC, and sustainable consumption intention of the users. Not only measurements of vehicle performance, namely safety, reliability, and range, but other factors, such as purchasing price, charging facility, and maintenance and battery cost also influenced consumers’ sustainable consumption intentions. The predictive power of the proposed model (R2 = 63.5) was better than the original TPB (R2 = 53.6). Results also indicated that Taiwanese are primarily concerned about the greenhouse effects on the environment, which reflected their sustainable consumption intentions. The conclusions of the current study could assist government and policymakers in designing sustainable programs, which could improve consumers’ sustainable consumption intentions to prevent further air pollution and reduce CO2 emissions from the transportation sector.","container-title":"Sustainability","DOI":"10.3390/su132112025","ISSN":"2071-1050","issue":"21","language":"en","license":"http://creativecommons.org/licenses/by/3.0/","note":"number: 21\npublisher: Multidisciplinary Digital Publishing Institute","source":"www.mdpi.com","title":"Consumers Purchase Intentions of Green Electric Vehicles: The Influence of Consumers Technological and Environmental Considerations","URL":"https://www.mdpi.com/2071-1050/13/21/12025","volume":"13","author":[{"family":"Dutta","given":"Bireswar"},{"family":"Hwang","given":"Hsin-Ginn"}],"accessed":{"date-parts":[["2024",2,22]]},"issued":{"date-parts":[["2021",1]]}}},{"id":2694,"uris":["http://zotero.org/users/12832277/items/AJEDZHRX"],"itemData":{"id":2694,"type":"article-journal","abstract":"Societies worldwide are under increasing pressure to reduce carbon footprints, combat air pollution, and address climate change. Battery electric vehicles (BEVs) represent a sustainable transportation solution to mitigate environmental issues. Despite growing consumer demand, BEV adoption rates remain relatively low. This study extends the theory of planned behavior to analyze factors influencing consumer adoption intentions for BEVs in Spain. The research incorporates the constructs Attitude, Perceived Behavioral Control, Subjective Norm, Moral Norm, Environmental Concern, and a unique consumer ‘profile’ dimension comprising experience, education, and gender, alongside the moderating variable of ‘price sensitivity’. This study comprises 1816 responses collected through an online survey, and it utilized the partial least squares structural equation model. The empirical findings indicate that Attitude, Perceived Behavioral Control, Subjective Norm, and Moral Norm significantly impact consumer adoption intention. Attitude emerges as the strongest influencer, emphasizing the significance of personal beliefs. Environmental Concern suggests environmentally conscious consumers may lean toward BEV adoption due to positive attitudes. The ‘profile’ dimension does not affect the relationship toward adoption intention. Price sensitivity moderates these relationships, indicating pricing strategies and incentives could significantly influence BEV adoption decisions. These findings offer practical guidance for governments and manufacturers aiming to promote sustainable, eco-friendly transportation methods in the face of global environmental challenges.","container-title":"Sustainability","DOI":"10.3390/su16031284","ISSN":"2071-1050","issue":"3","language":"en","license":"http://creativecommons.org/licenses/by/3.0/","note":"number: 3\npublisher: Multidisciplinary Digital Publishing Institute","source":"www.mdpi.com","title":"Predicting Consumer Intention to Adopt Battery Electric Vehicles: Extending the Theory of Planned Behavior","URL":"https://www.mdpi.com/2071-1050/16/3/1284","volume":"16","author":[{"family":"Buhmann","given":"Kathrin Monika"},{"family":"Rialp-Criado","given":"Josep"},{"family":"Rialp-Criado","given":"Alex"}],"accessed":{"date-parts":[["2024",2,28]]},"issued":{"date-parts":[["2024",1]]}}},{"id":2696,"uris":["http://zotero.org/users/12832277/items/D9YSDZUD"],"itemData":{"id":2696,"type":"article-journal","abstract":"Purpose This study aims to emphasize green energy-driven solutions to address environmental sustainability issues, particularly to promote the uptake of electric vehicles (EVs). This study intends to investigate user adoption of EVs as the existing predicament of converting car owners to EV buyers, demanding a push to create a facilitating environment for EV uptake. Design/methodology/approach A survey-based quantitative study involving 330 car owners and potential buyers was conducted involving four predictors, i.e. financial benefits, social influence, charging infrastructure and range consciousness. Environmental concerns and socio-demographic factors such as age, family income and gender were considered as moderators between these predictors and EV adoption intention. Partial least square structural equation modelling was used to analyse the proposed relationships. Findings The findings indicated that financial benefits (ß = 0.169, t = 3.930), social influence (ß = 0.099, t = 2.605), range consciousness (ß = 0.239, t = 3.983) and charging infrastructure (ß = 0.142, t = 4.8) significantly impact EV adoption. Family income was the most significant moderator with a large effect size (F square = 0.224), followed by environmental concern (F square = 0.182) and age (F square = 0.042) having a medium moderation effect and, subsequently, gender (F square = 0.010) as a mild moderator. Originality/value By analysing environmental concerns as a moderator, this study fosters a novel understanding of how environmental concerns impact EV adoption, which has not been explored. Additionally, the empirical assessment of the socio-economic and socio-demographic factors of EV adoption helps to offer a consumer perspective to the government and policymakers in undertaking initiatives to promote EV adoption.","container-title":"International Journal of Energy Sector Management","DOI":"10.1108/IJESM-06-2023-0004","ISSN":"1750-6220","source":"Emerald Insight","title":"Electrifying the Future: Analysing the Determinants of Electric Vehicle Adoption","URL":"https://doi.org/10.1108/IJESM-06-2023-0004","author":[{"family":"Pandita","given":"Deepika"},{"family":"Bhatt","given":"Vimal"},{"family":"Kumar","given":"V. V. Ravi"},{"family":"Fatma","given":"Anam"},{"family":"Vapiwala","given":"Fatima"}],"accessed":{"date-parts":[["2024",2,28]]},"issued":{"date-parts":[["2024",1,1]]}}}],"schema":"https://github.com/citation-style-language/schema/raw/master/csl-citation.json"} </w:instrText>
      </w:r>
      <w:r w:rsidR="00BC3F09" w:rsidRPr="00E97BC8">
        <w:rPr>
          <w:rFonts w:cs="Times New Roman"/>
          <w:sz w:val="22"/>
          <w:szCs w:val="22"/>
        </w:rPr>
        <w:fldChar w:fldCharType="separate"/>
      </w:r>
      <w:r w:rsidR="001E6A07" w:rsidRPr="00E97BC8">
        <w:rPr>
          <w:rFonts w:cs="Times New Roman"/>
          <w:sz w:val="22"/>
          <w:szCs w:val="22"/>
        </w:rPr>
        <w:t>(Hardman et al., 2018; Dutta and Hwang, 2021; Buhmann et al., 2024; Pandita et al., 2024)</w:t>
      </w:r>
      <w:r w:rsidR="00BC3F09" w:rsidRPr="00E97BC8">
        <w:rPr>
          <w:rFonts w:cs="Times New Roman"/>
          <w:sz w:val="22"/>
          <w:szCs w:val="22"/>
        </w:rPr>
        <w:fldChar w:fldCharType="end"/>
      </w:r>
      <w:r w:rsidR="00A0614C" w:rsidRPr="00E97BC8">
        <w:rPr>
          <w:rFonts w:cs="Times New Roman"/>
          <w:sz w:val="22"/>
          <w:szCs w:val="22"/>
        </w:rPr>
        <w:t>.</w:t>
      </w:r>
      <w:r w:rsidR="00261C0D" w:rsidRPr="00E97BC8">
        <w:rPr>
          <w:rFonts w:cs="Times New Roman"/>
          <w:sz w:val="22"/>
          <w:szCs w:val="22"/>
        </w:rPr>
        <w:t xml:space="preserve"> Although most </w:t>
      </w:r>
      <w:r w:rsidR="00D82719" w:rsidRPr="00E97BC8">
        <w:rPr>
          <w:rFonts w:cs="Times New Roman"/>
          <w:sz w:val="22"/>
          <w:szCs w:val="22"/>
        </w:rPr>
        <w:t>individuals</w:t>
      </w:r>
      <w:r w:rsidR="00261C0D" w:rsidRPr="00E97BC8">
        <w:rPr>
          <w:rFonts w:cs="Times New Roman"/>
          <w:sz w:val="22"/>
          <w:szCs w:val="22"/>
        </w:rPr>
        <w:t xml:space="preserve"> report</w:t>
      </w:r>
      <w:r w:rsidR="00D82719" w:rsidRPr="00E97BC8">
        <w:rPr>
          <w:rFonts w:cs="Times New Roman"/>
          <w:sz w:val="22"/>
          <w:szCs w:val="22"/>
        </w:rPr>
        <w:t xml:space="preserve"> that</w:t>
      </w:r>
      <w:r w:rsidR="00261C0D" w:rsidRPr="00E97BC8">
        <w:rPr>
          <w:rFonts w:cs="Times New Roman"/>
          <w:sz w:val="22"/>
          <w:szCs w:val="22"/>
        </w:rPr>
        <w:t xml:space="preserve"> </w:t>
      </w:r>
      <w:r w:rsidR="003A1EEF" w:rsidRPr="00E97BC8">
        <w:rPr>
          <w:rFonts w:cs="Times New Roman"/>
          <w:sz w:val="22"/>
          <w:szCs w:val="22"/>
        </w:rPr>
        <w:t>they intend</w:t>
      </w:r>
      <w:r w:rsidR="00D82719" w:rsidRPr="00E97BC8">
        <w:rPr>
          <w:rFonts w:cs="Times New Roman"/>
          <w:sz w:val="22"/>
          <w:szCs w:val="22"/>
        </w:rPr>
        <w:t xml:space="preserve"> </w:t>
      </w:r>
      <w:r w:rsidR="00261C0D" w:rsidRPr="00E97BC8">
        <w:rPr>
          <w:rFonts w:cs="Times New Roman"/>
          <w:sz w:val="22"/>
          <w:szCs w:val="22"/>
        </w:rPr>
        <w:t>to charge primarily at home</w:t>
      </w:r>
      <w:r w:rsidR="007A0352" w:rsidRPr="00E97BC8">
        <w:rPr>
          <w:rFonts w:cs="Times New Roman"/>
          <w:sz w:val="22"/>
          <w:szCs w:val="22"/>
        </w:rPr>
        <w:t xml:space="preserve"> or the workplace</w:t>
      </w:r>
      <w:r w:rsidR="00D244DB" w:rsidRPr="00E97BC8">
        <w:rPr>
          <w:rFonts w:cs="Times New Roman"/>
          <w:sz w:val="22"/>
          <w:szCs w:val="22"/>
        </w:rPr>
        <w:t xml:space="preserve"> </w:t>
      </w:r>
      <w:r w:rsidR="00D244DB" w:rsidRPr="00E97BC8">
        <w:rPr>
          <w:rFonts w:cs="Times New Roman"/>
          <w:sz w:val="22"/>
          <w:szCs w:val="22"/>
        </w:rPr>
        <w:fldChar w:fldCharType="begin"/>
      </w:r>
      <w:r w:rsidR="00EC0E1D" w:rsidRPr="00E97BC8">
        <w:rPr>
          <w:rFonts w:cs="Times New Roman"/>
          <w:sz w:val="22"/>
          <w:szCs w:val="22"/>
        </w:rPr>
        <w:instrText xml:space="preserve"> ADDIN ZOTERO_ITEM CSL_CITATION {"citationID":"rY5CJEQZ","properties":{"unsorted":true,"formattedCitation":"(White et al., 2022; Hanni et al., 2024)","plainCitation":"(White et al., 2022; Hanni et al., 2024)","dontUpdate":true,"noteIndex":0},"citationItems":[{"id":2764,"uris":["http://zotero.org/users/12832277/items/9SG8BAE5"],"itemData":{"id":2764,"type":"article-journal","abstract":"Many policies to support battery electric vehicle (BEV) adoption involve roll-out of public charging stations. While greater density of public charging stations is correlated with higher BEV adoption, the mechanisms underlying this effect are not well understood. We use a sample of 1467 online survey respondents living in the metropolitan areas of Los Angeles, Dallas/Fort Worth, and Atlanta in the United States to investigate three potential mechanisms through which greater public charging station density could shape BEV adoption intent. These three potential mechanisms are lower range anxiety, lower perceived mobility restriction, and more positive pro-BEV subjective norms. Multiple regression with ordinary least squares is used to investigate associations between charging station density and adoption intent. Multiple mediation analysis is then used to evaluate the three potential mechanisms for impact of charging station density on BEV adoption intent, and indicates that greater perceived subjective norms in support of BEVs explain much of the association between charger density and adoption intent. Range anxiety plays a smaller and less robust role as a mechanism, while perceived mobility restriction has no direct or indirect effect on BEV adoption intent. That is, we found no indication that BEV adoption intent is influenced by expectations that BEVs are unable to meet mobility needs. Findings indicate that norms are particularly important for investments in charging infrastructure to translate to more BEVs on the road.","container-title":"Energy Research &amp; Social Science","DOI":"10.1016/j.erss.2022.102663","ISSN":"2214-6296","source":"ScienceDirect","title":"Why Are Charging Stations Associated with Electric Vehicle Adoption? Untangling Effects in Three United States Metropolitan Areas","URL":"https://www.sciencedirect.com/science/article/pii/S2214629622001670","volume":"89","author":[{"family":"White","given":"Lee V."},{"family":"Carrel","given":"Andre L."},{"family":"Shi","given":"Wei"},{"family":"Sintov","given":"Nicole D."}],"accessed":{"date-parts":[["2024",2,28]]},"issued":{"date-parts":[["2022",7,1]]}}},{"id":2568,"uris":["http://zotero.org/users/12832277/items/GAD8FEDW"],"itemData":{"id":2568,"type":"article-journal","abstract":"This study focuses on charging-related decisions for fast charging at highway service and parking areas, slow charging at home, fast charging at commercial facilities, and fast and slow charging at workplaces. This research contributes to the existing literature by estimating the charging behavior variables, as well as understanding the role of explanatory variables in influencing charging-related decisions. Responses from the stated preference (SP) survey in Japan in 2021 were analyzed with a mixed logit model (MXL). The results showed that, (1) when the battery level is 75% or higher, users of battery electric vehicles (BEVs) are not keen to charge their vehicles, but when the next trip is anticipated to be 50 or more kilometers, they choose to charge their vehicles; (2) individuals are not willing to tolerate any waiting time for their vehicles to be charged at each location; and (3) the recurrence of charging at the target location affects the charging decision of BEV users. We found significant relationships between socioeconomic characteristics and charging decisions. Furthermore, we examined the practical applications of the empirical findings in this study for policymaking and charging infrastructure planning.","container-title":"Sustainability","DOI":"10.3390/su16031177","ISSN":"2071-1050","issue":"3","language":"en","license":"http://creativecommons.org/licenses/by/3.0/","note":"number: 3\npublisher: Multidisciplinary Digital Publishing Institute","source":"www.mdpi.com","title":"An Analysis of Electric Vehicle Charging Intentions in Japan","URL":"https://www.mdpi.com/2071-1050/16/3/1177","volume":"16","author":[{"family":"Hanni","given":"Umm","dropping-particle":"e"},{"family":"Yamamoto","given":"Toshiyuki"},{"family":"Nakamura","given":"Toshiyuki"}],"accessed":{"date-parts":[["2024",2,23]]},"issued":{"date-parts":[["2024",1]]}}}],"schema":"https://github.com/citation-style-language/schema/raw/master/csl-citation.json"} </w:instrText>
      </w:r>
      <w:r w:rsidR="00D244DB" w:rsidRPr="00E97BC8">
        <w:rPr>
          <w:rFonts w:cs="Times New Roman"/>
          <w:sz w:val="22"/>
          <w:szCs w:val="22"/>
        </w:rPr>
        <w:fldChar w:fldCharType="separate"/>
      </w:r>
      <w:r w:rsidR="002C7033" w:rsidRPr="00E97BC8">
        <w:rPr>
          <w:rFonts w:cs="Times New Roman"/>
          <w:sz w:val="22"/>
          <w:szCs w:val="22"/>
        </w:rPr>
        <w:t>(</w:t>
      </w:r>
      <w:r w:rsidR="00315DC6" w:rsidRPr="00E97BC8">
        <w:rPr>
          <w:rFonts w:cs="Times New Roman"/>
          <w:sz w:val="22"/>
          <w:szCs w:val="22"/>
        </w:rPr>
        <w:t xml:space="preserve">see </w:t>
      </w:r>
      <w:r w:rsidR="002C7033" w:rsidRPr="00E97BC8">
        <w:rPr>
          <w:rFonts w:cs="Times New Roman"/>
          <w:sz w:val="22"/>
          <w:szCs w:val="22"/>
        </w:rPr>
        <w:t>White et al., 2022; Hanni et al., 2024)</w:t>
      </w:r>
      <w:r w:rsidR="00D244DB" w:rsidRPr="00E97BC8">
        <w:rPr>
          <w:rFonts w:cs="Times New Roman"/>
          <w:sz w:val="22"/>
          <w:szCs w:val="22"/>
        </w:rPr>
        <w:fldChar w:fldCharType="end"/>
      </w:r>
      <w:r w:rsidR="00261C0D" w:rsidRPr="00E97BC8">
        <w:rPr>
          <w:rFonts w:cs="Times New Roman"/>
          <w:sz w:val="22"/>
          <w:szCs w:val="22"/>
        </w:rPr>
        <w:t xml:space="preserve">, </w:t>
      </w:r>
      <w:r w:rsidR="00DD782B" w:rsidRPr="00E97BC8">
        <w:rPr>
          <w:rFonts w:cs="Times New Roman"/>
          <w:sz w:val="22"/>
          <w:szCs w:val="22"/>
        </w:rPr>
        <w:t xml:space="preserve">the lack of charging infrastructure in public spaces </w:t>
      </w:r>
      <w:r w:rsidR="00D82719" w:rsidRPr="00E97BC8">
        <w:rPr>
          <w:rFonts w:cs="Times New Roman"/>
          <w:sz w:val="22"/>
          <w:szCs w:val="22"/>
        </w:rPr>
        <w:t xml:space="preserve">limits </w:t>
      </w:r>
      <w:r w:rsidR="00B014AA" w:rsidRPr="00E97BC8">
        <w:rPr>
          <w:rFonts w:cs="Times New Roman"/>
          <w:sz w:val="22"/>
          <w:szCs w:val="22"/>
        </w:rPr>
        <w:t>the</w:t>
      </w:r>
      <w:r w:rsidR="00D82719" w:rsidRPr="00E97BC8">
        <w:rPr>
          <w:rFonts w:cs="Times New Roman"/>
          <w:sz w:val="22"/>
          <w:szCs w:val="22"/>
        </w:rPr>
        <w:t xml:space="preserve"> flexibility</w:t>
      </w:r>
      <w:r w:rsidR="00B014AA" w:rsidRPr="00E97BC8">
        <w:rPr>
          <w:rFonts w:cs="Times New Roman"/>
          <w:sz w:val="22"/>
          <w:szCs w:val="22"/>
        </w:rPr>
        <w:t xml:space="preserve"> of </w:t>
      </w:r>
      <w:r w:rsidR="001A4F69" w:rsidRPr="00E97BC8">
        <w:rPr>
          <w:rFonts w:cs="Times New Roman"/>
          <w:sz w:val="22"/>
          <w:szCs w:val="22"/>
        </w:rPr>
        <w:t>B</w:t>
      </w:r>
      <w:r w:rsidR="00B014AA" w:rsidRPr="00E97BC8">
        <w:rPr>
          <w:rFonts w:cs="Times New Roman"/>
          <w:sz w:val="22"/>
          <w:szCs w:val="22"/>
        </w:rPr>
        <w:t>EV users</w:t>
      </w:r>
      <w:r w:rsidR="00D82719" w:rsidRPr="00E97BC8">
        <w:rPr>
          <w:rFonts w:cs="Times New Roman"/>
          <w:sz w:val="22"/>
          <w:szCs w:val="22"/>
        </w:rPr>
        <w:t xml:space="preserve"> and </w:t>
      </w:r>
      <w:r w:rsidR="00D81FD5" w:rsidRPr="00E97BC8">
        <w:rPr>
          <w:rFonts w:cs="Times New Roman"/>
          <w:sz w:val="22"/>
          <w:szCs w:val="22"/>
        </w:rPr>
        <w:t>reduces adoption intentions</w:t>
      </w:r>
      <w:r w:rsidR="00AB086C" w:rsidRPr="00E97BC8">
        <w:rPr>
          <w:rFonts w:cs="Times New Roman"/>
          <w:sz w:val="22"/>
          <w:szCs w:val="22"/>
        </w:rPr>
        <w:t xml:space="preserve"> </w:t>
      </w:r>
      <w:r w:rsidR="00A52798" w:rsidRPr="00E97BC8">
        <w:rPr>
          <w:rFonts w:cs="Times New Roman"/>
          <w:sz w:val="22"/>
          <w:szCs w:val="22"/>
        </w:rPr>
        <w:fldChar w:fldCharType="begin"/>
      </w:r>
      <w:r w:rsidR="00F150EA" w:rsidRPr="00E97BC8">
        <w:rPr>
          <w:rFonts w:cs="Times New Roman"/>
          <w:sz w:val="22"/>
          <w:szCs w:val="22"/>
        </w:rPr>
        <w:instrText xml:space="preserve"> ADDIN ZOTERO_ITEM CSL_CITATION {"citationID":"XZujxkgK","properties":{"formattedCitation":"(Dong et al., 2020; Pandita et al., 2024)","plainCitation":"(Dong et al., 2020; Pandita et al., 2024)","noteIndex":0},"citationItems":[{"id":1485,"uris":["http://zotero.org/users/12832277/items/55D4Q44I"],"itemData":{"id":1485,"type":"article-journal","abstract":"Subsidies are used to promote pure electric vehicle adoption. Whether cost factors are the dominant factors inﬂuencing households’ purchase intentions under subsidy contexts is unknown, which is meaningful as subsidies decrease. To explore whether cost factors inﬂuence Chinese urban households’ purchase intentions for electric vehicles under subsidy contexts, we conducted a questionnaire survey among Chinese urban households, which covers eight economic regions (or 30 provinces). We extended the theory of planned behaviour with the norm activation model as the theoretical framework and utilised a structural equation model to analyse these collected survey data. We built the van Westendorp price sensitivity model to measure urban households’ price preferences for pure electric vehicles. The results indicate that under subsidy contexts cost factors do not signiﬁcantly inﬂuence urban households’ purchase intentions for pure electric vehicles in China, and people are more concerned about cruising power and charging-facility availability. Besides, subjective norms, feelings and emotions, personal norms, and perceived behavioural control aﬀect urban households’ purchase intentions. Inﬂuencing factors vary from household groups with or without cars. Urban families’ acceptable price range for pure electric vehicles is CNY65,000 to CNY120,000.","container-title":"Transportation Research Part A: Policy and Practice","DOI":"10.1016/j.tra.2020.03.012","ISSN":"09658564","language":"en","page":"183-197","source":"DOI.org (Crossref)","title":"Urban Households’ Purchase Intentions for Pure Electric Vehicles Under Subsidy Contexts in China: Do Cost Factors Matter?","title-short":"Urban Households’ Purchase Intentions for Pure Electric Vehicles Under Subsidy Contexts in China","volume":"135","author":[{"family":"Dong","given":"Xiaoyang"},{"family":"Zhang","given":"Bin"},{"family":"Wang","given":"Bo"},{"family":"Wang","given":"Zhaohua"}],"issued":{"date-parts":[["2020",5]]}}},{"id":2696,"uris":["http://zotero.org/users/12832277/items/D9YSDZUD"],"itemData":{"id":2696,"type":"article-journal","abstract":"Purpose This study aims to emphasize green energy-driven solutions to address environmental sustainability issues, particularly to promote the uptake of electric vehicles (EVs). This study intends to investigate user adoption of EVs as the existing predicament of converting car owners to EV buyers, demanding a push to create a facilitating environment for EV uptake. Design/methodology/approach A survey-based quantitative study involving 330 car owners and potential buyers was conducted involving four predictors, i.e. financial benefits, social influence, charging infrastructure and range consciousness. Environmental concerns and socio-demographic factors such as age, family income and gender were considered as moderators between these predictors and EV adoption intention. Partial least square structural equation modelling was used to analyse the proposed relationships. Findings The findings indicated that financial benefits (ß = 0.169, t = 3.930), social influence (ß = 0.099, t = 2.605), range consciousness (ß = 0.239, t = 3.983) and charging infrastructure (ß = 0.142, t = 4.8) significantly impact EV adoption. Family income was the most significant moderator with a large effect size (F square = 0.224), followed by environmental concern (F square = 0.182) and age (F square = 0.042) having a medium moderation effect and, subsequently, gender (F square = 0.010) as a mild moderator. Originality/value By analysing environmental concerns as a moderator, this study fosters a novel understanding of how environmental concerns impact EV adoption, which has not been explored. Additionally, the empirical assessment of the socio-economic and socio-demographic factors of EV adoption helps to offer a consumer perspective to the government and policymakers in undertaking initiatives to promote EV adoption.","container-title":"International Journal of Energy Sector Management","DOI":"10.1108/IJESM-06-2023-0004","ISSN":"1750-6220","source":"Emerald Insight","title":"Electrifying the Future: Analysing the Determinants of Electric Vehicle Adoption","URL":"https://doi.org/10.1108/IJESM-06-2023-0004","author":[{"family":"Pandita","given":"Deepika"},{"family":"Bhatt","given":"Vimal"},{"family":"Kumar","given":"V. V. Ravi"},{"family":"Fatma","given":"Anam"},{"family":"Vapiwala","given":"Fatima"}],"accessed":{"date-parts":[["2024",2,28]]},"issued":{"date-parts":[["2024",1,1]]}}}],"schema":"https://github.com/citation-style-language/schema/raw/master/csl-citation.json"} </w:instrText>
      </w:r>
      <w:r w:rsidR="00A52798" w:rsidRPr="00E97BC8">
        <w:rPr>
          <w:rFonts w:cs="Times New Roman"/>
          <w:sz w:val="22"/>
          <w:szCs w:val="22"/>
        </w:rPr>
        <w:fldChar w:fldCharType="separate"/>
      </w:r>
      <w:r w:rsidR="001E6A07" w:rsidRPr="00E97BC8">
        <w:rPr>
          <w:rFonts w:cs="Times New Roman"/>
          <w:sz w:val="22"/>
          <w:szCs w:val="22"/>
        </w:rPr>
        <w:t>(Dong et al., 2020; Pandita et al., 2024)</w:t>
      </w:r>
      <w:r w:rsidR="00A52798" w:rsidRPr="00E97BC8">
        <w:rPr>
          <w:rFonts w:cs="Times New Roman"/>
          <w:sz w:val="22"/>
          <w:szCs w:val="22"/>
        </w:rPr>
        <w:fldChar w:fldCharType="end"/>
      </w:r>
      <w:r w:rsidR="00D81FD5" w:rsidRPr="00E97BC8">
        <w:rPr>
          <w:rFonts w:cs="Times New Roman"/>
          <w:sz w:val="22"/>
          <w:szCs w:val="22"/>
        </w:rPr>
        <w:t>.</w:t>
      </w:r>
      <w:r w:rsidR="00E10D8B" w:rsidRPr="00E97BC8">
        <w:rPr>
          <w:rFonts w:cs="Times New Roman"/>
          <w:sz w:val="22"/>
          <w:szCs w:val="22"/>
        </w:rPr>
        <w:t xml:space="preserve"> </w:t>
      </w:r>
      <w:r w:rsidR="0031327E" w:rsidRPr="00E97BC8">
        <w:rPr>
          <w:rFonts w:cs="Times New Roman"/>
          <w:sz w:val="22"/>
          <w:szCs w:val="22"/>
        </w:rPr>
        <w:t>Economic factors such as g</w:t>
      </w:r>
      <w:r w:rsidR="00CD791D" w:rsidRPr="00E97BC8">
        <w:rPr>
          <w:rFonts w:cs="Times New Roman"/>
          <w:sz w:val="22"/>
          <w:szCs w:val="22"/>
        </w:rPr>
        <w:t>as and electricity prices</w:t>
      </w:r>
      <w:r w:rsidR="00E10D8B" w:rsidRPr="00E97BC8">
        <w:rPr>
          <w:rFonts w:cs="Times New Roman"/>
          <w:sz w:val="22"/>
          <w:szCs w:val="22"/>
        </w:rPr>
        <w:t xml:space="preserve"> </w:t>
      </w:r>
      <w:r w:rsidR="001A4F69" w:rsidRPr="00E97BC8">
        <w:rPr>
          <w:rFonts w:cs="Times New Roman"/>
          <w:sz w:val="22"/>
          <w:szCs w:val="22"/>
        </w:rPr>
        <w:t xml:space="preserve">have </w:t>
      </w:r>
      <w:r w:rsidR="00E10D8B" w:rsidRPr="00E97BC8">
        <w:rPr>
          <w:rFonts w:cs="Times New Roman"/>
          <w:sz w:val="22"/>
          <w:szCs w:val="22"/>
        </w:rPr>
        <w:t>also</w:t>
      </w:r>
      <w:r w:rsidR="00CD791D" w:rsidRPr="00E97BC8">
        <w:rPr>
          <w:rFonts w:cs="Times New Roman"/>
          <w:sz w:val="22"/>
          <w:szCs w:val="22"/>
        </w:rPr>
        <w:t xml:space="preserve"> </w:t>
      </w:r>
      <w:r w:rsidR="001A4F69" w:rsidRPr="00E97BC8">
        <w:rPr>
          <w:rFonts w:cs="Times New Roman"/>
          <w:sz w:val="22"/>
          <w:szCs w:val="22"/>
        </w:rPr>
        <w:t xml:space="preserve">been shown to </w:t>
      </w:r>
      <w:r w:rsidR="00CD791D" w:rsidRPr="00E97BC8">
        <w:rPr>
          <w:rFonts w:cs="Times New Roman"/>
          <w:sz w:val="22"/>
          <w:szCs w:val="22"/>
        </w:rPr>
        <w:t xml:space="preserve">affect adoption intentions, as consumers in areas with low electricity prices and rising gas prices may </w:t>
      </w:r>
      <w:r w:rsidR="00071F96" w:rsidRPr="00E97BC8">
        <w:rPr>
          <w:rFonts w:cs="Times New Roman"/>
          <w:sz w:val="22"/>
          <w:szCs w:val="22"/>
        </w:rPr>
        <w:t>favor</w:t>
      </w:r>
      <w:r w:rsidR="00CD791D" w:rsidRPr="00E97BC8">
        <w:rPr>
          <w:rFonts w:cs="Times New Roman"/>
          <w:sz w:val="22"/>
          <w:szCs w:val="22"/>
        </w:rPr>
        <w:t xml:space="preserve"> EV</w:t>
      </w:r>
      <w:r w:rsidR="00986F6B" w:rsidRPr="00E97BC8">
        <w:rPr>
          <w:rFonts w:cs="Times New Roman"/>
          <w:sz w:val="22"/>
          <w:szCs w:val="22"/>
        </w:rPr>
        <w:t xml:space="preserve"> adoption</w:t>
      </w:r>
      <w:r w:rsidR="009D0BA0" w:rsidRPr="00E97BC8">
        <w:rPr>
          <w:rFonts w:cs="Times New Roman"/>
          <w:sz w:val="22"/>
          <w:szCs w:val="22"/>
        </w:rPr>
        <w:t xml:space="preserve"> </w:t>
      </w:r>
      <w:r w:rsidR="009D0BA0" w:rsidRPr="00E97BC8">
        <w:rPr>
          <w:rFonts w:cs="Times New Roman"/>
          <w:sz w:val="22"/>
          <w:szCs w:val="22"/>
        </w:rPr>
        <w:fldChar w:fldCharType="begin"/>
      </w:r>
      <w:r w:rsidR="00824407" w:rsidRPr="00E97BC8">
        <w:rPr>
          <w:rFonts w:cs="Times New Roman"/>
          <w:sz w:val="22"/>
          <w:szCs w:val="22"/>
        </w:rPr>
        <w:instrText xml:space="preserve"> ADDIN ZOTERO_ITEM CSL_CITATION {"citationID":"zpXotHXZ","properties":{"formattedCitation":"(Javid and Nejat, 2017; Rye and Sintov, 2024)","plainCitation":"(Javid and Nejat, 2017; Rye and Sintov, 2024)","noteIndex":0},"citationItems":[{"id":2581,"uris":["http://zotero.org/users/12832277/items/QIDGKID8"],"itemData":{"id":2581,"type":"article-journal","abstract":"This study focused on the adoption of Plug-in Electric Vehicles (PEVs) as a policy towards having a more sustainable transportation with lower Greenhouse Gas (GHG) emissions. The current paper aimed to explore potential factors that can be attributed to purchasing PEVs in order to estimate their penetration in 58 California counties. A Multiple Logistic Regression Analysis was applied to the 2012 California Household Travel Survey dataset, which includes both PEV and conventional car buyers’ information, as well as some other secondary data sources. The model developed a broad set of factors including demographic and travel-related characteristics, socioeconomic variables, and infrastructural and regional specifications. The results identified that a household's income, maximum level of education in the household, the buyer's car sharing status, charging stations density, and gas price in the region can significantly impact PEV adoption. The model was validated using data from the 2012 Household Travel Survey conducted in the Delaware Valley region. With sufficient data availability, the methodology can be applied to evaluate changes in vehicle fleet composition and the levels of emissions in response to transportation policies. The model is believed to have a wide range of applications in electricity utilizing, gasoline/diesel retailing, and battery and automotive manufacturing. Additionally, the model can assist policy makers and transportation planners to optimize their infrastructural investments by identifying counties where the response of drivers to added charging station would be maximized, implying that larger benefits can be achieved.","container-title":"Transport Policy","DOI":"10.1016/j.tranpol.2016.11.003","ISSN":"0967-070X","page":"30-42","source":"ScienceDirect","title":"A Comprehensive Model of Regional Electric Vehicle Adoption and Penetration","volume":"54","author":[{"family":"Javid","given":"Roxana J."},{"family":"Nejat","given":"Ali"}],"issued":{"date-parts":[["2017",2,1]]}}},{"id":2574,"uris":["http://zotero.org/users/12832277/items/4HJ8IF87"],"itemData":{"id":2574,"type":"article-journal","abstract":"Research examining electric vehicle (EV) adoption intent is growing, but neglects rideshare drivers (e.g., Uber &amp; Lyft), who drive up to 13% of all miles driven in metropolitan areas. This study uses Noppers’ framework on sustainable innovation adoption to compare rideshare drivers to commuters on symbolic and instrumental attribute (e.g., costs, maintenance) perceptions, and their influences on EV adoption intent. It is possible that rideshare drivers have stronger symbolic attribute ratings than commuters because more people see their vehicles for extended periods of time, so what the vehicle signals about drivers may be more salient to drivers; alternatively, because rideshare drivers use their vehicles for work, drivers may perceive vehicles in primarily instrumental terms. We test these competing hypotheses using a survey of 136 rideshare drivers and 378 commuters. Relative to commuters, rideshare drivers rated symbolic attributes higher and EV maintenance costs somewhat more favorably, but significantly fewer had access to a charging spot. A regression model found that both instrumental and symbolic attributes positively predicted EV adoption intent for both groups. Relative to commuters, symbolic attributes were weaker predictors of EV adoption intent among rideshare drivers, whereas instrumental attributes, particularly perceptions that the purchase cost of an EV was lower than that of a gasoline car, were stronger.","container-title":"Transportation Research Part A: Policy and Practice","DOI":"10.1016/j.tra.2023.103943","ISSN":"0965-8564","page":"103943","source":"ScienceDirect","title":"Predictors of Electric Vehicle Adoption Intent in Rideshare Drivers Relative to Commuters","volume":"179","author":[{"family":"Rye","given":"Jamie"},{"family":"Sintov","given":"Nicole D."}],"issued":{"date-parts":[["2024",1,1]]}}}],"schema":"https://github.com/citation-style-language/schema/raw/master/csl-citation.json"} </w:instrText>
      </w:r>
      <w:r w:rsidR="009D0BA0" w:rsidRPr="00E97BC8">
        <w:rPr>
          <w:rFonts w:cs="Times New Roman"/>
          <w:sz w:val="22"/>
          <w:szCs w:val="22"/>
        </w:rPr>
        <w:fldChar w:fldCharType="separate"/>
      </w:r>
      <w:r w:rsidR="001E6A07" w:rsidRPr="00E97BC8">
        <w:rPr>
          <w:rFonts w:cs="Times New Roman"/>
          <w:sz w:val="22"/>
          <w:szCs w:val="22"/>
        </w:rPr>
        <w:t>(Javid and Nejat, 2017; Rye and Sintov, 2024)</w:t>
      </w:r>
      <w:r w:rsidR="009D0BA0" w:rsidRPr="00E97BC8">
        <w:rPr>
          <w:rFonts w:cs="Times New Roman"/>
          <w:sz w:val="22"/>
          <w:szCs w:val="22"/>
        </w:rPr>
        <w:fldChar w:fldCharType="end"/>
      </w:r>
      <w:r w:rsidR="00BB7518" w:rsidRPr="00E97BC8">
        <w:rPr>
          <w:rFonts w:cs="Times New Roman"/>
          <w:sz w:val="22"/>
          <w:szCs w:val="22"/>
        </w:rPr>
        <w:t>, t</w:t>
      </w:r>
      <w:r w:rsidR="00BB7FCF" w:rsidRPr="00E97BC8">
        <w:rPr>
          <w:rFonts w:cs="Times New Roman"/>
          <w:sz w:val="22"/>
          <w:szCs w:val="22"/>
        </w:rPr>
        <w:t>hough consumers may be less sensitive to changes in electricity prices than gas prices</w:t>
      </w:r>
      <w:r w:rsidR="00BB7518" w:rsidRPr="00E97BC8">
        <w:rPr>
          <w:rFonts w:cs="Times New Roman"/>
          <w:sz w:val="22"/>
          <w:szCs w:val="22"/>
        </w:rPr>
        <w:t xml:space="preserve"> </w:t>
      </w:r>
      <w:r w:rsidR="00BB7518" w:rsidRPr="00E97BC8">
        <w:rPr>
          <w:rFonts w:cs="Times New Roman"/>
          <w:sz w:val="22"/>
          <w:szCs w:val="22"/>
        </w:rPr>
        <w:fldChar w:fldCharType="begin"/>
      </w:r>
      <w:r w:rsidR="00BB7518" w:rsidRPr="00E97BC8">
        <w:rPr>
          <w:rFonts w:cs="Times New Roman"/>
          <w:sz w:val="22"/>
          <w:szCs w:val="22"/>
        </w:rPr>
        <w:instrText xml:space="preserve"> ADDIN ZOTERO_ITEM CSL_CITATION {"citationID":"6WgLPSJX","properties":{"formattedCitation":"(Bushnell et al., 2022)","plainCitation":"(Bushnell et al., 2022)","noteIndex":0},"citationItems":[{"id":4091,"uris":["http://zotero.org/users/12832277/items/HDUZGT2J"],"itemData":{"id":4091,"type":"article","abstract":"This paper presents evidence that gasoline prices have a larger effect on demand for electric vehicles (EVs) than electricity prices in California. We match a spatially-disaggregated panel dataset of monthly EV registration records to detailed records of gasoline and electricity prices in California from 2014-2017, and use these to estimate the effect of energy prices on EV demand. Two distinct empirical approaches (panel fixed-effects and a utility-border discontinuity) yield remarkably similar results: a given change in gasoline prices has roughly four to six times the effect on EV demand as a similar percentage change in electricity prices. We explore the implications for optimal EV subsidies, which promote externality reduction benefits and correct for consumer misoptimization stemming from the undervaluation of future electricity costs.","collection-title":"Working Paper Series","DOI":"10.3386/w29842","genre":"Working Paper","note":"DOI: 10.3386/w29842","number":"29842","publisher":"National Bureau of Economic Research","source":"National Bureau of Economic Research","title":"Energy Prices and Electric Vehicle Adoption","URL":"https://www.nber.org/papers/w29842","author":[{"family":"Bushnell","given":"James B."},{"family":"Muehlegger","given":"Erich"},{"family":"Rapson","given":"David S."}],"accessed":{"date-parts":[["2025",2,7]]},"issued":{"date-parts":[["2022",3]]}}}],"schema":"https://github.com/citation-style-language/schema/raw/master/csl-citation.json"} </w:instrText>
      </w:r>
      <w:r w:rsidR="00BB7518" w:rsidRPr="00E97BC8">
        <w:rPr>
          <w:rFonts w:cs="Times New Roman"/>
          <w:sz w:val="22"/>
          <w:szCs w:val="22"/>
        </w:rPr>
        <w:fldChar w:fldCharType="separate"/>
      </w:r>
      <w:r w:rsidR="00BB7518" w:rsidRPr="00E97BC8">
        <w:rPr>
          <w:rFonts w:cs="Times New Roman"/>
          <w:sz w:val="22"/>
          <w:szCs w:val="22"/>
        </w:rPr>
        <w:t>(Bushnell et al., 2022)</w:t>
      </w:r>
      <w:r w:rsidR="00BB7518" w:rsidRPr="00E97BC8">
        <w:rPr>
          <w:rFonts w:cs="Times New Roman"/>
          <w:sz w:val="22"/>
          <w:szCs w:val="22"/>
        </w:rPr>
        <w:fldChar w:fldCharType="end"/>
      </w:r>
      <w:r w:rsidR="00BB7FCF" w:rsidRPr="00E97BC8">
        <w:rPr>
          <w:rFonts w:cs="Times New Roman"/>
          <w:sz w:val="22"/>
          <w:szCs w:val="22"/>
        </w:rPr>
        <w:t xml:space="preserve">. </w:t>
      </w:r>
      <w:r w:rsidR="0031327E" w:rsidRPr="00E97BC8">
        <w:rPr>
          <w:rFonts w:cs="Times New Roman"/>
          <w:sz w:val="22"/>
          <w:szCs w:val="22"/>
        </w:rPr>
        <w:t>Similarly, g</w:t>
      </w:r>
      <w:r w:rsidR="0019138F" w:rsidRPr="00E97BC8">
        <w:rPr>
          <w:rFonts w:cs="Times New Roman"/>
          <w:sz w:val="22"/>
          <w:szCs w:val="22"/>
        </w:rPr>
        <w:t>overnment subsidies and policy incentives</w:t>
      </w:r>
      <w:r w:rsidR="00986F6B" w:rsidRPr="00E97BC8">
        <w:rPr>
          <w:rFonts w:cs="Times New Roman"/>
          <w:sz w:val="22"/>
          <w:szCs w:val="22"/>
        </w:rPr>
        <w:t>, particularly f</w:t>
      </w:r>
      <w:r w:rsidR="00A23B36" w:rsidRPr="00E97BC8">
        <w:rPr>
          <w:rFonts w:cs="Times New Roman"/>
          <w:sz w:val="22"/>
          <w:szCs w:val="22"/>
        </w:rPr>
        <w:t>inancial</w:t>
      </w:r>
      <w:r w:rsidR="00BE0A75" w:rsidRPr="00E97BC8">
        <w:rPr>
          <w:rFonts w:cs="Times New Roman"/>
          <w:sz w:val="22"/>
          <w:szCs w:val="22"/>
        </w:rPr>
        <w:t xml:space="preserve"> incentives</w:t>
      </w:r>
      <w:r w:rsidR="00CE2ABF" w:rsidRPr="00E97BC8">
        <w:rPr>
          <w:rFonts w:cs="Times New Roman"/>
          <w:sz w:val="22"/>
          <w:szCs w:val="22"/>
        </w:rPr>
        <w:t xml:space="preserve">, have been shown to </w:t>
      </w:r>
      <w:r w:rsidR="00A23B36" w:rsidRPr="00E97BC8">
        <w:rPr>
          <w:rFonts w:cs="Times New Roman"/>
          <w:sz w:val="22"/>
          <w:szCs w:val="22"/>
        </w:rPr>
        <w:t>contribute to the</w:t>
      </w:r>
      <w:r w:rsidR="00CE2ABF" w:rsidRPr="00E97BC8">
        <w:rPr>
          <w:rFonts w:cs="Times New Roman"/>
          <w:sz w:val="22"/>
          <w:szCs w:val="22"/>
        </w:rPr>
        <w:t xml:space="preserve"> perceived</w:t>
      </w:r>
      <w:r w:rsidR="00A23B36" w:rsidRPr="00E97BC8">
        <w:rPr>
          <w:rFonts w:cs="Times New Roman"/>
          <w:sz w:val="22"/>
          <w:szCs w:val="22"/>
        </w:rPr>
        <w:t xml:space="preserve"> economic value of </w:t>
      </w:r>
      <w:r w:rsidR="00384356" w:rsidRPr="00E97BC8">
        <w:rPr>
          <w:rFonts w:cs="Times New Roman"/>
          <w:sz w:val="22"/>
          <w:szCs w:val="22"/>
        </w:rPr>
        <w:t>EVs and</w:t>
      </w:r>
      <w:r w:rsidR="00A23B36" w:rsidRPr="00E97BC8">
        <w:rPr>
          <w:rFonts w:cs="Times New Roman"/>
          <w:sz w:val="22"/>
          <w:szCs w:val="22"/>
        </w:rPr>
        <w:t xml:space="preserve"> increase adoption intentions</w:t>
      </w:r>
      <w:r w:rsidR="00D8551C" w:rsidRPr="00E97BC8">
        <w:rPr>
          <w:rFonts w:cs="Times New Roman"/>
          <w:sz w:val="22"/>
          <w:szCs w:val="22"/>
        </w:rPr>
        <w:t xml:space="preserve"> </w:t>
      </w:r>
      <w:r w:rsidR="0053286E" w:rsidRPr="00E97BC8">
        <w:rPr>
          <w:rFonts w:cs="Times New Roman"/>
          <w:sz w:val="22"/>
          <w:szCs w:val="22"/>
        </w:rPr>
        <w:fldChar w:fldCharType="begin"/>
      </w:r>
      <w:r w:rsidR="0053286E" w:rsidRPr="00E97BC8">
        <w:rPr>
          <w:rFonts w:cs="Times New Roman"/>
          <w:sz w:val="22"/>
          <w:szCs w:val="22"/>
        </w:rPr>
        <w:instrText xml:space="preserve"> ADDIN ZOTERO_ITEM CSL_CITATION {"citationID":"5ykwzUFP","properties":{"formattedCitation":"(Kim et al., 2018; Xia et al., 2022)","plainCitation":"(Kim et al., 2018; Xia et al., 2022)","noteIndex":0},"citationItems":[{"id":2705,"uris":["http://zotero.org/users/12832277/items/NPTGECQK"],"itemData":{"id":2705,"type":"article-journal","abstract":"In response to concerns about rapid climate change and air pollution, electric vehicles (EVs) have been diffusing rapidly in some countries since the early 2010s. Many researchers have investigated the value attributes affecting consumers' attitudes to and behaviors around EVs. Little effort has been made, however, to identify the interacting factors in the relationship between perceived value and adoption. To fill this research gap, we examine the moderating effects of environmental traits and government supports on adoption intention. Using survey data collected from 285 drivers in Korea, we identify the significant impacts of perceived value as a predictor of consumers' intention to adopt EVs. Operational economic benefit and charging risk are revealed as the main motivators of and barriers to EV diffusion, respectively. We also find that environmental concern and financial incentives significantly enhance the effects of perceived value on adoption intention. The implications of these findings for the success of EV market diffusion are discussed.","container-title":"Energy","DOI":"10.1016/j.energy.2018.06.064","ISSN":"0360-5442","page":"799-809","source":"ScienceDirect","title":"Perceived Value and Adoption Intention for Electric Vehicles in Korea: Moderating Effects of Environmental Traits and Government Supports","volume":"159","author":[{"family":"Kim","given":"Moon-Koo"},{"family":"Oh","given":"Jeesun"},{"family":"Park","given":"Jong-Hyun"},{"family":"Joo","given":"Changlim"}],"issued":{"date-parts":[["2018",9,15]]}}},{"id":2691,"uris":["http://zotero.org/users/12832277/items/8QB2SF4V"],"itemData":{"id":2691,"type":"article-journal","abstract":"Although electric vehicles (EVs) have been heavily promoted as an effective solution to sustainable problems such as environmental pollution and resource constraints, the market penetration of EVs remains below expectations. By viewing EVs as innovative products that are different from traditional fuel vehicles, this study proposes a research model based on the diffusion of innovation theory, in which a series of factors influencing the adoption of EVs are identified. We collected 375 valid responses through an offline survey, and the structural equation modeling technique was used to empirically test the proposed model. The empirical results indicate that consumer adoption of EVs can be effectively predicted by three important innovation characteristics, namely perceived compatibility, perceived complexity, and perceived relative advantage. Furthermore, the results also suggest that factors in the economic aspect (monetary subsidy and risk of a price reduction), functional aspect (intelligent function and risk of sustainability), and social aspect (status symbol and risk of reputation), exert significant impacts on the adoption of EVs by influencing consumers’ perceptions of innovation characteristics. Theoretically, this study contributes to the literature by providing an appropriate theoretical perspective for understanding consumer adoption of EVs and identifying numerous significant antecedents of such behavior. Practically, the findings of this study can be applied to promote the market penetration of EVs.","container-title":"Sustainability","DOI":"10.3390/su14106283","ISSN":"2071-1050","issue":"10","language":"en","license":"http://creativecommons.org/licenses/by/3.0/","note":"number: 10\npublisher: Multidisciplinary Digital Publishing Institute","source":"www.mdpi.com","title":"Economic, Functional, and Social Factors Influencing Electric Vehicles’ Adoption: An Empirical Study Based on the Diffusion of Innovation Theory","title-short":"Economic, Functional, and Social Factors Influencing Electric Vehicles’ Adoption","URL":"https://www.mdpi.com/2071-1050/14/10/6283","volume":"14","author":[{"family":"Xia","given":"Zhengwei"},{"family":"Wu","given":"Dongming"},{"family":"Zhang","given":"Langlang"}],"accessed":{"date-parts":[["2024",2,28]]},"issued":{"date-parts":[["2022",1]]}}}],"schema":"https://github.com/citation-style-language/schema/raw/master/csl-citation.json"} </w:instrText>
      </w:r>
      <w:r w:rsidR="0053286E" w:rsidRPr="00E97BC8">
        <w:rPr>
          <w:rFonts w:cs="Times New Roman"/>
          <w:sz w:val="22"/>
          <w:szCs w:val="22"/>
        </w:rPr>
        <w:fldChar w:fldCharType="separate"/>
      </w:r>
      <w:r w:rsidR="001E6A07" w:rsidRPr="00E97BC8">
        <w:rPr>
          <w:rFonts w:cs="Times New Roman"/>
          <w:sz w:val="22"/>
          <w:szCs w:val="22"/>
        </w:rPr>
        <w:t>(Kim et al., 2018; Xia et al., 2022)</w:t>
      </w:r>
      <w:r w:rsidR="0053286E" w:rsidRPr="00E97BC8">
        <w:rPr>
          <w:rFonts w:cs="Times New Roman"/>
          <w:sz w:val="22"/>
          <w:szCs w:val="22"/>
        </w:rPr>
        <w:fldChar w:fldCharType="end"/>
      </w:r>
      <w:r w:rsidR="00A23B36" w:rsidRPr="00E97BC8">
        <w:rPr>
          <w:rFonts w:cs="Times New Roman"/>
          <w:sz w:val="22"/>
          <w:szCs w:val="22"/>
        </w:rPr>
        <w:t xml:space="preserve">. </w:t>
      </w:r>
      <w:r w:rsidR="00181D9E" w:rsidRPr="00E97BC8">
        <w:rPr>
          <w:rFonts w:cs="Times New Roman"/>
          <w:sz w:val="22"/>
          <w:szCs w:val="22"/>
        </w:rPr>
        <w:t>Other policy incentives</w:t>
      </w:r>
      <w:r w:rsidR="00ED4B30" w:rsidRPr="00E97BC8">
        <w:rPr>
          <w:rFonts w:cs="Times New Roman"/>
          <w:sz w:val="22"/>
          <w:szCs w:val="22"/>
        </w:rPr>
        <w:t xml:space="preserve"> that have been shown to positively influence adoption intentions</w:t>
      </w:r>
      <w:r w:rsidR="00181D9E" w:rsidRPr="00E97BC8">
        <w:rPr>
          <w:rFonts w:cs="Times New Roman"/>
          <w:sz w:val="22"/>
          <w:szCs w:val="22"/>
        </w:rPr>
        <w:t xml:space="preserve"> </w:t>
      </w:r>
      <w:r w:rsidR="005825A5" w:rsidRPr="00E97BC8">
        <w:rPr>
          <w:rFonts w:cs="Times New Roman"/>
          <w:sz w:val="22"/>
          <w:szCs w:val="22"/>
        </w:rPr>
        <w:t xml:space="preserve">(though generally to a lesser extent in the United States) </w:t>
      </w:r>
      <w:r w:rsidR="00181D9E" w:rsidRPr="00E97BC8">
        <w:rPr>
          <w:rFonts w:cs="Times New Roman"/>
          <w:sz w:val="22"/>
          <w:szCs w:val="22"/>
        </w:rPr>
        <w:t xml:space="preserve">include special privileges for EV owners, such as </w:t>
      </w:r>
      <w:r w:rsidR="00020971" w:rsidRPr="00E97BC8">
        <w:rPr>
          <w:rFonts w:cs="Times New Roman"/>
          <w:sz w:val="22"/>
          <w:szCs w:val="22"/>
        </w:rPr>
        <w:t>parking privileges</w:t>
      </w:r>
      <w:r w:rsidR="005A787D" w:rsidRPr="00E97BC8">
        <w:rPr>
          <w:rFonts w:cs="Times New Roman"/>
          <w:sz w:val="22"/>
          <w:szCs w:val="22"/>
        </w:rPr>
        <w:t xml:space="preserve"> </w:t>
      </w:r>
      <w:r w:rsidR="005A787D" w:rsidRPr="00E97BC8">
        <w:rPr>
          <w:rFonts w:cs="Times New Roman"/>
          <w:sz w:val="22"/>
          <w:szCs w:val="22"/>
        </w:rPr>
        <w:fldChar w:fldCharType="begin"/>
      </w:r>
      <w:r w:rsidR="00626F8E" w:rsidRPr="00E97BC8">
        <w:rPr>
          <w:rFonts w:cs="Times New Roman"/>
          <w:sz w:val="22"/>
          <w:szCs w:val="22"/>
        </w:rPr>
        <w:instrText xml:space="preserve"> ADDIN ZOTERO_ITEM CSL_CITATION {"citationID":"mRcvdY5U","properties":{"unsorted":true,"formattedCitation":"(Wolbertus et al., 2018; Lashari et al., 2021)","plainCitation":"(Wolbertus et al., 2018; Lashari et al., 2021)","noteIndex":0},"citationItems":[{"id":2595,"uris":["http://zotero.org/users/12832277/items/MD8H93QR"],"itemData":{"id":2595,"type":"article-journal","abstract":"Policy makers are looking for effective ways to promote the adoption of electric vehicles (EVs). Among the options is the roll-out and management of charging infrastructure to meet the EV drivers’ refuelling needs. However, policies in this area do not only have a long-term effect on the adoption of EVs among prospective owners, they also have short-term impacts on the usage of public charging infrastructure among current EV owners and vice versa. Presently, studies focusing on both effects simultaneously are lacking, missing out on possible cross-pollination between these areas. This study uniquely combines stated and revealed preference data to estimate the effect of particular policy measures aimed at EV adoption, on the one hand, and charging behaviour, on the other. Using a large dataset (1.7 million charging sessions) related to charging behaviour using public charging infrastructure in the Netherlands we quantify the effects of (i) daytime-parking (to manage parking pressure) and (ii) free parking (to promote purchase of EVs) policies on charging behaviour. To estimate the effects of these particular policies on EV purchase intentions, a stated choice experiment was conducted among potential EV-buyers. Results show that cross-pollinations between EV charging and adaptation policies exist and should be taken into account when designing policies for EV adoption.","container-title":"Transportation Research Part D: Transport and Environment","DOI":"10.1016/j.trd.2018.03.012","ISSN":"1361-9209","page":"283-297","source":"ScienceDirect","title":"Policy Effects on Charging Behaviour of Electric Vehicle Owners and on Purchase Intentions of Prospective Owners: Natural and Stated Choice Experiments","volume":"62","author":[{"family":"Wolbertus","given":"Rick"},{"family":"Kroesen","given":"Maarten"},{"family":"Hoed","given":"Robert","non-dropping-particle":"van den"},{"family":"Chorus","given":"Caspar G."}],"issued":{"date-parts":[["2018",7,1]]}}},{"id":2736,"uris":["http://zotero.org/users/12832277/items/XSCL4YHY"],"itemData":{"id":2736,"type":"article-journal","abstract":"Electric vehicles (EVs) have been developed as an efficient solution to reduce automobile emissions. To ensure the effective diffusion of EVs in current transport systems, it is vital to understand the factors affecting consumers’ intentions to purchase EVs. To provide insights for this understanding, this study aims to investigate such factors with a particular focus on users’ attitudes and perceptions. A questionnaire survey was conducted in September 2019 among potential consumers in the major cities of South Korea. A total of 1500 valid survey responses were obtained, and investigations using binary logistic regression and regression tree were conducted for an empirical analysis. The results showed that among attitudinal attributes, environmental and economic perceptions concerning EV use were the strongest predictors for an EV purchase. In addition, technological concerns were found to have negative impacts on EV purchase intentions. The findings of this study could provide reasonable guidelines for establishing marketing strategies and serve as a reference for EV stakeholders to improve the applicability of current policies regarding EV adoption.","container-title":"Sustainability","DOI":"10.3390/su13126778","ISSN":"2071-1050","issue":"12","language":"en","license":"http://creativecommons.org/licenses/by/3.0/","note":"number: 12\npublisher: Multidisciplinary Digital Publishing Institute","source":"www.mdpi.com","title":"Consumers’ Intention to Purchase Electric Vehicles: Influences of User Attitude and Perception","URL":"https://www.mdpi.com/2071-1050/13/12/6778","volume":"13","author":[{"family":"Lashari","given":"Zulfiqar Ali"},{"family":"Ko","given":"Joonho"},{"family":"Jang","given":"Junseok"}],"accessed":{"date-parts":[["2024",2,28]]},"issued":{"date-parts":[["2021",1]]}}}],"schema":"https://github.com/citation-style-language/schema/raw/master/csl-citation.json"} </w:instrText>
      </w:r>
      <w:r w:rsidR="005A787D" w:rsidRPr="00E97BC8">
        <w:rPr>
          <w:rFonts w:cs="Times New Roman"/>
          <w:sz w:val="22"/>
          <w:szCs w:val="22"/>
        </w:rPr>
        <w:fldChar w:fldCharType="separate"/>
      </w:r>
      <w:r w:rsidR="001E6A07" w:rsidRPr="00E97BC8">
        <w:rPr>
          <w:rFonts w:cs="Times New Roman"/>
          <w:sz w:val="22"/>
          <w:szCs w:val="22"/>
        </w:rPr>
        <w:t>(Wolbertus et al., 2018; Lashari et al., 2021)</w:t>
      </w:r>
      <w:r w:rsidR="005A787D" w:rsidRPr="00E97BC8">
        <w:rPr>
          <w:rFonts w:cs="Times New Roman"/>
          <w:sz w:val="22"/>
          <w:szCs w:val="22"/>
        </w:rPr>
        <w:fldChar w:fldCharType="end"/>
      </w:r>
      <w:r w:rsidR="00020971" w:rsidRPr="00E97BC8">
        <w:rPr>
          <w:rFonts w:cs="Times New Roman"/>
          <w:sz w:val="22"/>
          <w:szCs w:val="22"/>
        </w:rPr>
        <w:t xml:space="preserve">, </w:t>
      </w:r>
      <w:r w:rsidR="002F5A54" w:rsidRPr="00E97BC8">
        <w:rPr>
          <w:rFonts w:cs="Times New Roman"/>
          <w:sz w:val="22"/>
          <w:szCs w:val="22"/>
        </w:rPr>
        <w:t>driving privileges in carpool or bus-only lanes</w:t>
      </w:r>
      <w:r w:rsidR="00F7052C" w:rsidRPr="00E97BC8">
        <w:rPr>
          <w:rFonts w:cs="Times New Roman"/>
          <w:sz w:val="22"/>
          <w:szCs w:val="22"/>
        </w:rPr>
        <w:t xml:space="preserve"> </w:t>
      </w:r>
      <w:r w:rsidR="00F7052C" w:rsidRPr="00E97BC8">
        <w:rPr>
          <w:rFonts w:cs="Times New Roman"/>
          <w:sz w:val="22"/>
          <w:szCs w:val="22"/>
        </w:rPr>
        <w:fldChar w:fldCharType="begin"/>
      </w:r>
      <w:r w:rsidR="006561CC" w:rsidRPr="00E97BC8">
        <w:rPr>
          <w:rFonts w:cs="Times New Roman"/>
          <w:sz w:val="22"/>
          <w:szCs w:val="22"/>
        </w:rPr>
        <w:instrText xml:space="preserve"> ADDIN ZOTERO_ITEM CSL_CITATION {"citationID":"nC4h7GzY","properties":{"formattedCitation":"(Lu et al., 2020)","plainCitation":"(Lu et al., 2020)","noteIndex":0},"citationItems":[{"id":2598,"uris":["http://zotero.org/users/12832277/items/QM3KTCHB"],"itemData":{"id":2598,"type":"article-journal","abstract":"The purchase subsidy policy gives powerful support in battery electric vehicles’ (BEVs) market penetration. However, the purchase subsidy is also a huge financial burden for the government, so it can only be considered as a transitional measure and will be canceled gradually. This paper aims to investigate the impact of purchase subsidy phase-out on BEV adoptions and explore alternative incentive policies to continue stimulating BEV adoptions. A stated preference (SP) survey is conducted in Beijing, and a binary logit (BL) model is established to describe how various factors affect BEV adoption preferences. In addition to the factors related to vehicle techniques, the policies of license plate restrictions and driving restrictions are focused due to Beijing’s unique external policy environment. The vehicle use subsidy and bus line driving permit are tested as alternative incentive policies against the purchase subsidy decrease. The results show that incentive policies can significantly influence BEV adoption intentions. If the purchase subsidy policy is canceled in Beijing, the BEV choice probability will be reduced from 45.94% to 16.62%. In this case, the vehicle use subsidy needs to be set at the level of 4966 CNY/year (714.3 USD/year) to maintain the original BEV choice probability.","container-title":"Energies","DOI":"10.3390/en13071645","ISSN":"1996-1073","issue":"7","language":"en","license":"http://creativecommons.org/licenses/by/3.0/","note":"number: 7\npublisher: Multidisciplinary Digital Publishing Institute","page":"1645","source":"www.mdpi.com","title":"Alternative Incentive Policies Against Purchase Subsidy Decrease for Battery Electric Vehicle (BEV) Adoption","volume":"13","author":[{"family":"Lu","given":"Tianwei"},{"family":"Yao","given":"Enjian"},{"family":"Jin","given":"Fanglei"},{"family":"Pan","given":"Long"}],"issued":{"date-parts":[["2020",1]]}}}],"schema":"https://github.com/citation-style-language/schema/raw/master/csl-citation.json"} </w:instrText>
      </w:r>
      <w:r w:rsidR="00F7052C" w:rsidRPr="00E97BC8">
        <w:rPr>
          <w:rFonts w:cs="Times New Roman"/>
          <w:sz w:val="22"/>
          <w:szCs w:val="22"/>
        </w:rPr>
        <w:fldChar w:fldCharType="separate"/>
      </w:r>
      <w:r w:rsidR="001E6A07" w:rsidRPr="00E97BC8">
        <w:rPr>
          <w:rFonts w:cs="Times New Roman"/>
          <w:sz w:val="22"/>
          <w:szCs w:val="22"/>
        </w:rPr>
        <w:t>(Lu et al., 2020)</w:t>
      </w:r>
      <w:r w:rsidR="00F7052C" w:rsidRPr="00E97BC8">
        <w:rPr>
          <w:rFonts w:cs="Times New Roman"/>
          <w:sz w:val="22"/>
          <w:szCs w:val="22"/>
        </w:rPr>
        <w:fldChar w:fldCharType="end"/>
      </w:r>
      <w:r w:rsidR="002F5A54" w:rsidRPr="00E97BC8">
        <w:rPr>
          <w:rFonts w:cs="Times New Roman"/>
          <w:sz w:val="22"/>
          <w:szCs w:val="22"/>
        </w:rPr>
        <w:t xml:space="preserve">, and </w:t>
      </w:r>
      <w:r w:rsidR="00ED4B30" w:rsidRPr="00E97BC8">
        <w:rPr>
          <w:rFonts w:cs="Times New Roman"/>
          <w:sz w:val="22"/>
          <w:szCs w:val="22"/>
        </w:rPr>
        <w:t>license</w:t>
      </w:r>
      <w:r w:rsidR="00E728C5" w:rsidRPr="00E97BC8">
        <w:rPr>
          <w:rFonts w:cs="Times New Roman"/>
          <w:sz w:val="22"/>
          <w:szCs w:val="22"/>
        </w:rPr>
        <w:t xml:space="preserve"> plate lottery incentives</w:t>
      </w:r>
      <w:r w:rsidR="00F7052C" w:rsidRPr="00E97BC8">
        <w:rPr>
          <w:rFonts w:cs="Times New Roman"/>
          <w:sz w:val="22"/>
          <w:szCs w:val="22"/>
        </w:rPr>
        <w:t xml:space="preserve"> </w:t>
      </w:r>
      <w:r w:rsidR="00F7052C" w:rsidRPr="00E97BC8">
        <w:rPr>
          <w:rFonts w:cs="Times New Roman"/>
          <w:sz w:val="22"/>
          <w:szCs w:val="22"/>
        </w:rPr>
        <w:fldChar w:fldCharType="begin"/>
      </w:r>
      <w:r w:rsidR="00CB0DC0" w:rsidRPr="00E97BC8">
        <w:rPr>
          <w:rFonts w:cs="Times New Roman"/>
          <w:sz w:val="22"/>
          <w:szCs w:val="22"/>
        </w:rPr>
        <w:instrText xml:space="preserve"> ADDIN ZOTERO_ITEM CSL_CITATION {"citationID":"beOVLrw8","properties":{"formattedCitation":"(She et al., 2017)","plainCitation":"(She et al., 2017)","noteIndex":0},"citationItems":[{"id":2587,"uris":["http://zotero.org/users/12832277/items/R9KZ633R"],"itemData":{"id":2587,"type":"article-journal","abstract":"Battery electric vehicles (BEVs) are an effective way to reduce fossil fuel consumptions and greenhouse gas emissions. This study employs the structural equation model and chi-square test to explore public perception barriers to widespread adoption of BEVs in Tianjin. Based on a sample of 476 urban respondents collected by questionnaire, it finds that consumer interest in BEVs is relatively low and a large proportion of the respondents have a “wait and see” attitude. Consumers are unsure about BEVs performance, with safety, reliability, and range per charge being the top three concerns. Respondents who focus on vehicle performance express significantly lower BEV acceptance. High battery cost is the main technological barrier to widespread BEV adoption. In terms of public service support, poor public charging infrastructure ranks as the largest impeditive. In terms of respondent personal characteristics, older respondents have a more optimistic attitude to BEVs than younger generations, more respondents express interest to adopt BEVs as the second family car, experienced drivers are more concerned with the cost of battery and maintenance, and consumers who are more concerned about the environment are more likely to adopt BEVs.","container-title":"Transport Policy","DOI":"10.1016/j.tranpol.2017.03.001","ISSN":"0967-070X","page":"29-40","source":"ScienceDirect","title":"What Are the Barriers to Widespread Adoption of Battery Electric Vehicles? A Survey of Public Perception in Tianjin, China","volume":"56","author":[{"family":"She","given":"Zhen-Yu"},{"literal":"Qing Sun"},{"family":"Ma","given":"Jia-Jun"},{"family":"Xie","given":"Bai-Chen"}],"issued":{"date-parts":[["2017",5,1]]}}}],"schema":"https://github.com/citation-style-language/schema/raw/master/csl-citation.json"} </w:instrText>
      </w:r>
      <w:r w:rsidR="00F7052C" w:rsidRPr="00E97BC8">
        <w:rPr>
          <w:rFonts w:cs="Times New Roman"/>
          <w:sz w:val="22"/>
          <w:szCs w:val="22"/>
        </w:rPr>
        <w:fldChar w:fldCharType="separate"/>
      </w:r>
      <w:r w:rsidR="001E6A07" w:rsidRPr="00E97BC8">
        <w:rPr>
          <w:rFonts w:cs="Times New Roman"/>
          <w:sz w:val="22"/>
          <w:szCs w:val="22"/>
        </w:rPr>
        <w:t>(She et al., 2017)</w:t>
      </w:r>
      <w:r w:rsidR="00F7052C" w:rsidRPr="00E97BC8">
        <w:rPr>
          <w:rFonts w:cs="Times New Roman"/>
          <w:sz w:val="22"/>
          <w:szCs w:val="22"/>
        </w:rPr>
        <w:fldChar w:fldCharType="end"/>
      </w:r>
      <w:r w:rsidR="00E728C5" w:rsidRPr="00E97BC8">
        <w:rPr>
          <w:rFonts w:cs="Times New Roman"/>
          <w:sz w:val="22"/>
          <w:szCs w:val="22"/>
        </w:rPr>
        <w:t>. Finally</w:t>
      </w:r>
      <w:r w:rsidR="00B7642F" w:rsidRPr="00E97BC8">
        <w:rPr>
          <w:rFonts w:cs="Times New Roman"/>
          <w:sz w:val="22"/>
          <w:szCs w:val="22"/>
        </w:rPr>
        <w:t>, the environmental efficiency of EVs</w:t>
      </w:r>
      <w:r w:rsidR="001A4F69" w:rsidRPr="00E97BC8">
        <w:rPr>
          <w:rFonts w:cs="Times New Roman"/>
          <w:sz w:val="22"/>
          <w:szCs w:val="22"/>
        </w:rPr>
        <w:t xml:space="preserve"> is different for BEVs and PHEVs, and</w:t>
      </w:r>
      <w:r w:rsidR="00B7642F" w:rsidRPr="00E97BC8">
        <w:rPr>
          <w:rFonts w:cs="Times New Roman"/>
          <w:sz w:val="22"/>
          <w:szCs w:val="22"/>
        </w:rPr>
        <w:t xml:space="preserve"> depends significantly on the energy source mix used to produce electricity, so the local electricity system</w:t>
      </w:r>
      <w:r w:rsidR="001915E7" w:rsidRPr="00E97BC8">
        <w:rPr>
          <w:rFonts w:cs="Times New Roman"/>
          <w:sz w:val="22"/>
          <w:szCs w:val="22"/>
        </w:rPr>
        <w:t xml:space="preserve"> </w:t>
      </w:r>
      <w:r w:rsidR="007A0E1E" w:rsidRPr="00E97BC8">
        <w:rPr>
          <w:rFonts w:cs="Times New Roman"/>
          <w:sz w:val="22"/>
          <w:szCs w:val="22"/>
        </w:rPr>
        <w:t xml:space="preserve">and government policies on </w:t>
      </w:r>
      <w:r w:rsidR="001915E7" w:rsidRPr="00E97BC8">
        <w:rPr>
          <w:rFonts w:cs="Times New Roman"/>
          <w:sz w:val="22"/>
          <w:szCs w:val="22"/>
        </w:rPr>
        <w:t>greenhouse gas emissions in the electricity sector may impact adoption intentions</w:t>
      </w:r>
      <w:r w:rsidR="00B7642F" w:rsidRPr="00E97BC8">
        <w:rPr>
          <w:rFonts w:cs="Times New Roman"/>
          <w:sz w:val="22"/>
          <w:szCs w:val="22"/>
        </w:rPr>
        <w:t xml:space="preserve"> </w:t>
      </w:r>
      <w:r w:rsidR="00A10EFE" w:rsidRPr="00E97BC8">
        <w:rPr>
          <w:rFonts w:cs="Times New Roman"/>
          <w:sz w:val="22"/>
          <w:szCs w:val="22"/>
        </w:rPr>
        <w:fldChar w:fldCharType="begin"/>
      </w:r>
      <w:r w:rsidR="004B70E4" w:rsidRPr="00E97BC8">
        <w:rPr>
          <w:rFonts w:cs="Times New Roman"/>
          <w:sz w:val="22"/>
          <w:szCs w:val="22"/>
        </w:rPr>
        <w:instrText xml:space="preserve"> ADDIN ZOTERO_ITEM CSL_CITATION {"citationID":"kB5sRkRl","properties":{"unsorted":true,"formattedCitation":"(L. Li et al., 2020; Ben Ali and Boukettaya, 2023)","plainCitation":"(L. Li et al., 2020; Ben Ali and Boukettaya, 2023)","noteIndex":0},"citationItems":[{"id":1459,"uris":["http://zotero.org/users/12832277/items/SJVWZLUC"],"itemData":{"id":1459,"type":"article-journal","abstract":"Policy mixes that combine multiple policy instruments together are proposed as methods to accelerate the adoption of electric vehicles (EVs). This paper examines the links among psy­ chological factors, policy mix characteristics, and EV purchase intention based on an extended theory of planned behavior (TPB). The empirical results from a survey in China reveal that the consistency, coherence, and credibility of policy mixes matter greatly in increasing an in­ dividual’s EV purchase intention, whereas comprehensiveness has a non-significant effect. More importantly, the consistency negatively moderates the effects of consumer attitude, subjective norm, and personal norm on purchase intention, but positively moderates the relationship be­ tween perceived behavioral control and purchase intention. This paper makes theoretical con­ tributions by extending the TPB from a policy mix perspective, which provides new knowledge for both policy research and EV adoption literature. The findings also have policy implications for the adoption of EVs.","container-title":"Transportation Research Part D: Transport and Environment","DOI":"10.1016/j.trd.2020.102488","ISSN":"13619209","language":"en","source":"DOI.org (Crossref)","title":"Do Policy Mix Characteristics Matter for Electric Vehicle Adoption? A Survey-Based Exploration","title-short":"Do Policy Mix Characteristics Matter for Electric Vehicle Adoption?","URL":"https://linkinghub.elsevier.com/retrieve/pii/S1361920920306751","volume":"87","author":[{"family":"Li","given":"Lixu"},{"family":"Wang","given":"Zhiqiang"},{"family":"Wang","given":"Qiang"}],"accessed":{"date-parts":[["2023",12,1]]},"issued":{"date-parts":[["2020",10]]}}},{"id":1482,"uris":["http://zotero.org/users/12832277/items/GT7H6D9G"],"itemData":{"id":1482,"type":"article-journal","abstract":"The road transport sector is a primary carbon dioxide (CO2) emissions contributor in Tunisia. More recently, the emerging literature has offered findings about the dynamic link between the transport sector, population growth, energy consumption, decrease in fossil energy sources, and CO2 emissions in Tunisia. It highlighted the necessity to promote new solutions and accelerate the transition from conventional technologies to electric ones towards a zero‑carbon transportation future. So far, very little attention has been paid to consumers’ attitudes, intentions, and preferences on new electric technologies. In particular, this study aimed to better understand consumers’ attitudes, intentions, and preferences in order to adopt the new electric vehicle (EV) technology. The current research work introduced a structured methodology based on an online survey. As an approach, the Plan-DoCheck-Act (PDCA) cycle was applied, using the Strength-Weaknesses-Opportunities-Threats (SWOT) analysis as a support tool. The adopted methodology was to identify the barriers towards the diffusion of EV technology, assess the risk of slow penetration, and plan for continuous enhancement policy recommendations taking into account the consumers’ economic and social disturbance precisely due to the Novel Corona Virus Disease (COVID-19) pandemic. Thus, on the other hand, the transition project planning requires new methodologies and strategies to remain competitive in project development. Consequently, the present paper proposed the agile methodology using the scrum framework to scale up the electric technology transition process using the user’s continuous feedback for an iterative improvement in a minimum period with lower financial losses.","container-title":"Research in Transportation Business &amp; Management","DOI":"10.1016/j.rtbm.2023.101022","ISSN":"22105395","language":"en","source":"DOI.org (Crossref)","title":"Analysis of Barriers and Opportunities in the Transition Towards Sustainable Electric Mobility in Tunisia: An Experimental Survey","title-short":"Analysis of Barriers and Opportunities in the Transition Towards Sustainable Electric Mobility in Tunisia","URL":"https://linkinghub.elsevier.com/retrieve/pii/S2210539523000809","volume":"50","author":[{"family":"Ben Ali","given":"Marwa"},{"family":"Boukettaya","given":"Ghada"}],"accessed":{"date-parts":[["2023",12,1]]},"issued":{"date-parts":[["2023",10]]}}}],"schema":"https://github.com/citation-style-language/schema/raw/master/csl-citation.json"} </w:instrText>
      </w:r>
      <w:r w:rsidR="00A10EFE" w:rsidRPr="00E97BC8">
        <w:rPr>
          <w:rFonts w:cs="Times New Roman"/>
          <w:sz w:val="22"/>
          <w:szCs w:val="22"/>
        </w:rPr>
        <w:fldChar w:fldCharType="separate"/>
      </w:r>
      <w:r w:rsidR="001E6A07" w:rsidRPr="00E97BC8">
        <w:rPr>
          <w:rFonts w:cs="Times New Roman"/>
          <w:sz w:val="22"/>
          <w:szCs w:val="22"/>
        </w:rPr>
        <w:t>(L. Li et al., 2020; Ben Ali and Boukettaya, 2023)</w:t>
      </w:r>
      <w:r w:rsidR="00A10EFE" w:rsidRPr="00E97BC8">
        <w:rPr>
          <w:rFonts w:cs="Times New Roman"/>
          <w:sz w:val="22"/>
          <w:szCs w:val="22"/>
        </w:rPr>
        <w:fldChar w:fldCharType="end"/>
      </w:r>
      <w:r w:rsidR="00B7642F" w:rsidRPr="00E97BC8">
        <w:rPr>
          <w:rFonts w:cs="Times New Roman"/>
          <w:sz w:val="22"/>
          <w:szCs w:val="22"/>
        </w:rPr>
        <w:t>.</w:t>
      </w:r>
      <w:r w:rsidR="00691DFA" w:rsidRPr="00E97BC8">
        <w:rPr>
          <w:rFonts w:cs="Times New Roman"/>
          <w:sz w:val="22"/>
          <w:szCs w:val="22"/>
        </w:rPr>
        <w:t xml:space="preserve"> </w:t>
      </w:r>
    </w:p>
    <w:p w14:paraId="3AB6D25D" w14:textId="77777777" w:rsidR="0072349A" w:rsidRPr="00E97BC8" w:rsidRDefault="0072349A" w:rsidP="00E85093">
      <w:pPr>
        <w:shd w:val="clear" w:color="auto" w:fill="FFFFFF"/>
        <w:spacing w:after="0" w:line="240" w:lineRule="auto"/>
        <w:jc w:val="both"/>
        <w:rPr>
          <w:rFonts w:cs="Times New Roman"/>
          <w:sz w:val="22"/>
          <w:szCs w:val="22"/>
        </w:rPr>
      </w:pPr>
    </w:p>
    <w:p w14:paraId="54D9A784" w14:textId="14870A2D" w:rsidR="0052226E" w:rsidRPr="00E97BC8" w:rsidRDefault="0052226E" w:rsidP="00E85093">
      <w:pPr>
        <w:shd w:val="clear" w:color="auto" w:fill="FFFFFF"/>
        <w:spacing w:after="0" w:line="240" w:lineRule="auto"/>
        <w:jc w:val="both"/>
        <w:rPr>
          <w:rFonts w:cs="Times New Roman"/>
          <w:b/>
          <w:bCs/>
          <w:i/>
          <w:iCs/>
          <w:sz w:val="22"/>
          <w:szCs w:val="22"/>
        </w:rPr>
      </w:pPr>
      <w:r w:rsidRPr="00E97BC8">
        <w:rPr>
          <w:rFonts w:cs="Times New Roman"/>
          <w:b/>
          <w:bCs/>
          <w:i/>
          <w:iCs/>
          <w:sz w:val="22"/>
          <w:szCs w:val="22"/>
        </w:rPr>
        <w:t>2.1.</w:t>
      </w:r>
      <w:r w:rsidR="00DE4D03" w:rsidRPr="00E97BC8">
        <w:rPr>
          <w:rFonts w:cs="Times New Roman"/>
          <w:b/>
          <w:bCs/>
          <w:i/>
          <w:iCs/>
          <w:sz w:val="22"/>
          <w:szCs w:val="22"/>
        </w:rPr>
        <w:t>3</w:t>
      </w:r>
      <w:r w:rsidRPr="00E97BC8">
        <w:rPr>
          <w:rFonts w:cs="Times New Roman"/>
          <w:b/>
          <w:bCs/>
          <w:i/>
          <w:iCs/>
          <w:sz w:val="22"/>
          <w:szCs w:val="22"/>
        </w:rPr>
        <w:t xml:space="preserve"> </w:t>
      </w:r>
      <w:r w:rsidR="00BB7518" w:rsidRPr="00E97BC8">
        <w:rPr>
          <w:rFonts w:cs="Times New Roman"/>
          <w:b/>
          <w:bCs/>
          <w:i/>
          <w:iCs/>
          <w:sz w:val="22"/>
          <w:szCs w:val="22"/>
        </w:rPr>
        <w:t xml:space="preserve">Technological </w:t>
      </w:r>
      <w:r w:rsidRPr="00E97BC8">
        <w:rPr>
          <w:rFonts w:cs="Times New Roman"/>
          <w:b/>
          <w:bCs/>
          <w:i/>
          <w:iCs/>
          <w:sz w:val="22"/>
          <w:szCs w:val="22"/>
        </w:rPr>
        <w:t>Factors</w:t>
      </w:r>
    </w:p>
    <w:p w14:paraId="047C83D7" w14:textId="1BC5F4D3" w:rsidR="005D7825" w:rsidRPr="00E97BC8" w:rsidRDefault="00BB7518" w:rsidP="00E85093">
      <w:pPr>
        <w:shd w:val="clear" w:color="auto" w:fill="FFFFFF"/>
        <w:spacing w:after="0" w:line="240" w:lineRule="auto"/>
        <w:jc w:val="both"/>
        <w:rPr>
          <w:rFonts w:cs="Times New Roman"/>
          <w:sz w:val="22"/>
          <w:szCs w:val="22"/>
        </w:rPr>
      </w:pPr>
      <w:r w:rsidRPr="00E97BC8">
        <w:rPr>
          <w:rFonts w:cs="Times New Roman"/>
          <w:sz w:val="22"/>
          <w:szCs w:val="22"/>
        </w:rPr>
        <w:t xml:space="preserve">Technological </w:t>
      </w:r>
      <w:r w:rsidR="003859C8" w:rsidRPr="00E97BC8">
        <w:rPr>
          <w:rFonts w:cs="Times New Roman"/>
          <w:sz w:val="22"/>
          <w:szCs w:val="22"/>
        </w:rPr>
        <w:t xml:space="preserve">factors include the broad set of economic and technological considerations </w:t>
      </w:r>
      <w:r w:rsidR="00705C4B" w:rsidRPr="00E97BC8">
        <w:rPr>
          <w:rFonts w:cs="Times New Roman"/>
          <w:sz w:val="22"/>
          <w:szCs w:val="22"/>
        </w:rPr>
        <w:t>that influence EV performance compared with</w:t>
      </w:r>
      <w:r w:rsidR="00EA18A5" w:rsidRPr="00E97BC8">
        <w:rPr>
          <w:rFonts w:cs="Times New Roman"/>
          <w:sz w:val="22"/>
          <w:szCs w:val="22"/>
        </w:rPr>
        <w:t xml:space="preserve"> that of</w:t>
      </w:r>
      <w:r w:rsidR="00705C4B" w:rsidRPr="00E97BC8">
        <w:rPr>
          <w:rFonts w:cs="Times New Roman"/>
          <w:sz w:val="22"/>
          <w:szCs w:val="22"/>
        </w:rPr>
        <w:t xml:space="preserve"> ICEVs. </w:t>
      </w:r>
      <w:r w:rsidR="004135E8" w:rsidRPr="00E97BC8">
        <w:rPr>
          <w:rFonts w:cs="Times New Roman"/>
          <w:sz w:val="22"/>
          <w:szCs w:val="22"/>
        </w:rPr>
        <w:t xml:space="preserve">The high </w:t>
      </w:r>
      <w:r w:rsidR="00C8108B" w:rsidRPr="00E97BC8">
        <w:rPr>
          <w:rFonts w:cs="Times New Roman"/>
          <w:sz w:val="22"/>
          <w:szCs w:val="22"/>
        </w:rPr>
        <w:t>purchase cost of EVs</w:t>
      </w:r>
      <w:r w:rsidR="001A4F69" w:rsidRPr="00E97BC8">
        <w:rPr>
          <w:rFonts w:cs="Times New Roman"/>
          <w:sz w:val="22"/>
          <w:szCs w:val="22"/>
        </w:rPr>
        <w:t xml:space="preserve"> (particularly BEVs)</w:t>
      </w:r>
      <w:r w:rsidR="00C8108B" w:rsidRPr="00E97BC8">
        <w:rPr>
          <w:rFonts w:cs="Times New Roman"/>
          <w:sz w:val="22"/>
          <w:szCs w:val="22"/>
        </w:rPr>
        <w:t xml:space="preserve"> has been shown to be a significant barrier to adoption intentions</w:t>
      </w:r>
      <w:r w:rsidR="005A2516" w:rsidRPr="00E97BC8">
        <w:rPr>
          <w:rFonts w:cs="Times New Roman"/>
          <w:sz w:val="22"/>
          <w:szCs w:val="22"/>
        </w:rPr>
        <w:t>, resulting in significantly lower adoption rates for low-income populations</w:t>
      </w:r>
      <w:r w:rsidR="001E5097" w:rsidRPr="00E97BC8">
        <w:rPr>
          <w:rFonts w:cs="Times New Roman"/>
          <w:sz w:val="22"/>
          <w:szCs w:val="22"/>
        </w:rPr>
        <w:t xml:space="preserve"> </w:t>
      </w:r>
      <w:r w:rsidR="001E5097" w:rsidRPr="00E97BC8">
        <w:rPr>
          <w:rFonts w:cs="Times New Roman"/>
          <w:sz w:val="22"/>
          <w:szCs w:val="22"/>
        </w:rPr>
        <w:fldChar w:fldCharType="begin"/>
      </w:r>
      <w:r w:rsidR="00E52DF5" w:rsidRPr="00E97BC8">
        <w:rPr>
          <w:rFonts w:cs="Times New Roman"/>
          <w:sz w:val="22"/>
          <w:szCs w:val="22"/>
        </w:rPr>
        <w:instrText xml:space="preserve"> ADDIN ZOTERO_ITEM CSL_CITATION {"citationID":"qsw5CF1l","properties":{"unsorted":true,"formattedCitation":"(Park et al., 2018; Mandys, 2021)","plainCitation":"(Park et al., 2018; Mandys, 2021)","noteIndex":0},"citationItems":[{"id":2703,"uris":["http://zotero.org/users/12832277/items/Y8KRFXFX"],"itemData":{"id":2703,"type":"article-journal","abstract":"This study explores potential factors of drivers’ intentions to use electric vehicles and proposes an integrated adoption model. Results of a structural equation modeling analysis with 988 samples indicate that drivers’ intentions are predicted by one negative factor (cost) and three positive ones (satisfaction, usefulness, and attitude). In addition, the total standardized effects of potential factors on the intention are computed. The current study also validates the original technology acceptance model. Based on the results of the current study, practical and academic implications with potential limitations are examined and presented.","container-title":"Sustainability","DOI":"10.3390/su10030662","ISSN":"2071-1050","issue":"3","language":"en","license":"http://creativecommons.org/licenses/by/3.0/","note":"number: 3\npublisher: Multidisciplinary Digital Publishing Institute","source":"www.mdpi.com","title":"Understanding the Emergence and Social Acceptance of Electric Vehicles as Next-Generation Models for the Automobile Industry","URL":"https://www.mdpi.com/2071-1050/10/3/662","volume":"10","author":[{"family":"Park","given":"Eunil"},{"family":"Lim","given":"Jooyoung"},{"family":"Cho","given":"Yongwoo"}],"accessed":{"date-parts":[["2024",2,28]]},"issued":{"date-parts":[["2018",3]]}}},{"id":2754,"uris":["http://zotero.org/users/12832277/items/48SH3TYL"],"itemData":{"id":2754,"type":"article-journal","abstract":"Electric vehicles (EVs) have many attractive features compared to conventional vehicles (CVs). Their main advantage lies in their significant economic benefits due to the much higher fuel efficiency, and substantial environmental benefit of lower greenhouse gas emissions. However, the market share of EVs in the UK remains low and their benefits will not be realized unless the government and the manufacturers can gain crucial information, necessary to effectively support and speed up the adoption of EVs. Such contemporary information for the UK is missing in the literature, and this study aims to fill the gap. Therefore, a stated preferences UK dataset is used, and a discrete choice mode is applied, using an adaptive Lasso methodology, binomial logit and ordered logit regressions. The main goals include: finding the characteristics of potential early adopters of EVs in the UK, the vehicle attributes that they consider important for their buying decisions, and the key barriers that slow EV adoption. The results suggest that the propensity of being a potential EV early adopter increases with youth, education, being a student, living in the more southern parts of UK, being married and, to a lesser extent, income. Additionally, purchase cost, performance, maximum range and environmental friendliness are found to be important vehicle attributes for the potential buyers. Furthermore, two key barriers to wide EV adoption are identified – high purchase cost and low maximum range of the vehicle.","container-title":"Renewable and Sustainable Energy Reviews","DOI":"10.1016/j.rser.2021.110874","ISSN":"1364-0321","source":"ScienceDirect","title":"Electric Vehicles and Consumer Choices","URL":"https://www.sciencedirect.com/science/article/pii/S1364032121001684","volume":"142","author":[{"family":"Mandys","given":"F."}],"accessed":{"date-parts":[["2024",2,28]]},"issued":{"date-parts":[["2021",5,1]]}}}],"schema":"https://github.com/citation-style-language/schema/raw/master/csl-citation.json"} </w:instrText>
      </w:r>
      <w:r w:rsidR="001E5097" w:rsidRPr="00E97BC8">
        <w:rPr>
          <w:rFonts w:cs="Times New Roman"/>
          <w:sz w:val="22"/>
          <w:szCs w:val="22"/>
        </w:rPr>
        <w:fldChar w:fldCharType="separate"/>
      </w:r>
      <w:r w:rsidR="001E6A07" w:rsidRPr="00E97BC8">
        <w:rPr>
          <w:rFonts w:cs="Times New Roman"/>
          <w:sz w:val="22"/>
          <w:szCs w:val="22"/>
        </w:rPr>
        <w:t>(Park et al., 2018; Mandys, 2021)</w:t>
      </w:r>
      <w:r w:rsidR="001E5097" w:rsidRPr="00E97BC8">
        <w:rPr>
          <w:rFonts w:cs="Times New Roman"/>
          <w:sz w:val="22"/>
          <w:szCs w:val="22"/>
        </w:rPr>
        <w:fldChar w:fldCharType="end"/>
      </w:r>
      <w:r w:rsidR="00A749FE" w:rsidRPr="00E97BC8">
        <w:rPr>
          <w:rFonts w:cs="Times New Roman"/>
          <w:sz w:val="22"/>
          <w:szCs w:val="22"/>
        </w:rPr>
        <w:t>.</w:t>
      </w:r>
      <w:r w:rsidR="00F878B3" w:rsidRPr="00E97BC8">
        <w:rPr>
          <w:rFonts w:cs="Times New Roman"/>
          <w:sz w:val="22"/>
          <w:szCs w:val="22"/>
        </w:rPr>
        <w:t xml:space="preserve"> </w:t>
      </w:r>
      <w:r w:rsidR="0041669B" w:rsidRPr="00E97BC8">
        <w:rPr>
          <w:rFonts w:cs="Times New Roman"/>
          <w:sz w:val="22"/>
          <w:szCs w:val="22"/>
        </w:rPr>
        <w:t>L</w:t>
      </w:r>
      <w:r w:rsidR="00EE636B" w:rsidRPr="00E97BC8">
        <w:rPr>
          <w:rFonts w:cs="Times New Roman"/>
          <w:sz w:val="22"/>
          <w:szCs w:val="22"/>
        </w:rPr>
        <w:t xml:space="preserve">ower fuel </w:t>
      </w:r>
      <w:r w:rsidR="0041669B" w:rsidRPr="00E97BC8">
        <w:rPr>
          <w:rFonts w:cs="Times New Roman"/>
          <w:sz w:val="22"/>
          <w:szCs w:val="22"/>
        </w:rPr>
        <w:t xml:space="preserve">and maintenance </w:t>
      </w:r>
      <w:r w:rsidR="00EE636B" w:rsidRPr="00E97BC8">
        <w:rPr>
          <w:rFonts w:cs="Times New Roman"/>
          <w:sz w:val="22"/>
          <w:szCs w:val="22"/>
        </w:rPr>
        <w:t xml:space="preserve">costs can make EVs economically competitive with ICEVs </w:t>
      </w:r>
      <w:r w:rsidR="00F878B3" w:rsidRPr="00E97BC8">
        <w:rPr>
          <w:rFonts w:cs="Times New Roman"/>
          <w:sz w:val="22"/>
          <w:szCs w:val="22"/>
        </w:rPr>
        <w:t>in the long term</w:t>
      </w:r>
      <w:r w:rsidR="00221C57" w:rsidRPr="00E97BC8">
        <w:rPr>
          <w:rFonts w:cs="Times New Roman"/>
          <w:sz w:val="22"/>
          <w:szCs w:val="22"/>
        </w:rPr>
        <w:t xml:space="preserve">, but they are still only feasible for those who </w:t>
      </w:r>
      <w:r w:rsidR="00C0182F" w:rsidRPr="00E97BC8">
        <w:rPr>
          <w:rFonts w:cs="Times New Roman"/>
          <w:sz w:val="22"/>
          <w:szCs w:val="22"/>
        </w:rPr>
        <w:t>can afford th</w:t>
      </w:r>
      <w:r w:rsidR="00221C57" w:rsidRPr="00E97BC8">
        <w:rPr>
          <w:rFonts w:cs="Times New Roman"/>
          <w:sz w:val="22"/>
          <w:szCs w:val="22"/>
        </w:rPr>
        <w:t>e</w:t>
      </w:r>
      <w:r w:rsidR="00C0182F" w:rsidRPr="00E97BC8">
        <w:rPr>
          <w:rFonts w:cs="Times New Roman"/>
          <w:sz w:val="22"/>
          <w:szCs w:val="22"/>
        </w:rPr>
        <w:t xml:space="preserve"> high initial cost</w:t>
      </w:r>
      <w:r w:rsidR="00221C57" w:rsidRPr="00E97BC8">
        <w:rPr>
          <w:rFonts w:cs="Times New Roman"/>
          <w:sz w:val="22"/>
          <w:szCs w:val="22"/>
        </w:rPr>
        <w:t xml:space="preserve"> to reap these longer-term rewards</w:t>
      </w:r>
      <w:r w:rsidR="00E52DF5" w:rsidRPr="00E97BC8">
        <w:rPr>
          <w:rFonts w:cs="Times New Roman"/>
          <w:sz w:val="22"/>
          <w:szCs w:val="22"/>
        </w:rPr>
        <w:t xml:space="preserve"> </w:t>
      </w:r>
      <w:r w:rsidR="00E52DF5" w:rsidRPr="00E97BC8">
        <w:rPr>
          <w:rFonts w:cs="Times New Roman"/>
          <w:sz w:val="22"/>
          <w:szCs w:val="22"/>
        </w:rPr>
        <w:fldChar w:fldCharType="begin"/>
      </w:r>
      <w:r w:rsidR="00E52DF5" w:rsidRPr="00E97BC8">
        <w:rPr>
          <w:rFonts w:cs="Times New Roman"/>
          <w:sz w:val="22"/>
          <w:szCs w:val="22"/>
        </w:rPr>
        <w:instrText xml:space="preserve"> ADDIN ZOTERO_ITEM CSL_CITATION {"citationID":"4aFjC7gN","properties":{"formattedCitation":"(Pl\\uc0\\u246{}tz et al., 2014; Pradeep et al., 2021)","plainCitation":"(Plötz et al., 2014; Pradeep et al., 2021)","noteIndex":0},"citationItems":[{"id":2709,"uris":["http://zotero.org/users/12832277/items/GCPM277K"],"itemData":{"id":2709,"type":"article-journal","abstract":"Electric vehicles (EVs) have noteworthy potential to reduce global and local emissions and are expected to become a relevant future market for vehicle sales. Both policy makers and car manufacturers have an interest to understand the first large EV user group, frequently referred to as ‘early adopters’. However, there are only a few empirical results available for this important group. In this paper, we analyse and discuss several empirical data sets from Germany, characterising this user group from both a user and a product perspective, i.e. who is willing to buy an EV and who should buy one. Our results show that the most likely group of private EV buyers in Germany are middle-aged men with technical professions living in rural or suburban multi-person households. They own a large share of vehicles in general, are more likely to profit from the economical benefits of these vehicles due to their annual vehicle kilometres travelled and the share of inner-city driving. They state a higher willingness to buy electric vehicles than other potential adopter groups and their higher socio-economic status allows them to purchase EVs. In contrast to this, inhabitants of major cities are less likely to buy EVs since they form a small group of car owners in general, their mileage is too low for EVs to pay off economically and they state lower interest and lower willingness to pay for EVs than other groups. Our results indicate that transport policy promoting EVs should focus on middle-aged men with families from rural and sub-urban cities as first private EV buyers.","container-title":"Transportation Research Part A: Policy and Practice","DOI":"10.1016/j.tra.2014.06.006","ISSN":"0965-8564","page":"96-109","source":"ScienceDirect","title":"Who Will Buy Electric Vehicles? Identifying Early Adopters in Germany","title-short":"Who Will Buy Electric Vehicles?","volume":"67","author":[{"family":"Plötz","given":"Patrick"},{"family":"Schneider","given":"Uta"},{"family":"Globisch","given":"Joachim"},{"family":"Dütschke","given":"Elisabeth"}],"issued":{"date-parts":[["2014",9,1]]}}},{"id":2751,"uris":["http://zotero.org/users/12832277/items/TGANZARQ"],"itemData":{"id":2751,"type":"article-journal","abstract":"Electric vehicles have been widely regarded as an alternative to conventional combustion fuel vehicles in reducing traffic emissions. In this study, an extended theory of planned behaviour has been proposed to study the factors that influence the adoption of battery electric vehicles in Indian context. Analysis has been performed using factor-based regression technique and results revealed that attitude is found to be the strongest predictor. Moreover, the impact of knowledge of maintenance and perceived technology was explored on purchase intention of Battery Electric Vehicle (BEV). Also, a mediation analysis has been performed to determine its significance. Results revealed that knowledge of maintenance did not have any direct effects, but showed significant indirect effects, whereas the perceived technology had a pronounced impact with significant direct and indirect effects on purchase intentions. Further, these results are beneficial to policymakers and transport planners in motivating the urban commuters towards a more sustainable transport mode.","container-title":"Transportation Research Part D: Transport and Environment","DOI":"10.1016/j.trd.2021.102759","ISSN":"1361-9209","source":"ScienceDirect","title":"Does Perceived Technology and Knowledge of Maintenance Influence Purchase Intention of BEVs","URL":"https://www.sciencedirect.com/science/article/pii/S1361920921000638","volume":"93","author":[{"family":"Pradeep","given":"Viyaluru Harinath"},{"family":"Amshala","given":"Vijay Teja"},{"family":"Raghuram Kadali","given":"B"}],"accessed":{"date-parts":[["2024",2,28]]},"issued":{"date-parts":[["2021",4,1]]}}}],"schema":"https://github.com/citation-style-language/schema/raw/master/csl-citation.json"} </w:instrText>
      </w:r>
      <w:r w:rsidR="00E52DF5" w:rsidRPr="00E97BC8">
        <w:rPr>
          <w:rFonts w:cs="Times New Roman"/>
          <w:sz w:val="22"/>
          <w:szCs w:val="22"/>
        </w:rPr>
        <w:fldChar w:fldCharType="separate"/>
      </w:r>
      <w:r w:rsidR="001E6A07" w:rsidRPr="00E97BC8">
        <w:rPr>
          <w:rFonts w:cs="Times New Roman"/>
          <w:kern w:val="0"/>
          <w:sz w:val="22"/>
          <w:szCs w:val="22"/>
        </w:rPr>
        <w:t>(Plötz et al., 2014; Pradeep et al., 2021)</w:t>
      </w:r>
      <w:r w:rsidR="00E52DF5" w:rsidRPr="00E97BC8">
        <w:rPr>
          <w:rFonts w:cs="Times New Roman"/>
          <w:sz w:val="22"/>
          <w:szCs w:val="22"/>
        </w:rPr>
        <w:fldChar w:fldCharType="end"/>
      </w:r>
      <w:r w:rsidR="00C0182F" w:rsidRPr="00E97BC8">
        <w:rPr>
          <w:rFonts w:cs="Times New Roman"/>
          <w:sz w:val="22"/>
          <w:szCs w:val="22"/>
        </w:rPr>
        <w:t xml:space="preserve">. </w:t>
      </w:r>
      <w:r w:rsidR="005D7825" w:rsidRPr="00E97BC8">
        <w:rPr>
          <w:rFonts w:cs="Times New Roman"/>
          <w:sz w:val="22"/>
          <w:szCs w:val="22"/>
        </w:rPr>
        <w:t xml:space="preserve">A wide range of technological factors </w:t>
      </w:r>
      <w:r w:rsidR="00A94CAA" w:rsidRPr="00E97BC8">
        <w:rPr>
          <w:rFonts w:cs="Times New Roman"/>
          <w:sz w:val="22"/>
          <w:szCs w:val="22"/>
        </w:rPr>
        <w:t>also</w:t>
      </w:r>
      <w:r w:rsidR="005D7825" w:rsidRPr="00E97BC8">
        <w:rPr>
          <w:rFonts w:cs="Times New Roman"/>
          <w:sz w:val="22"/>
          <w:szCs w:val="22"/>
        </w:rPr>
        <w:t xml:space="preserve"> influence adoption, including road performance, </w:t>
      </w:r>
      <w:r w:rsidR="004C3F69" w:rsidRPr="00E97BC8">
        <w:rPr>
          <w:rFonts w:cs="Times New Roman"/>
          <w:sz w:val="22"/>
          <w:szCs w:val="22"/>
        </w:rPr>
        <w:t xml:space="preserve">driving </w:t>
      </w:r>
      <w:r w:rsidR="005D7825" w:rsidRPr="00E97BC8">
        <w:rPr>
          <w:rFonts w:cs="Times New Roman"/>
          <w:sz w:val="22"/>
          <w:szCs w:val="22"/>
        </w:rPr>
        <w:t xml:space="preserve">range, safety, </w:t>
      </w:r>
      <w:r w:rsidR="00345271" w:rsidRPr="00E97BC8">
        <w:rPr>
          <w:rFonts w:cs="Times New Roman"/>
          <w:sz w:val="22"/>
          <w:szCs w:val="22"/>
        </w:rPr>
        <w:t xml:space="preserve">and environmental impact. Concerns about battery range have been shown to be </w:t>
      </w:r>
      <w:r w:rsidR="00A94CAA" w:rsidRPr="00E97BC8">
        <w:rPr>
          <w:rFonts w:cs="Times New Roman"/>
          <w:sz w:val="22"/>
          <w:szCs w:val="22"/>
        </w:rPr>
        <w:t>a</w:t>
      </w:r>
      <w:r w:rsidR="004D6C33" w:rsidRPr="00E97BC8">
        <w:rPr>
          <w:rFonts w:cs="Times New Roman"/>
          <w:sz w:val="22"/>
          <w:szCs w:val="22"/>
        </w:rPr>
        <w:t xml:space="preserve"> </w:t>
      </w:r>
      <w:r w:rsidR="005C0C20" w:rsidRPr="00E97BC8">
        <w:rPr>
          <w:rFonts w:cs="Times New Roman"/>
          <w:sz w:val="22"/>
          <w:szCs w:val="22"/>
        </w:rPr>
        <w:t xml:space="preserve">significant </w:t>
      </w:r>
      <w:r w:rsidR="004D6C33" w:rsidRPr="00E97BC8">
        <w:rPr>
          <w:rFonts w:cs="Times New Roman"/>
          <w:sz w:val="22"/>
          <w:szCs w:val="22"/>
        </w:rPr>
        <w:t>barrier</w:t>
      </w:r>
      <w:r w:rsidR="0046170A" w:rsidRPr="00E97BC8">
        <w:rPr>
          <w:rFonts w:cs="Times New Roman"/>
          <w:sz w:val="22"/>
          <w:szCs w:val="22"/>
        </w:rPr>
        <w:t xml:space="preserve">, though </w:t>
      </w:r>
      <w:r w:rsidR="005C0C20" w:rsidRPr="00E97BC8">
        <w:rPr>
          <w:rFonts w:cs="Times New Roman"/>
          <w:sz w:val="22"/>
          <w:szCs w:val="22"/>
        </w:rPr>
        <w:t xml:space="preserve">less so for PHEVs which provide the flexibility of using the gas engine </w:t>
      </w:r>
      <w:r w:rsidR="00CE474D" w:rsidRPr="00E97BC8">
        <w:rPr>
          <w:rFonts w:cs="Times New Roman"/>
          <w:sz w:val="22"/>
          <w:szCs w:val="22"/>
        </w:rPr>
        <w:fldChar w:fldCharType="begin"/>
      </w:r>
      <w:r w:rsidR="00B251B3" w:rsidRPr="00E97BC8">
        <w:rPr>
          <w:rFonts w:cs="Times New Roman"/>
          <w:sz w:val="22"/>
          <w:szCs w:val="22"/>
        </w:rPr>
        <w:instrText xml:space="preserve"> ADDIN ZOTERO_ITEM CSL_CITATION {"citationID":"plfMUSEx","properties":{"formattedCitation":"(Higueras-Castillo et al., 2021; Ju and Hun Kim, 2022; Wang et al., 2022)","plainCitation":"(Higueras-Castillo et al., 2021; Ju and Hun Kim, 2022; Wang et al., 2022)","noteIndex":0},"citationItems":[{"id":2701,"uris":["http://zotero.org/users/12832277/items/FAUQDEFT"],"itemData":{"id":2701,"type":"article-journal","abstract":"Electric vehicles stand out for their ability to reduce pollution. However, electric vehicle sales have not been brisk despite their positive effects. The objective of this study is twofold: first, to determine the variables that predict the purchase of an electric vehicle from the implementation of an algorithm based on computational intelligence; second, to contrast these results with two panels of experts in consumer behavior and the automobile sector. An empirical study was carried out with 404 potential consumers in Spain with regard to their beliefs, attitudes and purchase intention. The results show that range, incentives and reliability are the most reliable predictors of purchase intention. Likewise, the experts posit that the selection of these three variables would be sufficient to know the purchase intention of potential buyers of electric vehicles. In addition, it provides useful information for policy makers and private companies for decision making in the electric vehicle marketing process.","container-title":"International Journal of Sustainable Transportation","DOI":"10.1080/15568318.2020.1818330","ISSN":"1556-8318","issue":"10","note":"publisher: Taylor &amp; Francis\n_eprint: https://doi.org/10.1080/15568318.2020.1818330","page":"799-813","source":"Taylor and Francis+NEJM","title":"Adoption of Electric Vehicles: Which Factors Are Really Important?","volume":"15","author":[{"family":"Higueras-Castillo","given":"Elena"},{"family":"Guillén","given":"Alberto"},{"family":"Herrera","given":"Luis-Javier"},{"family":"Liébana-Cabanillas","given":"Francisco"}],"issued":{"date-parts":[["2021",8,2]]}}},{"id":2771,"uris":["http://zotero.org/users/12832277/items/MFS6IK2T"],"itemData":{"id":2771,"type":"article-journal","abstract":"This study aimed to elucidate the relationship among consumers’ environmental concerns, perceived electric vehicle (EV) characteristics (advantages, risks, availability, cost), and resistance to EVs. Data were collected from an online panel targeting Korean and US millennial drivers (24–40 years) interested in EVs, and cross-cultural comparisons were conducted. A total of 592 valid survey responses were obtained, and a structural equation model (SEM) was used for an empirical analysis of the factors associated with EV resistance. The results suggest that consumers’ environmental concerns are related to perceived EV characteristics, excluding availability, and that this perception is associated with resistance to EV acceptance. The analysis results of the multi-group SEM indicate significant differences across countries in the relationships between environmental concerns, perceived EV characteristics, and consumers’ EV resistance. Researchers interested in EV marketing and the awareness of EVs and green motivations for EV adoption can use these findings for further studies.","container-title":"Transportation Research Part D: Transport and Environment","DOI":"10.1016/j.trd.2022.103387","ISSN":"1361-9209","source":"ScienceDirect","title":"Electric Vehicle Resistance from Korean and American Millennials: Environmental Concerns and Perception","URL":"https://www.sciencedirect.com/science/article/pii/S1361920922002152","volume":"109","author":[{"family":"Ju","given":"Naan"},{"family":"Hun Kim","given":"Seong"}],"accessed":{"date-parts":[["2024",2,28]]},"issued":{"date-parts":[["2022",8,1]]}}},{"id":2778,"uris":["http://zotero.org/users/12832277/items/WGV3FSSZ"],"itemData":{"id":2778,"type":"article-journal","abstract":"Electric vehicles (EVs) are steadily gaining market shares in all vehicle classes. The recent introduction of various EV models is attracting a broader consumer base. In addition, as the technology is beyond its infancy, several countries are revising EV incentive policies. This study investigates the intertwined relationships between EV configuration and EV incentives to profile potential EV markets (users and vehicles). We utilized a national game-design-based survey of 17,079 Canadians in a mixed-methods framework. Based on the design space vehicle configurations, Plugin Hybrid EVs (PHEVs) are the most appealing technology, with a battery range of 58–100 km. Furthermore, based on a Latent Dirichlet Allocation model of vehicle configuration and users’ characteristics, we have identified ten market segments (6 PHEVs, 2 BEV, and 2 ICE). These profiles enable policymakers and the auto industry to create tailored solutions to promote EVs further.","container-title":"Transportation Research Part D: Transport and Environment","DOI":"10.1016/j.trd.2022.103507","ISSN":"1361-9209","source":"ScienceDirect","title":"Profiling Electric Vehicles Potential Markets Through a Stated Adaptation Design Space Game","URL":"https://www.sciencedirect.com/science/article/pii/S1361920922003339","volume":"113","author":[{"family":"Wang","given":"Wanying"},{"family":"Eldeeb","given":"Gamal"},{"family":"Mohammed","given":"Moataz"}],"accessed":{"date-parts":[["2024",2,29]]},"issued":{"date-parts":[["2022",12,1]]}}}],"schema":"https://github.com/citation-style-language/schema/raw/master/csl-citation.json"} </w:instrText>
      </w:r>
      <w:r w:rsidR="00CE474D" w:rsidRPr="00E97BC8">
        <w:rPr>
          <w:rFonts w:cs="Times New Roman"/>
          <w:sz w:val="22"/>
          <w:szCs w:val="22"/>
        </w:rPr>
        <w:fldChar w:fldCharType="separate"/>
      </w:r>
      <w:r w:rsidR="001E6A07" w:rsidRPr="00E97BC8">
        <w:rPr>
          <w:rFonts w:cs="Times New Roman"/>
          <w:sz w:val="22"/>
          <w:szCs w:val="22"/>
        </w:rPr>
        <w:t>(Higueras-Castillo et al., 2021; Ju and Hun Kim, 2022; Wang et al., 2022)</w:t>
      </w:r>
      <w:r w:rsidR="00CE474D" w:rsidRPr="00E97BC8">
        <w:rPr>
          <w:rFonts w:cs="Times New Roman"/>
          <w:sz w:val="22"/>
          <w:szCs w:val="22"/>
        </w:rPr>
        <w:fldChar w:fldCharType="end"/>
      </w:r>
      <w:r w:rsidR="001E186A" w:rsidRPr="00E97BC8">
        <w:rPr>
          <w:rFonts w:cs="Times New Roman"/>
          <w:sz w:val="22"/>
          <w:szCs w:val="22"/>
        </w:rPr>
        <w:t xml:space="preserve">. </w:t>
      </w:r>
      <w:r w:rsidR="00B251B3" w:rsidRPr="00E97BC8">
        <w:rPr>
          <w:rFonts w:cs="Times New Roman"/>
          <w:sz w:val="22"/>
          <w:szCs w:val="22"/>
        </w:rPr>
        <w:t>Charging speed and r</w:t>
      </w:r>
      <w:r w:rsidR="006647C9" w:rsidRPr="00E97BC8">
        <w:rPr>
          <w:rFonts w:cs="Times New Roman"/>
          <w:sz w:val="22"/>
          <w:szCs w:val="22"/>
        </w:rPr>
        <w:t xml:space="preserve">ange </w:t>
      </w:r>
      <w:r w:rsidR="00B251B3" w:rsidRPr="00E97BC8">
        <w:rPr>
          <w:rFonts w:cs="Times New Roman"/>
          <w:sz w:val="22"/>
          <w:szCs w:val="22"/>
        </w:rPr>
        <w:t>are</w:t>
      </w:r>
      <w:r w:rsidR="006647C9" w:rsidRPr="00E97BC8">
        <w:rPr>
          <w:rFonts w:cs="Times New Roman"/>
          <w:sz w:val="22"/>
          <w:szCs w:val="22"/>
        </w:rPr>
        <w:t xml:space="preserve"> </w:t>
      </w:r>
      <w:r w:rsidR="00266AAD" w:rsidRPr="00E97BC8">
        <w:rPr>
          <w:rFonts w:cs="Times New Roman"/>
          <w:sz w:val="22"/>
          <w:szCs w:val="22"/>
        </w:rPr>
        <w:t xml:space="preserve">also </w:t>
      </w:r>
      <w:r w:rsidR="006647C9" w:rsidRPr="00E97BC8">
        <w:rPr>
          <w:rFonts w:cs="Times New Roman"/>
          <w:sz w:val="22"/>
          <w:szCs w:val="22"/>
        </w:rPr>
        <w:t>particularly important for those intending more long-distance travel</w:t>
      </w:r>
      <w:r w:rsidR="00696032" w:rsidRPr="00E97BC8">
        <w:rPr>
          <w:rFonts w:cs="Times New Roman"/>
          <w:sz w:val="22"/>
          <w:szCs w:val="22"/>
        </w:rPr>
        <w:t xml:space="preserve">, who </w:t>
      </w:r>
      <w:r w:rsidR="00B251B3" w:rsidRPr="00E97BC8">
        <w:rPr>
          <w:rFonts w:cs="Times New Roman"/>
          <w:sz w:val="22"/>
          <w:szCs w:val="22"/>
        </w:rPr>
        <w:t>are</w:t>
      </w:r>
      <w:r w:rsidR="006647C9" w:rsidRPr="00E97BC8">
        <w:rPr>
          <w:rFonts w:cs="Times New Roman"/>
          <w:sz w:val="22"/>
          <w:szCs w:val="22"/>
        </w:rPr>
        <w:t xml:space="preserve"> </w:t>
      </w:r>
      <w:r w:rsidR="001B21A5" w:rsidRPr="00E97BC8">
        <w:rPr>
          <w:rFonts w:cs="Times New Roman"/>
          <w:sz w:val="22"/>
          <w:szCs w:val="22"/>
        </w:rPr>
        <w:t xml:space="preserve">particularly </w:t>
      </w:r>
      <w:r w:rsidR="006647C9" w:rsidRPr="00E97BC8">
        <w:rPr>
          <w:rFonts w:cs="Times New Roman"/>
          <w:sz w:val="22"/>
          <w:szCs w:val="22"/>
        </w:rPr>
        <w:t>reliant on the availability of charging stations</w:t>
      </w:r>
      <w:r w:rsidR="00842442" w:rsidRPr="00E97BC8">
        <w:rPr>
          <w:rFonts w:cs="Times New Roman"/>
          <w:sz w:val="22"/>
          <w:szCs w:val="22"/>
        </w:rPr>
        <w:t xml:space="preserve"> </w:t>
      </w:r>
      <w:r w:rsidR="00842442" w:rsidRPr="00E97BC8">
        <w:rPr>
          <w:rFonts w:cs="Times New Roman"/>
          <w:sz w:val="22"/>
          <w:szCs w:val="22"/>
        </w:rPr>
        <w:fldChar w:fldCharType="begin"/>
      </w:r>
      <w:r w:rsidR="00DD289A" w:rsidRPr="00E97BC8">
        <w:rPr>
          <w:rFonts w:cs="Times New Roman"/>
          <w:sz w:val="22"/>
          <w:szCs w:val="22"/>
        </w:rPr>
        <w:instrText xml:space="preserve"> ADDIN ZOTERO_ITEM CSL_CITATION {"citationID":"WxKy8Jwx","properties":{"formattedCitation":"(Haustein et al., 2021; Jang and Choi, 2021; Krishnan and Koshy, 2021; White et al., 2022)","plainCitation":"(Haustein et al., 2021; Jang and Choi, 2021; Krishnan and Koshy, 2021; White et al., 2022)","noteIndex":0},"citationItems":[{"id":2745,"uris":["http://zotero.org/users/12832277/items/VS7UF2IT"],"itemData":{"id":2745,"type":"article-journal","abstract":"Countries worldwide are trying to increase the share of battery electric vehicles (BEVs) to reach environmental goals. As part of these efforts, the EU project GREAT installed new fast chargers in Denmark and Sweden and provided possibilities to test BEVs and inform about them. To monitor changes in attitudes and behaviours and to estimate the impact of project activities, surveys with BEV and conventional car users were conducted in 2017, 2018, and 2019. We found that attitudes and driving behaviour of BEV users and non-users remained quite stable. While car users in Denmark and Sweden showed similar profiles, one exception was a more negative evaluation of and higher uncertainty about political support for BEVs by Danes. Modelling purchase intention, we found a significant effect of the new fast chargers in Denmark but not in Sweden, while the opposite was the case for information campaigns. Lifestyle compatibility and symbolic-affective attitudes were relevant for BEV adoption in both countries. For cross-border trips, the most relevant factor was whether people had a Tesla or not, reflecting the better driving range and fast charging infrastructure. An increase of charging infrastructure, clearer policy signals and symbolic-affective marketing are discussed as ways to increase BEV adoption.","container-title":"Energy Policy","DOI":"10.1016/j.enpol.2020.112096","ISSN":"0301-4215","source":"ScienceDirect","title":"Battery Electric Vehicle Adoption in Denmark and Sweden: Recent Changes, Related Factors and Policy Implications","URL":"https://www.sciencedirect.com/science/article/pii/S0301421520308077","volume":"149","author":[{"family":"Haustein","given":"Sonja"},{"family":"Jensen","given":"Anders Fjendbo"},{"family":"Cherchi","given":"Elisabetta"}],"accessed":{"date-parts":[["2024",2,28]]},"issued":{"date-parts":[["2021",2,1]]}}},{"id":2759,"uris":["http://zotero.org/users/12832277/items/9GY8YX8K"],"itemData":{"id":2759,"type":"article-journal","abstract":"Electric vehicles are currently gaining more attention in terms of mitigating the causes of climate change. Therefore, automakers as well as many governments have fostered EV adoption by policy incentives and new R&amp;D strategies. However, the EV adoption rate remains low despite those efforts due to their relatively high prices, technical limitations, and low charging infrastructure availability compared to internal combustion engine vehicles. In this study, we analyzed consumer preferences on the attributes of EVs and conventional ICEVs. For the data collection, we conducted 350 face-to-face discrete choice surveys of residents of metropolitan areas in Korea, administered by Gallup Korea utilizing conjoint surveys. We utilized a mixed logit model and estimated the consumer preferences of EV attributes, including incorporating reference points to verify the prospect theory empirically. We also conducted market share simulations by differentiating the attribute levels considering the RP dependence to predict future EV market shares. The model found that fuel economy, purchase price, distance to charging station, driving range, charging time, and autonomous driving were all statistically significant. Additionally, we confirmed that the respondents had an asymmetrical preference for the purchase price in EV adoption by considering their previous vehicle purchase experience as an RP.","container-title":"Energy Policy","DOI":"10.1016/j.enpol.2021.112469","ISSN":"0301-4215","source":"ScienceDirect","title":"Which Consumer Attributes Will Act Crucial Roles for the Fast Market Adoption of Electric Vehicles?: Estimation on the Asymmetrical &amp; Heterogeneous Consumer Preferences on the EVs","URL":"https://www.sciencedirect.com/science/article/pii/S0301421521003396","volume":"156","author":[{"family":"Jang","given":"Sungsoon"},{"family":"Choi","given":"Jae Young"}],"accessed":{"date-parts":[["2024",2,28]]},"issued":{"date-parts":[["2021",9,1]]}}},{"id":2757,"uris":["http://zotero.org/users/12832277/items/64PYJ4VZ"],"itemData":{"id":2757,"type":"article-journal","abstract":"In view of mitigating the threat of climate change due to emissions from transportation sector and to reduce the dependency on foreign countries for oil, many countries have started to develop policies for promoting sustainable and innovative transport technologies. Electric Vehicles (EVs) are considered as one of the best sustainable alternatives to Internal Combustion (IC) engine vehicles. In order to develop fiscal and non-fiscal policy measures for EVs, a thorough understanding about its public acceptability is inevitable for its successful penetration. Even though many policies are purposefully made for improving the EV adoption in developing countries such as India, its market share is still negligible compared to conventional vehicles. Therefore, a case study was conducted in a representative town in India by using a questionnaire survey. Structural Equation Modeling (SEM) was adopted to evaluate the influence of various attitudinal factors on EV purchase intention of the individuals. The results of the study revealed that, the attitudinal factors such as perceived benefits, social influence, price acceptance, performance, technological consciousness, and marketing, distribution and after-sales have positive effect on EV purchase intention. But, the factors like perceived barriers, policy attributes and perceived usefulness and ease of use causes an impeditive effect on EV adoption. People traveling short distances, having lower income, higher education and more experience with driving conventional vehicles is found to favor the adoption of EVs.","container-title":"Case Studies on Transport Policy","DOI":"10.1016/j.cstp.2021.05.013","ISSN":"2213-624X","issue":"3","page":"1122-1129","source":"ScienceDirect","title":"Evaluating the factors influencing purchase intention of electric vehicles in households owning conventional vehicles","volume":"9","author":[{"family":"Krishnan","given":"V. Vijai"},{"family":"Koshy","given":"Bino I."}],"issued":{"date-parts":[["2021",9,1]]}}},{"id":2764,"uris":["http://zotero.org/users/12832277/items/9SG8BAE5"],"itemData":{"id":2764,"type":"article-journal","abstract":"Many policies to support battery electric vehicle (BEV) adoption involve roll-out of public charging stations. While greater density of public charging stations is correlated with higher BEV adoption, the mechanisms underlying this effect are not well understood. We use a sample of 1467 online survey respondents living in the metropolitan areas of Los Angeles, Dallas/Fort Worth, and Atlanta in the United States to investigate three potential mechanisms through which greater public charging station density could shape BEV adoption intent. These three potential mechanisms are lower range anxiety, lower perceived mobility restriction, and more positive pro-BEV subjective norms. Multiple regression with ordinary least squares is used to investigate associations between charging station density and adoption intent. Multiple mediation analysis is then used to evaluate the three potential mechanisms for impact of charging station density on BEV adoption intent, and indicates that greater perceived subjective norms in support of BEVs explain much of the association between charger density and adoption intent. Range anxiety plays a smaller and less robust role as a mechanism, while perceived mobility restriction has no direct or indirect effect on BEV adoption intent. That is, we found no indication that BEV adoption intent is influenced by expectations that BEVs are unable to meet mobility needs. Findings indicate that norms are particularly important for investments in charging infrastructure to translate to more BEVs on the road.","container-title":"Energy Research &amp; Social Science","DOI":"10.1016/j.erss.2022.102663","ISSN":"2214-6296","source":"ScienceDirect","title":"Why Are Charging Stations Associated with Electric Vehicle Adoption? Untangling Effects in Three United States Metropolitan Areas","URL":"https://www.sciencedirect.com/science/article/pii/S2214629622001670","volume":"89","author":[{"family":"White","given":"Lee V."},{"family":"Carrel","given":"Andre L."},{"family":"Shi","given":"Wei"},{"family":"Sintov","given":"Nicole D."}],"accessed":{"date-parts":[["2024",2,28]]},"issued":{"date-parts":[["2022",7,1]]}}}],"schema":"https://github.com/citation-style-language/schema/raw/master/csl-citation.json"} </w:instrText>
      </w:r>
      <w:r w:rsidR="00842442" w:rsidRPr="00E97BC8">
        <w:rPr>
          <w:rFonts w:cs="Times New Roman"/>
          <w:sz w:val="22"/>
          <w:szCs w:val="22"/>
        </w:rPr>
        <w:fldChar w:fldCharType="separate"/>
      </w:r>
      <w:r w:rsidR="001E6A07" w:rsidRPr="00E97BC8">
        <w:rPr>
          <w:rFonts w:cs="Times New Roman"/>
          <w:sz w:val="22"/>
          <w:szCs w:val="22"/>
        </w:rPr>
        <w:t>(Haustein et al., 2021; Jang and Choi, 2021; Krishnan and Koshy, 2021; White et al., 2022)</w:t>
      </w:r>
      <w:r w:rsidR="00842442" w:rsidRPr="00E97BC8">
        <w:rPr>
          <w:rFonts w:cs="Times New Roman"/>
          <w:sz w:val="22"/>
          <w:szCs w:val="22"/>
        </w:rPr>
        <w:fldChar w:fldCharType="end"/>
      </w:r>
      <w:r w:rsidR="006647C9" w:rsidRPr="00E97BC8">
        <w:rPr>
          <w:rFonts w:cs="Times New Roman"/>
          <w:sz w:val="22"/>
          <w:szCs w:val="22"/>
        </w:rPr>
        <w:t>.</w:t>
      </w:r>
      <w:r w:rsidR="00306712" w:rsidRPr="00E97BC8">
        <w:rPr>
          <w:rFonts w:cs="Times New Roman"/>
          <w:sz w:val="22"/>
          <w:szCs w:val="22"/>
        </w:rPr>
        <w:t xml:space="preserve"> </w:t>
      </w:r>
      <w:r w:rsidR="00892B00" w:rsidRPr="00E97BC8">
        <w:rPr>
          <w:rFonts w:cs="Times New Roman"/>
          <w:sz w:val="22"/>
          <w:szCs w:val="22"/>
        </w:rPr>
        <w:t xml:space="preserve">Other vehicle features </w:t>
      </w:r>
      <w:r w:rsidR="0088781B" w:rsidRPr="00E97BC8">
        <w:rPr>
          <w:rFonts w:cs="Times New Roman"/>
          <w:sz w:val="22"/>
          <w:szCs w:val="22"/>
        </w:rPr>
        <w:t xml:space="preserve">including initial acceleration rate, noise, driving smoothness, and ease of use </w:t>
      </w:r>
      <w:r w:rsidR="008F2F86" w:rsidRPr="00E97BC8">
        <w:rPr>
          <w:rFonts w:cs="Times New Roman"/>
          <w:sz w:val="22"/>
          <w:szCs w:val="22"/>
        </w:rPr>
        <w:t xml:space="preserve">can </w:t>
      </w:r>
      <w:r w:rsidR="00614C78" w:rsidRPr="00E97BC8">
        <w:rPr>
          <w:rFonts w:cs="Times New Roman"/>
          <w:sz w:val="22"/>
          <w:szCs w:val="22"/>
        </w:rPr>
        <w:t>also</w:t>
      </w:r>
      <w:r w:rsidR="008F2F86" w:rsidRPr="00E97BC8">
        <w:rPr>
          <w:rFonts w:cs="Times New Roman"/>
          <w:sz w:val="22"/>
          <w:szCs w:val="22"/>
        </w:rPr>
        <w:t xml:space="preserve"> </w:t>
      </w:r>
      <w:r w:rsidR="00795E37" w:rsidRPr="00E97BC8">
        <w:rPr>
          <w:rFonts w:cs="Times New Roman"/>
          <w:sz w:val="22"/>
          <w:szCs w:val="22"/>
        </w:rPr>
        <w:t>influence</w:t>
      </w:r>
      <w:r w:rsidR="00614C78" w:rsidRPr="00E97BC8">
        <w:rPr>
          <w:rFonts w:cs="Times New Roman"/>
          <w:sz w:val="22"/>
          <w:szCs w:val="22"/>
        </w:rPr>
        <w:t xml:space="preserve"> adoption</w:t>
      </w:r>
      <w:r w:rsidR="005D6964" w:rsidRPr="00E97BC8">
        <w:rPr>
          <w:rFonts w:cs="Times New Roman"/>
          <w:sz w:val="22"/>
          <w:szCs w:val="22"/>
        </w:rPr>
        <w:t xml:space="preserve"> and differ significantly between different types of EVs</w:t>
      </w:r>
      <w:r w:rsidR="00614C78" w:rsidRPr="00E97BC8">
        <w:rPr>
          <w:rFonts w:cs="Times New Roman"/>
          <w:sz w:val="22"/>
          <w:szCs w:val="22"/>
        </w:rPr>
        <w:t xml:space="preserve"> </w:t>
      </w:r>
      <w:r w:rsidR="000B65CC" w:rsidRPr="00E97BC8">
        <w:rPr>
          <w:rFonts w:cs="Times New Roman"/>
          <w:sz w:val="22"/>
          <w:szCs w:val="22"/>
        </w:rPr>
        <w:fldChar w:fldCharType="begin"/>
      </w:r>
      <w:r w:rsidR="002816DD" w:rsidRPr="00E97BC8">
        <w:rPr>
          <w:rFonts w:cs="Times New Roman"/>
          <w:sz w:val="22"/>
          <w:szCs w:val="22"/>
        </w:rPr>
        <w:instrText xml:space="preserve"> ADDIN ZOTERO_ITEM CSL_CITATION {"citationID":"HjTmmEvM","properties":{"unsorted":true,"formattedCitation":"(Tu and Yang, 2019; Zhang et al., 2022; Bhat et al., 2024)","plainCitation":"(Tu and Yang, 2019; Zhang et al., 2022; Bhat et al., 2024)","noteIndex":0},"citationItems":[{"id":2707,"uris":["http://zotero.org/users/12832277/items/UWTLKC8S"],"itemData":{"id":2707,"type":"article-journal","abstract":"Although the rapid progress of the global economy and technology has advanced human civilization, it has also caused tremendous damage to the global ecological environment. Therefore, humans are thinking seriously about the environment and its sustainable development. One of the solutions to environmental problems is new energy vehicles. Since the promulgation of the “Energy Saving and New Energy Vehicle Industry Development Plan (2012–2020)” by the General Office of the State Council, the Chinese government has determined a strategy of pure electric driving technology. The electric vehicle market in China has expanded rapidly, making China the largest electric vehicle market in the world. Hence, research on the situation of electric vehicles in China is highly necessary and of reference value for other countries to develop electric vehicles. As a result, it is a critical issue to develop low-carbon, energy-saving, and intelligent electric vehicles to reduce the environmental impact. This paper establishes a theoretical framework based on the theory of planned behavior (TPB), technology acceptance model (TAM) and innovation diffusion theory (IDT), and explores the key factors influencing consumers’ purchase of electric vehicles. The results show that: The application of the key factor model constructed in this study to consumers’ behavioral intention regarding electric vehicle purchase is acceptable. According to the structural equation modeling (SEM) analysis results, (1) In terms of behavioral intention: Consumers’ control over the resources required to purchase electric vehicles has the highest influence on their behavioral intention, while consultation opinions from consumers’ surroundings also significantly affect their behavioral intention to purchase electric vehicles. In addition, consumers’ environmental awareness and acceptance of technology products will also influence their behavioral intention. (2) In terms of attitude toward behavior: When consumers believe that electric vehicles are more beneficial at the individual, environment or national level, or they believe that the usage of electric vehicles is simpler and more convenient, they will show a more positive attitude towards the purchase of electric vehicles. Consumers consider electric vehicles as forward-looking technology products with similar driving operation and usage cost compared to traditional vehicles. (3) In terms of regulations: The opinions of consumers’ family members, friends, colleagues or supervisors do not significantly affect the attitude or behavior of consumers regarding electric vehicle purchase. The key factors influencing consumers’ purchase of electric vehicles are not only applicable to the design and development of electric vehicles that better suit consumer demands, but also serve as a theoretical basis for the popularization of electric vehicles, and provide a reference for consumers’ choice and purchase. Therefore, the government and relevant manufacturers need to consider increasing the publicity of electric vehicles and launch more attractive battery and charging schemes to attract consumers and promote the sustainable development of the automobile industry.","container-title":"Sustainability","DOI":"10.3390/su11143863","ISSN":"2071-1050","issue":"14","language":"en","license":"http://creativecommons.org/licenses/by/3.0/","note":"number: 14\npublisher: Multidisciplinary Digital Publishing Institute","source":"www.mdpi.com","title":"Key Factors Influencing Consumers’ Purchase of Electric Vehicles","URL":"https://www.mdpi.com/2071-1050/11/14/3863","volume":"11","author":[{"family":"Tu","given":"Jui-Che"},{"family":"Yang","given":"Chun"}],"accessed":{"date-parts":[["2024",2,28]]},"issued":{"date-parts":[["2019",1]]}}},{"id":2762,"uris":["http://zotero.org/users/12832277/items/GHNMJ7GR"],"itemData":{"id":2762,"type":"article-journal","abstract":"This research aims to explore the relationships between electric vehicle (EV)-related information (e.g., environmentally friendly information and performance and attribute information) and consumers’ perceptions (perceived value and perceived trust) of EVs and adoption intentions. Based on survey data from 343 respondents, this research indicated that environmentally friendly information and performance and attribute information regarding EVs are positively associated with consumers’ perceived value and perceived trust of EVs. However, the positive relationships between environmentally friendly information and performance and attribute information and consumers’ perceived value and perceived trust are dependent on information quality. Information quality positively moderates and strengthens the relationships between EV-related information and perceived value and perceived trust. In addition, perceived value and perceived trust are positively associated with consumers’ intentions to adopt EVs. On the basis of the research findings, policy implications and suggestions to further promote EVs are discussed.","container-title":"Transportation Research Part D: Transport and Environment","DOI":"10.1016/j.trd.2021.103157","ISSN":"1361-9209","source":"ScienceDirect","title":"Information Perspective for Understanding Consumers’ Perceptions of Electric Vehicles and Adoption Intentions","URL":"https://www.sciencedirect.com/science/article/pii/S1361920921004521","volume":"102","author":[{"family":"Zhang","given":"Wenliang"},{"family":"Wang","given":"Shanyong"},{"family":"Wan","given":"Liang"},{"family":"Zhang","given":"Zengtian"},{"family":"Zhao","given":"Dingtao"}],"accessed":{"date-parts":[["2024",2,28]]},"issued":{"date-parts":[["2022",1,1]]}}},{"id":2437,"uris":["http://zotero.org/users/12832277/items/LAIGSDQZ"],"itemData":{"id":2437,"type":"article-journal","abstract":"Market segmentation is an essential tool that can be used for the effective and extensive adoption of emerging innovations such as electric vehicles. This study uses a multi-item questionnaire to collect data from young educated Indian students, which is used to understand the factors that affect the adoption of electric vehicles among potential vehicle buyers. Confirmatory factor analysis revealed ten latent variables that impact the adoption of electric vehicles, out of which eight variables, viz. social image, social influence, anxiety (or perceived risks), perceived environmental benefits, performance expectancy, effort expectancy, facilitating conditions, and attitude, are used for segmenting and profiling potential vehicle buyers into clusters, and the other two latent factors viz. environmental enthusiasm and technological enthusiasm are used to measure and analyse the differences in personality traits across the different clusters. Segmentation technique, based on k-means clustering, revealed three clusters in the respondents which are found to show positive, neutral (slightly positive), and negative perceptions towards all clustering variables and are subsequently labelled as “innovation adoption leads”, “innovation adoption indifferents”, and “innovation adoption idlers” respectively. The findings from this research provide better knowledge and understanding to decision-makers and can help accelerate the widespread acceptance of electric vehicles.","container-title":"Case Studies on Transport Policy","DOI":"10.1016/j.cstp.2024.101147","ISSN":"2213-624X","journalAbbreviation":"Case Studies on Transport Policy","source":"ScienceDirect","title":"Who Will Buy Electric Vehicles? Segmenting the Young Indian Buyers Using Cluster Analysis","title-short":"Who Will Buy Electric Vehicles?","URL":"https://www.sciencedirect.com/science/article/pii/S2213624X24000026","volume":"15","author":[{"family":"Bhat","given":"Furqan A."},{"family":"Verma","given":"Meghna"},{"family":"Verma","given":"Ashish"}],"accessed":{"date-parts":[["2024",2,15]]},"issued":{"date-parts":[["2024",3,1]]}}}],"schema":"https://github.com/citation-style-language/schema/raw/master/csl-citation.json"} </w:instrText>
      </w:r>
      <w:r w:rsidR="000B65CC" w:rsidRPr="00E97BC8">
        <w:rPr>
          <w:rFonts w:cs="Times New Roman"/>
          <w:sz w:val="22"/>
          <w:szCs w:val="22"/>
        </w:rPr>
        <w:fldChar w:fldCharType="separate"/>
      </w:r>
      <w:r w:rsidR="001E6A07" w:rsidRPr="00E97BC8">
        <w:rPr>
          <w:rFonts w:cs="Times New Roman"/>
          <w:sz w:val="22"/>
          <w:szCs w:val="22"/>
        </w:rPr>
        <w:t>(Tu and Yang, 2019; Zhang et al., 2022; Bhat et al., 2024)</w:t>
      </w:r>
      <w:r w:rsidR="000B65CC" w:rsidRPr="00E97BC8">
        <w:rPr>
          <w:rFonts w:cs="Times New Roman"/>
          <w:sz w:val="22"/>
          <w:szCs w:val="22"/>
        </w:rPr>
        <w:fldChar w:fldCharType="end"/>
      </w:r>
      <w:r w:rsidR="00614C78" w:rsidRPr="00E97BC8">
        <w:rPr>
          <w:rFonts w:cs="Times New Roman"/>
          <w:sz w:val="22"/>
          <w:szCs w:val="22"/>
        </w:rPr>
        <w:t xml:space="preserve">. </w:t>
      </w:r>
    </w:p>
    <w:p w14:paraId="4335B7B3" w14:textId="77777777" w:rsidR="004E6DF9" w:rsidRPr="00E97BC8" w:rsidRDefault="004E6DF9" w:rsidP="00E85093">
      <w:pPr>
        <w:pStyle w:val="ListParagraph"/>
        <w:shd w:val="clear" w:color="auto" w:fill="FFFFFF"/>
        <w:spacing w:after="0" w:line="240" w:lineRule="auto"/>
        <w:ind w:left="0"/>
        <w:jc w:val="both"/>
        <w:rPr>
          <w:rFonts w:cs="Times New Roman"/>
          <w:b/>
          <w:bCs/>
          <w:sz w:val="22"/>
          <w:szCs w:val="22"/>
        </w:rPr>
      </w:pPr>
    </w:p>
    <w:p w14:paraId="00E2D6E1" w14:textId="6B05ED5C" w:rsidR="004E33AF" w:rsidRPr="00E97BC8" w:rsidRDefault="004E33AF" w:rsidP="00E85093">
      <w:pPr>
        <w:shd w:val="clear" w:color="auto" w:fill="FFFFFF"/>
        <w:spacing w:after="0" w:line="240" w:lineRule="auto"/>
        <w:jc w:val="both"/>
        <w:rPr>
          <w:rFonts w:cs="Times New Roman"/>
          <w:b/>
          <w:bCs/>
          <w:i/>
          <w:iCs/>
          <w:sz w:val="22"/>
          <w:szCs w:val="22"/>
        </w:rPr>
      </w:pPr>
      <w:r w:rsidRPr="00E97BC8">
        <w:rPr>
          <w:rFonts w:cs="Times New Roman"/>
          <w:b/>
          <w:bCs/>
          <w:i/>
          <w:iCs/>
          <w:sz w:val="22"/>
          <w:szCs w:val="22"/>
        </w:rPr>
        <w:t>2.1.</w:t>
      </w:r>
      <w:r w:rsidR="00DE4D03" w:rsidRPr="00E97BC8">
        <w:rPr>
          <w:rFonts w:cs="Times New Roman"/>
          <w:b/>
          <w:bCs/>
          <w:i/>
          <w:iCs/>
          <w:sz w:val="22"/>
          <w:szCs w:val="22"/>
        </w:rPr>
        <w:t>4</w:t>
      </w:r>
      <w:r w:rsidRPr="00E97BC8">
        <w:rPr>
          <w:rFonts w:cs="Times New Roman"/>
          <w:b/>
          <w:bCs/>
          <w:i/>
          <w:iCs/>
          <w:sz w:val="22"/>
          <w:szCs w:val="22"/>
        </w:rPr>
        <w:t xml:space="preserve"> Demographic Factors</w:t>
      </w:r>
    </w:p>
    <w:p w14:paraId="72F80AF9" w14:textId="7AD25539" w:rsidR="00A02A33" w:rsidRPr="00E97BC8" w:rsidRDefault="004E33AF" w:rsidP="00E85093">
      <w:pPr>
        <w:shd w:val="clear" w:color="auto" w:fill="FFFFFF"/>
        <w:spacing w:after="0" w:line="240" w:lineRule="auto"/>
        <w:jc w:val="both"/>
        <w:rPr>
          <w:rFonts w:cs="Times New Roman"/>
          <w:b/>
          <w:bCs/>
          <w:i/>
          <w:iCs/>
          <w:sz w:val="22"/>
          <w:szCs w:val="22"/>
        </w:rPr>
      </w:pPr>
      <w:r w:rsidRPr="00E97BC8">
        <w:rPr>
          <w:rFonts w:cs="Times New Roman"/>
          <w:sz w:val="22"/>
          <w:szCs w:val="22"/>
        </w:rPr>
        <w:t xml:space="preserve">Younger drivers show high levels of interest in EVs, </w:t>
      </w:r>
      <w:r w:rsidR="00E83FB5" w:rsidRPr="00E97BC8">
        <w:rPr>
          <w:rFonts w:cs="Times New Roman"/>
          <w:sz w:val="22"/>
          <w:szCs w:val="22"/>
        </w:rPr>
        <w:t xml:space="preserve">perhaps </w:t>
      </w:r>
      <w:r w:rsidRPr="00E97BC8">
        <w:rPr>
          <w:rFonts w:cs="Times New Roman"/>
          <w:sz w:val="22"/>
          <w:szCs w:val="22"/>
        </w:rPr>
        <w:t xml:space="preserve">due to </w:t>
      </w:r>
      <w:r w:rsidR="00E83FB5" w:rsidRPr="00E97BC8">
        <w:rPr>
          <w:rFonts w:cs="Times New Roman"/>
          <w:sz w:val="22"/>
          <w:szCs w:val="22"/>
        </w:rPr>
        <w:t>their interest in</w:t>
      </w:r>
      <w:r w:rsidRPr="00E97BC8">
        <w:rPr>
          <w:rFonts w:cs="Times New Roman"/>
          <w:sz w:val="22"/>
          <w:szCs w:val="22"/>
        </w:rPr>
        <w:t xml:space="preserve"> environmental benefits </w:t>
      </w:r>
      <w:r w:rsidR="00BB7518" w:rsidRPr="00E97BC8">
        <w:rPr>
          <w:rFonts w:cs="Times New Roman"/>
          <w:sz w:val="22"/>
          <w:szCs w:val="22"/>
        </w:rPr>
        <w:t xml:space="preserve">as well as </w:t>
      </w:r>
      <w:r w:rsidRPr="00E97BC8">
        <w:rPr>
          <w:rFonts w:cs="Times New Roman"/>
          <w:sz w:val="22"/>
          <w:szCs w:val="22"/>
        </w:rPr>
        <w:t xml:space="preserve">in </w:t>
      </w:r>
      <w:r w:rsidR="00E83FB5" w:rsidRPr="00E97BC8">
        <w:rPr>
          <w:rFonts w:cs="Times New Roman"/>
          <w:sz w:val="22"/>
          <w:szCs w:val="22"/>
        </w:rPr>
        <w:t xml:space="preserve">new </w:t>
      </w:r>
      <w:r w:rsidRPr="00E97BC8">
        <w:rPr>
          <w:rFonts w:cs="Times New Roman"/>
          <w:sz w:val="22"/>
          <w:szCs w:val="22"/>
        </w:rPr>
        <w:t>technologi</w:t>
      </w:r>
      <w:r w:rsidR="00E83FB5" w:rsidRPr="00E97BC8">
        <w:rPr>
          <w:rFonts w:cs="Times New Roman"/>
          <w:sz w:val="22"/>
          <w:szCs w:val="22"/>
        </w:rPr>
        <w:t xml:space="preserve">es </w:t>
      </w:r>
      <w:r w:rsidR="00BB7518" w:rsidRPr="00E97BC8">
        <w:rPr>
          <w:rFonts w:cs="Times New Roman"/>
          <w:sz w:val="22"/>
          <w:szCs w:val="22"/>
        </w:rPr>
        <w:t xml:space="preserve">in general </w:t>
      </w:r>
      <w:r w:rsidRPr="00E97BC8">
        <w:rPr>
          <w:rFonts w:cs="Times New Roman"/>
          <w:sz w:val="22"/>
          <w:szCs w:val="22"/>
        </w:rPr>
        <w:fldChar w:fldCharType="begin"/>
      </w:r>
      <w:r w:rsidRPr="00E97BC8">
        <w:rPr>
          <w:rFonts w:cs="Times New Roman"/>
          <w:sz w:val="22"/>
          <w:szCs w:val="22"/>
        </w:rPr>
        <w:instrText xml:space="preserve"> ADDIN ZOTERO_ITEM CSL_CITATION {"citationID":"sL4w19Sf","properties":{"unsorted":true,"formattedCitation":"(Sovacool et al., 2018; Huang and Ge, 2019; Chen et al., 2020)","plainCitation":"(Sovacool et al., 2018; Huang and Ge, 2019; Chen et al., 2020)","noteIndex":0},"citationItems":[{"id":2622,"uris":["http://zotero.org/users/12832277/items/AIAQW3XS"],"itemData":{"id":2622,"type":"article-journal","abstract":"Many researchers, policymakers and other stakeholders have explored and supported efforts to transition towards more sustainable forms of low-carbon mobility. Often, discussion will flow from a narrow view of consumer perceptions surrounding passenger vehicles—presuming that users act in rationalist, instrumental, and predictable patterns. In this paper, we hold that a better understanding of the social and demographic perceptions of electric vehicles (compared to other forms of mobility, including conventional cars) is needed. We provide a comparative and mixed methods assessment of the demographics of electric mobility and stated preferences for electric vehicles, drawing primarily on a survey distributed to more than 5000 respondents across Denmark, Finland, Iceland, Norway and Sweden. We examine how gender influences preferences; how experience in the form of education and occupation shape preferences; and how aging and household size impact preferences. In doing so we hope to reveal the more complex social dynamics behind how potential adopters consider and calculate various aspects of conventional mobility, electric mobility, and vehicle-to-grid (V2G) systems. In particular, our results suggest that predominantly men, those with higher levels of education in full time employment, especially with occupations in civil society or academia, and below middle age (30–45), are the most likely to buy them. However, our analysis also reveals other market segments where electric vehicles may take root, e.g. among higher income females and retirees/pensioners. Moreover, few respondents were orientated towards V2G, independent of their demographic attributes. Our empirical results can inform ongoing discussions about energy and transport policy, the drivers of environmental change, and deliberations over sustainability transitions.","container-title":"Global Environmental Change","DOI":"10.1016/j.gloenvcha.2018.06.008","ISSN":"0959-3780","page":"86-100","source":"ScienceDirect","title":"The Demographics of Decarbonizing Transport: The Influence of Gender, Education, Occupation, Age, and Household Size on Electric Mobility Preferences in the Nordic Region","volume":"52","author":[{"family":"Sovacool","given":"Benjamin K."},{"family":"Kester","given":"Johannes"},{"family":"Noel","given":"Lance"},{"family":"Rubens","given":"Gerardo Zarazua","non-dropping-particle":"de"}],"issued":{"date-parts":[["2018",9,1]]}}},{"id":2621,"uris":["http://zotero.org/users/12832277/items/VG4ESERG"],"itemData":{"id":2621,"type":"article-journal","abstract":"To reduce energy consumption and environmental pollution, the Chinese government is vigorously promoting the adoption of electric vehicles (EVs). As one of the first demonstration and promotion cities for EVs in China, Beijing has played an important leading role in the promotion of EVs. Based on the theory of planned behavior (TPB), this study introduced consumer cognitive status, product perception, and incentive policy measures (non-monetary incentive policy measures and monetary incentive policy measures) to build a purchase intention influence mechanism model for EVs. A questionnaire survey was conducted from March to April of 2018 among potential consumers in Beijing. A total of 502 valid survey responses were obtained, and a structural equation model (SEM) was used for an empirical analysis of the factors influencing EV purchasing intention. The results show that attitude, perceived behavior control, cognitive status, product perception and monetary incentive policy measures have significant positive effects on consumers’ intentions to purchase EVs in Beijing. However, subjective norms and non-monetary incentive policy measures have no significant impact on purchasing intention. In addition, the analysis results of the multi-group SEM show that there are significant differences in demographic variables (gender, age, education level, income, and ownership of cars) in the path of consumer purchase intention. Implications for policy makers and scope for further research are discussed.","container-title":"Journal of Cleaner Production","DOI":"10.1016/j.jclepro.2019.01.231","ISSN":"0959-6526","page":"361-372","source":"ScienceDirect","title":"Electric Vehicle Development in Beijing: An Analysis of Consumer Purchase Intention","title-short":"Electric Vehicle Development in Beijing","volume":"216","author":[{"family":"Huang","given":"Xiangqian"},{"family":"Ge","given":"Jianping"}],"issued":{"date-parts":[["2019",4,10]]}}},{"id":2461,"uris":["http://zotero.org/users/12832277/items/DGWPZUU8"],"itemData":{"id":2461,"type":"article-journal","abstract":"This study investigates the interconnected influence of socio-demographics, behavioral, economic, and technical factors associated with electric vehicle (EV) adoption interest and the influence of vehicle-to-grid mobility on preferences. Using hierarchical regression analysis, we examine the impacts of six dimensions relating to socio-demographic, technical, economic, and behavioral factors in a survey (n = 4885) across Denmark, Finland, Iceland, Norway, and Sweden. Our results show that younger males, with higher income, a higher number of children, and who had experiences with EVs, and generally hold sustainability values are positively related to potential EV adoption. Among electric mobility attributes, vehicle-to-grid capability and charging time are determined to be the influential predictors. Adding vehicle-to-grid capability can foster EV adoption in our analysis, considering it can add a revenue stream for EV owners. Individuals continue to use specific knowledge of conventional fuel vehicles when considering EVs and their attributes. Among all of our factors, the fuel economy, financial savings, and environmental value were the strongest predictors. In comparison, the driving range was ranked less critical to former EV owners than to a conventional car and current EV owners. Battery life was ranked more important to conventional fuel vehicle owners than current and former EV owners. Finally, former EV owners considered vehicle-to-grid to be more important than current EV and conventional car owners, implying that vehicle-to-grid could be the marginal incentive that would be the “tipping point.”","container-title":"Renewable and Sustainable Energy Reviews","DOI":"10.1016/j.rser.2019.109692","ISSN":"1364-0321","source":"ScienceDirect","title":"Assessing the Socio-Demographic, Technical, Economic and Behavioral Factors of Nordic Electric Vehicle Adoption and the Influence of Vehicle-to-Grid Preferences","URL":"https://www.sciencedirect.com/science/article/pii/S1364032119308974","volume":"121","author":[{"family":"Chen","given":"Chien-fei"},{"family":"Zarazua de Rubens","given":"Gerardo"},{"family":"Noel","given":"Lance"},{"family":"Kester","given":"Johannes"},{"family":"Sovacool","given":"Benjamin K."}],"accessed":{"date-parts":[["2024",2,15]]},"issued":{"date-parts":[["2020",4,1]]}}}],"schema":"https://github.com/citation-style-language/schema/raw/master/csl-citation.json"} </w:instrText>
      </w:r>
      <w:r w:rsidRPr="00E97BC8">
        <w:rPr>
          <w:rFonts w:cs="Times New Roman"/>
          <w:sz w:val="22"/>
          <w:szCs w:val="22"/>
        </w:rPr>
        <w:fldChar w:fldCharType="separate"/>
      </w:r>
      <w:r w:rsidR="001E6A07" w:rsidRPr="00E97BC8">
        <w:rPr>
          <w:rFonts w:cs="Times New Roman"/>
          <w:sz w:val="22"/>
          <w:szCs w:val="22"/>
        </w:rPr>
        <w:t>(Sovacool et al., 2018; Huang and Ge, 2019; Chen et al., 2020)</w:t>
      </w:r>
      <w:r w:rsidRPr="00E97BC8">
        <w:rPr>
          <w:rFonts w:cs="Times New Roman"/>
          <w:sz w:val="22"/>
          <w:szCs w:val="22"/>
        </w:rPr>
        <w:fldChar w:fldCharType="end"/>
      </w:r>
      <w:r w:rsidRPr="00E97BC8">
        <w:rPr>
          <w:rFonts w:cs="Times New Roman"/>
          <w:sz w:val="22"/>
          <w:szCs w:val="22"/>
        </w:rPr>
        <w:t xml:space="preserve">. However, the first adopters </w:t>
      </w:r>
      <w:r w:rsidR="00E83FB5" w:rsidRPr="00E97BC8">
        <w:rPr>
          <w:rFonts w:cs="Times New Roman"/>
          <w:sz w:val="22"/>
          <w:szCs w:val="22"/>
        </w:rPr>
        <w:t xml:space="preserve">of EVs </w:t>
      </w:r>
      <w:r w:rsidRPr="00E97BC8">
        <w:rPr>
          <w:rFonts w:cs="Times New Roman"/>
          <w:sz w:val="22"/>
          <w:szCs w:val="22"/>
        </w:rPr>
        <w:t xml:space="preserve">tend to be middle aged, largely due to the high initial costs that are </w:t>
      </w:r>
      <w:r w:rsidR="001B21A5" w:rsidRPr="00E97BC8">
        <w:rPr>
          <w:rFonts w:cs="Times New Roman"/>
          <w:sz w:val="22"/>
          <w:szCs w:val="22"/>
        </w:rPr>
        <w:t xml:space="preserve">pose a </w:t>
      </w:r>
      <w:r w:rsidRPr="00E97BC8">
        <w:rPr>
          <w:rFonts w:cs="Times New Roman"/>
          <w:sz w:val="22"/>
          <w:szCs w:val="22"/>
        </w:rPr>
        <w:t>barrier for</w:t>
      </w:r>
      <w:r w:rsidR="001B21A5" w:rsidRPr="00E97BC8">
        <w:rPr>
          <w:rFonts w:cs="Times New Roman"/>
          <w:sz w:val="22"/>
          <w:szCs w:val="22"/>
        </w:rPr>
        <w:t xml:space="preserve"> </w:t>
      </w:r>
      <w:r w:rsidRPr="00E97BC8">
        <w:rPr>
          <w:rFonts w:cs="Times New Roman"/>
          <w:sz w:val="22"/>
          <w:szCs w:val="22"/>
        </w:rPr>
        <w:t xml:space="preserve">younger adults </w:t>
      </w:r>
      <w:r w:rsidRPr="00E97BC8">
        <w:rPr>
          <w:rFonts w:cs="Times New Roman"/>
          <w:sz w:val="22"/>
          <w:szCs w:val="22"/>
        </w:rPr>
        <w:fldChar w:fldCharType="begin"/>
      </w:r>
      <w:r w:rsidRPr="00E97BC8">
        <w:rPr>
          <w:rFonts w:cs="Times New Roman"/>
          <w:sz w:val="22"/>
          <w:szCs w:val="22"/>
        </w:rPr>
        <w:instrText xml:space="preserve"> ADDIN ZOTERO_ITEM CSL_CITATION {"citationID":"Sx1bRgb7","properties":{"formattedCitation":"(Habich-Sobiegalla et al., 2019; Lashari et al., 2021)","plainCitation":"(Habich-Sobiegalla et al., 2019; Lashari et al., 2021)","noteIndex":0},"citationItems":[{"id":2784,"uris":["http://zotero.org/users/12832277/items/4Q36BGWP"],"itemData":{"id":2784,"type":"article-journal","abstract":"Given the pressure to adopt more sustainable transportation modes, a number of governments have adopted policies to increase the use of electric vehicles (EVs). Yet, there are few national surveys of citizens' intentions to purchase EVs. Using a nationwide survey with 1080 respondents in China, this article examines the determinants of Chinese citizens' intentions to purchase EVs. The survey results suggest that if Chinese citizens have a wide social network and if they know someone who already owns an EV, their intention to purchase an EV is very high. Other micro-level factors, such as age and education, have significant effects, but their magnitudes are lower. Macro-level factors such as air pollution and EV charging infrastructure don't drive intentions to purchase EVs. Drawing on these results, the article offers recommendations for businesses and policymakers who seek to reduce the consumption of fossil fuels and to increase the adoption of sustainable transport solutions.","container-title":"Transport Policy","DOI":"10.1016/j.tranpol.2019.05.008","ISSN":"0967-070X","page":"223-233","source":"ScienceDirect","title":"Citizens’ Electric Vehicle Purchase Intentions in China: An Analysis of Micro-Level and Macro-Level Factors","volume":"79","author":[{"family":"Habich-Sobiegalla","given":"Sabrina"},{"family":"Kostka","given":"Genia"},{"family":"Anzinger","given":"Niklas"}],"issued":{"date-parts":[["2019",7,1]]}}},{"id":2736,"uris":["http://zotero.org/users/12832277/items/XSCL4YHY"],"itemData":{"id":2736,"type":"article-journal","abstract":"Electric vehicles (EVs) have been developed as an efficient solution to reduce automobile emissions. To ensure the effective diffusion of EVs in current transport systems, it is vital to understand the factors affecting consumers’ intentions to purchase EVs. To provide insights for this understanding, this study aims to investigate such factors with a particular focus on users’ attitudes and perceptions. A questionnaire survey was conducted in September 2019 among potential consumers in the major cities of South Korea. A total of 1500 valid survey responses were obtained, and investigations using binary logistic regression and regression tree were conducted for an empirical analysis. The results showed that among attitudinal attributes, environmental and economic perceptions concerning EV use were the strongest predictors for an EV purchase. In addition, technological concerns were found to have negative impacts on EV purchase intentions. The findings of this study could provide reasonable guidelines for establishing marketing strategies and serve as a reference for EV stakeholders to improve the applicability of current policies regarding EV adoption.","container-title":"Sustainability","DOI":"10.3390/su13126778","ISSN":"2071-1050","issue":"12","language":"en","license":"http://creativecommons.org/licenses/by/3.0/","note":"number: 12\npublisher: Multidisciplinary Digital Publishing Institute","source":"www.mdpi.com","title":"Consumers’ Intention to Purchase Electric Vehicles: Influences of User Attitude and Perception","URL":"https://www.mdpi.com/2071-1050/13/12/6778","volume":"13","author":[{"family":"Lashari","given":"Zulfiqar Ali"},{"family":"Ko","given":"Joonho"},{"family":"Jang","given":"Junseok"}],"accessed":{"date-parts":[["2024",2,28]]},"issued":{"date-parts":[["2021",1]]}}}],"schema":"https://github.com/citation-style-language/schema/raw/master/csl-citation.json"} </w:instrText>
      </w:r>
      <w:r w:rsidRPr="00E97BC8">
        <w:rPr>
          <w:rFonts w:cs="Times New Roman"/>
          <w:sz w:val="22"/>
          <w:szCs w:val="22"/>
        </w:rPr>
        <w:fldChar w:fldCharType="separate"/>
      </w:r>
      <w:r w:rsidR="001E6A07" w:rsidRPr="00E97BC8">
        <w:rPr>
          <w:rFonts w:cs="Times New Roman"/>
          <w:sz w:val="22"/>
          <w:szCs w:val="22"/>
        </w:rPr>
        <w:t>(Habich-Sobiegalla et al., 2019; Lashari et al., 2021)</w:t>
      </w:r>
      <w:r w:rsidRPr="00E97BC8">
        <w:rPr>
          <w:rFonts w:cs="Times New Roman"/>
          <w:sz w:val="22"/>
          <w:szCs w:val="22"/>
        </w:rPr>
        <w:fldChar w:fldCharType="end"/>
      </w:r>
      <w:r w:rsidRPr="00E97BC8">
        <w:rPr>
          <w:rFonts w:cs="Times New Roman"/>
          <w:sz w:val="22"/>
          <w:szCs w:val="22"/>
        </w:rPr>
        <w:t xml:space="preserve">. </w:t>
      </w:r>
      <w:r w:rsidR="001B21A5" w:rsidRPr="00E97BC8">
        <w:rPr>
          <w:rFonts w:cs="Times New Roman"/>
          <w:sz w:val="22"/>
          <w:szCs w:val="22"/>
        </w:rPr>
        <w:t xml:space="preserve">Gender differences in EV interest related to different EV features are also evident; </w:t>
      </w:r>
      <w:r w:rsidRPr="00E97BC8">
        <w:rPr>
          <w:rFonts w:cs="Times New Roman"/>
          <w:sz w:val="22"/>
          <w:szCs w:val="22"/>
        </w:rPr>
        <w:t xml:space="preserve">Men show more interest in the technological advancements in EV technologies </w:t>
      </w:r>
      <w:r w:rsidR="005D6964" w:rsidRPr="00E97BC8">
        <w:rPr>
          <w:rFonts w:cs="Times New Roman"/>
          <w:sz w:val="22"/>
          <w:szCs w:val="22"/>
        </w:rPr>
        <w:t xml:space="preserve">(and particularly so for BEVs) </w:t>
      </w:r>
      <w:r w:rsidRPr="00E97BC8">
        <w:rPr>
          <w:rFonts w:cs="Times New Roman"/>
          <w:sz w:val="22"/>
          <w:szCs w:val="22"/>
        </w:rPr>
        <w:t xml:space="preserve">and perceive greater advantages to EV ownership </w:t>
      </w:r>
      <w:r w:rsidRPr="00E97BC8">
        <w:rPr>
          <w:rFonts w:cs="Times New Roman"/>
          <w:sz w:val="22"/>
          <w:szCs w:val="22"/>
        </w:rPr>
        <w:fldChar w:fldCharType="begin"/>
      </w:r>
      <w:r w:rsidRPr="00E97BC8">
        <w:rPr>
          <w:rFonts w:cs="Times New Roman"/>
          <w:sz w:val="22"/>
          <w:szCs w:val="22"/>
        </w:rPr>
        <w:instrText xml:space="preserve"> ADDIN ZOTERO_ITEM CSL_CITATION {"citationID":"GPRnvE4r","properties":{"unsorted":true,"formattedCitation":"(Wang et al., 2021; Ali and Naushad, 2022)","plainCitation":"(Wang et al., 2021; Ali and Naushad, 2022)","noteIndex":0},"citationItems":[{"id":2787,"uris":["http://zotero.org/users/12832277/items/YMB88MDV"],"itemData":{"id":2787,"type":"article-journal","abstract":"The global diffusion of battery electric vehicles (BEVs), a sustainable technological innovation, has been challenging, and thus, it has attracted a considerable amount of academic research interest. Previous studies have investigated the mechanism of government policies and consumer psychological factors, but they have neglected consumers' perceptions of incentive policies and consumer social attributes. Therefore, the current study integrates incentive policy perceptions and consumer social attributes into the research model. The model constructs a “perception-attitude-behavior” research framework for analyzing the influence of these factors on consumers' BEV attitudes and purchase intentions. The results of structural equation modeling analysis based on 261 potential buyers show the heterogeneity of the influence of consumers' perceptions of financial incentive policies, perceptions of information provision policies and perceptions of convenience policies on BEV attitudes and purchase intentions. In addition, three variables of consumer social attributes (environmental concerns, social norms, and face consciousness) are more influential than policy perceptions. BEV attitudes are the most important predictor of BEV purchase intentions. In addition, based on a multigroup test, a moderating effect of gender is found. Finally, this paper discusses theoretical and practical implications and future research.","container-title":"Energy Policy","DOI":"10.1016/j.enpol.2021.112163","ISSN":"0301-4215","source":"ScienceDirect","title":"The Influences of Incentive Policy Perceptions and Consumer Social Attributes on Battery Electric Vehicle Purchase Intentions","URL":"https://www.sciencedirect.com/science/article/pii/S030142152100032X","volume":"151","author":[{"family":"Wang","given":"Xiao-Wu"},{"family":"Cao","given":"Yu-Mei"},{"family":"Zhang","given":"Ning"}],"accessed":{"date-parts":[["2024",2,29]]},"issued":{"date-parts":[["2021",4,1]]}}},{"id":2630,"uris":["http://zotero.org/users/12832277/items/JDA3KVGV"],"itemData":{"id":2630,"type":"article-journal","abstract":"Pollution has become a major source of concern for the majority of people at present. Pollution is primarily caused by automobiles. Everybody wants to live in a pollution-free society. Nevertheless, India’s automobile registrations are growing at a rapid pace. Increased automobile usage will have a negative effect on the environment. As a result, our modes of transportation must be sustainable and environmentally friendly. The solution to this dilemma is electric vehicles. However, electric vehicle adoption is not occurring at a rate that is desirable in India, although it is anticipated to grow in the coming years. Numerous automobile manufacturers are ramping up production of electric automobiles. The purpose of this study is to ascertain the primary factors that influence the adoption of electric vehicles. This study includes five independent variables: financial incentives, charging infrastructure, social reinforcement, environmental concern, and price, and one dependent variable, electrical vehicle adoption. The data for the present study was collected from 366 randomly selected respondents across India. Structural Equation Modeling (SEM) and Confirmatory Factor Analysis (CFA) were used to analyze the data. The study’s findings demonstrate that pricing has a substantial impact on the adoption of electric vehicles.","container-title":"World Electric Vehicle Journal","DOI":"10.3390/wevj13020026","ISSN":"2032-6653","issue":"2","language":"en","license":"http://creativecommons.org/licenses/by/3.0/","note":"number: 2\npublisher: Multidisciplinary Digital Publishing Institute","page":"26","source":"www.mdpi.com","title":"A Study to Investigate What Tempts Consumers to Adopt Electric Vehicles","volume":"13","author":[{"family":"Ali","given":"Imran"},{"family":"Naushad","given":"Mohammad"}],"issued":{"date-parts":[["2022",2]]}}}],"schema":"https://github.com/citation-style-language/schema/raw/master/csl-citation.json"} </w:instrText>
      </w:r>
      <w:r w:rsidRPr="00E97BC8">
        <w:rPr>
          <w:rFonts w:cs="Times New Roman"/>
          <w:sz w:val="22"/>
          <w:szCs w:val="22"/>
        </w:rPr>
        <w:fldChar w:fldCharType="separate"/>
      </w:r>
      <w:r w:rsidR="001E6A07" w:rsidRPr="00E97BC8">
        <w:rPr>
          <w:rFonts w:cs="Times New Roman"/>
          <w:sz w:val="22"/>
          <w:szCs w:val="22"/>
        </w:rPr>
        <w:t>(Wang et al., 2021; Ali and Naushad, 2022)</w:t>
      </w:r>
      <w:r w:rsidRPr="00E97BC8">
        <w:rPr>
          <w:rFonts w:cs="Times New Roman"/>
          <w:sz w:val="22"/>
          <w:szCs w:val="22"/>
        </w:rPr>
        <w:fldChar w:fldCharType="end"/>
      </w:r>
      <w:r w:rsidRPr="00E97BC8">
        <w:rPr>
          <w:rFonts w:cs="Times New Roman"/>
          <w:sz w:val="22"/>
          <w:szCs w:val="22"/>
        </w:rPr>
        <w:t>, while women prioritize the environmental benefits associated with EVs</w:t>
      </w:r>
      <w:r w:rsidR="005D6964" w:rsidRPr="00E97BC8">
        <w:rPr>
          <w:rFonts w:cs="Times New Roman"/>
          <w:sz w:val="22"/>
          <w:szCs w:val="22"/>
        </w:rPr>
        <w:t xml:space="preserve"> but may be more wary of difficulties associated with charging, leading to a stronger preference for PHEVs among women</w:t>
      </w:r>
      <w:r w:rsidRPr="00E97BC8">
        <w:rPr>
          <w:rFonts w:cs="Times New Roman"/>
          <w:sz w:val="22"/>
          <w:szCs w:val="22"/>
        </w:rPr>
        <w:t xml:space="preserve"> </w:t>
      </w:r>
      <w:r w:rsidRPr="00E97BC8">
        <w:rPr>
          <w:rFonts w:cs="Times New Roman"/>
          <w:sz w:val="22"/>
          <w:szCs w:val="22"/>
        </w:rPr>
        <w:fldChar w:fldCharType="begin"/>
      </w:r>
      <w:r w:rsidRPr="00E97BC8">
        <w:rPr>
          <w:rFonts w:cs="Times New Roman"/>
          <w:sz w:val="22"/>
          <w:szCs w:val="22"/>
        </w:rPr>
        <w:instrText xml:space="preserve"> ADDIN ZOTERO_ITEM CSL_CITATION {"citationID":"O9mE80Eg","properties":{"unsorted":true,"formattedCitation":"(Ziefle et al., 2014; He et al., 2018)","plainCitation":"(Ziefle et al., 2014; He et al., 2018)","noteIndex":0},"citationItems":[{"id":2790,"uris":["http://zotero.org/users/12832277/items/C7I9QGEB"],"itemData":{"id":2790,"type":"paper-conference","abstract":"In this research, we describe an empirical study, which aimed at identifying influencing factors on acceptance of electric vehicles. Understanding individual arguments and to reach a high usage rate of these vehicles in the public and a broad acceptance, the identification of possible pro-using motives as well as perceived drawbacks is essential, which would allow a sensitive and individually-tailored communication and information policy. Using an exploratory approach, a questionnaire study was carried out in which participants were requested to indicate the level of acceptance and the intention to use electric cars. The questionnaire items were taken from several focus groups, which had been carried out prior to the questionnaire study. Outcomes show that the traditional car is perceived still as much more comfortable, and receives a high trustfulness in comparison to electric cars. In addition, user diversity in terms of age and gender was found to considerably the perceived benefits and barriers. Female users but also aged persons show a higher level of acceptance, which might be due to their higher environmental consciousness in contrast to male persons and younger participants. Interestingly, the self-reported level of domain knowledge (significantly higher in men) did not show a large influence on the level of acceptance.","collection-title":"Lecture Notes in Computer Science","container-title":"Design, User Experience, and Usability. User Experience Design for Everyday Life Applications and Services","DOI":"10.1007/978-3-319-07635-5_60","ISBN":"978-3-319-07635-5","language":"en","page":"628-639","publisher":"Springer International Publishing","source":"Springer Link","title":"Public Perception and Acceptance of Electric Vehicles: Exploring Users’ Perceived Benefits and Drawbacks","author":[{"family":"Ziefle","given":"Martina"},{"family":"Beul-Leusmann","given":"Shirley"},{"family":"Kasugai","given":"Kai"},{"family":"Schwalm","given":"Maximilian"}],"editor":[{"family":"Marcus","given":"Aaron"}],"issued":{"date-parts":[["2014"]]}}},{"id":2473,"uris":["http://zotero.org/users/12832277/items/ZQLPT8S6"],"itemData":{"id":2473,"type":"article-journal","abstract":"Electric vehicles (EVs) have been developed rapidly with the strong support of governments in recent years, but the market share of EVs is still small in China and the vast majority of Chinese consumers hesitate to adopt them. Thus, for the successful development of EVs, this paper proposes a personality-perception-intention framework to explore consumers' EV adoption behavior. The research model is empirically tested with data collected from 369 participants in China. Results indicate that the EV purchase intention can be explained 57.1% variance by consumer perception and personality. Two types of personality, such as personal innovativeness and environmental concern, significantly affect EV purchase intention directly. They are also significantly mediated by two kinds of perceptions (i.e. positive and negative utilities). The findings give a deeper understanding of EV adoption behavior, and provide recommendations for policymakers and manufacturers on promoting EVs.","container-title":"Journal of Cleaner Production","DOI":"10.1016/j.jclepro.2018.08.260","ISSN":"0959-6526","page":"1060-1069","source":"ScienceDirect","title":"Consumer Purchase Intention of Electric Vehicles in China: The Roles of Perception and Personality","title-short":"Consumer Purchase Intention of Electric Vehicles in China","volume":"204","author":[{"family":"He","given":"Xiuhong"},{"family":"Zhan","given":"Wenjie"},{"family":"Hu","given":"Yingying"}],"issued":{"date-parts":[["2018",12,10]]}}}],"schema":"https://github.com/citation-style-language/schema/raw/master/csl-citation.json"} </w:instrText>
      </w:r>
      <w:r w:rsidRPr="00E97BC8">
        <w:rPr>
          <w:rFonts w:cs="Times New Roman"/>
          <w:sz w:val="22"/>
          <w:szCs w:val="22"/>
        </w:rPr>
        <w:fldChar w:fldCharType="separate"/>
      </w:r>
      <w:r w:rsidR="001E6A07" w:rsidRPr="00E97BC8">
        <w:rPr>
          <w:rFonts w:cs="Times New Roman"/>
          <w:sz w:val="22"/>
          <w:szCs w:val="22"/>
        </w:rPr>
        <w:t>(Ziefle et al., 2014; He et al., 2018)</w:t>
      </w:r>
      <w:r w:rsidRPr="00E97BC8">
        <w:rPr>
          <w:rFonts w:cs="Times New Roman"/>
          <w:sz w:val="22"/>
          <w:szCs w:val="22"/>
        </w:rPr>
        <w:fldChar w:fldCharType="end"/>
      </w:r>
      <w:r w:rsidRPr="00E97BC8">
        <w:rPr>
          <w:rFonts w:cs="Times New Roman"/>
          <w:sz w:val="22"/>
          <w:szCs w:val="22"/>
        </w:rPr>
        <w:t>.</w:t>
      </w:r>
      <w:r w:rsidR="00E83FB5" w:rsidRPr="00E97BC8">
        <w:rPr>
          <w:rFonts w:cs="Times New Roman"/>
          <w:sz w:val="22"/>
          <w:szCs w:val="22"/>
        </w:rPr>
        <w:t xml:space="preserve"> In California</w:t>
      </w:r>
      <w:r w:rsidR="00BB7518" w:rsidRPr="00E97BC8">
        <w:rPr>
          <w:rFonts w:cs="Times New Roman"/>
          <w:sz w:val="22"/>
          <w:szCs w:val="22"/>
        </w:rPr>
        <w:t>, evidence suggests that existing</w:t>
      </w:r>
      <w:r w:rsidR="00E83FB5" w:rsidRPr="00E97BC8">
        <w:rPr>
          <w:rFonts w:cs="Times New Roman"/>
          <w:sz w:val="22"/>
          <w:szCs w:val="22"/>
        </w:rPr>
        <w:t xml:space="preserve"> EV owners are predominantly male</w:t>
      </w:r>
      <w:r w:rsidR="00BB7518" w:rsidRPr="00E97BC8">
        <w:rPr>
          <w:rFonts w:cs="Times New Roman"/>
          <w:sz w:val="22"/>
          <w:szCs w:val="22"/>
        </w:rPr>
        <w:t xml:space="preserve"> </w:t>
      </w:r>
      <w:r w:rsidR="00BB7518" w:rsidRPr="00E97BC8">
        <w:rPr>
          <w:rFonts w:cs="Times New Roman"/>
          <w:sz w:val="22"/>
          <w:szCs w:val="22"/>
        </w:rPr>
        <w:fldChar w:fldCharType="begin"/>
      </w:r>
      <w:r w:rsidR="00BB7518" w:rsidRPr="00E97BC8">
        <w:rPr>
          <w:rFonts w:cs="Times New Roman"/>
          <w:sz w:val="22"/>
          <w:szCs w:val="22"/>
        </w:rPr>
        <w:instrText xml:space="preserve"> ADDIN ZOTERO_ITEM CSL_CITATION {"citationID":"QKW6Yd9q","properties":{"formattedCitation":"(Lee et al., 2019)","plainCitation":"(Lee et al., 2019)","noteIndex":0},"citationItems":[{"id":4093,"uris":["http://zotero.org/users/12832277/items/7CZRPGZL"],"itemData":{"id":4093,"type":"article-journal","abstract":"The successful market entry of plug-in electric vehicles (PEVs) is contingent on them being adopted by consumers, the first of which will be early adopters. The current understanding of these early adopters is based on small samples of PEV buyers gathered at one point in time. Here we present multi-year (2012–2017) questionnaire survey data on the socio-demographic profile of 11,037 PEV adopters in California. Latent class cluster analysis reveals four heterogeneous groups of PEV buyers. 49% are High income families, 26% Mid/high income old families, 20% Mid/high income young families, and about 5% are Middle income renters. Using the latent classes as input factors in Bass diffusion models we show that high income families may not continue to be the largest group of PEV adopters, while high income families are 49% of the PEV market today, they only represent 3.6% of California households. For market growth to continue the mid/high- and middle-income clusters need to begin adopting PEVs in greater numbers than they are doing today. Policymakers will need to consider the different needs these consumers have for infrastructure and incentives compared to high income families.","container-title":"Energy Research &amp; Social Science","DOI":"10.1016/j.erss.2019.05.011","ISSN":"2214-6296","page":"218-226","source":"ScienceDirect","title":"Who Is Buying Electric Vehicles in California? Characterising Early Adopter Heterogeneity and Forecasting Market Diffusion","volume":"55","author":[{"family":"Lee","given":"Jae Hyun"},{"family":"Hardman","given":"Scott J."},{"family":"Tal","given":"Gil"}],"issued":{"date-parts":[["2019",9,1]]}}}],"schema":"https://github.com/citation-style-language/schema/raw/master/csl-citation.json"} </w:instrText>
      </w:r>
      <w:r w:rsidR="00BB7518" w:rsidRPr="00E97BC8">
        <w:rPr>
          <w:rFonts w:cs="Times New Roman"/>
          <w:sz w:val="22"/>
          <w:szCs w:val="22"/>
        </w:rPr>
        <w:fldChar w:fldCharType="separate"/>
      </w:r>
      <w:r w:rsidR="00BB7518" w:rsidRPr="00E97BC8">
        <w:rPr>
          <w:rFonts w:cs="Times New Roman"/>
          <w:sz w:val="22"/>
          <w:szCs w:val="22"/>
        </w:rPr>
        <w:t>(Lee et al., 2019)</w:t>
      </w:r>
      <w:r w:rsidR="00BB7518" w:rsidRPr="00E97BC8">
        <w:rPr>
          <w:rFonts w:cs="Times New Roman"/>
          <w:sz w:val="22"/>
          <w:szCs w:val="22"/>
        </w:rPr>
        <w:fldChar w:fldCharType="end"/>
      </w:r>
      <w:r w:rsidR="00E83FB5" w:rsidRPr="00E97BC8">
        <w:rPr>
          <w:rFonts w:cs="Times New Roman"/>
          <w:sz w:val="22"/>
          <w:szCs w:val="22"/>
        </w:rPr>
        <w:t xml:space="preserve">. </w:t>
      </w:r>
      <w:r w:rsidRPr="00E97BC8">
        <w:rPr>
          <w:rFonts w:cs="Times New Roman"/>
          <w:sz w:val="22"/>
          <w:szCs w:val="22"/>
        </w:rPr>
        <w:t xml:space="preserve">In addition, individuals with more education tend to be more inclined towards </w:t>
      </w:r>
      <w:r w:rsidR="005D6964" w:rsidRPr="00E97BC8">
        <w:rPr>
          <w:rFonts w:cs="Times New Roman"/>
          <w:sz w:val="22"/>
          <w:szCs w:val="22"/>
        </w:rPr>
        <w:t>both PH</w:t>
      </w:r>
      <w:r w:rsidRPr="00E97BC8">
        <w:rPr>
          <w:rFonts w:cs="Times New Roman"/>
          <w:sz w:val="22"/>
          <w:szCs w:val="22"/>
        </w:rPr>
        <w:t>EVs</w:t>
      </w:r>
      <w:r w:rsidR="005D6964" w:rsidRPr="00E97BC8">
        <w:rPr>
          <w:rFonts w:cs="Times New Roman"/>
          <w:sz w:val="22"/>
          <w:szCs w:val="22"/>
        </w:rPr>
        <w:t xml:space="preserve"> and BEVs</w:t>
      </w:r>
      <w:r w:rsidRPr="00E97BC8">
        <w:rPr>
          <w:rFonts w:cs="Times New Roman"/>
          <w:sz w:val="22"/>
          <w:szCs w:val="22"/>
        </w:rPr>
        <w:t xml:space="preserve">, due to increased environmental concern and greater awareness of the </w:t>
      </w:r>
      <w:r w:rsidR="001B21A5" w:rsidRPr="00E97BC8">
        <w:rPr>
          <w:rFonts w:cs="Times New Roman"/>
          <w:sz w:val="22"/>
          <w:szCs w:val="22"/>
        </w:rPr>
        <w:t xml:space="preserve">potential </w:t>
      </w:r>
      <w:r w:rsidRPr="00E97BC8">
        <w:rPr>
          <w:rFonts w:cs="Times New Roman"/>
          <w:sz w:val="22"/>
          <w:szCs w:val="22"/>
        </w:rPr>
        <w:t xml:space="preserve">technological and economic benefits of EVs compared </w:t>
      </w:r>
      <w:r w:rsidR="0090483C" w:rsidRPr="00E97BC8">
        <w:rPr>
          <w:rFonts w:cs="Times New Roman"/>
          <w:sz w:val="22"/>
          <w:szCs w:val="22"/>
        </w:rPr>
        <w:t>to</w:t>
      </w:r>
      <w:r w:rsidRPr="00E97BC8">
        <w:rPr>
          <w:rFonts w:cs="Times New Roman"/>
          <w:sz w:val="22"/>
          <w:szCs w:val="22"/>
        </w:rPr>
        <w:t xml:space="preserve"> ICEVs </w:t>
      </w:r>
      <w:r w:rsidRPr="00E97BC8">
        <w:rPr>
          <w:rFonts w:cs="Times New Roman"/>
          <w:sz w:val="22"/>
          <w:szCs w:val="22"/>
        </w:rPr>
        <w:fldChar w:fldCharType="begin"/>
      </w:r>
      <w:r w:rsidRPr="00E97BC8">
        <w:rPr>
          <w:rFonts w:cs="Times New Roman"/>
          <w:sz w:val="22"/>
          <w:szCs w:val="22"/>
        </w:rPr>
        <w:instrText xml:space="preserve"> ADDIN ZOTERO_ITEM CSL_CITATION {"citationID":"evGVNBso","properties":{"unsorted":true,"formattedCitation":"(Li et al., 2017; Kim et al., 2019; Habich-Sobiegalla et al., 2019)","plainCitation":"(Li et al., 2017; Kim et al., 2019; Habich-Sobiegalla et al., 2019)","noteIndex":0},"citationItems":[{"id":2641,"uris":["http://zotero.org/users/12832277/items/QBJWBNMI"],"itemData":{"id":2641,"type":"article-journal","abstract":"Despite reducing environmental pollution and the excessive consumption of fossil fuels, the number of battery electric vehicles (BEVs) on the road is still low. Why is this so? Why is the mass adoption of BEVs so difficult to realize? One important reason is that the adoption of BEVs is, to a large extent, dependent on the acceptance of private consumers, and their willingness to adopt this mode of transport is insufficient. This study is a systematic overview of peer-reviewed journal articles to identify the reasons for and against consumer intentions to adopt BEVs. A total of 1846 papers were retrieved and after a two-step identification, 40 papers were finally identified and analyzed in detail. The influencing factors were categorized into three main types, namely demographic, situational and psychological, and they were reviewed separately. In addition, the shortcomings and deficiencies in the current studies were also noted.","container-title":"Renewable and Sustainable Energy Reviews","DOI":"10.1016/j.rser.2017.04.076","ISSN":"1364-0321","page":"318-328","source":"ScienceDirect","title":"A Review of Factors Influencing Consumer Intentions to Adopt Battery Electric Vehicles","volume":"78","author":[{"family":"Li","given":"Wenbo"},{"family":"Long","given":"Ruyin"},{"family":"Chen","given":"Hong"},{"family":"Geng","given":"Jichao"}],"issued":{"date-parts":[["2017",10,1]]}}},{"id":2638,"uris":["http://zotero.org/users/12832277/items/49YAFYET"],"itemData":{"id":2638,"type":"article-journal","abstract":"In Korea, the sales of battery electric vehicles (BEVs) have increased since their introduction to the market in 2010. However, considering the government's plan to introduce BEVs, current BEVs sales in Korea are still below targeted numbers. Among several reasons for this, consumers' intentions and desired time to purchase BEVs are the most important. This study identifies the factors that affect and influence these two reasons. We used survey data containing these two reasons as stated preferences and applied a binary choice model to estimate consumers' intentions to purchase BEVs and an ordered model to estimate the desired period for purchasing BEVs. The study's results show that prior experience driving BEVs and other additional factors—including number of household vehicles, educational level, and perception of government incentives and public parking benefits—have a significant effect on consumers' intentions and desired time to purchase BEVs. Therefore, providing consumers with prior opportunities to drive BEVs is critical for BEVs' full market penetration in Korea.","container-title":"Energy Policy","DOI":"10.1016/j.enpol.2019.06.028","ISSN":"0301-4215","page":"736-743","source":"ScienceDirect","title":"Consumer Intentions to Purchase Battery Electric Vehicles in Korea","volume":"132","author":[{"family":"Kim","given":"Jae Hun"},{"family":"Lee","given":"Gunwoo"},{"family":"Park","given":"Ji Young"},{"family":"Hong","given":"Jungyeol"},{"family":"Park","given":"Juneyoung"}],"issued":{"date-parts":[["2019",9,1]]}}},{"id":2784,"uris":["http://zotero.org/users/12832277/items/4Q36BGWP"],"itemData":{"id":2784,"type":"article-journal","abstract":"Given the pressure to adopt more sustainable transportation modes, a number of governments have adopted policies to increase the use of electric vehicles (EVs). Yet, there are few national surveys of citizens' intentions to purchase EVs. Using a nationwide survey with 1080 respondents in China, this article examines the determinants of Chinese citizens' intentions to purchase EVs. The survey results suggest that if Chinese citizens have a wide social network and if they know someone who already owns an EV, their intention to purchase an EV is very high. Other micro-level factors, such as age and education, have significant effects, but their magnitudes are lower. Macro-level factors such as air pollution and EV charging infrastructure don't drive intentions to purchase EVs. Drawing on these results, the article offers recommendations for businesses and policymakers who seek to reduce the consumption of fossil fuels and to increase the adoption of sustainable transport solutions.","container-title":"Transport Policy","DOI":"10.1016/j.tranpol.2019.05.008","ISSN":"0967-070X","page":"223-233","source":"ScienceDirect","title":"Citizens’ Electric Vehicle Purchase Intentions in China: An Analysis of Micro-Level and Macro-Level Factors","volume":"79","author":[{"family":"Habich-Sobiegalla","given":"Sabrina"},{"family":"Kostka","given":"Genia"},{"family":"Anzinger","given":"Niklas"}],"issued":{"date-parts":[["2019",7,1]]}}}],"schema":"https://github.com/citation-style-language/schema/raw/master/csl-citation.json"} </w:instrText>
      </w:r>
      <w:r w:rsidRPr="00E97BC8">
        <w:rPr>
          <w:rFonts w:cs="Times New Roman"/>
          <w:sz w:val="22"/>
          <w:szCs w:val="22"/>
        </w:rPr>
        <w:fldChar w:fldCharType="separate"/>
      </w:r>
      <w:r w:rsidR="001E6A07" w:rsidRPr="00E97BC8">
        <w:rPr>
          <w:rFonts w:cs="Times New Roman"/>
          <w:sz w:val="22"/>
          <w:szCs w:val="22"/>
        </w:rPr>
        <w:t>(Li et al., 2017; Kim et al., 2019; Habich-Sobiegalla et al., 2019)</w:t>
      </w:r>
      <w:r w:rsidRPr="00E97BC8">
        <w:rPr>
          <w:rFonts w:cs="Times New Roman"/>
          <w:sz w:val="22"/>
          <w:szCs w:val="22"/>
        </w:rPr>
        <w:fldChar w:fldCharType="end"/>
      </w:r>
      <w:r w:rsidRPr="00E97BC8">
        <w:rPr>
          <w:rFonts w:cs="Times New Roman"/>
          <w:sz w:val="22"/>
          <w:szCs w:val="22"/>
        </w:rPr>
        <w:t xml:space="preserve">. At a household level, income has also been shown to </w:t>
      </w:r>
      <w:r w:rsidR="00817475" w:rsidRPr="00E97BC8">
        <w:rPr>
          <w:rFonts w:cs="Times New Roman"/>
          <w:sz w:val="22"/>
          <w:szCs w:val="22"/>
        </w:rPr>
        <w:t>influence</w:t>
      </w:r>
      <w:r w:rsidRPr="00E97BC8">
        <w:rPr>
          <w:rFonts w:cs="Times New Roman"/>
          <w:sz w:val="22"/>
          <w:szCs w:val="22"/>
        </w:rPr>
        <w:t xml:space="preserve"> adoption intentions, as high-income households can </w:t>
      </w:r>
      <w:r w:rsidR="0090483C" w:rsidRPr="00E97BC8">
        <w:rPr>
          <w:rFonts w:cs="Times New Roman"/>
          <w:sz w:val="22"/>
          <w:szCs w:val="22"/>
        </w:rPr>
        <w:t xml:space="preserve">more easily </w:t>
      </w:r>
      <w:r w:rsidRPr="00E97BC8">
        <w:rPr>
          <w:rFonts w:cs="Times New Roman"/>
          <w:sz w:val="22"/>
          <w:szCs w:val="22"/>
        </w:rPr>
        <w:t xml:space="preserve">afford the higher purchase prices needed to achieve the long-term economic and non-economic benefits of EVs </w:t>
      </w:r>
      <w:r w:rsidRPr="00E97BC8">
        <w:rPr>
          <w:rFonts w:cs="Times New Roman"/>
          <w:sz w:val="22"/>
          <w:szCs w:val="22"/>
        </w:rPr>
        <w:fldChar w:fldCharType="begin"/>
      </w:r>
      <w:r w:rsidR="00335382" w:rsidRPr="00E97BC8">
        <w:rPr>
          <w:rFonts w:cs="Times New Roman"/>
          <w:sz w:val="22"/>
          <w:szCs w:val="22"/>
        </w:rPr>
        <w:instrText xml:space="preserve"> ADDIN ZOTERO_ITEM CSL_CITATION {"citationID":"Fhl4Jg42","properties":{"unsorted":true,"formattedCitation":"(Pl\\uc0\\u246{}tz et al., 2014; Ramos-Real et al., 2018; Krishnan and Koshy, 2021; Munshi et al., 2022; Osipenko, 2024)","plainCitation":"(Plötz et al., 2014; Ramos-Real et al., 2018; Krishnan and Koshy, 2021; Munshi et al., 2022; Osipenko, 2024)","noteIndex":0},"citationItems":[{"id":2709,"uris":["http://zotero.org/users/12832277/items/GCPM277K"],"itemData":{"id":2709,"type":"article-journal","abstract":"Electric vehicles (EVs) have noteworthy potential to reduce global and local emissions and are expected to become a relevant future market for vehicle sales. Both policy makers and car manufacturers have an interest to understand the first large EV user group, frequently referred to as ‘early adopters’. However, there are only a few empirical results available for this important group. In this paper, we analyse and discuss several empirical data sets from Germany, characterising this user group from both a user and a product perspective, i.e. who is willing to buy an EV and who should buy one. Our results show that the most likely group of private EV buyers in Germany are middle-aged men with technical professions living in rural or suburban multi-person households. They own a large share of vehicles in general, are more likely to profit from the economical benefits of these vehicles due to their annual vehicle kilometres travelled and the share of inner-city driving. They state a higher willingness to buy electric vehicles than other potential adopter groups and their higher socio-economic status allows them to purchase EVs. In contrast to this, inhabitants of major cities are less likely to buy EVs since they form a small group of car owners in general, their mileage is too low for EVs to pay off economically and they state lower interest and lower willingness to pay for EVs than other groups. Our results indicate that transport policy promoting EVs should focus on middle-aged men with families from rural and sub-urban cities as first private EV buyers.","container-title":"Transportation Research Part A: Policy and Practice","DOI":"10.1016/j.tra.2014.06.006","ISSN":"0965-8564","page":"96-109","source":"ScienceDirect","title":"Who Will Buy Electric Vehicles? Identifying Early Adopters in Germany","title-short":"Who Will Buy Electric Vehicles?","volume":"67","author":[{"family":"Plötz","given":"Patrick"},{"family":"Schneider","given":"Uta"},{"family":"Globisch","given":"Joachim"},{"family":"Dütschke","given":"Elisabeth"}],"issued":{"date-parts":[["2014",9,1]]}}},{"id":2646,"uris":["http://zotero.org/users/12832277/items/C2FGBXYP"],"itemData":{"id":2646,"type":"article-journal","abstract":"Electric vehicles (EVs) could be a solution to reduce final energy consumption and carbon emissions in the road transport sector. Moreover, the mobility characteristics of drivers (i.e., their average driving distance) fit better with current EV technical features on a small island than in the mainland. This paper analyzes willingness-to-change (WTC) and willingness-to-pay (WTP) for an EV in Tenerife (Canary Islands), both of which are key factors for understanding potential for EV penetration. WTC and WTP in Tenerife island are estimated based on data collected through a face-to-face survey-based contingent valuation approach. We go on to assess the impact of a set of explanatory variables on both WTC and WTP, in order to characterize the representative profile of a potential EV buyer. Informing on the basic properties of an EV and environmental concerns are found to be key factors for WTC, while income level, mobility patterns, environmental concerns and attitude-to-tech of potential buyers are found to be important factors for WTP.","container-title":"Renewable and Sustainable Energy Reviews","DOI":"10.1016/j.rser.2018.09.014","ISSN":"1364-0321","page":"140-149","source":"ScienceDirect","title":"Willingness to Pay for Electric Vehicles in Island Regions: The Case of Tenerife (canary Islands)","title-short":"Willingness to Pay for Electric Vehicles in Island Regions","volume":"98","author":[{"family":"Ramos-Real","given":"Francisco J."},{"family":"Ramírez-Díaz","given":"Alfredo"},{"family":"Marrero","given":"Gustavo A."},{"family":"Perez","given":"Yannick"}],"issued":{"date-parts":[["2018",12,1]]}}},{"id":2757,"uris":["http://zotero.org/users/12832277/items/64PYJ4VZ"],"itemData":{"id":2757,"type":"article-journal","abstract":"In view of mitigating the threat of climate change due to emissions from transportation sector and to reduce the dependency on foreign countries for oil, many countries have started to develop policies for promoting sustainable and innovative transport technologies. Electric Vehicles (EVs) are considered as one of the best sustainable alternatives to Internal Combustion (IC) engine vehicles. In order to develop fiscal and non-fiscal policy measures for EVs, a thorough understanding about its public acceptability is inevitable for its successful penetration. Even though many policies are purposefully made for improving the EV adoption in developing countries such as India, its market share is still negligible compared to conventional vehicles. Therefore, a case study was conducted in a representative town in India by using a questionnaire survey. Structural Equation Modeling (SEM) was adopted to evaluate the influence of various attitudinal factors on EV purchase intention of the individuals. The results of the study revealed that, the attitudinal factors such as perceived benefits, social influence, price acceptance, performance, technological consciousness, and marketing, distribution and after-sales have positive effect on EV purchase intention. But, the factors like perceived barriers, policy attributes and perceived usefulness and ease of use causes an impeditive effect on EV adoption. People traveling short distances, having lower income, higher education and more experience with driving conventional vehicles is found to favor the adoption of EVs.","container-title":"Case Studies on Transport Policy","DOI":"10.1016/j.cstp.2021.05.013","ISSN":"2213-624X","issue":"3","page":"1122-1129","source":"ScienceDirect","title":"Evaluating the factors influencing purchase intention of electric vehicles in households owning conventional vehicles","volume":"9","author":[{"family":"Krishnan","given":"V. Vijai"},{"family":"Koshy","given":"Bino I."}],"issued":{"date-parts":[["2021",9,1]]}}},{"id":2768,"uris":["http://zotero.org/users/12832277/items/SB2GS4IY"],"itemData":{"id":2768,"type":"article-journal","abstract":"Globally, there is a significant increase in the sales of electric vehicles (EVs), and in many counties, this is leading to transformational change in the use of vehicle technology. In India, the government provides policy and financial incentives with an expectation of large-scale diffusion of EVs in the medium and long term. However, for the diffusion of EVs, it is essential to understand consumer behaviour. This study contributes to understanding factors necessary to drive EV demand in India by analysing the behaviour of potential EV buyers. The city of Hyderabad in India was used as a case study. Personal interviews were used, and stated preferences for different scenarios were analysed using discrete choice models. The analysis reveals a general willingness to purchase EVs among the middle-income working population in India. However, this initial excitement was found to be only due to a lack of awareness about running cost and specification of EVs, and when the these were known, most respondents showed high sensitivity and reconsidered their choice. It was also found that financial and policy incentives positively impact EV adoption, underlining their importance. The estimates from this study thus provide insights into the policy responses and also for framing market strategies.","container-title":"Energy Policy","DOI":"10.1016/j.enpol.2022.112956","ISSN":"0301-4215","source":"ScienceDirect","title":"Understanding Barriers to Electric Vehicle Adoption for Personal Mobility: A Case Study of Middle Income in-Service Residents in Hyderabad City, India","URL":"https://www.sciencedirect.com/science/article/pii/S0301421522001811","volume":"167","author":[{"family":"Munshi","given":"Talat"},{"family":"Dhar","given":"Subash"},{"family":"Painuly","given":"Jyoti"}],"accessed":{"date-parts":[["2024",2,28]]},"issued":{"date-parts":[["2022",8,1]]}}},{"id":4149,"uris":["http://zotero.org/users/12832277/items/U4ZJV655"],"itemData":{"id":4149,"type":"article","abstract":"Numerous state and federal policies target climate change by incentivizing the adoption of electric vehicles and residential solar panels. Knowledge of whether the two goods are complements or substitutes can, in principle, be used to design policies that target environmental externalities more efficiently by incorporating interactions between the two markets. Against this background, I use a California household-level data set to estimate a structural demand model for residential solar photovoltaic systems (PVs) and electric vehicles (EVs). The findings suggest that consumers view solar panels and electric vehicles as complementary, with the degree of complementarity varying with vehicle size and household income. The model results enable counterfactual policy experiments to evaluate the efficiency of policies targeting one or both markets. The experiments reveal that without the complementarity between EVs and PVs, bundled product purchases would significantly decline. Furthermore, leveraging this complementarity can achieve specific emission reduction targets at lower costs.","DOI":"10.2139/ssrn.4815511","event-place":"Rochester, NY","genre":"SSRN Scholarly Paper","language":"en","number":"4815511","publisher":"Social Science Research Network","publisher-place":"Rochester, NY","source":"papers.ssrn.com","title":"Are Solar Panels and Electric Vehicles Substitutes or Complements?","URL":"https://papers.ssrn.com/abstract=4815511","author":[{"family":"Osipenko","given":"Maria"}],"accessed":{"date-parts":[["2025",2,24]]},"issued":{"date-parts":[["2024",5,1]]}}}],"schema":"https://github.com/citation-style-language/schema/raw/master/csl-citation.json"} </w:instrText>
      </w:r>
      <w:r w:rsidRPr="00E97BC8">
        <w:rPr>
          <w:rFonts w:cs="Times New Roman"/>
          <w:sz w:val="22"/>
          <w:szCs w:val="22"/>
        </w:rPr>
        <w:fldChar w:fldCharType="separate"/>
      </w:r>
      <w:r w:rsidR="00335382" w:rsidRPr="00E97BC8">
        <w:rPr>
          <w:rFonts w:cs="Times New Roman"/>
          <w:kern w:val="0"/>
          <w:sz w:val="22"/>
          <w:szCs w:val="22"/>
        </w:rPr>
        <w:t>(Plötz et al., 2014; Ramos-Real et al., 2018; Krishnan and Koshy, 2021; Munshi et al., 2022; Osipenko, 2024)</w:t>
      </w:r>
      <w:r w:rsidRPr="00E97BC8">
        <w:rPr>
          <w:rFonts w:cs="Times New Roman"/>
          <w:sz w:val="22"/>
          <w:szCs w:val="22"/>
        </w:rPr>
        <w:fldChar w:fldCharType="end"/>
      </w:r>
      <w:r w:rsidRPr="00E97BC8">
        <w:rPr>
          <w:rFonts w:cs="Times New Roman"/>
          <w:sz w:val="22"/>
          <w:szCs w:val="22"/>
        </w:rPr>
        <w:t xml:space="preserve">. Finally, findings related to the impacts of home ownership and housing type on EV purchase intention have been mixed. However, studies have generally found that access to a consistent parking and charging location (whether in-home or provided by an apartment complex) is important for </w:t>
      </w:r>
      <w:r w:rsidR="005D6964" w:rsidRPr="00E97BC8">
        <w:rPr>
          <w:rFonts w:cs="Times New Roman"/>
          <w:sz w:val="22"/>
          <w:szCs w:val="22"/>
        </w:rPr>
        <w:t xml:space="preserve">EV </w:t>
      </w:r>
      <w:r w:rsidRPr="00E97BC8">
        <w:rPr>
          <w:rFonts w:cs="Times New Roman"/>
          <w:sz w:val="22"/>
          <w:szCs w:val="22"/>
        </w:rPr>
        <w:t>adoption</w:t>
      </w:r>
      <w:r w:rsidR="005D6964" w:rsidRPr="00E97BC8">
        <w:rPr>
          <w:rFonts w:cs="Times New Roman"/>
          <w:sz w:val="22"/>
          <w:szCs w:val="22"/>
        </w:rPr>
        <w:t>, and particularly so for BEV adoption since there is no alternative to charging</w:t>
      </w:r>
      <w:r w:rsidRPr="00E97BC8">
        <w:rPr>
          <w:rFonts w:cs="Times New Roman"/>
          <w:sz w:val="22"/>
          <w:szCs w:val="22"/>
        </w:rPr>
        <w:t xml:space="preserve"> </w:t>
      </w:r>
      <w:r w:rsidRPr="00E97BC8">
        <w:rPr>
          <w:rFonts w:cs="Times New Roman"/>
          <w:sz w:val="22"/>
          <w:szCs w:val="22"/>
        </w:rPr>
        <w:fldChar w:fldCharType="begin"/>
      </w:r>
      <w:r w:rsidRPr="00E97BC8">
        <w:rPr>
          <w:rFonts w:cs="Times New Roman"/>
          <w:sz w:val="22"/>
          <w:szCs w:val="22"/>
        </w:rPr>
        <w:instrText xml:space="preserve"> ADDIN ZOTERO_ITEM CSL_CITATION {"citationID":"YDguwtM3","properties":{"formattedCitation":"(Egn\\uc0\\u233{}r and Trosvik, 2018; Lashari et al., 2021)","plainCitation":"(Egnér and Trosvik, 2018; Lashari et al., 2021)","noteIndex":0},"citationItems":[{"id":2521,"uris":["http://zotero.org/users/12832277/items/2HKDRSH9"],"itemData":{"id":2521,"type":"article-journal","abstract":"A transition towards a higher share of electric vehicles has the potential to significantly reduce greenhouse gas emissions. The adoption rate of electric vehicles in Sweden is however relatively slow and varies substantially across municipalities. This study empirically examines the impact of local policy instruments designed to promote the adoption of electric vehicles. We use panel data between 2010 and 2016 to estimate the effect of local policy instruments on the share of newly registered battery electric vehicles in Swedish municipalities. We find that an increased number of public charging points increases the adoption rate, especially in urban municipalities. The results further suggest that public procurement of battery electric vehicles has the potential to be an effective policy instrument. Finally, we find that by adjusting policy instruments to the specific characteristics of municipalities and making them visible to the public, their effectiveness can be increased.","container-title":"Energy Policy","DOI":"10.1016/j.enpol.2018.06.040","ISSN":"0301-4215","page":"584-596","source":"ScienceDirect","title":"Electric Vehicle Adoption in Sweden and the Impact of Local Policy Instruments","volume":"121","author":[{"family":"Egnér","given":"Filippa"},{"family":"Trosvik","given":"Lina"}],"issued":{"date-parts":[["2018",10,1]]}}},{"id":2736,"uris":["http://zotero.org/users/12832277/items/XSCL4YHY"],"itemData":{"id":2736,"type":"article-journal","abstract":"Electric vehicles (EVs) have been developed as an efficient solution to reduce automobile emissions. To ensure the effective diffusion of EVs in current transport systems, it is vital to understand the factors affecting consumers’ intentions to purchase EVs. To provide insights for this understanding, this study aims to investigate such factors with a particular focus on users’ attitudes and perceptions. A questionnaire survey was conducted in September 2019 among potential consumers in the major cities of South Korea. A total of 1500 valid survey responses were obtained, and investigations using binary logistic regression and regression tree were conducted for an empirical analysis. The results showed that among attitudinal attributes, environmental and economic perceptions concerning EV use were the strongest predictors for an EV purchase. In addition, technological concerns were found to have negative impacts on EV purchase intentions. The findings of this study could provide reasonable guidelines for establishing marketing strategies and serve as a reference for EV stakeholders to improve the applicability of current policies regarding EV adoption.","container-title":"Sustainability","DOI":"10.3390/su13126778","ISSN":"2071-1050","issue":"12","language":"en","license":"http://creativecommons.org/licenses/by/3.0/","note":"number: 12\npublisher: Multidisciplinary Digital Publishing Institute","source":"www.mdpi.com","title":"Consumers’ Intention to Purchase Electric Vehicles: Influences of User Attitude and Perception","URL":"https://www.mdpi.com/2071-1050/13/12/6778","volume":"13","author":[{"family":"Lashari","given":"Zulfiqar Ali"},{"family":"Ko","given":"Joonho"},{"family":"Jang","given":"Junseok"}],"accessed":{"date-parts":[["2024",2,28]]},"issued":{"date-parts":[["2021",1]]}}}],"schema":"https://github.com/citation-style-language/schema/raw/master/csl-citation.json"} </w:instrText>
      </w:r>
      <w:r w:rsidRPr="00E97BC8">
        <w:rPr>
          <w:rFonts w:cs="Times New Roman"/>
          <w:sz w:val="22"/>
          <w:szCs w:val="22"/>
        </w:rPr>
        <w:fldChar w:fldCharType="separate"/>
      </w:r>
      <w:r w:rsidR="001E6A07" w:rsidRPr="00E97BC8">
        <w:rPr>
          <w:rFonts w:cs="Times New Roman"/>
          <w:kern w:val="0"/>
          <w:sz w:val="22"/>
          <w:szCs w:val="22"/>
        </w:rPr>
        <w:t>(Egnér and Trosvik, 2018; Lashari et al., 2021)</w:t>
      </w:r>
      <w:r w:rsidRPr="00E97BC8">
        <w:rPr>
          <w:rFonts w:cs="Times New Roman"/>
          <w:sz w:val="22"/>
          <w:szCs w:val="22"/>
        </w:rPr>
        <w:fldChar w:fldCharType="end"/>
      </w:r>
      <w:r w:rsidRPr="00E97BC8">
        <w:rPr>
          <w:rFonts w:cs="Times New Roman"/>
          <w:sz w:val="22"/>
          <w:szCs w:val="22"/>
        </w:rPr>
        <w:t>.</w:t>
      </w:r>
    </w:p>
    <w:p w14:paraId="27E42E15" w14:textId="77777777" w:rsidR="004E33AF" w:rsidRPr="00E97BC8" w:rsidRDefault="004E33AF" w:rsidP="00E85093">
      <w:pPr>
        <w:pStyle w:val="ListParagraph"/>
        <w:shd w:val="clear" w:color="auto" w:fill="FFFFFF"/>
        <w:spacing w:after="0" w:line="240" w:lineRule="auto"/>
        <w:ind w:left="0"/>
        <w:jc w:val="both"/>
        <w:rPr>
          <w:rFonts w:cs="Times New Roman"/>
          <w:b/>
          <w:bCs/>
          <w:sz w:val="22"/>
          <w:szCs w:val="22"/>
        </w:rPr>
      </w:pPr>
    </w:p>
    <w:p w14:paraId="0C6E0B29" w14:textId="553D24F6" w:rsidR="00895238" w:rsidRPr="00E97BC8" w:rsidRDefault="00895238" w:rsidP="00E85093">
      <w:pPr>
        <w:pStyle w:val="ListParagraph"/>
        <w:shd w:val="clear" w:color="auto" w:fill="FFFFFF"/>
        <w:spacing w:after="0" w:line="240" w:lineRule="auto"/>
        <w:ind w:left="0"/>
        <w:jc w:val="both"/>
        <w:rPr>
          <w:rFonts w:cs="Times New Roman"/>
          <w:b/>
          <w:bCs/>
          <w:sz w:val="22"/>
          <w:szCs w:val="22"/>
        </w:rPr>
      </w:pPr>
      <w:r w:rsidRPr="00E97BC8">
        <w:rPr>
          <w:rFonts w:cs="Times New Roman"/>
          <w:b/>
          <w:bCs/>
          <w:sz w:val="22"/>
          <w:szCs w:val="22"/>
        </w:rPr>
        <w:t>2.</w:t>
      </w:r>
      <w:r w:rsidR="001450FB" w:rsidRPr="00E97BC8">
        <w:rPr>
          <w:rFonts w:cs="Times New Roman"/>
          <w:b/>
          <w:bCs/>
          <w:sz w:val="22"/>
          <w:szCs w:val="22"/>
        </w:rPr>
        <w:t>2</w:t>
      </w:r>
      <w:r w:rsidRPr="00E97BC8">
        <w:rPr>
          <w:rFonts w:cs="Times New Roman"/>
          <w:b/>
          <w:bCs/>
          <w:sz w:val="22"/>
          <w:szCs w:val="22"/>
        </w:rPr>
        <w:t xml:space="preserve"> Aggregate EV Ownership Trends</w:t>
      </w:r>
    </w:p>
    <w:p w14:paraId="0E8AAEF1" w14:textId="486C6098" w:rsidR="009B279A" w:rsidRPr="00E97BC8" w:rsidRDefault="00CB0DC0" w:rsidP="00E85093">
      <w:pPr>
        <w:shd w:val="clear" w:color="auto" w:fill="FFFFFF"/>
        <w:spacing w:after="0" w:line="240" w:lineRule="auto"/>
        <w:jc w:val="both"/>
        <w:rPr>
          <w:rFonts w:cs="Times New Roman"/>
          <w:sz w:val="22"/>
          <w:szCs w:val="22"/>
        </w:rPr>
      </w:pPr>
      <w:r w:rsidRPr="00E97BC8">
        <w:rPr>
          <w:rFonts w:cs="Times New Roman"/>
          <w:sz w:val="22"/>
          <w:szCs w:val="22"/>
        </w:rPr>
        <w:t xml:space="preserve">Models of aggregate trends in EV ownership have largely </w:t>
      </w:r>
      <w:r w:rsidR="00BA27A9" w:rsidRPr="00E97BC8">
        <w:rPr>
          <w:rFonts w:cs="Times New Roman"/>
          <w:sz w:val="22"/>
          <w:szCs w:val="22"/>
        </w:rPr>
        <w:t xml:space="preserve">focused on contextual and demographic factors. Several aggregate studies </w:t>
      </w:r>
      <w:r w:rsidR="00A31A6D" w:rsidRPr="00E97BC8">
        <w:rPr>
          <w:rFonts w:cs="Times New Roman"/>
          <w:sz w:val="22"/>
          <w:szCs w:val="22"/>
        </w:rPr>
        <w:t xml:space="preserve">have reported </w:t>
      </w:r>
      <w:r w:rsidRPr="00E97BC8">
        <w:rPr>
          <w:rFonts w:cs="Times New Roman"/>
          <w:sz w:val="22"/>
          <w:szCs w:val="22"/>
        </w:rPr>
        <w:t xml:space="preserve">that many of the </w:t>
      </w:r>
      <w:r w:rsidR="002A1DC3" w:rsidRPr="00E97BC8">
        <w:rPr>
          <w:rFonts w:cs="Times New Roman"/>
          <w:sz w:val="22"/>
          <w:szCs w:val="22"/>
        </w:rPr>
        <w:t xml:space="preserve">contextual </w:t>
      </w:r>
      <w:r w:rsidRPr="00E97BC8">
        <w:rPr>
          <w:rFonts w:cs="Times New Roman"/>
          <w:sz w:val="22"/>
          <w:szCs w:val="22"/>
        </w:rPr>
        <w:t xml:space="preserve">factors </w:t>
      </w:r>
      <w:r w:rsidR="00044E98" w:rsidRPr="00E97BC8">
        <w:rPr>
          <w:rFonts w:cs="Times New Roman"/>
          <w:sz w:val="22"/>
          <w:szCs w:val="22"/>
        </w:rPr>
        <w:t xml:space="preserve">significantly </w:t>
      </w:r>
      <w:r w:rsidRPr="00E97BC8">
        <w:rPr>
          <w:rFonts w:cs="Times New Roman"/>
          <w:sz w:val="22"/>
          <w:szCs w:val="22"/>
        </w:rPr>
        <w:t>impact</w:t>
      </w:r>
      <w:r w:rsidR="00044E98" w:rsidRPr="00E97BC8">
        <w:rPr>
          <w:rFonts w:cs="Times New Roman"/>
          <w:sz w:val="22"/>
          <w:szCs w:val="22"/>
        </w:rPr>
        <w:t xml:space="preserve">ing </w:t>
      </w:r>
      <w:r w:rsidR="001B21A5" w:rsidRPr="00E97BC8">
        <w:rPr>
          <w:rFonts w:cs="Times New Roman"/>
          <w:sz w:val="22"/>
          <w:szCs w:val="22"/>
        </w:rPr>
        <w:t xml:space="preserve">individual </w:t>
      </w:r>
      <w:r w:rsidRPr="00E97BC8">
        <w:rPr>
          <w:rFonts w:cs="Times New Roman"/>
          <w:sz w:val="22"/>
          <w:szCs w:val="22"/>
        </w:rPr>
        <w:t xml:space="preserve">adoption intentions also </w:t>
      </w:r>
      <w:r w:rsidR="001B21A5" w:rsidRPr="00E97BC8">
        <w:rPr>
          <w:rFonts w:cs="Times New Roman"/>
          <w:sz w:val="22"/>
          <w:szCs w:val="22"/>
        </w:rPr>
        <w:t>manifest themselves in</w:t>
      </w:r>
      <w:r w:rsidRPr="00E97BC8">
        <w:rPr>
          <w:rFonts w:cs="Times New Roman"/>
          <w:sz w:val="22"/>
          <w:szCs w:val="22"/>
        </w:rPr>
        <w:t xml:space="preserve"> </w:t>
      </w:r>
      <w:r w:rsidR="00D43CA4" w:rsidRPr="00E97BC8">
        <w:rPr>
          <w:rFonts w:cs="Times New Roman"/>
          <w:sz w:val="22"/>
          <w:szCs w:val="22"/>
        </w:rPr>
        <w:t>actual</w:t>
      </w:r>
      <w:r w:rsidRPr="00E97BC8">
        <w:rPr>
          <w:rFonts w:cs="Times New Roman"/>
          <w:sz w:val="22"/>
          <w:szCs w:val="22"/>
        </w:rPr>
        <w:t xml:space="preserve"> </w:t>
      </w:r>
      <w:r w:rsidR="001B21A5" w:rsidRPr="00E97BC8">
        <w:rPr>
          <w:rFonts w:cs="Times New Roman"/>
          <w:sz w:val="22"/>
          <w:szCs w:val="22"/>
        </w:rPr>
        <w:t xml:space="preserve">aggregate </w:t>
      </w:r>
      <w:r w:rsidRPr="00E97BC8">
        <w:rPr>
          <w:rFonts w:cs="Times New Roman"/>
          <w:sz w:val="22"/>
          <w:szCs w:val="22"/>
        </w:rPr>
        <w:t>adoption patterns</w:t>
      </w:r>
      <w:r w:rsidR="006E5610" w:rsidRPr="00E97BC8">
        <w:rPr>
          <w:rFonts w:cs="Times New Roman"/>
          <w:sz w:val="22"/>
          <w:szCs w:val="22"/>
        </w:rPr>
        <w:t xml:space="preserve"> </w:t>
      </w:r>
      <w:r w:rsidR="006E5610" w:rsidRPr="00E97BC8">
        <w:rPr>
          <w:rFonts w:cs="Times New Roman"/>
          <w:sz w:val="22"/>
          <w:szCs w:val="22"/>
        </w:rPr>
        <w:fldChar w:fldCharType="begin"/>
      </w:r>
      <w:r w:rsidR="00F12A6F" w:rsidRPr="00E97BC8">
        <w:rPr>
          <w:rFonts w:cs="Times New Roman"/>
          <w:sz w:val="22"/>
          <w:szCs w:val="22"/>
        </w:rPr>
        <w:instrText xml:space="preserve"> ADDIN ZOTERO_ITEM CSL_CITATION {"citationID":"v4MnqPfw","properties":{"formattedCitation":"(Austmann, 2021)","plainCitation":"(Austmann, 2021)","dontUpdate":true,"noteIndex":0},"citationItems":[{"id":2495,"uris":["http://zotero.org/users/12832277/items/I8ZCKJ52"],"itemData":{"id":2495,"type":"article-journal","abstract":"This study reviews the extant literature in the field of electric vehicle (EV) adoption that has employed statistical approaches to analyse actual market data. Thereby, the focus of the review is laid on the applied statistical approaches and investigated variables. The analysis reveals that a variety of statistical approaches have been applied. The most common models being in form of panel data to overcome the lack of observations. For the investigated variables it was found that they can be divided into seven categories, whereby a lack of research was identified for psychological factors.","container-title":"Finance Research Letters","DOI":"10.1016/j.frl.2020.101846","ISSN":"1544-6123","source":"ScienceDirect","title":"Drivers of the Electric Vehicle Market: A Systematic Literature Review of Empirical Studies","title-short":"Drivers of the Electric Vehicle Market","URL":"https://www.sciencedirect.com/science/article/pii/S1544612320316603","volume":"41","author":[{"family":"Austmann","given":"Leonhard M."}],"accessed":{"date-parts":[["2024",2,16]]},"issued":{"date-parts":[["2021",7,1]]}}}],"schema":"https://github.com/citation-style-language/schema/raw/master/csl-citation.json"} </w:instrText>
      </w:r>
      <w:r w:rsidR="006E5610" w:rsidRPr="00E97BC8">
        <w:rPr>
          <w:rFonts w:cs="Times New Roman"/>
          <w:sz w:val="22"/>
          <w:szCs w:val="22"/>
        </w:rPr>
        <w:fldChar w:fldCharType="separate"/>
      </w:r>
      <w:r w:rsidR="006E5610" w:rsidRPr="00E97BC8">
        <w:rPr>
          <w:rFonts w:cs="Times New Roman"/>
          <w:sz w:val="22"/>
          <w:szCs w:val="22"/>
        </w:rPr>
        <w:t>(</w:t>
      </w:r>
      <w:r w:rsidR="00B4677E" w:rsidRPr="00E97BC8">
        <w:rPr>
          <w:rFonts w:cs="Times New Roman"/>
          <w:sz w:val="22"/>
          <w:szCs w:val="22"/>
        </w:rPr>
        <w:t xml:space="preserve">for a more detailed review of studies in this area, see </w:t>
      </w:r>
      <w:r w:rsidR="006E5610" w:rsidRPr="00E97BC8">
        <w:rPr>
          <w:rFonts w:cs="Times New Roman"/>
          <w:sz w:val="22"/>
          <w:szCs w:val="22"/>
        </w:rPr>
        <w:t>Austmann, 2021)</w:t>
      </w:r>
      <w:r w:rsidR="006E5610" w:rsidRPr="00E97BC8">
        <w:rPr>
          <w:rFonts w:cs="Times New Roman"/>
          <w:sz w:val="22"/>
          <w:szCs w:val="22"/>
        </w:rPr>
        <w:fldChar w:fldCharType="end"/>
      </w:r>
      <w:r w:rsidRPr="00E97BC8">
        <w:rPr>
          <w:rFonts w:cs="Times New Roman"/>
          <w:sz w:val="22"/>
          <w:szCs w:val="22"/>
        </w:rPr>
        <w:t xml:space="preserve">. For instance, aggregate models </w:t>
      </w:r>
      <w:r w:rsidR="001B21A5" w:rsidRPr="00E97BC8">
        <w:rPr>
          <w:rFonts w:cs="Times New Roman"/>
          <w:sz w:val="22"/>
          <w:szCs w:val="22"/>
        </w:rPr>
        <w:t xml:space="preserve">do point to </w:t>
      </w:r>
      <w:r w:rsidR="000D1779" w:rsidRPr="00E97BC8">
        <w:rPr>
          <w:rFonts w:cs="Times New Roman"/>
          <w:sz w:val="22"/>
          <w:szCs w:val="22"/>
        </w:rPr>
        <w:t>a significant relationship between</w:t>
      </w:r>
      <w:r w:rsidRPr="00E97BC8">
        <w:rPr>
          <w:rFonts w:cs="Times New Roman"/>
          <w:sz w:val="22"/>
          <w:szCs w:val="22"/>
        </w:rPr>
        <w:t xml:space="preserve"> of EV charging infrastructure </w:t>
      </w:r>
      <w:r w:rsidR="000D1779" w:rsidRPr="00E97BC8">
        <w:rPr>
          <w:rFonts w:cs="Times New Roman"/>
          <w:sz w:val="22"/>
          <w:szCs w:val="22"/>
        </w:rPr>
        <w:t xml:space="preserve">and </w:t>
      </w:r>
      <w:r w:rsidRPr="00E97BC8">
        <w:rPr>
          <w:rFonts w:cs="Times New Roman"/>
          <w:sz w:val="22"/>
          <w:szCs w:val="22"/>
        </w:rPr>
        <w:t>EV adoption levels</w:t>
      </w:r>
      <w:r w:rsidR="00D43CA4" w:rsidRPr="00E97BC8">
        <w:rPr>
          <w:rFonts w:cs="Times New Roman"/>
          <w:sz w:val="22"/>
          <w:szCs w:val="22"/>
        </w:rPr>
        <w:t>, finding much higher adoption rates</w:t>
      </w:r>
      <w:r w:rsidR="00CC0C3F" w:rsidRPr="00E97BC8">
        <w:rPr>
          <w:rFonts w:cs="Times New Roman"/>
          <w:sz w:val="22"/>
          <w:szCs w:val="22"/>
        </w:rPr>
        <w:t xml:space="preserve"> (particularly for BEVs)</w:t>
      </w:r>
      <w:r w:rsidR="00D43CA4" w:rsidRPr="00E97BC8">
        <w:rPr>
          <w:rFonts w:cs="Times New Roman"/>
          <w:sz w:val="22"/>
          <w:szCs w:val="22"/>
        </w:rPr>
        <w:t xml:space="preserve"> in areas with developed public EV charging infrastructure</w:t>
      </w:r>
      <w:r w:rsidR="00E23DC7" w:rsidRPr="00E97BC8">
        <w:rPr>
          <w:rFonts w:cs="Times New Roman"/>
          <w:sz w:val="22"/>
          <w:szCs w:val="22"/>
        </w:rPr>
        <w:t xml:space="preserve"> </w:t>
      </w:r>
      <w:r w:rsidR="00E23DC7" w:rsidRPr="00E97BC8">
        <w:rPr>
          <w:rFonts w:cs="Times New Roman"/>
          <w:sz w:val="22"/>
          <w:szCs w:val="22"/>
        </w:rPr>
        <w:fldChar w:fldCharType="begin"/>
      </w:r>
      <w:r w:rsidR="00E23DC7" w:rsidRPr="00E97BC8">
        <w:rPr>
          <w:rFonts w:cs="Times New Roman"/>
          <w:sz w:val="22"/>
          <w:szCs w:val="22"/>
        </w:rPr>
        <w:instrText xml:space="preserve"> ADDIN ZOTERO_ITEM CSL_CITATION {"citationID":"GQ5b6Vah","properties":{"unsorted":true,"formattedCitation":"(Mersky et al., 2016; Adhikari et al., 2020; Bhattacharyya and Thakre, 2020)","plainCitation":"(Mersky et al., 2016; Adhikari et al., 2020; Bhattacharyya and Thakre, 2020)","noteIndex":0},"citationItems":[{"id":2584,"uris":["http://zotero.org/users/12832277/items/TZJ8HYEC"],"itemData":{"id":2584,"type":"article-journal","abstract":"Battery Electric vehicles (BEVs) shift pollution off the road and to potentially less damaging and more varied sources than petroleum. Depending on the source of electricity, a transition to electrified personal transportation can dramatically reduce greenhouse gas emissions and air pollutants. However current EVs tend to be more expensive and have shorter range, which can hinder public adoption. Government incentives can be used to alleviate these factors and encourage adoption. Norway has a long history incentivizing BEV adoption including measures such as exemption from roadway tolls, access to charging infrastructure, point of sale tax incentives, and usage of public bus use limited lanes. This paper analyzed the sales of electric vehicles on a regional and municipal basis in Norway and then cross analyzed these with the corresponding local demographic data and incentive measures to attempt to ascertain which factors lead to higher BEV adoption. It was concluded that access to BEV charging infrastructure, being adjacent to major cities, and regional incomes had the greatest predictive power for the growth of BEV sales. It was also concluded that short-range vehicles showed somewhat more income and unemployment sensitivity than long-range vehicles. Toll exemptions and the right to use bus designated lanes do not seem to have statistically significant predictive power for BEV sales in our linear municipal-level models, but this could be due to neighboring major cities containing those incentive features.","container-title":"Transportation Research Part D: Transport and Environment","DOI":"10.1016/j.trd.2016.03.011","ISSN":"1361-9209","page":"56-68","source":"ScienceDirect","title":"Effectiveness of Incentives on Electric Vehicle Adoption in Norway","volume":"46","author":[{"family":"Mersky","given":"Avi Chaim"},{"family":"Sprei","given":"Frances"},{"family":"Samaras","given":"Constantine"},{"family":"Qian","given":"Zhen (Sean)"}],"issued":{"date-parts":[["2016",7,1]]}}},{"id":2559,"uris":["http://zotero.org/users/12832277/items/K2V8TANB"],"itemData":{"id":2559,"type":"article-journal","abstract":"Electric vehicles (EVs) can be considered an alternative technology to reduce greenhouse gas emissions in the transportation sector. However, numerous barriers need to be overcome in this regard. This study is aimed at presenting the framework for the identification and analysis of barriers against the use of EVs. Then, the framework was applied to identify the challenges and rank them in order of importance against the diffusion of EVs in Nepal. Seventeen barriers were identified from previous studies, reports, policy documents, and interactions with experts. The identified barriers were classified into five categories: technical, policy, economic, infrastructure, and social. Then, a comparative survey was performed to obtain experts’ opinions on the identified barriers and the analytical hierarchical process was used to analyze and rank them. The results revealed that infrastructure, policy, economic, and technical barriers pose more pressing concerns than social barriers. The lack of charging stations, relatively higher purchase price of EVs compared to internal combustion vehicles, and poor long-term planning and goal setting on the part of the government were ranked as the top three barriers against EV uptake in Nepal. This framework can be applied to replicate the study in other countries, taking their inherent relevant factors into account.","container-title":"Sustainability","DOI":"10.3390/su12124850","ISSN":"2071-1050","issue":"12","language":"en","license":"http://creativecommons.org/licenses/by/3.0/","note":"number: 12\npublisher: Multidisciplinary Digital Publishing Institute","source":"www.mdpi.com","title":"Identification and Analysis of Barriers Against Electric Vehicle Use","URL":"https://www.mdpi.com/2071-1050/12/12/4850","volume":"12","author":[{"family":"Adhikari","given":"Madhusudhan"},{"family":"Ghimire","given":"Laxman Prasad"},{"family":"Kim","given":"Yeonbae"},{"family":"Aryal","given":"Prakash"},{"family":"Khadka","given":"Sundar Bahadur"}],"accessed":{"date-parts":[["2024",2,22]]},"issued":{"date-parts":[["2020",1]]}}},{"id":2566,"uris":["http://zotero.org/users/12832277/items/6F9AC7ZS"],"itemData":{"id":2566,"type":"article-journal","abstract":"Purpose The Indian automotive industry was witnessing a transition from conventional vehicles to greener battery-operated electric vehicles (EVs). However, the acceptance of these EVs was still muted and brought significant challenges for the industry. Literature regarding the adoption of EVs was scarce in the Indian context. It was thus imperative to explore and comprehend the distinct perceptions of industry managers and consumers regarding the adoption of EVs in India. The purpose of this study is to comprehensively analyze the entire Indian EVs ecosystem to address this research gap. Design/methodology/approach The authors carried out an empirical investigation starting with a structured literature review to identify the researchable gaps. Subsequently, the authors conducted semi-structured open-ended interviews with 38 experts including automotive industry experts and EV consumers. The authors further performed a thematic content analysis of the expert interview responses to document critical insights regarding the adoption of EVs. Findings The authors identified 11 key factors influencing the adoption of EVs in this study. The vital considerations regarding the availability of charging technologies, its associated selection dilemma, emerging business models and public policy support were presented and discussed. Market penetration of EVs was found to be influenced mostly by the choice of charging technology. Further, the switching intention of consumers was deliberated upon to highlight the specific technological and psychological preferences of consumers. The accessibility of charging stations emerged as the most influential factor. The research findings indicated that harmony among stakeholders was missing in the Indian EVs ecosystem. Instead, there were discrete efforts by organizations. The EVs ecosystem required collaboration for improved adoption of the EVs. Further, the necessity to rectify the chaotic charging infrastructure in the country was highlighted as a major pain point for customers to adopt EV. Research limitations/implications This study theoretically contributed to push–pull–mooring (PPM) framework for understanding the adoption of EVs in India. This enabled the authors to extensively analyze consumers’ psychological and technological considerations regarding their switching intention toward EVs. Practical implications The findings of this study would help managers in decision-making toward the establishment of charging infrastructure involving multiple considerations such as the accessibility of charging, multi-dimensional competence at charging stations and servicing capabilities. Managers could also use the insights from this study to secure supportive recommendations for improving the overall EV infrastructure. The results of this study would benefit policymakers to set strategic directions through an integrated view of the entire EVs ecosystem involving management of bus and taxi fleets, two-wheelers and three-wheelers and such others. Originality/value Generally, in extant research, either firm managers’ or customers’ perspectives are considered separately. This study deliberated upon the PPM framework and switching intention accommodating both the industry and consumers’ perspectives. To the best of the authors’ knowledge, this was, thus, one of the first research articles which integrated insights from both the industry and consumers. This established the PPM framework for understanding the adoption of EVs. Further, it helped in comprehending the specific technological and psychological preferences of consumers regarding switching intention toward EVs.","container-title":"Foresight","DOI":"10.1108/FS-04-2020-0037","ISSN":"1463-6689","issue":"3","note":"publisher: Emerald Publishing Limited","page":"311-326","source":"Emerald Insight","title":"Exploring the Factors Influencing Electric Vehicle Adoption: An Empirical Investigation in the Emerging Economy Context of India","volume":"23","author":[{"family":"Bhattacharyya","given":"Som Sekhar"},{"family":"Thakre","given":"Shreyash"}],"issued":{"date-parts":[["2020",1,1]]}}}],"schema":"https://github.com/citation-style-language/schema/raw/master/csl-citation.json"} </w:instrText>
      </w:r>
      <w:r w:rsidR="00E23DC7" w:rsidRPr="00E97BC8">
        <w:rPr>
          <w:rFonts w:cs="Times New Roman"/>
          <w:sz w:val="22"/>
          <w:szCs w:val="22"/>
        </w:rPr>
        <w:fldChar w:fldCharType="separate"/>
      </w:r>
      <w:r w:rsidR="001E6A07" w:rsidRPr="00E97BC8">
        <w:rPr>
          <w:rFonts w:cs="Times New Roman"/>
          <w:sz w:val="22"/>
          <w:szCs w:val="22"/>
        </w:rPr>
        <w:t>(Mersky et al., 2016; Adhikari et al., 2020; Bhattacharyya and Thakre, 2020)</w:t>
      </w:r>
      <w:r w:rsidR="00E23DC7" w:rsidRPr="00E97BC8">
        <w:rPr>
          <w:rFonts w:cs="Times New Roman"/>
          <w:sz w:val="22"/>
          <w:szCs w:val="22"/>
        </w:rPr>
        <w:fldChar w:fldCharType="end"/>
      </w:r>
      <w:r w:rsidR="004D023E" w:rsidRPr="00E97BC8">
        <w:rPr>
          <w:rFonts w:cs="Times New Roman"/>
          <w:sz w:val="22"/>
          <w:szCs w:val="22"/>
        </w:rPr>
        <w:t>.</w:t>
      </w:r>
      <w:r w:rsidR="00D43CA4" w:rsidRPr="00E97BC8">
        <w:rPr>
          <w:rFonts w:cs="Times New Roman"/>
          <w:sz w:val="22"/>
          <w:szCs w:val="22"/>
        </w:rPr>
        <w:t xml:space="preserve"> </w:t>
      </w:r>
      <w:r w:rsidRPr="00E97BC8">
        <w:rPr>
          <w:rFonts w:cs="Times New Roman"/>
          <w:sz w:val="22"/>
          <w:szCs w:val="22"/>
        </w:rPr>
        <w:t xml:space="preserve">Similarly, aggregate studies have assessed the impacts of financial incentives on EV adoption and found that acquisition subsidies, tax incentives, electricity subsidies, and added taxes for fossil fuels </w:t>
      </w:r>
      <w:r w:rsidR="000D1779" w:rsidRPr="00E97BC8">
        <w:rPr>
          <w:rFonts w:cs="Times New Roman"/>
          <w:sz w:val="22"/>
          <w:szCs w:val="22"/>
        </w:rPr>
        <w:t xml:space="preserve">are </w:t>
      </w:r>
      <w:r w:rsidR="00691F79" w:rsidRPr="00E97BC8">
        <w:rPr>
          <w:rFonts w:cs="Times New Roman"/>
          <w:sz w:val="22"/>
          <w:szCs w:val="22"/>
        </w:rPr>
        <w:t xml:space="preserve">all </w:t>
      </w:r>
      <w:r w:rsidR="000D1779" w:rsidRPr="00E97BC8">
        <w:rPr>
          <w:rFonts w:cs="Times New Roman"/>
          <w:sz w:val="22"/>
          <w:szCs w:val="22"/>
        </w:rPr>
        <w:t>significantly related to higher</w:t>
      </w:r>
      <w:r w:rsidRPr="00E97BC8">
        <w:rPr>
          <w:rFonts w:cs="Times New Roman"/>
          <w:sz w:val="22"/>
          <w:szCs w:val="22"/>
        </w:rPr>
        <w:t xml:space="preserve"> EV adoption rates </w:t>
      </w:r>
      <w:r w:rsidR="00953523" w:rsidRPr="00E97BC8">
        <w:rPr>
          <w:rFonts w:cs="Times New Roman"/>
          <w:sz w:val="22"/>
          <w:szCs w:val="22"/>
        </w:rPr>
        <w:fldChar w:fldCharType="begin"/>
      </w:r>
      <w:r w:rsidR="00953523" w:rsidRPr="00E97BC8">
        <w:rPr>
          <w:rFonts w:cs="Times New Roman"/>
          <w:sz w:val="22"/>
          <w:szCs w:val="22"/>
        </w:rPr>
        <w:instrText xml:space="preserve"> ADDIN ZOTERO_ITEM CSL_CITATION {"citationID":"GboRL1YZ","properties":{"unsorted":true,"formattedCitation":"(Sierzchula et al., 2014; Hardman et al., 2017; Wee et al., 2018; Xue et al., 2021)","plainCitation":"(Sierzchula et al., 2014; Hardman et al., 2017; Wee et al., 2018; Xue et al., 2021)","noteIndex":0},"citationItems":[{"id":2470,"uris":["http://zotero.org/users/12832277/items/8KGRSWQA"],"itemData":{"id":2470,"type":"article-journal","abstract":"Electric vehicles represent an innovation with the potential to lower greenhouse gas emissions and help mitigate the causes of climate change. However, externalities including the appropriability of knowledge and pollution abatement result in societal/economic benefits that are not incorporated in electric vehicle prices. In order to address resulting market failures, governments have employed a number of policies. We seek to determine the relationship of one such policy instrument (consumer financial incentives) to electric vehicle adoption. Based on existing literature, we identified several additional socio-economic factors that are expected to be influential in determining electric vehicle adoption rates. Using multiple linear regression analysis, we examined the relationship between those variables and 30 national electric vehicle market shares for the year 2012. The model found financial incentives, charging infrastructure, and local presence of production facilities to be significant and positively correlated to a country׳s electric vehicle market share. Results suggest that of those factors, charging infrastructure was most strongly related to electric vehicle adoption. However, descriptive analysis suggests that neither financial incentives nor charging infrastructure ensure high electric vehicle adoption rates.","container-title":"Energy Policy","DOI":"10.1016/j.enpol.2014.01.043","ISSN":"0301-4215","page":"183-194","source":"ScienceDirect","title":"The Influence of Financial Incentives and Other Socio-Economic Factors on Electric Vehicle Adoption","volume":"68","author":[{"family":"Sierzchula","given":"William"},{"family":"Bakker","given":"Sjoerd"},{"family":"Maat","given":"Kees"},{"family":"Wee","given":"Bert","non-dropping-particle":"van"}],"issued":{"date-parts":[["2014",5,1]]}}},{"id":2604,"uris":["http://zotero.org/users/12832277/items/X7GX2TNR"],"itemData":{"id":2604,"type":"article-journal","abstract":"Plug-in electric vehicles (PEVs) are in an early stage of market entry. Nevertheless, there are now more than 2 million PEVs in use globally. PEVs result in lower energy consumption, greenhouse gas emissions, and urban air pollution compared to internal combustion engine vehicles (ICEVs). For these reasons policy makers are eager to see PEVs purchased by consumers in larger numbers. Many policy makers have introduced financial purchase incentives to nurture the growth of PEV markets. These incentives range in value from around US$2500 to US$20,000 per vehicle. There are several studies that either directly consider the effectiveness of purchase incentives or at least include analysis of these incentives as part of a larger study. The results of these studies have not been assimilated in one place to gain an understanding of whether purchase incentives are effective in promoting PEV sales. This means that how effective these incentives are in increasing PEV sales is not well understood. This paper systematically reviews the literature with the aim of understanding purchase incentives effectivity in increasing PEV sales. In doing so this paper builds a deeper understanding of purchase incentives. This in-depth understanding allows recommendations to be made on how to design purchase incentives so that they are most effective in promoting PEV market growth. Incentives should be applied when someone is buying a PEV, not afterwards. Incentives should promote BEVs and PHEV with high electric ranges more than PHEVs with low electric ranges. VAT and purchase tax exemptions for PEVs are most effective. Incentives should not be available on high-end BEVs, education and awareness campaigns should promote incentives to consumers. Finally, the premature removal of incentives could negatively affect PEVs therefore incentives should be designed with longevity in mind.","container-title":"Renewable and Sustainable Energy Reviews","DOI":"10.1016/j.rser.2017.05.255","ISSN":"1364-0321","page":"1100-1111","source":"ScienceDirect","title":"The Effectiveness of Financial Purchase Incentives for Battery Electric Vehicles – a Review of the Evidence","volume":"80","author":[{"family":"Hardman","given":"Scott"},{"family":"Chandan","given":"Amrit"},{"family":"Tal","given":"Gil"},{"family":"Turrentine","given":"Tom"}],"issued":{"date-parts":[["2017",12,1]]}}},{"id":2726,"uris":["http://zotero.org/users/12832277/items/Q3R83CB4"],"itemData":{"id":2726,"type":"article-journal","abstract":"We estimate the effectiveness of policy incentives for adoption of electric vehicles (EVs) in the 50 U.S. states. We employ a rich dataset of semi-annual state-level new EV vehicle registrations by make and model from 2010 to 2015 and state-level policy instruments that could affect new EV model registrations. We construct two measures of policy, one which aggregates policy instruments that can be assigned a value and a second that aggregates those without explicit values. Using a within model difference-in-difference estimator with high-dimensional fixed effects, we find that a $1000 increase in the value of a state’s model-specific EV policies increases registrations of that model within the state by 5–11%.","container-title":"Research Policy","DOI":"10.1016/j.respol.2018.05.003","ISSN":"0048-7333","issue":"9","page":"1601-1610","source":"ScienceDirect","title":"Do Electric Vehicle Incentives Matter? Evidence from the 50 U.S. States","volume":"47","author":[{"family":"Wee","given":"Sherilyn"},{"family":"Coffman","given":"Makena"},{"family":"La Croix","given":"Sumner"}],"issued":{"date-parts":[["2018",11,1]]}}},{"id":2644,"uris":["http://zotero.org/users/12832277/items/ASIWNYKJ"],"itemData":{"id":2644,"type":"article-journal","abstract":"Under the strong support of policies and incentives, the global electric vehicle (EV) market has been developing rapidly. However, in the context of the overall EV market boom, the promotion policies and incentives for consumers to adopt EVs differ from country to country. It is worth exploring the key factors that affect market share and adoption of EVs, such as incentives, policies, and additional socio-economic factors. The data on EV market share and information on policies and incentives in 20 countries were collected from the published reports and online resources from 2015 to 2019. Random effects model analysis was conducted to explore the effect of various factors on EV market share. The innovation of this article is to combine incentive policies with socio-economic factors and use panel data to analyze the actual adoption behavior of the global EV market. Results show that the tax reduction policy, charger density, and income have significantly positive effects on the penetration of EVs. Thus, it suggested that government should still maintain tax incentives and focus on the deployment of charging infrastructure. Household income, as a socio-economic factor, also plays an important role in the adoption of EVs. This will help policymakers adjust and improve policy emphasis to promote the adoption of EVs.","container-title":"Sustainability","DOI":"10.3390/su13052928","ISSN":"2071-1050","issue":"5","language":"en","license":"http://creativecommons.org/licenses/by/3.0/","note":"number: 5\npublisher: Multidisciplinary Digital Publishing Institute","source":"www.mdpi.com","title":"Impact of Incentive Policies and Other Socio-Economic Factors on Electric Vehicle Market Share: A Panel Data Analysis from the 20 Countries","URL":"https://www.mdpi.com/2071-1050/13/5/2928","volume":"13","author":[{"family":"Xue","given":"Chenlei"},{"family":"Zhou","given":"Huaguo"},{"family":"Wu","given":"Qunqi"},{"family":"Wu","given":"Xueying"},{"family":"Xu","given":"Xingbo"}],"accessed":{"date-parts":[["2024",2,23]]},"issued":{"date-parts":[["2021",1]]}}}],"schema":"https://github.com/citation-style-language/schema/raw/master/csl-citation.json"} </w:instrText>
      </w:r>
      <w:r w:rsidR="00953523" w:rsidRPr="00E97BC8">
        <w:rPr>
          <w:rFonts w:cs="Times New Roman"/>
          <w:sz w:val="22"/>
          <w:szCs w:val="22"/>
        </w:rPr>
        <w:fldChar w:fldCharType="separate"/>
      </w:r>
      <w:r w:rsidR="001E6A07" w:rsidRPr="00E97BC8">
        <w:rPr>
          <w:rFonts w:cs="Times New Roman"/>
          <w:sz w:val="22"/>
          <w:szCs w:val="22"/>
        </w:rPr>
        <w:t>(Sierzchula et al., 2014; Hardman et al., 2017; Wee et al., 2018; Xue et al., 2021)</w:t>
      </w:r>
      <w:r w:rsidR="00953523" w:rsidRPr="00E97BC8">
        <w:rPr>
          <w:rFonts w:cs="Times New Roman"/>
          <w:sz w:val="22"/>
          <w:szCs w:val="22"/>
        </w:rPr>
        <w:fldChar w:fldCharType="end"/>
      </w:r>
      <w:r w:rsidRPr="00E97BC8">
        <w:rPr>
          <w:rFonts w:cs="Times New Roman"/>
          <w:sz w:val="22"/>
          <w:szCs w:val="22"/>
        </w:rPr>
        <w:t>.</w:t>
      </w:r>
      <w:r w:rsidR="008A50F4" w:rsidRPr="00E97BC8">
        <w:rPr>
          <w:rFonts w:cs="Times New Roman"/>
          <w:sz w:val="22"/>
          <w:szCs w:val="22"/>
        </w:rPr>
        <w:t xml:space="preserve"> In fact,</w:t>
      </w:r>
      <w:r w:rsidR="00582CAD" w:rsidRPr="00E97BC8">
        <w:rPr>
          <w:rFonts w:cs="Times New Roman"/>
          <w:sz w:val="22"/>
          <w:szCs w:val="22"/>
        </w:rPr>
        <w:t xml:space="preserve"> these financial incentives</w:t>
      </w:r>
      <w:r w:rsidR="001D3A7C" w:rsidRPr="00E97BC8">
        <w:rPr>
          <w:rFonts w:cs="Times New Roman"/>
          <w:sz w:val="22"/>
          <w:szCs w:val="22"/>
        </w:rPr>
        <w:t>, particularly those tha</w:t>
      </w:r>
      <w:r w:rsidR="001B21A5" w:rsidRPr="00E97BC8">
        <w:rPr>
          <w:rFonts w:cs="Times New Roman"/>
          <w:sz w:val="22"/>
          <w:szCs w:val="22"/>
        </w:rPr>
        <w:t>t</w:t>
      </w:r>
      <w:r w:rsidR="001D3A7C" w:rsidRPr="00E97BC8">
        <w:rPr>
          <w:rFonts w:cs="Times New Roman"/>
          <w:sz w:val="22"/>
          <w:szCs w:val="22"/>
        </w:rPr>
        <w:t xml:space="preserve"> impact initial purchase prices,</w:t>
      </w:r>
      <w:r w:rsidR="00582CAD" w:rsidRPr="00E97BC8">
        <w:rPr>
          <w:rFonts w:cs="Times New Roman"/>
          <w:sz w:val="22"/>
          <w:szCs w:val="22"/>
        </w:rPr>
        <w:t xml:space="preserve"> </w:t>
      </w:r>
      <w:r w:rsidR="00D43CA4" w:rsidRPr="00E97BC8">
        <w:rPr>
          <w:rFonts w:cs="Times New Roman"/>
          <w:sz w:val="22"/>
          <w:szCs w:val="22"/>
        </w:rPr>
        <w:t xml:space="preserve">seem to </w:t>
      </w:r>
      <w:r w:rsidR="00582CAD" w:rsidRPr="00E97BC8">
        <w:rPr>
          <w:rFonts w:cs="Times New Roman"/>
          <w:sz w:val="22"/>
          <w:szCs w:val="22"/>
        </w:rPr>
        <w:t>play an eve</w:t>
      </w:r>
      <w:r w:rsidR="001D3A7C" w:rsidRPr="00E97BC8">
        <w:rPr>
          <w:rFonts w:cs="Times New Roman"/>
          <w:sz w:val="22"/>
          <w:szCs w:val="22"/>
        </w:rPr>
        <w:t>n</w:t>
      </w:r>
      <w:r w:rsidR="00582CAD" w:rsidRPr="00E97BC8">
        <w:rPr>
          <w:rFonts w:cs="Times New Roman"/>
          <w:sz w:val="22"/>
          <w:szCs w:val="22"/>
        </w:rPr>
        <w:t xml:space="preserve"> larger role in </w:t>
      </w:r>
      <w:r w:rsidR="00155E88" w:rsidRPr="00E97BC8">
        <w:rPr>
          <w:rFonts w:cs="Times New Roman"/>
          <w:sz w:val="22"/>
          <w:szCs w:val="22"/>
        </w:rPr>
        <w:t xml:space="preserve">actual adoption patterns than </w:t>
      </w:r>
      <w:r w:rsidR="00822DD7" w:rsidRPr="00E97BC8">
        <w:rPr>
          <w:rFonts w:cs="Times New Roman"/>
          <w:sz w:val="22"/>
          <w:szCs w:val="22"/>
        </w:rPr>
        <w:t xml:space="preserve">suggested by studies of </w:t>
      </w:r>
      <w:r w:rsidR="00155E88" w:rsidRPr="00E97BC8">
        <w:rPr>
          <w:rFonts w:cs="Times New Roman"/>
          <w:sz w:val="22"/>
          <w:szCs w:val="22"/>
        </w:rPr>
        <w:t>stated intentions</w:t>
      </w:r>
      <w:r w:rsidRPr="00E97BC8">
        <w:rPr>
          <w:rFonts w:cs="Times New Roman"/>
          <w:sz w:val="22"/>
          <w:szCs w:val="22"/>
        </w:rPr>
        <w:t xml:space="preserve"> </w:t>
      </w:r>
      <w:r w:rsidR="00293818" w:rsidRPr="00E97BC8">
        <w:rPr>
          <w:rFonts w:cs="Times New Roman"/>
          <w:sz w:val="22"/>
          <w:szCs w:val="22"/>
        </w:rPr>
        <w:fldChar w:fldCharType="begin"/>
      </w:r>
      <w:r w:rsidR="005B7C5D" w:rsidRPr="00E97BC8">
        <w:rPr>
          <w:rFonts w:cs="Times New Roman"/>
          <w:sz w:val="22"/>
          <w:szCs w:val="22"/>
        </w:rPr>
        <w:instrText xml:space="preserve"> ADDIN ZOTERO_ITEM CSL_CITATION {"citationID":"q0gMBkjd","properties":{"formattedCitation":"(Clinton and Steinberg, 2019; Jia and Chen, 2021; K\\uc0\\u252{}nle and Minke, 2022)","plainCitation":"(Clinton and Steinberg, 2019; Jia and Chen, 2021; Künle and Minke, 2022)","noteIndex":0},"citationItems":[{"id":2730,"uris":["http://zotero.org/users/12832277/items/AD73B2H6"],"itemData":{"id":2730,"type":"article-journal","abstract":"To overcome adoption barriers and promote battery electric vehicles (BEVs) as an energy efficient consumer transportation option, a number of states offer subsidies to consumers for BEVs. We use a national data set of vehicle registrations and state-level financial incentives to assess the impact of vehicle purchase subsidies on adoption using both difference-in-differences and synthetic controls methods. We find that incentives offered as direct purchase rebates generate increased levels of new BEV registrations at a rate of approximately 8 percent per thousand dollars of incentive offered. Between 2011 and 2015, vehicle rebate incentives are associated with an increase in overall BEV registrations of approximately 11 percent. Our findings indicate incentives offered as state income tax credits do not have a statistically significant effect on BEV adoptions, though we caution this may be a result of limited temporal variation in BEV incentives across our sample. Responses to rebate incentives do not differ significantly by the make of the vehicle purchased (i.e., Tesla and non-Tesla vehicles). We combine our results with recent assessments of marginal environmental costs of electric vehicle charging and measure net welfare effects of BEV subsidy programs. Our analysis indicates these programs are not welfare-improving if only considering benefits associated with avoided emissions. Additional benefits associated with long-term market growth, production cost savings, network externalities, or accelerated innovation could substantially impact the net welfare outcomes.","container-title":"Journal of Environmental Economics and Management","DOI":"10.1016/j.jeem.2019.102255","ISSN":"0095-0696","source":"ScienceDirect","title":"Providing the Spark: Impact of Financial Incentives on Battery Electric Vehicle Adoption","URL":"https://www.sciencedirect.com/science/article/pii/S0095069618303115","volume":"98","author":[{"family":"Clinton","given":"Bentley C."},{"family":"Steinberg","given":"Daniel C."}],"accessed":{"date-parts":[["2024",2,28]]},"issued":{"date-parts":[["2019",11,1]]}}},{"id":1457,"uris":["http://zotero.org/users/12832277/items/24ELGDQC"],"itemData":{"id":1457,"type":"article-journal","abstract":"Previous studies on factors affecting electric vehicle (EV) adoption mainly rely on individual stated preference surveys or aggregate market share analyses. This paper applies both approaches to study EV adoption patterns in the state of Virginia to compare and contrast findings from the two methods. An individual-level vehicle fuel type choice model is developed based on a 2018 stated preference survey of 837 Virginia drivers. A county-level EV ownership model is developed using Department of Motor Vehicles’ 2012–2016 vehicle registration data. Results show several consistent findings: 1) being male and having higher educational attainment have positive effects on EV adoption; 2) availability of DC fast charging stations is positively associated with EV adoption, particularly for battery electric vehicles (BEVs). However, the age effects are found to be inconsistent between the two study approaches: older individuals state negative preferences for EVs whereas counties with greater share of older populations are associated with more EV registrations. Additionally, the individual vehicle choice model complements the county-level EV ownership analysis by examining the effects of various vehicle-related attributes: 1) model results show positive effects of EV purchase incentives but negligible effects of EV annual use fees on EV preferences; 2) battery range is found to be significant for the utility of BEVs, but not for plug-in hybrid EVs; and 3) EV owners place greater importance on battery range and DC fast charging stations than non-EV owners. The combined analysis confirms several influential factors of EV adoption, and identifies instances when stated preference/interest are not consistent with realworld ownership patterns, which should be explicitly considered in EV policy making.","container-title":"Transportation Research Part D: Transport and Environment","DOI":"10.1016/j.trd.2021.102728","ISSN":"13619209","language":"en","source":"DOI.org (Crossref)","title":"Are Individuals’ Stated Preferences for Electric Vehicles (EVs) Consistent with Real-World EV Ownership Patterns?","URL":"https://linkinghub.elsevier.com/retrieve/pii/S1361920921000328","volume":"93","author":[{"family":"Jia","given":"Wenjian"},{"family":"Chen","given":"T. Donna"}],"accessed":{"date-parts":[["2023",12,1]]},"issued":{"date-parts":[["2021",4]]}}},{"id":2606,"uris":["http://zotero.org/users/12832277/items/L66WGID2"],"itemData":{"id":2606,"type":"article-journal","abstract":"The analysis of electric vehicle adoption pathways on a national level is a multi-dimensional problem, making adoption path analysis a complex task. The identification of successful strategies is however crucial for the decarbonization of the transport sector. This work provides an innovative analytical tool integrating a national adoption path identification framework and a macro-environmental STEPE (socio-cultural, technological, economic, political, environmental) approach. The method is tested at three countries: Norway, as the country with highest electric vehicle (EV) share globally, and France and Germany as two important European car-maker industries. When comparing France, Germany and Norway, the proposed framework allows raising the following main conclusions: Technology itself is not a decisive criteria. For the evolvement of a national EV production portfolio, the social value of the technology and the willingness of the incumbent car industry to position itself in this new market appear important. When EV are available in the market, regulatory incentives and policies have to match with consumer preferences. Among direct subsidies, policies affecting the purchase price of EV are identified as most effective instrument. The analysis further prompts a duality between national incentives and local programs supporting EV adoption. The final timeline analysis with Norway as forerunner and France and Germany as early adopters provides a detailed assessment of the temporal evolvement of national EV adoption pathways.","container-title":"Transport Policy","DOI":"10.1016/j.tranpol.2020.08.019","ISSN":"0967-070X","page":"160-174","source":"ScienceDirect","title":"Macro-Environmental Comparative Analysis of E-Mobility Adoption Pathways in France, Germany and Norway","volume":"124","author":[{"family":"Künle","given":"Eglantine"},{"family":"Minke","given":"Christine"}],"issued":{"date-parts":[["2022",8,1]]}}}],"schema":"https://github.com/citation-style-language/schema/raw/master/csl-citation.json"} </w:instrText>
      </w:r>
      <w:r w:rsidR="00293818" w:rsidRPr="00E97BC8">
        <w:rPr>
          <w:rFonts w:cs="Times New Roman"/>
          <w:sz w:val="22"/>
          <w:szCs w:val="22"/>
        </w:rPr>
        <w:fldChar w:fldCharType="separate"/>
      </w:r>
      <w:r w:rsidR="001E6A07" w:rsidRPr="00E97BC8">
        <w:rPr>
          <w:rFonts w:cs="Times New Roman"/>
          <w:kern w:val="0"/>
          <w:sz w:val="22"/>
          <w:szCs w:val="22"/>
        </w:rPr>
        <w:t>(Clinton and Steinberg, 2019; Jia and Chen, 2021; Künle and Minke, 2022)</w:t>
      </w:r>
      <w:r w:rsidR="00293818" w:rsidRPr="00E97BC8">
        <w:rPr>
          <w:rFonts w:cs="Times New Roman"/>
          <w:sz w:val="22"/>
          <w:szCs w:val="22"/>
        </w:rPr>
        <w:fldChar w:fldCharType="end"/>
      </w:r>
      <w:r w:rsidR="005B7C5D" w:rsidRPr="00E97BC8">
        <w:rPr>
          <w:rFonts w:cs="Times New Roman"/>
          <w:sz w:val="22"/>
          <w:szCs w:val="22"/>
        </w:rPr>
        <w:t xml:space="preserve">. </w:t>
      </w:r>
      <w:r w:rsidR="00A07065" w:rsidRPr="00E97BC8">
        <w:rPr>
          <w:rFonts w:cs="Times New Roman"/>
          <w:sz w:val="22"/>
          <w:szCs w:val="22"/>
        </w:rPr>
        <w:t>Similarly, other local conditions, such as gas prices</w:t>
      </w:r>
      <w:r w:rsidR="00C83DE3" w:rsidRPr="00E97BC8">
        <w:rPr>
          <w:rFonts w:cs="Times New Roman"/>
          <w:sz w:val="22"/>
          <w:szCs w:val="22"/>
        </w:rPr>
        <w:t xml:space="preserve"> </w:t>
      </w:r>
      <w:r w:rsidR="00C83DE3" w:rsidRPr="00E97BC8">
        <w:rPr>
          <w:rFonts w:cs="Times New Roman"/>
          <w:sz w:val="22"/>
          <w:szCs w:val="22"/>
        </w:rPr>
        <w:fldChar w:fldCharType="begin"/>
      </w:r>
      <w:r w:rsidR="00C83DE3" w:rsidRPr="00E97BC8">
        <w:rPr>
          <w:rFonts w:cs="Times New Roman"/>
          <w:sz w:val="22"/>
          <w:szCs w:val="22"/>
        </w:rPr>
        <w:instrText xml:space="preserve"> ADDIN ZOTERO_ITEM CSL_CITATION {"citationID":"3j2OXO5B","properties":{"formattedCitation":"(Chandra, 2022)","plainCitation":"(Chandra, 2022)","noteIndex":0},"citationItems":[{"id":2718,"uris":["http://zotero.org/users/12832277/items/ZJAYX765"],"itemData":{"id":2718,"type":"article-journal","abstract":"This study envisages to investigate the hurdles in widespread usage of Electric-Vehicles(EVs) on a global scale by using cross-country panel data. This paper empirically studies the impact of wide range of parameters like policies &amp; incentives, national commitments, socioeconomic factors, charger infrastructure, fuel price and renewables on cross-country EV demand by using two-way Fixed Effect Model. Policies like setting up of EV and charger targets, providing fiscal subsidies and sociodemographic factor of age and Gross Domestic Product/capita, higher renewable energy production and higher number of chargers have a positive impact on EV demand. High Gasoline price has a positive effect on Battery EVs demand while regions of lower population density like non-urban areas are more likely to adopt EVs. Also, national commitments to initiatives like EV30@30 is observed to have mostly positive impact across different factors suggesting that green initiatives positively impact the national EV demands. Based on the obtained results, relevant policy implications are discussed.","container-title":"Journal of Transport Geography","DOI":"10.1016/j.jtrangeo.2022.103410","ISSN":"0966-6923","source":"ScienceDirect","title":"Investigating the Impact of Policies, Socio-Demography and National Commitments on Electric-Vehicle Demand: Cross-Country Study","URL":"https://www.sciencedirect.com/science/article/pii/S0966692322001338","volume":"103","author":[{"family":"Chandra","given":"Minal"}],"accessed":{"date-parts":[["2024",2,28]]},"issued":{"date-parts":[["2022",7,1]]}}}],"schema":"https://github.com/citation-style-language/schema/raw/master/csl-citation.json"} </w:instrText>
      </w:r>
      <w:r w:rsidR="00C83DE3" w:rsidRPr="00E97BC8">
        <w:rPr>
          <w:rFonts w:cs="Times New Roman"/>
          <w:sz w:val="22"/>
          <w:szCs w:val="22"/>
        </w:rPr>
        <w:fldChar w:fldCharType="separate"/>
      </w:r>
      <w:r w:rsidR="001E6A07" w:rsidRPr="00E97BC8">
        <w:rPr>
          <w:rFonts w:cs="Times New Roman"/>
          <w:sz w:val="22"/>
          <w:szCs w:val="22"/>
        </w:rPr>
        <w:t>(Chandra, 2022)</w:t>
      </w:r>
      <w:r w:rsidR="00C83DE3" w:rsidRPr="00E97BC8">
        <w:rPr>
          <w:rFonts w:cs="Times New Roman"/>
          <w:sz w:val="22"/>
          <w:szCs w:val="22"/>
        </w:rPr>
        <w:fldChar w:fldCharType="end"/>
      </w:r>
      <w:r w:rsidR="001E258A" w:rsidRPr="00E97BC8">
        <w:rPr>
          <w:rFonts w:cs="Times New Roman"/>
          <w:sz w:val="22"/>
          <w:szCs w:val="22"/>
        </w:rPr>
        <w:t xml:space="preserve">, </w:t>
      </w:r>
      <w:r w:rsidR="00DD4922" w:rsidRPr="00E97BC8">
        <w:rPr>
          <w:rFonts w:cs="Times New Roman"/>
          <w:sz w:val="22"/>
          <w:szCs w:val="22"/>
        </w:rPr>
        <w:t>non-economic incentives</w:t>
      </w:r>
      <w:r w:rsidR="00B42D42" w:rsidRPr="00E97BC8">
        <w:rPr>
          <w:rFonts w:cs="Times New Roman"/>
          <w:sz w:val="22"/>
          <w:szCs w:val="22"/>
        </w:rPr>
        <w:t xml:space="preserve"> </w:t>
      </w:r>
      <w:r w:rsidR="00B42D42" w:rsidRPr="00E97BC8">
        <w:rPr>
          <w:rFonts w:cs="Times New Roman"/>
          <w:sz w:val="22"/>
          <w:szCs w:val="22"/>
        </w:rPr>
        <w:fldChar w:fldCharType="begin"/>
      </w:r>
      <w:r w:rsidR="00B42D42" w:rsidRPr="00E97BC8">
        <w:rPr>
          <w:rFonts w:cs="Times New Roman"/>
          <w:sz w:val="22"/>
          <w:szCs w:val="22"/>
        </w:rPr>
        <w:instrText xml:space="preserve"> ADDIN ZOTERO_ITEM CSL_CITATION {"citationID":"AcvhLTQb","properties":{"formattedCitation":"(Jenn et al., 2018)","plainCitation":"(Jenn et al., 2018)","noteIndex":0},"citationItems":[{"id":2593,"uris":["http://zotero.org/users/12832277/items/LNCF8WET"],"itemData":{"id":2593,"type":"article-journal","abstract":"Transportation accounts for 28% of total energy use and 26% of carbon emissions in the US, and battery electric and plug-in hybrid electric vehicles are promising options to decarbonize transportation. Federal and state governments, electric utility operators, and a number of other entities have provided support to accelerate electric vehicle purchases via monetary and non-monetary incentives. In this paper, we evaluate the effect of these incentives on the adoption of electric vehicles. We find that every $1000 offered as a rebate or tax credit increases average sales of electric vehicles by 2.6%. We also find that HOV lane access is a significant contributor to adoption, the effect is a 4.7% increase corresponding to density of HOV lanes (every 100 vehicles per hour). In addition, we introduce a novel variable to capture consumer knowledge of EVs and associated incentives in our model to help explain the state level heterogeneity in response to incentives and find that raising consumer awareness is critical to the success of EV incentive programs.","container-title":"Energy Policy","DOI":"10.1016/j.enpol.2018.04.065","ISSN":"0301-4215","page":"349-356","source":"ScienceDirect","title":"Effectiveness of Electric Vehicle Incentives in the United States","volume":"119","author":[{"family":"Jenn","given":"Alan"},{"family":"Springel","given":"Katalin"},{"family":"Gopal","given":"Anand R."}],"issued":{"date-parts":[["2018",8,1]]}}}],"schema":"https://github.com/citation-style-language/schema/raw/master/csl-citation.json"} </w:instrText>
      </w:r>
      <w:r w:rsidR="00B42D42" w:rsidRPr="00E97BC8">
        <w:rPr>
          <w:rFonts w:cs="Times New Roman"/>
          <w:sz w:val="22"/>
          <w:szCs w:val="22"/>
        </w:rPr>
        <w:fldChar w:fldCharType="separate"/>
      </w:r>
      <w:r w:rsidR="001E6A07" w:rsidRPr="00E97BC8">
        <w:rPr>
          <w:rFonts w:cs="Times New Roman"/>
          <w:sz w:val="22"/>
          <w:szCs w:val="22"/>
        </w:rPr>
        <w:t>(Jenn et al., 2018)</w:t>
      </w:r>
      <w:r w:rsidR="00B42D42" w:rsidRPr="00E97BC8">
        <w:rPr>
          <w:rFonts w:cs="Times New Roman"/>
          <w:sz w:val="22"/>
          <w:szCs w:val="22"/>
        </w:rPr>
        <w:fldChar w:fldCharType="end"/>
      </w:r>
      <w:r w:rsidR="00DD4922" w:rsidRPr="00E97BC8">
        <w:rPr>
          <w:rFonts w:cs="Times New Roman"/>
          <w:sz w:val="22"/>
          <w:szCs w:val="22"/>
        </w:rPr>
        <w:t xml:space="preserve">, </w:t>
      </w:r>
      <w:r w:rsidR="00C83DE3" w:rsidRPr="00E97BC8">
        <w:rPr>
          <w:rFonts w:cs="Times New Roman"/>
          <w:sz w:val="22"/>
          <w:szCs w:val="22"/>
        </w:rPr>
        <w:t xml:space="preserve">different </w:t>
      </w:r>
      <w:r w:rsidR="00DD4922" w:rsidRPr="00E97BC8">
        <w:rPr>
          <w:rFonts w:cs="Times New Roman"/>
          <w:sz w:val="22"/>
          <w:szCs w:val="22"/>
        </w:rPr>
        <w:t xml:space="preserve">modes of </w:t>
      </w:r>
      <w:r w:rsidR="001E258A" w:rsidRPr="00E97BC8">
        <w:rPr>
          <w:rFonts w:cs="Times New Roman"/>
          <w:sz w:val="22"/>
          <w:szCs w:val="22"/>
        </w:rPr>
        <w:t>electricity generation</w:t>
      </w:r>
      <w:r w:rsidR="00B42D42" w:rsidRPr="00E97BC8">
        <w:rPr>
          <w:rFonts w:cs="Times New Roman"/>
          <w:sz w:val="22"/>
          <w:szCs w:val="22"/>
        </w:rPr>
        <w:t xml:space="preserve"> </w:t>
      </w:r>
      <w:r w:rsidR="00B42D42" w:rsidRPr="00E97BC8">
        <w:rPr>
          <w:rFonts w:cs="Times New Roman"/>
          <w:sz w:val="22"/>
          <w:szCs w:val="22"/>
        </w:rPr>
        <w:fldChar w:fldCharType="begin"/>
      </w:r>
      <w:r w:rsidR="00B42D42" w:rsidRPr="00E97BC8">
        <w:rPr>
          <w:rFonts w:cs="Times New Roman"/>
          <w:sz w:val="22"/>
          <w:szCs w:val="22"/>
        </w:rPr>
        <w:instrText xml:space="preserve"> ADDIN ZOTERO_ITEM CSL_CITATION {"citationID":"uv5zQ6pG","properties":{"formattedCitation":"(Mekky and Collins, 2024)","plainCitation":"(Mekky and Collins, 2024)","noteIndex":0},"citationItems":[{"id":2434,"uris":["http://zotero.org/users/12832277/items/NLKXKTX9"],"itemData":{"id":2434,"type":"article-journal","abstract":"Using data from fifty U.S. states between 2012 and 2020, the impacts of three types of state level policies on electric vehicles (EV) adoption are examined: 1) policies that mitigate the environmental impacts from energy production, 2) policies that provide financial incentives to consumers for EV purchase, and 3) policies that provide publicly available EV charging infrastructure. With a dependent variable of EV registration per 100,000 population, impacts are assessed with a panel data, fixed effects model. Statistically significant coefficient results are found for environmental, financial, and charging infrastructure policies. Computations of policy changes across four states with low environmental performance and no financial incentives show that increasing renewable and/or nuclear energy sources in the energy mix or reducing carbon dioxide (CO2) emissions from electricity generation have larger impacts on EV adoption than either financial incentives or publicly available charging infrastructure. This research demonstrates the need to both coordinate and nationalize policies that enhance low GHG energy sources in order to uniformly improve EV adoption across all states.","container-title":"Renewable and Sustainable Energy Reviews","DOI":"10.1016/j.rser.2023.114014","ISSN":"1364-0321","source":"ScienceDirect","title":"The Impact of State Policies on Electric Vehicle Adoption -a Panel Data Analysis","URL":"https://www.sciencedirect.com/science/article/pii/S1364032123008729","volume":"191","author":[{"family":"Mekky","given":"Maher F."},{"family":"Collins","given":"Alan R."}],"accessed":{"date-parts":[["2024",2,15]]},"issued":{"date-parts":[["2024",3,1]]}}}],"schema":"https://github.com/citation-style-language/schema/raw/master/csl-citation.json"} </w:instrText>
      </w:r>
      <w:r w:rsidR="00B42D42" w:rsidRPr="00E97BC8">
        <w:rPr>
          <w:rFonts w:cs="Times New Roman"/>
          <w:sz w:val="22"/>
          <w:szCs w:val="22"/>
        </w:rPr>
        <w:fldChar w:fldCharType="separate"/>
      </w:r>
      <w:r w:rsidR="001E6A07" w:rsidRPr="00E97BC8">
        <w:rPr>
          <w:rFonts w:cs="Times New Roman"/>
          <w:sz w:val="22"/>
          <w:szCs w:val="22"/>
        </w:rPr>
        <w:t>(Mekky and Collins, 2024)</w:t>
      </w:r>
      <w:r w:rsidR="00B42D42" w:rsidRPr="00E97BC8">
        <w:rPr>
          <w:rFonts w:cs="Times New Roman"/>
          <w:sz w:val="22"/>
          <w:szCs w:val="22"/>
        </w:rPr>
        <w:fldChar w:fldCharType="end"/>
      </w:r>
      <w:r w:rsidR="00C83DE3" w:rsidRPr="00E97BC8">
        <w:rPr>
          <w:rFonts w:cs="Times New Roman"/>
          <w:sz w:val="22"/>
          <w:szCs w:val="22"/>
        </w:rPr>
        <w:t xml:space="preserve">, and </w:t>
      </w:r>
      <w:r w:rsidR="00022961" w:rsidRPr="00E97BC8">
        <w:rPr>
          <w:rFonts w:cs="Times New Roman"/>
          <w:sz w:val="22"/>
          <w:szCs w:val="22"/>
        </w:rPr>
        <w:t xml:space="preserve">local </w:t>
      </w:r>
      <w:r w:rsidR="00C83DE3" w:rsidRPr="00E97BC8">
        <w:rPr>
          <w:rFonts w:cs="Times New Roman"/>
          <w:sz w:val="22"/>
          <w:szCs w:val="22"/>
        </w:rPr>
        <w:t>climate conditions</w:t>
      </w:r>
      <w:r w:rsidR="00B42D42" w:rsidRPr="00E97BC8">
        <w:rPr>
          <w:rFonts w:cs="Times New Roman"/>
          <w:sz w:val="22"/>
          <w:szCs w:val="22"/>
        </w:rPr>
        <w:t xml:space="preserve"> </w:t>
      </w:r>
      <w:r w:rsidR="00B821D3" w:rsidRPr="00E97BC8">
        <w:rPr>
          <w:rFonts w:cs="Times New Roman"/>
          <w:sz w:val="22"/>
          <w:szCs w:val="22"/>
        </w:rPr>
        <w:fldChar w:fldCharType="begin"/>
      </w:r>
      <w:r w:rsidR="00B821D3" w:rsidRPr="00E97BC8">
        <w:rPr>
          <w:rFonts w:cs="Times New Roman"/>
          <w:sz w:val="22"/>
          <w:szCs w:val="22"/>
        </w:rPr>
        <w:instrText xml:space="preserve"> ADDIN ZOTERO_ITEM CSL_CITATION {"citationID":"32kUO2Jw","properties":{"formattedCitation":"(Yang et al., 2023)","plainCitation":"(Yang et al., 2023)","noteIndex":0},"citationItems":[{"id":2445,"uris":["http://zotero.org/users/12832277/items/89W4XI8K"],"itemData":{"id":2445,"type":"article-journal","abstract":"The transportation sector, led by the automobile, is the major contributor to greenhouse gas emissions and increasing global warming. Transport electrification is one of the effective solutions to reduce oil dependency and mitigate environmental and climatic impacts from road transportation. Norway aims to be a major force in the electric vehicle market and has the ambition to have all newly sold light-weight vehicles be zero-emission by 2025. The share of battery electric vehicles (BEVs) in the auto market in Norway had reached up to 64.5% in 2021, indicating that Norway has recently become a well-matured BEV market. Some previous studies have investigated the drivers of BEV adoption in different countries but primarily in areas with low BEV market share. The drivers of a well-mature market with high BEV adoption remain poorly understood. Additionally, some existing works ignored the impacts of climatic conditions on BEV adoption, although climate conditions have been considered as one of the most important factors that impact BEV performance. In this study, we estimated how socioeconomic drivers and climatic conditions affect the spatial patterns of Norwegian BEV adoption in 2019 using the conditional autoregressive models. We found that the BEV adoption in Norway have a significant clustering pattern. Norwegians in urban areas with more available charging stations and having higher income levels and demand for travel are more likely to adopt BEVs. Municipalities with lower minimum temperatures and a higher proportion of elderly people often have a lower BEV adoption rate. Our findings emphasized the impacts of climatic conditions on BEV adoption and could provide important insights into the late-stage BEV adoption market for many countries in which the current BEV market is still in development.","container-title":"Journal of Transport Geography","DOI":"10.1016/j.jtrangeo.2022.103489","ISSN":"0966-6923","source":"ScienceDirect","title":"Electric Vehicle Adoption in a Mature Market: A Case Study of Norway","URL":"https://www.sciencedirect.com/science/article/pii/S0966692322002125","volume":"106","author":[{"family":"Yang","given":"Anni"},{"family":"Liu","given":"Chenhui"},{"family":"Yang","given":"Di"},{"family":"Lu","given":"Chaoru"}],"accessed":{"date-parts":[["2024",2,15]]},"issued":{"date-parts":[["2023",1,1]]}}}],"schema":"https://github.com/citation-style-language/schema/raw/master/csl-citation.json"} </w:instrText>
      </w:r>
      <w:r w:rsidR="00B821D3" w:rsidRPr="00E97BC8">
        <w:rPr>
          <w:rFonts w:cs="Times New Roman"/>
          <w:sz w:val="22"/>
          <w:szCs w:val="22"/>
        </w:rPr>
        <w:fldChar w:fldCharType="separate"/>
      </w:r>
      <w:r w:rsidR="001E6A07" w:rsidRPr="00E97BC8">
        <w:rPr>
          <w:rFonts w:cs="Times New Roman"/>
          <w:sz w:val="22"/>
          <w:szCs w:val="22"/>
        </w:rPr>
        <w:t>(Yang et al., 2023)</w:t>
      </w:r>
      <w:r w:rsidR="00B821D3" w:rsidRPr="00E97BC8">
        <w:rPr>
          <w:rFonts w:cs="Times New Roman"/>
          <w:sz w:val="22"/>
          <w:szCs w:val="22"/>
        </w:rPr>
        <w:fldChar w:fldCharType="end"/>
      </w:r>
      <w:r w:rsidR="00C83DE3" w:rsidRPr="00E97BC8">
        <w:rPr>
          <w:rFonts w:cs="Times New Roman"/>
          <w:sz w:val="22"/>
          <w:szCs w:val="22"/>
        </w:rPr>
        <w:t xml:space="preserve"> </w:t>
      </w:r>
      <w:r w:rsidR="00A31A6D" w:rsidRPr="00E97BC8">
        <w:rPr>
          <w:rFonts w:cs="Times New Roman"/>
          <w:sz w:val="22"/>
          <w:szCs w:val="22"/>
        </w:rPr>
        <w:t xml:space="preserve">have been associated with </w:t>
      </w:r>
      <w:r w:rsidR="00C83DE3" w:rsidRPr="00E97BC8">
        <w:rPr>
          <w:rFonts w:cs="Times New Roman"/>
          <w:sz w:val="22"/>
          <w:szCs w:val="22"/>
        </w:rPr>
        <w:t xml:space="preserve">EV adoption rates. </w:t>
      </w:r>
    </w:p>
    <w:p w14:paraId="14C74CC9" w14:textId="2A4530FB" w:rsidR="000276F8" w:rsidRPr="00E97BC8" w:rsidRDefault="00CB0DC0" w:rsidP="00E85093">
      <w:pPr>
        <w:shd w:val="clear" w:color="auto" w:fill="FFFFFF"/>
        <w:spacing w:after="0" w:line="240" w:lineRule="auto"/>
        <w:jc w:val="both"/>
        <w:rPr>
          <w:rFonts w:cs="Times New Roman"/>
          <w:sz w:val="22"/>
          <w:szCs w:val="22"/>
        </w:rPr>
      </w:pPr>
      <w:r w:rsidRPr="00E97BC8">
        <w:rPr>
          <w:rFonts w:cs="Times New Roman"/>
          <w:sz w:val="22"/>
          <w:szCs w:val="22"/>
        </w:rPr>
        <w:tab/>
        <w:t xml:space="preserve">As far as demographic trends, aggregate adoption studies have </w:t>
      </w:r>
      <w:r w:rsidR="00A31A6D" w:rsidRPr="00E97BC8">
        <w:rPr>
          <w:rFonts w:cs="Times New Roman"/>
          <w:sz w:val="22"/>
          <w:szCs w:val="22"/>
        </w:rPr>
        <w:t>observed</w:t>
      </w:r>
      <w:r w:rsidRPr="00E97BC8">
        <w:rPr>
          <w:rFonts w:cs="Times New Roman"/>
          <w:sz w:val="22"/>
          <w:szCs w:val="22"/>
        </w:rPr>
        <w:t xml:space="preserve"> that EVs are adopted </w:t>
      </w:r>
      <w:r w:rsidR="007803E8" w:rsidRPr="00E97BC8">
        <w:rPr>
          <w:rFonts w:cs="Times New Roman"/>
          <w:sz w:val="22"/>
          <w:szCs w:val="22"/>
        </w:rPr>
        <w:t>first in</w:t>
      </w:r>
      <w:r w:rsidRPr="00E97BC8">
        <w:rPr>
          <w:rFonts w:cs="Times New Roman"/>
          <w:sz w:val="22"/>
          <w:szCs w:val="22"/>
        </w:rPr>
        <w:t xml:space="preserve"> </w:t>
      </w:r>
      <w:r w:rsidR="000720C8" w:rsidRPr="00E97BC8">
        <w:rPr>
          <w:rFonts w:cs="Times New Roman"/>
          <w:sz w:val="22"/>
          <w:szCs w:val="22"/>
        </w:rPr>
        <w:t xml:space="preserve">areas with higher median incomes and higher levels of educational attainment </w:t>
      </w:r>
      <w:r w:rsidR="000720C8" w:rsidRPr="00E97BC8">
        <w:rPr>
          <w:rFonts w:cs="Times New Roman"/>
          <w:sz w:val="22"/>
          <w:szCs w:val="22"/>
        </w:rPr>
        <w:fldChar w:fldCharType="begin"/>
      </w:r>
      <w:r w:rsidR="00DE77B7" w:rsidRPr="00E97BC8">
        <w:rPr>
          <w:rFonts w:cs="Times New Roman"/>
          <w:sz w:val="22"/>
          <w:szCs w:val="22"/>
        </w:rPr>
        <w:instrText xml:space="preserve"> ADDIN ZOTERO_ITEM CSL_CITATION {"citationID":"3fFuA4dY","properties":{"unsorted":true,"formattedCitation":"(Xue et al., 2021; He et al., 2022)","plainCitation":"(Xue et al., 2021; He et al., 2022)","noteIndex":0},"citationItems":[{"id":2644,"uris":["http://zotero.org/users/12832277/items/ASIWNYKJ"],"itemData":{"id":2644,"type":"article-journal","abstract":"Under the strong support of policies and incentives, the global electric vehicle (EV) market has been developing rapidly. However, in the context of the overall EV market boom, the promotion policies and incentives for consumers to adopt EVs differ from country to country. It is worth exploring the key factors that affect market share and adoption of EVs, such as incentives, policies, and additional socio-economic factors. The data on EV market share and information on policies and incentives in 20 countries were collected from the published reports and online resources from 2015 to 2019. Random effects model analysis was conducted to explore the effect of various factors on EV market share. The innovation of this article is to combine incentive policies with socio-economic factors and use panel data to analyze the actual adoption behavior of the global EV market. Results show that the tax reduction policy, charger density, and income have significantly positive effects on the penetration of EVs. Thus, it suggested that government should still maintain tax incentives and focus on the deployment of charging infrastructure. Household income, as a socio-economic factor, also plays an important role in the adoption of EVs. This will help policymakers adjust and improve policy emphasis to promote the adoption of EVs.","container-title":"Sustainability","DOI":"10.3390/su13052928","ISSN":"2071-1050","issue":"5","language":"en","license":"http://creativecommons.org/licenses/by/3.0/","note":"number: 5\npublisher: Multidisciplinary Digital Publishing Institute","source":"www.mdpi.com","title":"Impact of Incentive Policies and Other Socio-Economic Factors on Electric Vehicle Market Share: A Panel Data Analysis from the 20 Countries","URL":"https://www.mdpi.com/2071-1050/13/5/2928","volume":"13","author":[{"family":"Xue","given":"Chenlei"},{"family":"Zhou","given":"Huaguo"},{"family":"Wu","given":"Qunqi"},{"family":"Wu","given":"Xueying"},{"family":"Xu","given":"Xingbo"}],"accessed":{"date-parts":[["2024",2,23]]},"issued":{"date-parts":[["2021",1]]}}},{"id":2653,"uris":["http://zotero.org/users/12832277/items/9I5SWPQW"],"itemData":{"id":2653,"type":"article-journal","abstract":"This study explores the spatial mode of electric vehicle (EV) adoption in the early market of 41 key cities in China among which there is a high spatial heterogeneity . A spatial econometric model is established to illustrate the relative importance of regional variables on EV adoption. Most independent variables have significant direct positive effects on EV adoption. Specifically, the number of charging piles and per capita income had the greatest effects, followed by population density and university degree. These results indicate that areas with dense populations, higher education levels, higher income, and a complete charging infrastructure tend to dominate the early market for EVs. In comparison, the indirect effects of most independent variables are not significant, except for the population density and number of charging piles. Finally, this study concludes with the application of empirical results to policymaking.","container-title":"Transportation Letters","DOI":"10.1080/19427867.2021.1917217","ISSN":"1942-7867","issue":"6","note":"publisher: Taylor &amp; Francis\n_eprint: https://doi.org/10.1080/19427867.2021.1917217","page":"640-650","source":"Taylor and Francis+NEJM","title":"Examining the Spatial Mode in the Early Market for Electric Vehicles Adoption: Evidence from 41 Cities in China","title-short":"Examining the Spatial Mode in the Early Market for Electric Vehicles Adoption","volume":"14","author":[{"family":"He","given":"Zhengxia"},{"family":"Zhou","given":"Yanqing"},{"family":"Chen","given":"Xin"},{"family":"Wang","given":"Jianming"},{"family":"Shen","given":"Wenxing"},{"family":"Wang","given":"Meiling"},{"family":"Li","given":"Wenbo"}],"issued":{"date-parts":[["2022",7,3]]}}}],"schema":"https://github.com/citation-style-language/schema/raw/master/csl-citation.json"} </w:instrText>
      </w:r>
      <w:r w:rsidR="000720C8" w:rsidRPr="00E97BC8">
        <w:rPr>
          <w:rFonts w:cs="Times New Roman"/>
          <w:sz w:val="22"/>
          <w:szCs w:val="22"/>
        </w:rPr>
        <w:fldChar w:fldCharType="separate"/>
      </w:r>
      <w:r w:rsidR="001E6A07" w:rsidRPr="00E97BC8">
        <w:rPr>
          <w:rFonts w:cs="Times New Roman"/>
          <w:sz w:val="22"/>
          <w:szCs w:val="22"/>
        </w:rPr>
        <w:t>(Xue et al., 2021; He et al., 2022)</w:t>
      </w:r>
      <w:r w:rsidR="000720C8" w:rsidRPr="00E97BC8">
        <w:rPr>
          <w:rFonts w:cs="Times New Roman"/>
          <w:sz w:val="22"/>
          <w:szCs w:val="22"/>
        </w:rPr>
        <w:fldChar w:fldCharType="end"/>
      </w:r>
      <w:r w:rsidR="007803E8" w:rsidRPr="00E97BC8">
        <w:rPr>
          <w:rFonts w:cs="Times New Roman"/>
          <w:sz w:val="22"/>
          <w:szCs w:val="22"/>
        </w:rPr>
        <w:t xml:space="preserve">. </w:t>
      </w:r>
      <w:r w:rsidR="000D1779" w:rsidRPr="00E97BC8">
        <w:rPr>
          <w:rFonts w:cs="Times New Roman"/>
          <w:sz w:val="22"/>
          <w:szCs w:val="22"/>
        </w:rPr>
        <w:t>Adoption is</w:t>
      </w:r>
      <w:r w:rsidR="000276F8" w:rsidRPr="00E97BC8">
        <w:rPr>
          <w:rFonts w:cs="Times New Roman"/>
          <w:sz w:val="22"/>
          <w:szCs w:val="22"/>
        </w:rPr>
        <w:t xml:space="preserve"> </w:t>
      </w:r>
      <w:r w:rsidR="000D1779" w:rsidRPr="00E97BC8">
        <w:rPr>
          <w:rFonts w:cs="Times New Roman"/>
          <w:sz w:val="22"/>
          <w:szCs w:val="22"/>
        </w:rPr>
        <w:t>also</w:t>
      </w:r>
      <w:r w:rsidR="00044E98" w:rsidRPr="00E97BC8">
        <w:rPr>
          <w:rFonts w:cs="Times New Roman"/>
          <w:sz w:val="22"/>
          <w:szCs w:val="22"/>
        </w:rPr>
        <w:t xml:space="preserve"> </w:t>
      </w:r>
      <w:r w:rsidR="000276F8" w:rsidRPr="00E97BC8">
        <w:rPr>
          <w:rFonts w:cs="Times New Roman"/>
          <w:sz w:val="22"/>
          <w:szCs w:val="22"/>
        </w:rPr>
        <w:t>more prevalent in</w:t>
      </w:r>
      <w:r w:rsidRPr="00E97BC8">
        <w:rPr>
          <w:rFonts w:cs="Times New Roman"/>
          <w:sz w:val="22"/>
          <w:szCs w:val="22"/>
        </w:rPr>
        <w:t xml:space="preserve"> suburban areas with high home ownership rates</w:t>
      </w:r>
      <w:r w:rsidR="00B821D3" w:rsidRPr="00E97BC8">
        <w:rPr>
          <w:rFonts w:cs="Times New Roman"/>
          <w:sz w:val="22"/>
          <w:szCs w:val="22"/>
        </w:rPr>
        <w:t xml:space="preserve"> </w:t>
      </w:r>
      <w:r w:rsidR="00A31A6D" w:rsidRPr="00E97BC8">
        <w:rPr>
          <w:rFonts w:cs="Times New Roman"/>
          <w:sz w:val="22"/>
          <w:szCs w:val="22"/>
        </w:rPr>
        <w:t xml:space="preserve">and </w:t>
      </w:r>
      <w:r w:rsidR="00EE3494" w:rsidRPr="00E97BC8">
        <w:rPr>
          <w:rFonts w:cs="Times New Roman"/>
          <w:sz w:val="22"/>
          <w:szCs w:val="22"/>
        </w:rPr>
        <w:t xml:space="preserve">relatively </w:t>
      </w:r>
      <w:r w:rsidR="00A31A6D" w:rsidRPr="00E97BC8">
        <w:rPr>
          <w:rFonts w:cs="Times New Roman"/>
          <w:sz w:val="22"/>
          <w:szCs w:val="22"/>
        </w:rPr>
        <w:t>well</w:t>
      </w:r>
      <w:r w:rsidR="0039031F" w:rsidRPr="00E97BC8">
        <w:rPr>
          <w:rFonts w:cs="Times New Roman"/>
          <w:sz w:val="22"/>
          <w:szCs w:val="22"/>
        </w:rPr>
        <w:t>-</w:t>
      </w:r>
      <w:r w:rsidR="00EE3494" w:rsidRPr="00E97BC8">
        <w:rPr>
          <w:rFonts w:cs="Times New Roman"/>
          <w:sz w:val="22"/>
          <w:szCs w:val="22"/>
        </w:rPr>
        <w:t>developed infrastructure</w:t>
      </w:r>
      <w:r w:rsidR="00F41E44" w:rsidRPr="00E97BC8">
        <w:rPr>
          <w:rFonts w:cs="Times New Roman"/>
          <w:sz w:val="22"/>
          <w:szCs w:val="22"/>
        </w:rPr>
        <w:t xml:space="preserve"> </w:t>
      </w:r>
      <w:r w:rsidR="00F41E44" w:rsidRPr="00E97BC8">
        <w:rPr>
          <w:rFonts w:cs="Times New Roman"/>
          <w:sz w:val="22"/>
          <w:szCs w:val="22"/>
        </w:rPr>
        <w:fldChar w:fldCharType="begin"/>
      </w:r>
      <w:r w:rsidR="00DE0D99" w:rsidRPr="00E97BC8">
        <w:rPr>
          <w:rFonts w:cs="Times New Roman"/>
          <w:sz w:val="22"/>
          <w:szCs w:val="22"/>
        </w:rPr>
        <w:instrText xml:space="preserve"> ADDIN ZOTERO_ITEM CSL_CITATION {"citationID":"rTsGYjyH","properties":{"unsorted":true,"formattedCitation":"(Mukherjee and Ryan, 2020; Gehrke and Reardon, 2022)","plainCitation":"(Mukherjee and Ryan, 2020; Gehrke and Reardon, 2022)","noteIndex":0},"citationItems":[{"id":2458,"uris":["http://zotero.org/users/12832277/items/FNUW5ZKU"],"itemData":{"id":2458,"type":"article-journal","abstract":"This paper examines factors that influence battery electric vehicle (BEV) uptake amongst early adopters. An incomplete understanding of the motivations behind consumer uptake hampers policy design to encourage adoption. We provide new evidence for Ireland on the key determinants of uptake in the early phase of technology diffusion by combining Irish census and BEV uptake data at a granular spatial scale for the first time. Results from our count data models show that while people with a university degree and long-distance commuters commuting for at least an hour a day are positive determinants of adoption, rented accommodation and young people between 19 and 34 years are negative predictors of uptake. Moreover, two GIS-derived spatial variables are significant albeit with unexpected signs – while the average distance to the nearest charge point is a positive predictor of uptake, access to dealers within 10 km of the neighbourhood is a negative predictor of uptake. The spatial econometric analysis indicates that adopters mainly cluster around the largest urban centres in Ireland. This may be influenced by population as well as spillover effects due to adoption in neighbouring localities, changes in socio-demographics and neighbourhood characteristics such as public charging infrastructure or dealers in the area, and other unobserved cross-border effects that we cannot estimate due to lack of data. The Irish results could potentially be applied to comparable emerging EV markets. They may help policy-makers devise strategies that stimulate regional adoption where uptake has been poor or be used to predict potential future uptake based on past trends.","container-title":"Renewable and Sustainable Energy Reviews","DOI":"10.1016/j.rser.2019.109504","ISSN":"1364-0321","page":"109504","source":"ScienceDirect","title":"Factors Influencing Early Battery Electric Vehicle Adoption in Ireland","volume":"118","author":[{"family":"Mukherjee","given":"Sanghamitra Chattopadhyay"},{"family":"Ryan","given":"Lisa"}],"issued":{"date-parts":[["2020",2,1]]}}},{"id":2648,"uris":["http://zotero.org/users/12832277/items/P3CAF4ZZ"],"itemData":{"id":2648,"type":"article-journal","abstract":"In Massachusetts and beyond, ambitious long-term initiatives seek to curtail increases in carbon pollution that contribute to climate change and carry detrimental impacts to population health and safety. Widespread electrification of the passenger vehicle fleet is celebrated as a fundamental strategy for achieving substantial long-term transportation-related greenhouse gas reductions. Unfortunately, in spite of this understood need, the number of EVs on our roadways remains relatively insignificant and the evidence base remains limited in its ability to inform decisionmakers as to what set of factors related to an individual, their surrounding context, or the new technology itself will contribute most to increasing passenger EV adoption. This study utilizes a unique data set enumerating passenger vehicle purchases and utilization in Massachusetts from 2008 to 2016 to (i) describe geographic and temporal patterns of EV adoption and (ii) identify the environmental factors that have predicted the purchase and utilization of EVs by these early adopters. Our study finds that early EV adoption in Massachusetts has largely been an urban phenomenon displaying a gradual and incremental increase in the consumer market share. At a neighborhood scale, early EV adoption in Massachusetts has been limited primarily to higher-income households residing in single-family homes. However, if policy actions follow, the significant association of public charging stations with EV adoption and other informative study findings can carry the potential to direct investments and incentives to ensure the Commonwealth’s lofty legislatively-mandated targets are met in coming years.","container-title":"International Journal of Sustainable Transportation","DOI":"10.1080/15568318.2021.1912223","ISSN":"1556-8318","issue":"6","note":"publisher: Taylor &amp; Francis\n_eprint: https://doi.org/10.1080/15568318.2021.1912223","page":"514-525","source":"Taylor and Francis+NEJM","title":"Patterns and Predictors of Early Electric Vehicle Adoption in Massachusetts","volume":"16","author":[{"family":"Gehrke","given":"Steven R."},{"family":"Reardon","given":"Timothy G."}],"issued":{"date-parts":[["2022",6,1]]}}}],"schema":"https://github.com/citation-style-language/schema/raw/master/csl-citation.json"} </w:instrText>
      </w:r>
      <w:r w:rsidR="00F41E44" w:rsidRPr="00E97BC8">
        <w:rPr>
          <w:rFonts w:cs="Times New Roman"/>
          <w:sz w:val="22"/>
          <w:szCs w:val="22"/>
        </w:rPr>
        <w:fldChar w:fldCharType="separate"/>
      </w:r>
      <w:r w:rsidR="001E6A07" w:rsidRPr="00E97BC8">
        <w:rPr>
          <w:rFonts w:cs="Times New Roman"/>
          <w:sz w:val="22"/>
          <w:szCs w:val="22"/>
        </w:rPr>
        <w:t>(Mukherjee and Ryan, 2020; Gehrke and Reardon, 2022)</w:t>
      </w:r>
      <w:r w:rsidR="00F41E44" w:rsidRPr="00E97BC8">
        <w:rPr>
          <w:rFonts w:cs="Times New Roman"/>
          <w:sz w:val="22"/>
          <w:szCs w:val="22"/>
        </w:rPr>
        <w:fldChar w:fldCharType="end"/>
      </w:r>
      <w:r w:rsidRPr="00E97BC8">
        <w:rPr>
          <w:rFonts w:cs="Times New Roman"/>
          <w:sz w:val="22"/>
          <w:szCs w:val="22"/>
        </w:rPr>
        <w:t xml:space="preserve">. </w:t>
      </w:r>
      <w:r w:rsidR="00044E98" w:rsidRPr="00E97BC8">
        <w:rPr>
          <w:rFonts w:cs="Times New Roman"/>
          <w:sz w:val="22"/>
          <w:szCs w:val="22"/>
        </w:rPr>
        <w:t>Further, t</w:t>
      </w:r>
      <w:r w:rsidRPr="00E97BC8">
        <w:rPr>
          <w:rFonts w:cs="Times New Roman"/>
          <w:sz w:val="22"/>
          <w:szCs w:val="22"/>
        </w:rPr>
        <w:t xml:space="preserve">hese </w:t>
      </w:r>
      <w:r w:rsidR="00044E98" w:rsidRPr="00E97BC8">
        <w:rPr>
          <w:rFonts w:cs="Times New Roman"/>
          <w:sz w:val="22"/>
          <w:szCs w:val="22"/>
        </w:rPr>
        <w:t xml:space="preserve">aggregate </w:t>
      </w:r>
      <w:r w:rsidRPr="00E97BC8">
        <w:rPr>
          <w:rFonts w:cs="Times New Roman"/>
          <w:sz w:val="22"/>
          <w:szCs w:val="22"/>
        </w:rPr>
        <w:t xml:space="preserve">studies </w:t>
      </w:r>
      <w:r w:rsidR="00E21AE3" w:rsidRPr="00E97BC8">
        <w:rPr>
          <w:rFonts w:cs="Times New Roman"/>
          <w:sz w:val="22"/>
          <w:szCs w:val="22"/>
        </w:rPr>
        <w:t xml:space="preserve">have </w:t>
      </w:r>
      <w:r w:rsidR="00436BD0" w:rsidRPr="00E97BC8">
        <w:rPr>
          <w:rFonts w:cs="Times New Roman"/>
          <w:sz w:val="22"/>
          <w:szCs w:val="22"/>
        </w:rPr>
        <w:t>suggest</w:t>
      </w:r>
      <w:r w:rsidR="00E21AE3" w:rsidRPr="00E97BC8">
        <w:rPr>
          <w:rFonts w:cs="Times New Roman"/>
          <w:sz w:val="22"/>
          <w:szCs w:val="22"/>
        </w:rPr>
        <w:t>ed</w:t>
      </w:r>
      <w:r w:rsidRPr="00E97BC8">
        <w:rPr>
          <w:rFonts w:cs="Times New Roman"/>
          <w:sz w:val="22"/>
          <w:szCs w:val="22"/>
        </w:rPr>
        <w:t xml:space="preserve"> that individuals living in </w:t>
      </w:r>
      <w:r w:rsidR="00DA6722" w:rsidRPr="00E97BC8">
        <w:rPr>
          <w:rFonts w:cs="Times New Roman"/>
          <w:sz w:val="22"/>
          <w:szCs w:val="22"/>
        </w:rPr>
        <w:t xml:space="preserve">multifamily homes or </w:t>
      </w:r>
      <w:r w:rsidRPr="00E97BC8">
        <w:rPr>
          <w:rFonts w:cs="Times New Roman"/>
          <w:sz w:val="22"/>
          <w:szCs w:val="22"/>
        </w:rPr>
        <w:t xml:space="preserve">apartments are less likely to </w:t>
      </w:r>
      <w:r w:rsidR="000276F8" w:rsidRPr="00E97BC8">
        <w:rPr>
          <w:rFonts w:cs="Times New Roman"/>
          <w:sz w:val="22"/>
          <w:szCs w:val="22"/>
        </w:rPr>
        <w:t>adopt</w:t>
      </w:r>
      <w:r w:rsidRPr="00E97BC8">
        <w:rPr>
          <w:rFonts w:cs="Times New Roman"/>
          <w:sz w:val="22"/>
          <w:szCs w:val="22"/>
        </w:rPr>
        <w:t xml:space="preserve"> </w:t>
      </w:r>
      <w:r w:rsidR="00CC0C3F" w:rsidRPr="00E97BC8">
        <w:rPr>
          <w:rFonts w:cs="Times New Roman"/>
          <w:sz w:val="22"/>
          <w:szCs w:val="22"/>
        </w:rPr>
        <w:t>B</w:t>
      </w:r>
      <w:r w:rsidRPr="00E97BC8">
        <w:rPr>
          <w:rFonts w:cs="Times New Roman"/>
          <w:sz w:val="22"/>
          <w:szCs w:val="22"/>
        </w:rPr>
        <w:t>EVs tha</w:t>
      </w:r>
      <w:r w:rsidR="008A0AB3" w:rsidRPr="00E97BC8">
        <w:rPr>
          <w:rFonts w:cs="Times New Roman"/>
          <w:sz w:val="22"/>
          <w:szCs w:val="22"/>
        </w:rPr>
        <w:t>n</w:t>
      </w:r>
      <w:r w:rsidRPr="00E97BC8">
        <w:rPr>
          <w:rFonts w:cs="Times New Roman"/>
          <w:sz w:val="22"/>
          <w:szCs w:val="22"/>
        </w:rPr>
        <w:t xml:space="preserve"> </w:t>
      </w:r>
      <w:r w:rsidR="00DA6722" w:rsidRPr="00E97BC8">
        <w:rPr>
          <w:rFonts w:cs="Times New Roman"/>
          <w:sz w:val="22"/>
          <w:szCs w:val="22"/>
        </w:rPr>
        <w:t>those living in</w:t>
      </w:r>
      <w:r w:rsidRPr="00E97BC8">
        <w:rPr>
          <w:rFonts w:cs="Times New Roman"/>
          <w:sz w:val="22"/>
          <w:szCs w:val="22"/>
        </w:rPr>
        <w:t xml:space="preserve"> single-family homes, l</w:t>
      </w:r>
      <w:r w:rsidR="00044E98" w:rsidRPr="00E97BC8">
        <w:rPr>
          <w:rFonts w:cs="Times New Roman"/>
          <w:sz w:val="22"/>
          <w:szCs w:val="22"/>
        </w:rPr>
        <w:t xml:space="preserve">ikely </w:t>
      </w:r>
      <w:r w:rsidRPr="00E97BC8">
        <w:rPr>
          <w:rFonts w:cs="Times New Roman"/>
          <w:sz w:val="22"/>
          <w:szCs w:val="22"/>
        </w:rPr>
        <w:t>due to challenges associated with home charging.</w:t>
      </w:r>
      <w:r w:rsidRPr="00E97BC8">
        <w:rPr>
          <w:rFonts w:cs="Times New Roman"/>
          <w:b/>
          <w:bCs/>
          <w:sz w:val="22"/>
          <w:szCs w:val="22"/>
        </w:rPr>
        <w:t xml:space="preserve"> </w:t>
      </w:r>
      <w:r w:rsidR="000276F8" w:rsidRPr="00E97BC8">
        <w:rPr>
          <w:rFonts w:cs="Times New Roman"/>
          <w:sz w:val="22"/>
          <w:szCs w:val="22"/>
        </w:rPr>
        <w:t xml:space="preserve">Finally, several studies have shown that EVs tend to be adopted in dense clusters, even after accounting for policy and infrastructure changes, due </w:t>
      </w:r>
      <w:r w:rsidR="00A31A6D" w:rsidRPr="00E97BC8">
        <w:rPr>
          <w:rFonts w:cs="Times New Roman"/>
          <w:sz w:val="22"/>
          <w:szCs w:val="22"/>
        </w:rPr>
        <w:t xml:space="preserve">perhaps </w:t>
      </w:r>
      <w:r w:rsidR="000276F8" w:rsidRPr="00E97BC8">
        <w:rPr>
          <w:rFonts w:cs="Times New Roman"/>
          <w:sz w:val="22"/>
          <w:szCs w:val="22"/>
        </w:rPr>
        <w:t xml:space="preserve">to peer effects that result in significantly higher adoption rates once others begin to adopt EVs near an individual’s home or workplace </w:t>
      </w:r>
      <w:r w:rsidR="000276F8" w:rsidRPr="00E97BC8">
        <w:rPr>
          <w:rFonts w:cs="Times New Roman"/>
          <w:sz w:val="22"/>
          <w:szCs w:val="22"/>
        </w:rPr>
        <w:fldChar w:fldCharType="begin"/>
      </w:r>
      <w:r w:rsidR="00372D85" w:rsidRPr="00E97BC8">
        <w:rPr>
          <w:rFonts w:cs="Times New Roman"/>
          <w:sz w:val="22"/>
          <w:szCs w:val="22"/>
        </w:rPr>
        <w:instrText xml:space="preserve"> ADDIN ZOTERO_ITEM CSL_CITATION {"citationID":"J8CSklAp","properties":{"unsorted":true,"formattedCitation":"(Liu et al., 2017; Chakraborty et al., 2022)","plainCitation":"(Liu et al., 2017; Chakraborty et al., 2022)","noteIndex":0},"citationItems":[{"id":2721,"uris":["http://zotero.org/users/12832277/items/LI9CRD52"],"itemData":{"id":2721,"type":"article-journal","abstract":"This paper examines spatial effects on hybrid-electric vehicle (HEV) adoption. This is in contrast to most existing analyses, which concentrate on analyzing socioeconomic factors and demographics. This paper uses a general spatial model to estimate the strength of ‘neighbor effects’ on HEV adoption—namely that each consumer’s HEV-adoption decision can be influenced by the HEV-adoption decisions of geographic neighbors. We use detailed census tract-level demographic data from the 2010 United States Census and the 2012 American Community Survey and vehicle registration data collected by the Ohio Bureau of Motor Vehicles. We find that HEV adoption exhibits significant spatial effects. We further conduct a time-series analysis and show that historical HEV adoption has a spatial effect on future adoption. These results suggest that HEVs may appear in more dense clusters than models that do not consider spatial effects predict.","container-title":"Transportation Research Part D: Transport and Environment","DOI":"10.1016/j.trd.2017.02.014","ISSN":"1361-9209","page":"85-97","source":"ScienceDirect","title":"Spatial Effects on Hybrid Electric Vehicle Adoption","volume":"52","author":[{"family":"Liu","given":"Xiaoli"},{"family":"Roberts","given":"Matthew C."},{"family":"Sioshansi","given":"Ramteen"}],"issued":{"date-parts":[["2017",5,1]]}}},{"id":2650,"uris":["http://zotero.org/users/12832277/items/MW3GHYKH"],"itemData":{"id":2650,"type":"article-journal","abstract":"The market for plug-in electric vehicles (PEVs) --including both battery electric vehicles (BEVs) and plug-in hybrid vehicles (PHEVs)--has been rapidly growing in California for the past few years. Given the targets for PEV penetration in the state, it is important to have a better understanding of the pattern of technology diffusion and the factors that are driving the process. Using spatial analysis and Poisson count models we identify the importance of a neighborhood effect (at home locations) and a workplace effect (at commute destinations) in supporting the diffusion of PEV technology in California between 2014 and 2016. In the case of new BEV sales, we find that exposure to one additional BEV or PHEV within a 1-mile radius of a census block group centroid is associated with a 0.2% increase in BEV sales in the block group. Interestingly, for new PHEV sales- the neighborhood effect of BEV sales is negative, suggesting that enhanced exposure to this type of technology (which is differentiated in distinctive ways from PHEVs) may impact new PHEV sales through a substitution effect. Specifically, higher BEV concentration in an area can have an overall negative effect on new PHEV sales. While the neighborhood effect at residential locations is important, a workplace effect also has a notably important influence on new PEV sales. Both effects work in combination with socioeconomic, demographic, policy, and built environment factors in encouraging PEV adoption. These results, insightful not just for California but other regions in early phases of the PEV market, suggest that policymakers should consider targeted programs and investments that can attract a wider group of early adopters (in terms of sociodemographic characteristics and spatial location) to boost the impact of neighborhood and workplace effects on PEV sales.","container-title":"Transportation Research Part A: Policy and Practice","DOI":"10.1016/j.tra.2021.12.005","ISSN":"0965-8564","page":"133-151","source":"ScienceDirect","title":"Plug-in Electric Vehicle Diffusion in California: Role of Exposure to New Technology at Home and Work","volume":"156","author":[{"family":"Chakraborty","given":"Debapriya"},{"family":"Bunch","given":"David S."},{"family":"Brownstone","given":"David"},{"family":"Xu","given":"Bingzheng"},{"family":"Tal","given":"Gil"}],"issued":{"date-parts":[["2022",2,1]]}}}],"schema":"https://github.com/citation-style-language/schema/raw/master/csl-citation.json"} </w:instrText>
      </w:r>
      <w:r w:rsidR="000276F8" w:rsidRPr="00E97BC8">
        <w:rPr>
          <w:rFonts w:cs="Times New Roman"/>
          <w:sz w:val="22"/>
          <w:szCs w:val="22"/>
        </w:rPr>
        <w:fldChar w:fldCharType="separate"/>
      </w:r>
      <w:r w:rsidR="001E6A07" w:rsidRPr="00E97BC8">
        <w:rPr>
          <w:rFonts w:cs="Times New Roman"/>
          <w:sz w:val="22"/>
          <w:szCs w:val="22"/>
        </w:rPr>
        <w:t>(Liu et al., 2017; Chakraborty et al., 2022)</w:t>
      </w:r>
      <w:r w:rsidR="000276F8" w:rsidRPr="00E97BC8">
        <w:rPr>
          <w:rFonts w:cs="Times New Roman"/>
          <w:sz w:val="22"/>
          <w:szCs w:val="22"/>
        </w:rPr>
        <w:fldChar w:fldCharType="end"/>
      </w:r>
      <w:r w:rsidR="000276F8" w:rsidRPr="00E97BC8">
        <w:rPr>
          <w:rFonts w:cs="Times New Roman"/>
          <w:sz w:val="22"/>
          <w:szCs w:val="22"/>
        </w:rPr>
        <w:t>.</w:t>
      </w:r>
    </w:p>
    <w:p w14:paraId="673178DD" w14:textId="77777777" w:rsidR="00676836" w:rsidRPr="00E97BC8" w:rsidRDefault="00676836" w:rsidP="00E85093">
      <w:pPr>
        <w:shd w:val="clear" w:color="auto" w:fill="FFFFFF"/>
        <w:spacing w:after="0" w:line="240" w:lineRule="auto"/>
        <w:jc w:val="both"/>
        <w:rPr>
          <w:rFonts w:cs="Times New Roman"/>
          <w:sz w:val="22"/>
          <w:szCs w:val="22"/>
        </w:rPr>
      </w:pPr>
    </w:p>
    <w:p w14:paraId="1C089A13" w14:textId="4758261D" w:rsidR="00A615CE" w:rsidRPr="00E97BC8" w:rsidRDefault="00A615CE" w:rsidP="00E85093">
      <w:pPr>
        <w:shd w:val="clear" w:color="auto" w:fill="FFFFFF"/>
        <w:spacing w:after="0" w:line="240" w:lineRule="auto"/>
        <w:jc w:val="both"/>
        <w:rPr>
          <w:rFonts w:cs="Times New Roman"/>
          <w:b/>
          <w:bCs/>
          <w:sz w:val="22"/>
          <w:szCs w:val="22"/>
        </w:rPr>
      </w:pPr>
      <w:r w:rsidRPr="00E97BC8">
        <w:rPr>
          <w:rFonts w:cs="Times New Roman"/>
          <w:b/>
          <w:bCs/>
          <w:sz w:val="22"/>
          <w:szCs w:val="22"/>
        </w:rPr>
        <w:lastRenderedPageBreak/>
        <w:t>2.</w:t>
      </w:r>
      <w:r w:rsidR="00B2627D" w:rsidRPr="00E97BC8">
        <w:rPr>
          <w:rFonts w:cs="Times New Roman"/>
          <w:b/>
          <w:bCs/>
          <w:sz w:val="22"/>
          <w:szCs w:val="22"/>
        </w:rPr>
        <w:t>3</w:t>
      </w:r>
      <w:r w:rsidRPr="00E97BC8">
        <w:rPr>
          <w:rFonts w:cs="Times New Roman"/>
          <w:b/>
          <w:bCs/>
          <w:sz w:val="22"/>
          <w:szCs w:val="22"/>
        </w:rPr>
        <w:t xml:space="preserve"> Study </w:t>
      </w:r>
      <w:r w:rsidR="00ED6002" w:rsidRPr="00E97BC8">
        <w:rPr>
          <w:rFonts w:cs="Times New Roman"/>
          <w:b/>
          <w:bCs/>
          <w:sz w:val="22"/>
          <w:szCs w:val="22"/>
        </w:rPr>
        <w:t>in</w:t>
      </w:r>
      <w:r w:rsidRPr="00E97BC8">
        <w:rPr>
          <w:rFonts w:cs="Times New Roman"/>
          <w:b/>
          <w:bCs/>
          <w:sz w:val="22"/>
          <w:szCs w:val="22"/>
        </w:rPr>
        <w:t xml:space="preserve"> Context</w:t>
      </w:r>
    </w:p>
    <w:p w14:paraId="70628EC4" w14:textId="630D4424" w:rsidR="00215563" w:rsidRPr="00E97BC8" w:rsidRDefault="00D419AA" w:rsidP="00E85093">
      <w:pPr>
        <w:shd w:val="clear" w:color="auto" w:fill="FFFFFF"/>
        <w:spacing w:after="0" w:line="240" w:lineRule="auto"/>
        <w:jc w:val="both"/>
        <w:rPr>
          <w:rFonts w:cs="Times New Roman"/>
          <w:sz w:val="22"/>
          <w:szCs w:val="22"/>
        </w:rPr>
      </w:pPr>
      <w:bookmarkStart w:id="8" w:name="_Hlk191410017"/>
      <w:r w:rsidRPr="00E97BC8">
        <w:rPr>
          <w:rFonts w:cs="Times New Roman"/>
          <w:sz w:val="22"/>
          <w:szCs w:val="22"/>
        </w:rPr>
        <w:t>Motivated by the need to better understand revealed EV adoption behaviors at an individual level</w:t>
      </w:r>
      <w:r w:rsidR="00BA21AC" w:rsidRPr="00E97BC8">
        <w:rPr>
          <w:rFonts w:cs="Times New Roman"/>
          <w:sz w:val="22"/>
          <w:szCs w:val="22"/>
        </w:rPr>
        <w:t xml:space="preserve">, our study contributes to the literature in several important ways. </w:t>
      </w:r>
      <w:r w:rsidR="00BA21AC" w:rsidRPr="00E97BC8">
        <w:rPr>
          <w:rFonts w:cs="Times New Roman"/>
          <w:sz w:val="22"/>
          <w:szCs w:val="22"/>
          <w:u w:val="single"/>
        </w:rPr>
        <w:t>First</w:t>
      </w:r>
      <w:r w:rsidR="00BA21AC" w:rsidRPr="00E97BC8">
        <w:rPr>
          <w:rFonts w:cs="Times New Roman"/>
          <w:sz w:val="22"/>
          <w:szCs w:val="22"/>
        </w:rPr>
        <w:t xml:space="preserve">, </w:t>
      </w:r>
      <w:r w:rsidR="00D33512" w:rsidRPr="00E97BC8">
        <w:rPr>
          <w:rFonts w:cs="Times New Roman"/>
          <w:sz w:val="22"/>
          <w:szCs w:val="22"/>
        </w:rPr>
        <w:t xml:space="preserve">we examine the factors that lead to EV adoption using </w:t>
      </w:r>
      <w:r w:rsidR="001F738B" w:rsidRPr="00E97BC8">
        <w:rPr>
          <w:rFonts w:cs="Times New Roman"/>
          <w:sz w:val="22"/>
          <w:szCs w:val="22"/>
        </w:rPr>
        <w:t>individual</w:t>
      </w:r>
      <w:r w:rsidR="00A818E9" w:rsidRPr="00E97BC8">
        <w:rPr>
          <w:rFonts w:cs="Times New Roman"/>
          <w:sz w:val="22"/>
          <w:szCs w:val="22"/>
        </w:rPr>
        <w:t>-</w:t>
      </w:r>
      <w:r w:rsidR="001F738B" w:rsidRPr="00E97BC8">
        <w:rPr>
          <w:rFonts w:cs="Times New Roman"/>
          <w:sz w:val="22"/>
          <w:szCs w:val="22"/>
        </w:rPr>
        <w:t>level</w:t>
      </w:r>
      <w:r w:rsidR="004E4148" w:rsidRPr="00E97BC8">
        <w:rPr>
          <w:rFonts w:cs="Times New Roman"/>
          <w:sz w:val="22"/>
          <w:szCs w:val="22"/>
        </w:rPr>
        <w:t xml:space="preserve"> </w:t>
      </w:r>
      <w:r w:rsidR="00D33512" w:rsidRPr="00E97BC8">
        <w:rPr>
          <w:rFonts w:cs="Times New Roman"/>
          <w:sz w:val="22"/>
          <w:szCs w:val="22"/>
        </w:rPr>
        <w:t>revealed preference data</w:t>
      </w:r>
      <w:r w:rsidR="00B967C1" w:rsidRPr="00E97BC8">
        <w:rPr>
          <w:rFonts w:cs="Times New Roman"/>
          <w:sz w:val="22"/>
          <w:szCs w:val="22"/>
        </w:rPr>
        <w:t xml:space="preserve">, as opposed to earlier studies that have predominantly used </w:t>
      </w:r>
      <w:r w:rsidR="001F738B" w:rsidRPr="00E97BC8">
        <w:rPr>
          <w:rFonts w:cs="Times New Roman"/>
          <w:sz w:val="22"/>
          <w:szCs w:val="22"/>
        </w:rPr>
        <w:t xml:space="preserve">stated </w:t>
      </w:r>
      <w:r w:rsidR="00B967C1" w:rsidRPr="00E97BC8">
        <w:rPr>
          <w:rFonts w:cs="Times New Roman"/>
          <w:sz w:val="22"/>
          <w:szCs w:val="22"/>
        </w:rPr>
        <w:t xml:space="preserve">intentions </w:t>
      </w:r>
      <w:r w:rsidR="001F738B" w:rsidRPr="00E97BC8">
        <w:rPr>
          <w:rFonts w:cs="Times New Roman"/>
          <w:sz w:val="22"/>
          <w:szCs w:val="22"/>
        </w:rPr>
        <w:t>or</w:t>
      </w:r>
      <w:r w:rsidR="00B967C1" w:rsidRPr="00E97BC8">
        <w:rPr>
          <w:rFonts w:cs="Times New Roman"/>
          <w:sz w:val="22"/>
          <w:szCs w:val="22"/>
        </w:rPr>
        <w:t xml:space="preserve"> </w:t>
      </w:r>
      <w:r w:rsidR="00337AEE" w:rsidRPr="00E97BC8">
        <w:rPr>
          <w:rFonts w:cs="Times New Roman"/>
          <w:sz w:val="22"/>
          <w:szCs w:val="22"/>
        </w:rPr>
        <w:t xml:space="preserve">aggregate </w:t>
      </w:r>
      <w:r w:rsidR="00B967C1" w:rsidRPr="00E97BC8">
        <w:rPr>
          <w:rFonts w:cs="Times New Roman"/>
          <w:sz w:val="22"/>
          <w:szCs w:val="22"/>
        </w:rPr>
        <w:t xml:space="preserve">spatial trends. </w:t>
      </w:r>
      <w:r w:rsidR="00CA2B60" w:rsidRPr="00E97BC8">
        <w:rPr>
          <w:rFonts w:cs="Times New Roman"/>
          <w:sz w:val="22"/>
          <w:szCs w:val="22"/>
        </w:rPr>
        <w:t xml:space="preserve">Only a few existing studies have </w:t>
      </w:r>
      <w:r w:rsidR="00626CE2" w:rsidRPr="00E97BC8">
        <w:rPr>
          <w:rFonts w:cs="Times New Roman"/>
          <w:kern w:val="0"/>
          <w:sz w:val="22"/>
          <w:szCs w:val="22"/>
        </w:rPr>
        <w:t>modeled</w:t>
      </w:r>
      <w:r w:rsidR="00822C02" w:rsidRPr="00E97BC8">
        <w:rPr>
          <w:rFonts w:cs="Times New Roman"/>
          <w:kern w:val="0"/>
          <w:sz w:val="22"/>
          <w:szCs w:val="22"/>
        </w:rPr>
        <w:t xml:space="preserve"> adoption behavior using </w:t>
      </w:r>
      <w:r w:rsidR="004E4148" w:rsidRPr="00E97BC8">
        <w:rPr>
          <w:rFonts w:cs="Times New Roman"/>
          <w:kern w:val="0"/>
          <w:sz w:val="22"/>
          <w:szCs w:val="22"/>
        </w:rPr>
        <w:t>revealed data</w:t>
      </w:r>
      <w:r w:rsidR="00C86A41" w:rsidRPr="00E97BC8">
        <w:rPr>
          <w:rFonts w:cs="Times New Roman"/>
          <w:kern w:val="0"/>
          <w:sz w:val="22"/>
          <w:szCs w:val="22"/>
        </w:rPr>
        <w:t xml:space="preserve"> </w:t>
      </w:r>
      <w:r w:rsidR="00C86A41" w:rsidRPr="00E97BC8">
        <w:rPr>
          <w:rFonts w:cs="Times New Roman"/>
          <w:kern w:val="0"/>
          <w:sz w:val="22"/>
          <w:szCs w:val="22"/>
        </w:rPr>
        <w:fldChar w:fldCharType="begin"/>
      </w:r>
      <w:r w:rsidR="00335382" w:rsidRPr="00E97BC8">
        <w:rPr>
          <w:rFonts w:cs="Times New Roman"/>
          <w:kern w:val="0"/>
          <w:sz w:val="22"/>
          <w:szCs w:val="22"/>
        </w:rPr>
        <w:instrText xml:space="preserve"> ADDIN ZOTERO_ITEM CSL_CITATION {"citationID":"Zywcx70S","properties":{"unsorted":true,"formattedCitation":"(Nazari et al., 2019; Br\\uc0\\u252{}ckmann et al., 2021)","plainCitation":"(Nazari et al., 2019; Brückmann et al., 2021)","dontUpdate":true,"noteIndex":0},"citationItems":[{"id":4096,"uris":["http://zotero.org/users/12832277/items/C98JF8P5"],"itemData":{"id":4096,"type":"article-journal","abstract":"This paper presents a behavioral model of public, revealed preferences (RP) for various types of electric vehicles (EVs) while accounting for a latent (green) travel pattern construct and charging infrastructure characteristics. Specifically, a two-level nested logit (NL) model is estimated to explain households’ fuel type choice among five alternatives and three nests: (1) battery electric vehicles (BEVs); (2) hybrid vehicles including hybrid electric vehicles (HEVs) and plug-in HEVs (PHEVs); and (3) conventional vehicles including gasoline and diesel vehicles. Further, a latent travel pattern construct which captures a week-long number of trips by non-vehicle travel modes as well as daily vehicle and tollway use is estimated in a structural equation setting and subsequently fed into the NL model. Using a recent RP dataset from the California Household Travel Survey, we identify market segments for alternative fuel types based on households’ socio-economic characteristics, built environment factors concerning public plug-in EV (PEV) charging infrastructure characteristics, latent and observable travel behavior factors of a household vehicle’s principal driver, and vehicle attributes. The results highlight that the number of public PEV charging stations is only significant for households choosing PHEVs and interestingly insignificant in the BEV utility. Furthermore, the sensitivity analysis of the findings reveals that PHEV users are elastic with respect to household vehicle ownership ratio and the latent green travel pattern construct, while BEV users are inelastic to any explanatory variable.","container-title":"Transportation Research Part D: Transport and Environment","DOI":"10.1016/j.trd.2019.04.010","ISSN":"1361-9209","page":"65-82","source":"ScienceDirect","title":"Modeling Electric Vehicle Adoption Considering a Latent Travel Pattern Construct and Charging Infrastructure","volume":"72","author":[{"family":"Nazari","given":"Fatemeh"},{"family":"Mohammadian","given":"Abolfazl (Kouros)"},{"family":"Stephens","given":"Thomas"}],"issued":{"date-parts":[["2019",7,1]]}}},{"id":2455,"uris":["http://zotero.org/users/12832277/items/QI7IQ2M6"],"itemData":{"id":2455,"type":"article-journal","abstract":"Individual motorized transport is a major source of emissions and needs to be reduced to meet international agreements. Although alternatives to internal combustion engine vehicles are already on the market, without extensive political support, electric vehicle (EV) adoption remains low. Understanding the drivers of adoption of alternative technologies is key to develop effective measures to accelerate their diffusion. This paper presents individual consumer characteristics and home-location based spatial characteristics of current battery electric vehicle (BEV) and internal combustion engine vehicle holders, in a region free from strong EV policies. Using a generalized linear mixed-effects logistic model on this revealed preference data, we find that BEV adoption is predicted by technology affinity, high income, green party preferences, and living in one’s own house. Altogether, the study offers insights on the characteristics of early adopters of BEVs that can be valuable to policymakers, energy grid and charging infrastructure operators, as well as the automotive industry.","container-title":"Transportation Research Part D: Transport and Environment","DOI":"10.1016/j.trd.2020.102615","ISSN":"1361-9209","source":"ScienceDirect","title":"Battery Electric Vehicle Adoption in Regions Without Strong Policies","URL":"https://www.sciencedirect.com/science/article/pii/S1361920920308002","volume":"90","author":[{"family":"Brückmann","given":"Gracia"},{"family":"Willibald","given":"Fabian"},{"family":"Blanco","given":"Victor"}],"accessed":{"date-parts":[["2024",2,15]]},"issued":{"date-parts":[["2021",1,1]]}}}],"schema":"https://github.com/citation-style-language/schema/raw/master/csl-citation.json"} </w:instrText>
      </w:r>
      <w:r w:rsidR="00C86A41" w:rsidRPr="00E97BC8">
        <w:rPr>
          <w:rFonts w:cs="Times New Roman"/>
          <w:kern w:val="0"/>
          <w:sz w:val="22"/>
          <w:szCs w:val="22"/>
        </w:rPr>
        <w:fldChar w:fldCharType="separate"/>
      </w:r>
      <w:r w:rsidR="00C86A41" w:rsidRPr="00E97BC8">
        <w:rPr>
          <w:rFonts w:cs="Times New Roman"/>
          <w:kern w:val="0"/>
          <w:sz w:val="22"/>
          <w:szCs w:val="22"/>
        </w:rPr>
        <w:t>(see Nazari et al., 2019; Brückmann et al., 2021)</w:t>
      </w:r>
      <w:r w:rsidR="00C86A41" w:rsidRPr="00E97BC8">
        <w:rPr>
          <w:rFonts w:cs="Times New Roman"/>
          <w:kern w:val="0"/>
          <w:sz w:val="22"/>
          <w:szCs w:val="22"/>
        </w:rPr>
        <w:fldChar w:fldCharType="end"/>
      </w:r>
      <w:r w:rsidR="00822C02" w:rsidRPr="00E97BC8">
        <w:rPr>
          <w:rFonts w:cs="Times New Roman"/>
          <w:kern w:val="0"/>
          <w:sz w:val="22"/>
          <w:szCs w:val="22"/>
        </w:rPr>
        <w:t xml:space="preserve">, </w:t>
      </w:r>
      <w:r w:rsidR="00CA2B60" w:rsidRPr="00E97BC8">
        <w:rPr>
          <w:rFonts w:cs="Times New Roman"/>
          <w:kern w:val="0"/>
          <w:sz w:val="22"/>
          <w:szCs w:val="22"/>
        </w:rPr>
        <w:t xml:space="preserve">and </w:t>
      </w:r>
      <w:r w:rsidR="00822C02" w:rsidRPr="00E97BC8">
        <w:rPr>
          <w:rFonts w:cs="Times New Roman"/>
          <w:kern w:val="0"/>
          <w:sz w:val="22"/>
          <w:szCs w:val="22"/>
        </w:rPr>
        <w:t xml:space="preserve">our study is the first to comprehensively </w:t>
      </w:r>
      <w:r w:rsidR="00B967C1" w:rsidRPr="00E97BC8">
        <w:rPr>
          <w:rFonts w:cs="Times New Roman"/>
          <w:kern w:val="0"/>
          <w:sz w:val="22"/>
          <w:szCs w:val="22"/>
        </w:rPr>
        <w:t xml:space="preserve">also </w:t>
      </w:r>
      <w:r w:rsidR="00822C02" w:rsidRPr="00E97BC8">
        <w:rPr>
          <w:rFonts w:cs="Times New Roman"/>
          <w:kern w:val="0"/>
          <w:sz w:val="22"/>
          <w:szCs w:val="22"/>
        </w:rPr>
        <w:t>model the reasons for EV adoption using data from actual adopters.</w:t>
      </w:r>
      <w:r w:rsidR="001625A0" w:rsidRPr="00E97BC8">
        <w:rPr>
          <w:rFonts w:cs="Times New Roman"/>
          <w:kern w:val="0"/>
          <w:sz w:val="22"/>
          <w:szCs w:val="22"/>
        </w:rPr>
        <w:t xml:space="preserve"> </w:t>
      </w:r>
      <w:r w:rsidR="00F41664" w:rsidRPr="00E97BC8">
        <w:rPr>
          <w:rFonts w:cs="Times New Roman"/>
          <w:kern w:val="0"/>
          <w:sz w:val="22"/>
          <w:szCs w:val="22"/>
          <w:u w:val="single"/>
        </w:rPr>
        <w:t>Second</w:t>
      </w:r>
      <w:r w:rsidR="002506BA" w:rsidRPr="00E97BC8">
        <w:rPr>
          <w:rFonts w:cs="Times New Roman"/>
          <w:kern w:val="0"/>
          <w:sz w:val="22"/>
          <w:szCs w:val="22"/>
        </w:rPr>
        <w:t xml:space="preserve">, </w:t>
      </w:r>
      <w:r w:rsidR="006023A9" w:rsidRPr="00E97BC8">
        <w:rPr>
          <w:rFonts w:cs="Times New Roman"/>
          <w:sz w:val="22"/>
          <w:szCs w:val="22"/>
        </w:rPr>
        <w:t xml:space="preserve">we model the importance of a set of </w:t>
      </w:r>
      <w:r w:rsidR="004E4148" w:rsidRPr="00E97BC8">
        <w:rPr>
          <w:rFonts w:cs="Times New Roman"/>
          <w:sz w:val="22"/>
          <w:szCs w:val="22"/>
        </w:rPr>
        <w:t>reasons for</w:t>
      </w:r>
      <w:r w:rsidR="006023A9" w:rsidRPr="00E97BC8">
        <w:rPr>
          <w:rFonts w:cs="Times New Roman"/>
          <w:sz w:val="22"/>
          <w:szCs w:val="22"/>
        </w:rPr>
        <w:t xml:space="preserve"> the adoption of EVs using a rank-based approach. </w:t>
      </w:r>
      <w:r w:rsidR="00B41653" w:rsidRPr="00E97BC8">
        <w:rPr>
          <w:rFonts w:cs="Times New Roman"/>
          <w:sz w:val="22"/>
          <w:szCs w:val="22"/>
        </w:rPr>
        <w:t>While several studies have examined the characteristics of existing EV owners and their reasons for adopting EVs using descriptive methods</w:t>
      </w:r>
      <w:r w:rsidR="00BC3E13" w:rsidRPr="00E97BC8">
        <w:rPr>
          <w:rFonts w:cs="Times New Roman"/>
          <w:sz w:val="22"/>
          <w:szCs w:val="22"/>
        </w:rPr>
        <w:t>, none have mode</w:t>
      </w:r>
      <w:r w:rsidR="00B41653" w:rsidRPr="00E97BC8">
        <w:rPr>
          <w:rFonts w:cs="Times New Roman"/>
          <w:sz w:val="22"/>
          <w:szCs w:val="22"/>
        </w:rPr>
        <w:t>l</w:t>
      </w:r>
      <w:r w:rsidR="00BC3E13" w:rsidRPr="00E97BC8">
        <w:rPr>
          <w:rFonts w:cs="Times New Roman"/>
          <w:sz w:val="22"/>
          <w:szCs w:val="22"/>
        </w:rPr>
        <w:t>ed</w:t>
      </w:r>
      <w:r w:rsidR="00B41653" w:rsidRPr="00E97BC8">
        <w:rPr>
          <w:rFonts w:cs="Times New Roman"/>
          <w:sz w:val="22"/>
          <w:szCs w:val="22"/>
        </w:rPr>
        <w:t xml:space="preserve"> </w:t>
      </w:r>
      <w:r w:rsidR="00BC3E13" w:rsidRPr="00E97BC8">
        <w:rPr>
          <w:rFonts w:cs="Times New Roman"/>
          <w:sz w:val="22"/>
          <w:szCs w:val="22"/>
        </w:rPr>
        <w:t xml:space="preserve">these </w:t>
      </w:r>
      <w:r w:rsidR="00B41653" w:rsidRPr="00E97BC8">
        <w:rPr>
          <w:rFonts w:cs="Times New Roman"/>
          <w:sz w:val="22"/>
          <w:szCs w:val="22"/>
        </w:rPr>
        <w:t>behavior</w:t>
      </w:r>
      <w:r w:rsidR="00BC3E13" w:rsidRPr="00E97BC8">
        <w:rPr>
          <w:rFonts w:cs="Times New Roman"/>
          <w:sz w:val="22"/>
          <w:szCs w:val="22"/>
        </w:rPr>
        <w:t>s</w:t>
      </w:r>
      <w:r w:rsidR="00B41653" w:rsidRPr="00E97BC8">
        <w:rPr>
          <w:rFonts w:cs="Times New Roman"/>
          <w:sz w:val="22"/>
          <w:szCs w:val="22"/>
        </w:rPr>
        <w:t xml:space="preserve"> systematically </w:t>
      </w:r>
      <w:r w:rsidR="00B41653" w:rsidRPr="00E97BC8">
        <w:rPr>
          <w:rFonts w:cs="Times New Roman"/>
          <w:sz w:val="22"/>
          <w:szCs w:val="22"/>
        </w:rPr>
        <w:fldChar w:fldCharType="begin"/>
      </w:r>
      <w:r w:rsidR="00207B16" w:rsidRPr="00E97BC8">
        <w:rPr>
          <w:rFonts w:cs="Times New Roman"/>
          <w:sz w:val="22"/>
          <w:szCs w:val="22"/>
        </w:rPr>
        <w:instrText xml:space="preserve"> ADDIN ZOTERO_ITEM CSL_CITATION {"citationID":"flDIpH5F","properties":{"unsorted":true,"formattedCitation":"(Vassileva and Campillo, 2017; Anfinsen et al., 2019)","plainCitation":"(Vassileva and Campillo, 2017; Anfinsen et al., 2019)","dontUpdate":true,"noteIndex":0},"citationItems":[{"id":2627,"uris":["http://zotero.org/users/12832277/items/2A9WGVKQ"],"itemData":{"id":2627,"type":"article-journal","abstract":"Electric vehicles are considered as one of the most effective technologies for reducing current greenhouse gas emissions from the transport sector. Although in many countries, local and national governments have introduced incentives and subsidies to facilitate the electric vehicle market penetration, in Sweden, such benefits have been limited. Results from a survey carried out among private owners of electric vehicles are presented in this paper, including the analysis of the respondents socio-demographic characteristics, reasons for choosing an electric vehicle, charging locations and driving preferences, among others. The main results characterize current electric vehicle drivers as male, well-educated, with medium-high income; electric vehicles are used mainly for private purposes and charged at home during night time. Furthermore, the paper presents an analysis of the impact of large-scale penetration of electric vehicles on existing power distribution systems. The findings presented in this paper provide important insights for assuring a sustainable large-scale penetration of electric vehicles by learning from the experiences of early adopters of the technology and by analyzing the impact of different EV penetration scenarios on the power distribution grid.","container-title":"Energy","DOI":"10.1016/j.energy.2016.11.119","ISSN":"0360-5442","page":"632-641","source":"ScienceDirect","title":"Adoption Barriers for Electric Vehicles: Experiences from Early Adopters in Sweden","volume":"120","author":[{"family":"Vassileva","given":"Iana"},{"family":"Campillo","given":"Javier"}],"issued":{"date-parts":[["2017",2,1]]}}},{"id":2632,"uris":["http://zotero.org/users/12832277/items/A45NXK6B"],"itemData":{"id":2632,"type":"article-journal","abstract":"With Norway currently representing one of the few successful electric car markets in the world, our study provides early insights into the emerging electric vehicle culture. In this article, we argue that this culture challenges and modifies previous gendered constructions of cars as well as actual driving practices. When interviewing electric vehicle (EV) owners about the process of buying and owning an EV, we found stereotypical claims of feminine environmentalism and masculine fascination with technology. However, we also observed counter-narratives that destabilise such accounts, reframing the car in more hybrid terms. As a hybrid construction, the EV seems to appeal equally to both women and men, framing their enthusiasm within differently gendered narratives. We also found that owning and using EVs influenced driver identities and actual driving practices. Factors attracting EV users in Norway are many, extending beyond environmental concerns and financial savings. These insights bring crucial nuance to EV user representations and illustrate the significance of cultural inquiries in mobility transitions.","collection-title":"The Roles of Users in Low-Carbon Transport Innovations: Electrified, Automated, and Shared Mobility","container-title":"Transportation Research Part D: Transport and Environment","DOI":"10.1016/j.trd.2018.12.003","ISSN":"1361-9209","page":"37-46","source":"ScienceDirect","title":"Green and Gendered? Cultural Perspectives on the Road Towards Electric Vehicles in Norway","title-short":"Green and Gendered?","volume":"71","author":[{"family":"Anfinsen","given":"Martin"},{"family":"Lagesen","given":"Vivian Anette"},{"family":"Ryghaug","given":"Marianne"}],"issued":{"date-parts":[["2019",6,1]]}}}],"schema":"https://github.com/citation-style-language/schema/raw/master/csl-citation.json"} </w:instrText>
      </w:r>
      <w:r w:rsidR="00B41653" w:rsidRPr="00E97BC8">
        <w:rPr>
          <w:rFonts w:cs="Times New Roman"/>
          <w:sz w:val="22"/>
          <w:szCs w:val="22"/>
        </w:rPr>
        <w:fldChar w:fldCharType="separate"/>
      </w:r>
      <w:r w:rsidR="00B41653" w:rsidRPr="00E97BC8">
        <w:rPr>
          <w:rFonts w:cs="Times New Roman"/>
          <w:sz w:val="22"/>
          <w:szCs w:val="22"/>
        </w:rPr>
        <w:t>(see, for example, Vassileva and Campillo, 2017; Anfinsen et al., 2019)</w:t>
      </w:r>
      <w:r w:rsidR="00B41653" w:rsidRPr="00E97BC8">
        <w:rPr>
          <w:rFonts w:cs="Times New Roman"/>
          <w:sz w:val="22"/>
          <w:szCs w:val="22"/>
        </w:rPr>
        <w:fldChar w:fldCharType="end"/>
      </w:r>
      <w:r w:rsidR="00B41653" w:rsidRPr="00E97BC8">
        <w:rPr>
          <w:rFonts w:cs="Times New Roman"/>
          <w:sz w:val="22"/>
          <w:szCs w:val="22"/>
        </w:rPr>
        <w:t>.</w:t>
      </w:r>
      <w:r w:rsidR="00BC3E13" w:rsidRPr="00E97BC8">
        <w:rPr>
          <w:rFonts w:cs="Times New Roman"/>
          <w:sz w:val="22"/>
          <w:szCs w:val="22"/>
        </w:rPr>
        <w:t xml:space="preserve"> </w:t>
      </w:r>
      <w:r w:rsidR="005A4310" w:rsidRPr="00E97BC8">
        <w:rPr>
          <w:rFonts w:cs="Times New Roman"/>
          <w:sz w:val="22"/>
          <w:szCs w:val="22"/>
        </w:rPr>
        <w:t>We consider a comprehensive set of factors that motivate EV adoptio</w:t>
      </w:r>
      <w:r w:rsidR="00044E98" w:rsidRPr="00E97BC8">
        <w:rPr>
          <w:rFonts w:cs="Times New Roman"/>
          <w:sz w:val="22"/>
          <w:szCs w:val="22"/>
        </w:rPr>
        <w:t xml:space="preserve">n, </w:t>
      </w:r>
      <w:r w:rsidR="005A4310" w:rsidRPr="00E97BC8">
        <w:rPr>
          <w:rFonts w:cs="Times New Roman"/>
          <w:sz w:val="22"/>
          <w:szCs w:val="22"/>
        </w:rPr>
        <w:t xml:space="preserve">including </w:t>
      </w:r>
      <w:r w:rsidR="0015588F" w:rsidRPr="00E97BC8">
        <w:rPr>
          <w:rFonts w:cs="Times New Roman"/>
          <w:sz w:val="22"/>
          <w:szCs w:val="22"/>
        </w:rPr>
        <w:t xml:space="preserve">economic factors (such as </w:t>
      </w:r>
      <w:r w:rsidR="0092223C" w:rsidRPr="00E97BC8">
        <w:rPr>
          <w:rFonts w:cs="Times New Roman"/>
          <w:sz w:val="22"/>
          <w:szCs w:val="22"/>
        </w:rPr>
        <w:t xml:space="preserve">concerns about rising gas prices and </w:t>
      </w:r>
      <w:r w:rsidR="0015588F" w:rsidRPr="00E97BC8">
        <w:rPr>
          <w:rFonts w:cs="Times New Roman"/>
          <w:sz w:val="22"/>
          <w:szCs w:val="22"/>
        </w:rPr>
        <w:t>the availability of incentives), EV interest and experience (</w:t>
      </w:r>
      <w:r w:rsidR="00044E98" w:rsidRPr="00E97BC8">
        <w:rPr>
          <w:rFonts w:cs="Times New Roman"/>
          <w:sz w:val="22"/>
          <w:szCs w:val="22"/>
        </w:rPr>
        <w:t xml:space="preserve">such as </w:t>
      </w:r>
      <w:r w:rsidR="0015588F" w:rsidRPr="00E97BC8">
        <w:rPr>
          <w:rFonts w:cs="Times New Roman"/>
          <w:sz w:val="22"/>
          <w:szCs w:val="22"/>
        </w:rPr>
        <w:t>overall interest in EV technology</w:t>
      </w:r>
      <w:r w:rsidR="00EC3378" w:rsidRPr="00E97BC8">
        <w:rPr>
          <w:rFonts w:cs="Times New Roman"/>
          <w:sz w:val="22"/>
          <w:szCs w:val="22"/>
        </w:rPr>
        <w:t>,</w:t>
      </w:r>
      <w:r w:rsidR="0015588F" w:rsidRPr="00E97BC8">
        <w:rPr>
          <w:rFonts w:cs="Times New Roman"/>
          <w:sz w:val="22"/>
          <w:szCs w:val="22"/>
        </w:rPr>
        <w:t xml:space="preserve"> interest in a specific brand or model</w:t>
      </w:r>
      <w:r w:rsidR="00EC3378" w:rsidRPr="00E97BC8">
        <w:rPr>
          <w:rFonts w:cs="Times New Roman"/>
          <w:sz w:val="22"/>
          <w:szCs w:val="22"/>
        </w:rPr>
        <w:t>, and</w:t>
      </w:r>
      <w:r w:rsidR="0015588F" w:rsidRPr="00E97BC8">
        <w:rPr>
          <w:rFonts w:cs="Times New Roman"/>
          <w:sz w:val="22"/>
          <w:szCs w:val="22"/>
        </w:rPr>
        <w:t xml:space="preserve"> experience through test drives), </w:t>
      </w:r>
      <w:r w:rsidR="006D0E50" w:rsidRPr="00E97BC8">
        <w:rPr>
          <w:rFonts w:cs="Times New Roman"/>
          <w:sz w:val="22"/>
          <w:szCs w:val="22"/>
        </w:rPr>
        <w:t xml:space="preserve">social influence through friends or family, </w:t>
      </w:r>
      <w:r w:rsidR="004E1CA5" w:rsidRPr="00E97BC8">
        <w:rPr>
          <w:rFonts w:cs="Times New Roman"/>
          <w:sz w:val="22"/>
          <w:szCs w:val="22"/>
        </w:rPr>
        <w:t>the ability to charge at home, and concerns about climate change. Further, the</w:t>
      </w:r>
      <w:r w:rsidR="006023A9" w:rsidRPr="00E97BC8">
        <w:rPr>
          <w:rFonts w:cs="Times New Roman"/>
          <w:sz w:val="22"/>
          <w:szCs w:val="22"/>
        </w:rPr>
        <w:t xml:space="preserve"> use of a ranked preference design rather than a first-choice preference design allows more information to be determined from each individual’s selection and is more behaviorally appropriate for a context where the decision may not be driven by a single </w:t>
      </w:r>
      <w:r w:rsidR="00044E98" w:rsidRPr="00E97BC8">
        <w:rPr>
          <w:rFonts w:cs="Times New Roman"/>
          <w:sz w:val="22"/>
          <w:szCs w:val="22"/>
        </w:rPr>
        <w:t xml:space="preserve">motivation </w:t>
      </w:r>
      <w:r w:rsidR="00D30C64" w:rsidRPr="00E97BC8">
        <w:rPr>
          <w:rFonts w:cs="Times New Roman"/>
          <w:sz w:val="22"/>
          <w:szCs w:val="22"/>
        </w:rPr>
        <w:fldChar w:fldCharType="begin"/>
      </w:r>
      <w:r w:rsidR="00D30C64" w:rsidRPr="00E97BC8">
        <w:rPr>
          <w:rFonts w:cs="Times New Roman"/>
          <w:sz w:val="22"/>
          <w:szCs w:val="22"/>
        </w:rPr>
        <w:instrText xml:space="preserve"> ADDIN ZOTERO_ITEM CSL_CITATION {"citationID":"8MuNT3BV","properties":{"unsorted":true,"formattedCitation":"(Nair et al., 2018, 2019)","plainCitation":"(Nair et al., 2018, 2019)","noteIndex":0},"citationItems":[{"id":1990,"uris":["http://zotero.org/users/12832277/items/EU87QJDM"],"itemData":{"id":1990,"type":"article-journal","abstract":"Surveys of behavior could benefit from information about people’s relative ranking of choice alternatives. Rank ordered data are often collected in stated preference surveys where respondents are asked to rank hypothetical alternatives (rather than choose a single alternative) to better understand their relative preferences. Despite the widespread interest in collecting data on and modeling people’s preferences for choice alternatives, rank-ordered data are rarely collected in travel surveys and very little progress has been made in the ability to rigorously model such data and obtain reliable parameter estimates. This paper presents a rank ordered probit modeling approach that overcomes limitations associated with prior approaches in analyzing rank ordered data. The efficacy of the rank ordered probit modeling methodology is demonstrated through an application of the model to understand preferences for alternative configurations of autonomous vehicles (AV) using the 2015 Puget Sound Regional Travel Study survey data set. The methodology offers behaviorally intuitive model results with a variety of socio-economic and demographic characteristics, including age, gender, household income, education, employment and household structure, significantly influencing preference for alternative configurations of AV adoption, ownership, and shared usage. The ability to estimate rank ordered probit models offers a pathway for better utilizing rank ordered data to understand preferences and recognize that choices may not be absolute in many instances.","container-title":"Transportation","DOI":"10.1007/s11116-018-9945-9","ISSN":"1572-9435","issue":"6","language":"en","page":"1623-1637","source":"Springer Link","title":"An Application of a Rank Ordered Probit Modeling Approach to Understanding Level of Interest in Autonomous Vehicles","volume":"45","author":[{"family":"Nair","given":"Gopindra Sivakumar"},{"family":"Astroza","given":"Sebastian"},{"family":"Bhat","given":"Chandra R."},{"family":"Khoeini","given":"Sara"},{"family":"Pendyala","given":"Ram M."}],"issued":{"date-parts":[["2018",11,1]]}}},{"id":1988,"uris":["http://zotero.org/users/12832277/items/4AVVTVZV"],"itemData":{"id":1988,"type":"article-journal","abstract":"In consumer surveys, more information per response regarding preferences of alternatives may be obtained if individuals are asked to rank alternatives instead of being asked to select only the most-preferred alternative. However, the latter method continues to be the common method of preference elicitation. This is because of the belief that ranking of alternatives is cognitively burdensome. In addition, the limited research on modeling ranking data has been based on the rank ordered logit (ROL) model. In this paper, we show that a rank ordered probit (ROP) model can better utilize ranking data information, and that the prevalent view of ranking data as not being reliable (because of the attenuation of model coefficients with rank depth) may be traced to the use of a misspecified ROL model rather than to any cognitive burden considerations.","container-title":"Transportation Research Record","DOI":"10.1177/0361198119838987","ISSN":"0361-1981","issue":"4","language":"en","note":"publisher: SAGE Publications Inc","page":"229-240","source":"SAGE Journals","title":"On the Use of Probit-Based Models for Ranking Data Analysis","volume":"2673","author":[{"family":"Nair","given":"Gopindra S."},{"family":"Bhat","given":"Chandra R."},{"family":"Pendyala","given":"Ram M."},{"family":"Loo","given":"Becky P. Y."},{"family":"Lam","given":"William H. K."}],"issued":{"date-parts":[["2019",4,1]]}}}],"schema":"https://github.com/citation-style-language/schema/raw/master/csl-citation.json"} </w:instrText>
      </w:r>
      <w:r w:rsidR="00D30C64" w:rsidRPr="00E97BC8">
        <w:rPr>
          <w:rFonts w:cs="Times New Roman"/>
          <w:sz w:val="22"/>
          <w:szCs w:val="22"/>
        </w:rPr>
        <w:fldChar w:fldCharType="separate"/>
      </w:r>
      <w:r w:rsidR="001E6A07" w:rsidRPr="00E97BC8">
        <w:rPr>
          <w:rFonts w:cs="Times New Roman"/>
          <w:sz w:val="22"/>
          <w:szCs w:val="22"/>
        </w:rPr>
        <w:t>(Nair et al., 2018, 2019)</w:t>
      </w:r>
      <w:r w:rsidR="00D30C64" w:rsidRPr="00E97BC8">
        <w:rPr>
          <w:rFonts w:cs="Times New Roman"/>
          <w:sz w:val="22"/>
          <w:szCs w:val="22"/>
        </w:rPr>
        <w:fldChar w:fldCharType="end"/>
      </w:r>
      <w:r w:rsidR="006023A9" w:rsidRPr="00E97BC8">
        <w:rPr>
          <w:rFonts w:cs="Times New Roman"/>
          <w:sz w:val="22"/>
          <w:szCs w:val="22"/>
        </w:rPr>
        <w:t xml:space="preserve">, as is the case with EV adoption. </w:t>
      </w:r>
      <w:r w:rsidR="00625C2E" w:rsidRPr="00E97BC8">
        <w:rPr>
          <w:rFonts w:cs="Times New Roman"/>
          <w:sz w:val="22"/>
          <w:szCs w:val="22"/>
          <w:u w:val="single"/>
        </w:rPr>
        <w:t>Third</w:t>
      </w:r>
      <w:r w:rsidR="00625C2E" w:rsidRPr="00E97BC8">
        <w:rPr>
          <w:rFonts w:cs="Times New Roman"/>
          <w:sz w:val="22"/>
          <w:szCs w:val="22"/>
        </w:rPr>
        <w:t>, we include a comprehensive set of exogenous variables</w:t>
      </w:r>
      <w:r w:rsidR="00044E98" w:rsidRPr="00E97BC8">
        <w:rPr>
          <w:rFonts w:cs="Times New Roman"/>
          <w:sz w:val="22"/>
          <w:szCs w:val="22"/>
        </w:rPr>
        <w:t xml:space="preserve"> to accommodate </w:t>
      </w:r>
      <w:r w:rsidR="009738CD" w:rsidRPr="00E97BC8">
        <w:rPr>
          <w:rFonts w:cs="Times New Roman"/>
          <w:sz w:val="22"/>
          <w:szCs w:val="22"/>
        </w:rPr>
        <w:t xml:space="preserve">heterogeneity in EV preferences based on individual </w:t>
      </w:r>
      <w:r w:rsidR="003148A2" w:rsidRPr="00E97BC8">
        <w:rPr>
          <w:rFonts w:cs="Times New Roman"/>
          <w:sz w:val="22"/>
          <w:szCs w:val="22"/>
        </w:rPr>
        <w:t>demographics</w:t>
      </w:r>
      <w:r w:rsidR="00CB790A" w:rsidRPr="00E97BC8">
        <w:rPr>
          <w:rFonts w:cs="Times New Roman"/>
          <w:sz w:val="22"/>
          <w:szCs w:val="22"/>
        </w:rPr>
        <w:t xml:space="preserve"> (such as </w:t>
      </w:r>
      <w:r w:rsidR="003148A2" w:rsidRPr="00E97BC8">
        <w:rPr>
          <w:rFonts w:cs="Times New Roman"/>
          <w:sz w:val="22"/>
          <w:szCs w:val="22"/>
        </w:rPr>
        <w:t>age, race, gender, and educational attainment)</w:t>
      </w:r>
      <w:r w:rsidR="009738CD" w:rsidRPr="00E97BC8">
        <w:rPr>
          <w:rFonts w:cs="Times New Roman"/>
          <w:sz w:val="22"/>
          <w:szCs w:val="22"/>
        </w:rPr>
        <w:t xml:space="preserve">, household </w:t>
      </w:r>
      <w:r w:rsidR="003148A2" w:rsidRPr="00E97BC8">
        <w:rPr>
          <w:rFonts w:cs="Times New Roman"/>
          <w:sz w:val="22"/>
          <w:szCs w:val="22"/>
        </w:rPr>
        <w:t xml:space="preserve">characteristics (including household composition, income, </w:t>
      </w:r>
      <w:r w:rsidR="00A536B2" w:rsidRPr="00E97BC8">
        <w:rPr>
          <w:rFonts w:cs="Times New Roman"/>
          <w:sz w:val="22"/>
          <w:szCs w:val="22"/>
        </w:rPr>
        <w:t>and home ownership status)</w:t>
      </w:r>
      <w:r w:rsidR="009738CD" w:rsidRPr="00E97BC8">
        <w:rPr>
          <w:rFonts w:cs="Times New Roman"/>
          <w:sz w:val="22"/>
          <w:szCs w:val="22"/>
        </w:rPr>
        <w:t xml:space="preserve">, </w:t>
      </w:r>
      <w:r w:rsidR="00D8425D" w:rsidRPr="00E97BC8">
        <w:rPr>
          <w:rFonts w:cs="Times New Roman"/>
          <w:sz w:val="22"/>
          <w:szCs w:val="22"/>
        </w:rPr>
        <w:t xml:space="preserve">and </w:t>
      </w:r>
      <w:r w:rsidR="00A536B2" w:rsidRPr="00E97BC8">
        <w:rPr>
          <w:rFonts w:cs="Times New Roman"/>
          <w:sz w:val="22"/>
          <w:szCs w:val="22"/>
        </w:rPr>
        <w:t xml:space="preserve">characteristics of the </w:t>
      </w:r>
      <w:r w:rsidR="00D8425D" w:rsidRPr="00E97BC8">
        <w:rPr>
          <w:rFonts w:cs="Times New Roman"/>
          <w:sz w:val="22"/>
          <w:szCs w:val="22"/>
        </w:rPr>
        <w:t>home location</w:t>
      </w:r>
      <w:r w:rsidR="00A536B2" w:rsidRPr="00E97BC8">
        <w:rPr>
          <w:rFonts w:cs="Times New Roman"/>
          <w:sz w:val="22"/>
          <w:szCs w:val="22"/>
        </w:rPr>
        <w:t xml:space="preserve"> (including population density, intersection density, and charging density)</w:t>
      </w:r>
      <w:r w:rsidR="00D8425D" w:rsidRPr="00E97BC8">
        <w:rPr>
          <w:rFonts w:cs="Times New Roman"/>
          <w:sz w:val="22"/>
          <w:szCs w:val="22"/>
        </w:rPr>
        <w:t>.</w:t>
      </w:r>
      <w:r w:rsidR="00C05021" w:rsidRPr="00E97BC8">
        <w:rPr>
          <w:rFonts w:cs="Times New Roman"/>
          <w:sz w:val="22"/>
          <w:szCs w:val="22"/>
        </w:rPr>
        <w:t xml:space="preserve"> This allo</w:t>
      </w:r>
      <w:r w:rsidR="000D73A2" w:rsidRPr="00E97BC8">
        <w:rPr>
          <w:rFonts w:cs="Times New Roman"/>
          <w:sz w:val="22"/>
          <w:szCs w:val="22"/>
        </w:rPr>
        <w:t>ws us to determine how overall adoption patter</w:t>
      </w:r>
      <w:r w:rsidR="00CB790A" w:rsidRPr="00E97BC8">
        <w:rPr>
          <w:rFonts w:cs="Times New Roman"/>
          <w:sz w:val="22"/>
          <w:szCs w:val="22"/>
        </w:rPr>
        <w:t>n</w:t>
      </w:r>
      <w:r w:rsidR="000D73A2" w:rsidRPr="00E97BC8">
        <w:rPr>
          <w:rFonts w:cs="Times New Roman"/>
          <w:sz w:val="22"/>
          <w:szCs w:val="22"/>
        </w:rPr>
        <w:t xml:space="preserve">s vary across demographic groups, as well as </w:t>
      </w:r>
      <w:r w:rsidR="00044E98" w:rsidRPr="00E97BC8">
        <w:rPr>
          <w:rFonts w:cs="Times New Roman"/>
          <w:sz w:val="22"/>
          <w:szCs w:val="22"/>
        </w:rPr>
        <w:t xml:space="preserve">capture </w:t>
      </w:r>
      <w:r w:rsidR="000D73A2" w:rsidRPr="00E97BC8">
        <w:rPr>
          <w:rFonts w:cs="Times New Roman"/>
          <w:sz w:val="22"/>
          <w:szCs w:val="22"/>
        </w:rPr>
        <w:t xml:space="preserve">differences in the motivations </w:t>
      </w:r>
      <w:r w:rsidR="00044E98" w:rsidRPr="00E97BC8">
        <w:rPr>
          <w:rFonts w:cs="Times New Roman"/>
          <w:sz w:val="22"/>
          <w:szCs w:val="22"/>
        </w:rPr>
        <w:t xml:space="preserve">across </w:t>
      </w:r>
      <w:r w:rsidR="000D73A2" w:rsidRPr="00E97BC8">
        <w:rPr>
          <w:rFonts w:cs="Times New Roman"/>
          <w:sz w:val="22"/>
          <w:szCs w:val="22"/>
        </w:rPr>
        <w:t>individuals</w:t>
      </w:r>
      <w:r w:rsidR="00044E98" w:rsidRPr="00E97BC8">
        <w:rPr>
          <w:rFonts w:cs="Times New Roman"/>
          <w:sz w:val="22"/>
          <w:szCs w:val="22"/>
        </w:rPr>
        <w:t>, thus enabling the design of customized EV adoption policies directed toward specific population groups</w:t>
      </w:r>
      <w:r w:rsidR="00B4223D" w:rsidRPr="00E97BC8">
        <w:rPr>
          <w:rFonts w:cs="Times New Roman"/>
          <w:sz w:val="22"/>
          <w:szCs w:val="22"/>
        </w:rPr>
        <w:t xml:space="preserve">. </w:t>
      </w:r>
      <w:r w:rsidR="00B244C3" w:rsidRPr="00E97BC8">
        <w:rPr>
          <w:rFonts w:cs="Times New Roman"/>
          <w:kern w:val="0"/>
          <w:sz w:val="22"/>
          <w:szCs w:val="22"/>
          <w:u w:val="single"/>
        </w:rPr>
        <w:t>Fourth</w:t>
      </w:r>
      <w:r w:rsidR="006023A9" w:rsidRPr="00E97BC8">
        <w:rPr>
          <w:rFonts w:cs="Times New Roman"/>
          <w:sz w:val="22"/>
          <w:szCs w:val="22"/>
        </w:rPr>
        <w:t xml:space="preserve">, </w:t>
      </w:r>
      <w:r w:rsidR="002506BA" w:rsidRPr="00E97BC8">
        <w:rPr>
          <w:rFonts w:cs="Times New Roman"/>
          <w:kern w:val="0"/>
          <w:sz w:val="22"/>
          <w:szCs w:val="22"/>
        </w:rPr>
        <w:t xml:space="preserve">we </w:t>
      </w:r>
      <w:r w:rsidR="00152FFD" w:rsidRPr="00E97BC8">
        <w:rPr>
          <w:rFonts w:cs="Times New Roman"/>
          <w:kern w:val="0"/>
          <w:sz w:val="22"/>
          <w:szCs w:val="22"/>
        </w:rPr>
        <w:t xml:space="preserve">consider how attitudes and </w:t>
      </w:r>
      <w:r w:rsidR="00044E98" w:rsidRPr="00E97BC8">
        <w:rPr>
          <w:rFonts w:cs="Times New Roman"/>
          <w:kern w:val="0"/>
          <w:sz w:val="22"/>
          <w:szCs w:val="22"/>
        </w:rPr>
        <w:t xml:space="preserve">EV </w:t>
      </w:r>
      <w:r w:rsidR="00152FFD" w:rsidRPr="00E97BC8">
        <w:rPr>
          <w:rFonts w:cs="Times New Roman"/>
          <w:kern w:val="0"/>
          <w:sz w:val="22"/>
          <w:szCs w:val="22"/>
        </w:rPr>
        <w:t xml:space="preserve">perceptions impact adoption using four latent constructs. </w:t>
      </w:r>
      <w:r w:rsidR="00B66A3B" w:rsidRPr="00E97BC8">
        <w:rPr>
          <w:rFonts w:cs="Times New Roman"/>
          <w:sz w:val="22"/>
          <w:szCs w:val="22"/>
        </w:rPr>
        <w:t xml:space="preserve">Two </w:t>
      </w:r>
      <w:r w:rsidR="00044E98" w:rsidRPr="00E97BC8">
        <w:rPr>
          <w:rFonts w:cs="Times New Roman"/>
          <w:sz w:val="22"/>
          <w:szCs w:val="22"/>
        </w:rPr>
        <w:t>of these correspond to psychological/</w:t>
      </w:r>
      <w:r w:rsidR="00B66A3B" w:rsidRPr="00E97BC8">
        <w:rPr>
          <w:rFonts w:cs="Times New Roman"/>
          <w:sz w:val="22"/>
          <w:szCs w:val="22"/>
        </w:rPr>
        <w:t>lifestyle-related latent constructs</w:t>
      </w:r>
      <w:r w:rsidR="00582110" w:rsidRPr="00E97BC8">
        <w:rPr>
          <w:rFonts w:cs="Times New Roman"/>
          <w:sz w:val="22"/>
          <w:szCs w:val="22"/>
        </w:rPr>
        <w:t>:</w:t>
      </w:r>
      <w:r w:rsidR="00044E98" w:rsidRPr="00E97BC8">
        <w:rPr>
          <w:rFonts w:cs="Times New Roman"/>
          <w:sz w:val="22"/>
          <w:szCs w:val="22"/>
        </w:rPr>
        <w:t xml:space="preserve"> </w:t>
      </w:r>
      <w:r w:rsidR="00143E4F" w:rsidRPr="00E97BC8">
        <w:rPr>
          <w:rFonts w:cs="Times New Roman"/>
          <w:sz w:val="22"/>
          <w:szCs w:val="22"/>
        </w:rPr>
        <w:t xml:space="preserve">(a) </w:t>
      </w:r>
      <w:r w:rsidR="006671EE" w:rsidRPr="00E97BC8">
        <w:rPr>
          <w:rFonts w:cs="Times New Roman"/>
          <w:sz w:val="22"/>
          <w:szCs w:val="22"/>
        </w:rPr>
        <w:t xml:space="preserve">green lifestyle propensity (GLP) </w:t>
      </w:r>
      <w:r w:rsidR="007D3E89" w:rsidRPr="00E97BC8">
        <w:rPr>
          <w:rFonts w:cs="Times New Roman"/>
          <w:sz w:val="22"/>
          <w:szCs w:val="22"/>
        </w:rPr>
        <w:t xml:space="preserve">and </w:t>
      </w:r>
      <w:r w:rsidR="00143E4F" w:rsidRPr="00E97BC8">
        <w:rPr>
          <w:rFonts w:cs="Times New Roman"/>
          <w:sz w:val="22"/>
          <w:szCs w:val="22"/>
        </w:rPr>
        <w:t xml:space="preserve">(b) </w:t>
      </w:r>
      <w:r w:rsidR="006671EE" w:rsidRPr="00E97BC8">
        <w:rPr>
          <w:rFonts w:cs="Times New Roman"/>
          <w:sz w:val="22"/>
          <w:szCs w:val="22"/>
        </w:rPr>
        <w:t xml:space="preserve">vehicle functionality preference (VFP) (VFP refers to the intensity with which </w:t>
      </w:r>
      <w:r w:rsidR="007D3E89" w:rsidRPr="00E97BC8">
        <w:rPr>
          <w:rFonts w:cs="Times New Roman"/>
          <w:sz w:val="22"/>
          <w:szCs w:val="22"/>
        </w:rPr>
        <w:t xml:space="preserve">vehicles </w:t>
      </w:r>
      <w:r w:rsidR="006671EE" w:rsidRPr="00E97BC8">
        <w:rPr>
          <w:rFonts w:cs="Times New Roman"/>
          <w:sz w:val="22"/>
          <w:szCs w:val="22"/>
        </w:rPr>
        <w:t xml:space="preserve">are viewed as serving a </w:t>
      </w:r>
      <w:r w:rsidR="007D3E89" w:rsidRPr="00E97BC8">
        <w:rPr>
          <w:rFonts w:cs="Times New Roman"/>
          <w:sz w:val="22"/>
          <w:szCs w:val="22"/>
        </w:rPr>
        <w:t xml:space="preserve">functional </w:t>
      </w:r>
      <w:r w:rsidR="006671EE" w:rsidRPr="00E97BC8">
        <w:rPr>
          <w:rFonts w:cs="Times New Roman"/>
          <w:sz w:val="22"/>
          <w:szCs w:val="22"/>
        </w:rPr>
        <w:t xml:space="preserve">role </w:t>
      </w:r>
      <w:r w:rsidR="007D3E89" w:rsidRPr="00E97BC8">
        <w:rPr>
          <w:rFonts w:cs="Times New Roman"/>
          <w:sz w:val="22"/>
          <w:szCs w:val="22"/>
        </w:rPr>
        <w:t xml:space="preserve">rather than serving </w:t>
      </w:r>
      <w:r w:rsidR="006671EE" w:rsidRPr="00E97BC8">
        <w:rPr>
          <w:rFonts w:cs="Times New Roman"/>
          <w:sz w:val="22"/>
          <w:szCs w:val="22"/>
        </w:rPr>
        <w:t xml:space="preserve">as a </w:t>
      </w:r>
      <w:r w:rsidR="00043119" w:rsidRPr="00E97BC8">
        <w:rPr>
          <w:rFonts w:cs="Times New Roman"/>
          <w:sz w:val="22"/>
          <w:szCs w:val="22"/>
        </w:rPr>
        <w:t>social status</w:t>
      </w:r>
      <w:r w:rsidR="006671EE" w:rsidRPr="00E97BC8">
        <w:rPr>
          <w:rFonts w:cs="Times New Roman"/>
          <w:sz w:val="22"/>
          <w:szCs w:val="22"/>
        </w:rPr>
        <w:t xml:space="preserve"> s</w:t>
      </w:r>
      <w:r w:rsidR="00747022" w:rsidRPr="00E97BC8">
        <w:rPr>
          <w:rFonts w:cs="Times New Roman"/>
          <w:sz w:val="22"/>
          <w:szCs w:val="22"/>
        </w:rPr>
        <w:t>ymbol)</w:t>
      </w:r>
      <w:r w:rsidR="00582110" w:rsidRPr="00E97BC8">
        <w:rPr>
          <w:rFonts w:cs="Times New Roman"/>
          <w:sz w:val="22"/>
          <w:szCs w:val="22"/>
        </w:rPr>
        <w:t xml:space="preserve">. Both </w:t>
      </w:r>
      <w:r w:rsidR="009B38E0" w:rsidRPr="00E97BC8">
        <w:rPr>
          <w:rFonts w:cs="Times New Roman"/>
          <w:sz w:val="22"/>
          <w:szCs w:val="22"/>
        </w:rPr>
        <w:t xml:space="preserve">of </w:t>
      </w:r>
      <w:r w:rsidR="00582110" w:rsidRPr="00E97BC8">
        <w:rPr>
          <w:rFonts w:cs="Times New Roman"/>
          <w:sz w:val="22"/>
          <w:szCs w:val="22"/>
        </w:rPr>
        <w:t xml:space="preserve">these </w:t>
      </w:r>
      <w:r w:rsidR="00631B7B" w:rsidRPr="00E97BC8">
        <w:rPr>
          <w:rFonts w:cs="Times New Roman"/>
          <w:sz w:val="22"/>
          <w:szCs w:val="22"/>
        </w:rPr>
        <w:t>factors ha</w:t>
      </w:r>
      <w:r w:rsidR="009B38E0" w:rsidRPr="00E97BC8">
        <w:rPr>
          <w:rFonts w:cs="Times New Roman"/>
          <w:sz w:val="22"/>
          <w:szCs w:val="22"/>
        </w:rPr>
        <w:t>ve</w:t>
      </w:r>
      <w:r w:rsidR="00631B7B" w:rsidRPr="00E97BC8">
        <w:rPr>
          <w:rFonts w:cs="Times New Roman"/>
          <w:sz w:val="22"/>
          <w:szCs w:val="22"/>
        </w:rPr>
        <w:t xml:space="preserve"> been shown in existing studies to influence adoption behaviors</w:t>
      </w:r>
      <w:r w:rsidR="00954190" w:rsidRPr="00E97BC8">
        <w:rPr>
          <w:rFonts w:cs="Times New Roman"/>
          <w:sz w:val="22"/>
          <w:szCs w:val="22"/>
        </w:rPr>
        <w:t xml:space="preserve"> </w:t>
      </w:r>
      <w:r w:rsidR="00954190" w:rsidRPr="00E97BC8">
        <w:rPr>
          <w:rFonts w:cs="Times New Roman"/>
          <w:sz w:val="22"/>
          <w:szCs w:val="22"/>
        </w:rPr>
        <w:fldChar w:fldCharType="begin"/>
      </w:r>
      <w:r w:rsidR="00954190" w:rsidRPr="00E97BC8">
        <w:rPr>
          <w:rFonts w:cs="Times New Roman"/>
          <w:sz w:val="22"/>
          <w:szCs w:val="22"/>
        </w:rPr>
        <w:instrText xml:space="preserve"> ADDIN ZOTERO_ITEM CSL_CITATION {"citationID":"vLVZgT7z","properties":{"unsorted":true,"formattedCitation":"(Adnan et al., 2018; Deka et al., 2023; Buhmann et al., 2024)","plainCitation":"(Adnan et al., 2018; Deka et al., 2023; Buhmann et al., 2024)","noteIndex":0},"citationItems":[{"id":2451,"uris":["http://zotero.org/users/12832277/items/56HL3EK9"],"itemData":{"id":2451,"type":"article-journal","abstract":"Malaysia is amongst the major energy intense countries and is under an excessive burden to advance its energy efficiency and to also work towards the reduction of its carbon emission. Plug-in Hybrid Electric Vehicles (PHEVs) have the potential to lessen the carbon emission and gasoline consumption in order to alleviate environmental problems. Consequently, attempts are being initiated to popularise the use of PHEVs as the main mode of transportation. The diffusion of PHEV adoption is a positive initiative. A sample of 403 respondents has been collected from Malaysia in order to forecast the customer’s intention to adopt PHEVs by using the extended theory of planned behaviour. The empirical outcome using the PLS investigation exposed that all four constructs, subjective norm, personal moral norm, perceived behavioural control, and attitude ominously shows an indirect effect which has inclined towards the Malaysian consumers’ intention to adopt PHEVs. All these four major constructs were significantly predetermined by their respective environmental concern. Whereas, hyperbolic discounting moderated the relationship between intention and adoption. The fostering result verifies that the relevance of the extended TPB had a good explanatory power in the line of predicting the Malaysian consumers’ intention to adopt PHEVs. For future study, grounded by the observed outcome, authors explain the implication aimed at promoting the PHEV adoption.","container-title":"Transportation Research Part A: Policy and Practice","DOI":"10.1016/j.tra.2018.04.007","ISSN":"0965-8564","page":"259-278","source":"ScienceDirect","title":"What Make Consumer Sign up to PHEVs? Predicting Malaysian Consumer Behavior in Adoption of PHEVs","title-short":"What Make Consumer Sign up to Phevs?","volume":"113","author":[{"family":"Adnan","given":"Nadia"},{"family":"Md Nordin","given":"Shahrina"},{"family":"Hadi Amini","given":"M."},{"family":"Langove","given":"Naseebullah"}],"issued":{"date-parts":[["2018",7,1]]}}},{"id":1481,"uris":["http://zotero.org/users/12832277/items/ANYACNGK"],"itemData":{"id":1481,"type":"article-journal","abstract":"With the rising demands for personal vehicles of the growing middle class in India, their increasing quest for comfort and social status, the emissions from road transportation are increasing manifold times. To fulfil the dual need of increasing personal demand as well as lower vehicular emissions, it is important to replace all future vehicle purchase with purchase of electric vehicles (EVs). This study analyses the socio-psychological de­ terminants of the process by which an individual might develop an intention to buy an EV in the near future. Using Structural Equation Modeling and mediation analysis, the interrelationships between the Theory of Planned Behavior (TPB) constructs along with three additional constructs, ‘‘cost’, ‘herd behavior’, and ‘personal norm’ are analyzed and several direct and indirect pathways in which intentions possibly form in people’s mind are outlined. Subjective norms followed by perceived behavioral control emerge as the significant and direct intention formation pathway. Though cost, herd behavior, and personal norms alone do not influence intention formation, these factors mediates the TPB variables in forming intention to adopt EVs. Hence, the current EV promotion policies, primarily focused on subsidies need to be complemented with other attitudinal and normbased nudges to promote faster EV adoption in India.","container-title":"Energy Policy","DOI":"10.1016/j.enpol.2023.113724","ISSN":"03014215","language":"en","source":"DOI.org (Crossref)","title":"Can Gain Motivation Induce Indians to Adopt Electric Vehicles? Application of an Extended Theory of Planned Behavior to Map EV Adoption Intention","title-short":"Can Gain Motivation Induce Indians to Adopt Electric Vehicles?","URL":"https://linkinghub.elsevier.com/retrieve/pii/S0301421523003099","volume":"182","author":[{"family":"Deka","given":"Chayasmita"},{"family":"Dutta","given":"Mrinal Kanti"},{"family":"Yazdanpanah","given":"Masoud"},{"family":"Komendantova","given":"Nadejda"}],"accessed":{"date-parts":[["2023",12,1]]},"issued":{"date-parts":[["2023",11]]}}},{"id":2694,"uris":["http://zotero.org/users/12832277/items/AJEDZHRX"],"itemData":{"id":2694,"type":"article-journal","abstract":"Societies worldwide are under increasing pressure to reduce carbon footprints, combat air pollution, and address climate change. Battery electric vehicles (BEVs) represent a sustainable transportation solution to mitigate environmental issues. Despite growing consumer demand, BEV adoption rates remain relatively low. This study extends the theory of planned behavior to analyze factors influencing consumer adoption intentions for BEVs in Spain. The research incorporates the constructs Attitude, Perceived Behavioral Control, Subjective Norm, Moral Norm, Environmental Concern, and a unique consumer ‘profile’ dimension comprising experience, education, and gender, alongside the moderating variable of ‘price sensitivity’. This study comprises 1816 responses collected through an online survey, and it utilized the partial least squares structural equation model. The empirical findings indicate that Attitude, Perceived Behavioral Control, Subjective Norm, and Moral Norm significantly impact consumer adoption intention. Attitude emerges as the strongest influencer, emphasizing the significance of personal beliefs. Environmental Concern suggests environmentally conscious consumers may lean toward BEV adoption due to positive attitudes. The ‘profile’ dimension does not affect the relationship toward adoption intention. Price sensitivity moderates these relationships, indicating pricing strategies and incentives could significantly influence BEV adoption decisions. These findings offer practical guidance for governments and manufacturers aiming to promote sustainable, eco-friendly transportation methods in the face of global environmental challenges.","container-title":"Sustainability","DOI":"10.3390/su16031284","ISSN":"2071-1050","issue":"3","language":"en","license":"http://creativecommons.org/licenses/by/3.0/","note":"number: 3\npublisher: Multidisciplinary Digital Publishing Institute","source":"www.mdpi.com","title":"Predicting Consumer Intention to Adopt Battery Electric Vehicles: Extending the Theory of Planned Behavior","URL":"https://www.mdpi.com/2071-1050/16/3/1284","volume":"16","author":[{"family":"Buhmann","given":"Kathrin Monika"},{"family":"Rialp-Criado","given":"Josep"},{"family":"Rialp-Criado","given":"Alex"}],"accessed":{"date-parts":[["2024",2,28]]},"issued":{"date-parts":[["2024",1]]}}}],"schema":"https://github.com/citation-style-language/schema/raw/master/csl-citation.json"} </w:instrText>
      </w:r>
      <w:r w:rsidR="00954190" w:rsidRPr="00E97BC8">
        <w:rPr>
          <w:rFonts w:cs="Times New Roman"/>
          <w:sz w:val="22"/>
          <w:szCs w:val="22"/>
        </w:rPr>
        <w:fldChar w:fldCharType="separate"/>
      </w:r>
      <w:r w:rsidR="001E6A07" w:rsidRPr="00E97BC8">
        <w:rPr>
          <w:rFonts w:cs="Times New Roman"/>
          <w:sz w:val="22"/>
          <w:szCs w:val="22"/>
        </w:rPr>
        <w:t>(Adnan et al., 2018; Deka et al., 2023; Buhmann et al., 2024)</w:t>
      </w:r>
      <w:r w:rsidR="00954190" w:rsidRPr="00E97BC8">
        <w:rPr>
          <w:rFonts w:cs="Times New Roman"/>
          <w:sz w:val="22"/>
          <w:szCs w:val="22"/>
        </w:rPr>
        <w:fldChar w:fldCharType="end"/>
      </w:r>
      <w:r w:rsidR="00043119" w:rsidRPr="00E97BC8">
        <w:rPr>
          <w:rFonts w:cs="Times New Roman"/>
          <w:sz w:val="22"/>
          <w:szCs w:val="22"/>
        </w:rPr>
        <w:t>.</w:t>
      </w:r>
      <w:r w:rsidR="00E94AE6" w:rsidRPr="00E97BC8">
        <w:rPr>
          <w:rFonts w:cs="Times New Roman"/>
          <w:sz w:val="22"/>
          <w:szCs w:val="22"/>
        </w:rPr>
        <w:t xml:space="preserve"> </w:t>
      </w:r>
      <w:r w:rsidR="00043119" w:rsidRPr="00E97BC8">
        <w:rPr>
          <w:rFonts w:cs="Times New Roman"/>
          <w:sz w:val="22"/>
          <w:szCs w:val="22"/>
        </w:rPr>
        <w:t>The</w:t>
      </w:r>
      <w:r w:rsidR="009C23EE" w:rsidRPr="00E97BC8">
        <w:rPr>
          <w:rFonts w:cs="Times New Roman"/>
          <w:sz w:val="22"/>
          <w:szCs w:val="22"/>
        </w:rPr>
        <w:t xml:space="preserve"> other two </w:t>
      </w:r>
      <w:r w:rsidR="009762EA" w:rsidRPr="00E97BC8">
        <w:rPr>
          <w:rFonts w:cs="Times New Roman"/>
          <w:sz w:val="22"/>
          <w:szCs w:val="22"/>
        </w:rPr>
        <w:t xml:space="preserve">latent constructs </w:t>
      </w:r>
      <w:r w:rsidR="00601D4B" w:rsidRPr="00E97BC8">
        <w:rPr>
          <w:rFonts w:cs="Times New Roman"/>
          <w:sz w:val="22"/>
          <w:szCs w:val="22"/>
        </w:rPr>
        <w:t xml:space="preserve">are </w:t>
      </w:r>
      <w:r w:rsidR="009C23EE" w:rsidRPr="00E97BC8">
        <w:rPr>
          <w:rFonts w:cs="Times New Roman"/>
          <w:sz w:val="22"/>
          <w:szCs w:val="22"/>
        </w:rPr>
        <w:t>more closely associate</w:t>
      </w:r>
      <w:r w:rsidR="00C60C3E" w:rsidRPr="00E97BC8">
        <w:rPr>
          <w:rFonts w:cs="Times New Roman"/>
          <w:sz w:val="22"/>
          <w:szCs w:val="22"/>
        </w:rPr>
        <w:t>d</w:t>
      </w:r>
      <w:r w:rsidR="009C23EE" w:rsidRPr="00E97BC8">
        <w:rPr>
          <w:rFonts w:cs="Times New Roman"/>
          <w:sz w:val="22"/>
          <w:szCs w:val="22"/>
        </w:rPr>
        <w:t xml:space="preserve"> with the contextual and </w:t>
      </w:r>
      <w:r w:rsidR="00BB7518" w:rsidRPr="00E97BC8">
        <w:rPr>
          <w:rFonts w:cs="Times New Roman"/>
          <w:sz w:val="22"/>
          <w:szCs w:val="22"/>
        </w:rPr>
        <w:t xml:space="preserve">technological </w:t>
      </w:r>
      <w:r w:rsidR="009C23EE" w:rsidRPr="00E97BC8">
        <w:rPr>
          <w:rFonts w:cs="Times New Roman"/>
          <w:sz w:val="22"/>
          <w:szCs w:val="22"/>
        </w:rPr>
        <w:t>factors discussed earlier</w:t>
      </w:r>
      <w:r w:rsidR="00143E4F" w:rsidRPr="00E97BC8">
        <w:rPr>
          <w:rFonts w:cs="Times New Roman"/>
          <w:sz w:val="22"/>
          <w:szCs w:val="22"/>
        </w:rPr>
        <w:t xml:space="preserve">: (a) </w:t>
      </w:r>
      <w:r w:rsidR="009C23EE" w:rsidRPr="00E97BC8">
        <w:rPr>
          <w:rFonts w:cs="Times New Roman"/>
          <w:sz w:val="22"/>
          <w:szCs w:val="22"/>
        </w:rPr>
        <w:t xml:space="preserve">EV (relative to ICEV) </w:t>
      </w:r>
      <w:r w:rsidR="00143E4F" w:rsidRPr="00E97BC8">
        <w:rPr>
          <w:rFonts w:cs="Times New Roman"/>
          <w:sz w:val="22"/>
          <w:szCs w:val="22"/>
        </w:rPr>
        <w:t xml:space="preserve">cost and maintenance </w:t>
      </w:r>
      <w:r w:rsidR="00747022" w:rsidRPr="00E97BC8">
        <w:rPr>
          <w:rFonts w:cs="Times New Roman"/>
          <w:sz w:val="22"/>
          <w:szCs w:val="22"/>
        </w:rPr>
        <w:t>perception (CMP)</w:t>
      </w:r>
      <w:r w:rsidR="00143E4F" w:rsidRPr="00E97BC8">
        <w:rPr>
          <w:rFonts w:cs="Times New Roman"/>
          <w:sz w:val="22"/>
          <w:szCs w:val="22"/>
        </w:rPr>
        <w:t xml:space="preserve">, and (b) EV battery </w:t>
      </w:r>
      <w:r w:rsidR="00107843" w:rsidRPr="00E97BC8">
        <w:rPr>
          <w:rFonts w:cs="Times New Roman"/>
          <w:sz w:val="22"/>
          <w:szCs w:val="22"/>
        </w:rPr>
        <w:t xml:space="preserve">range </w:t>
      </w:r>
      <w:r w:rsidR="006031C6" w:rsidRPr="00E97BC8">
        <w:rPr>
          <w:rFonts w:cs="Times New Roman"/>
          <w:sz w:val="22"/>
          <w:szCs w:val="22"/>
        </w:rPr>
        <w:t xml:space="preserve">and </w:t>
      </w:r>
      <w:r w:rsidR="00107843" w:rsidRPr="00E97BC8">
        <w:rPr>
          <w:rFonts w:cs="Times New Roman"/>
          <w:sz w:val="22"/>
          <w:szCs w:val="22"/>
        </w:rPr>
        <w:t xml:space="preserve">charging </w:t>
      </w:r>
      <w:r w:rsidR="00747022" w:rsidRPr="00E97BC8">
        <w:rPr>
          <w:rFonts w:cs="Times New Roman"/>
          <w:sz w:val="22"/>
          <w:szCs w:val="22"/>
        </w:rPr>
        <w:t>perception (BRP)</w:t>
      </w:r>
      <w:r w:rsidR="00107978" w:rsidRPr="00E97BC8">
        <w:rPr>
          <w:rFonts w:cs="Times New Roman"/>
          <w:sz w:val="22"/>
          <w:szCs w:val="22"/>
        </w:rPr>
        <w:t>.</w:t>
      </w:r>
      <w:r w:rsidR="00631B7B" w:rsidRPr="00E97BC8">
        <w:rPr>
          <w:rFonts w:cs="Times New Roman"/>
          <w:sz w:val="22"/>
          <w:szCs w:val="22"/>
        </w:rPr>
        <w:t xml:space="preserve"> Given that several studies have </w:t>
      </w:r>
      <w:r w:rsidR="00A818E9" w:rsidRPr="00E97BC8">
        <w:rPr>
          <w:rFonts w:cs="Times New Roman"/>
          <w:sz w:val="22"/>
          <w:szCs w:val="22"/>
        </w:rPr>
        <w:t>found</w:t>
      </w:r>
      <w:r w:rsidR="009C23EE" w:rsidRPr="00E97BC8">
        <w:rPr>
          <w:rFonts w:cs="Times New Roman"/>
          <w:sz w:val="22"/>
          <w:szCs w:val="22"/>
        </w:rPr>
        <w:t xml:space="preserve"> widespread </w:t>
      </w:r>
      <w:r w:rsidR="00631B7B" w:rsidRPr="00E97BC8">
        <w:rPr>
          <w:rFonts w:cs="Times New Roman"/>
          <w:sz w:val="22"/>
          <w:szCs w:val="22"/>
        </w:rPr>
        <w:t>misconceptions about EV</w:t>
      </w:r>
      <w:r w:rsidR="00DC4652" w:rsidRPr="00E97BC8">
        <w:rPr>
          <w:rFonts w:cs="Times New Roman"/>
          <w:sz w:val="22"/>
          <w:szCs w:val="22"/>
        </w:rPr>
        <w:t xml:space="preserve"> features</w:t>
      </w:r>
      <w:r w:rsidR="0030647A" w:rsidRPr="00E97BC8">
        <w:rPr>
          <w:rFonts w:cs="Times New Roman"/>
          <w:sz w:val="22"/>
          <w:szCs w:val="22"/>
        </w:rPr>
        <w:t xml:space="preserve"> </w:t>
      </w:r>
      <w:r w:rsidR="0030647A" w:rsidRPr="00E97BC8">
        <w:rPr>
          <w:rFonts w:cs="Times New Roman"/>
          <w:sz w:val="22"/>
          <w:szCs w:val="22"/>
        </w:rPr>
        <w:fldChar w:fldCharType="begin"/>
      </w:r>
      <w:r w:rsidR="00DE77B7" w:rsidRPr="00E97BC8">
        <w:rPr>
          <w:rFonts w:cs="Times New Roman"/>
          <w:sz w:val="22"/>
          <w:szCs w:val="22"/>
        </w:rPr>
        <w:instrText xml:space="preserve"> ADDIN ZOTERO_ITEM CSL_CITATION {"citationID":"c5nQNAgG","properties":{"formattedCitation":"(He et al., 2018; Kautish et al., 2024)","plainCitation":"(He et al., 2018; Kautish et al., 2024)","dontUpdate":true,"noteIndex":0},"citationItems":[{"id":2473,"uris":["http://zotero.org/users/12832277/items/ZQLPT8S6"],"itemData":{"id":2473,"type":"article-journal","abstract":"Electric vehicles (EVs) have been developed rapidly with the strong support of governments in recent years, but the market share of EVs is still small in China and the vast majority of Chinese consumers hesitate to adopt them. Thus, for the successful development of EVs, this paper proposes a personality-perception-intention framework to explore consumers' EV adoption behavior. The research model is empirically tested with data collected from 369 participants in China. Results indicate that the EV purchase intention can be explained 57.1% variance by consumer perception and personality. Two types of personality, such as personal innovativeness and environmental concern, significantly affect EV purchase intention directly. They are also significantly mediated by two kinds of perceptions (i.e. positive and negative utilities). The findings give a deeper understanding of EV adoption behavior, and provide recommendations for policymakers and manufacturers on promoting EVs.","container-title":"Journal of Cleaner Production","DOI":"10.1016/j.jclepro.2018.08.260","ISSN":"0959-6526","page":"1060-1069","source":"ScienceDirect","title":"Consumer Purchase Intention of Electric Vehicles in China: The Roles of Perception and Personality","title-short":"Consumer Purchase Intention of Electric Vehicles in China","volume":"204","author":[{"family":"He","given":"Xiuhong"},{"family":"Zhan","given":"Wenjie"},{"family":"Hu","given":"Yingying"}],"issued":{"date-parts":[["2018",12,10]]}}},{"id":2561,"uris":["http://zotero.org/users/12832277/items/HAYIUK7X"],"itemData":{"id":2561,"type":"article-journal","abstract":"Worldwide, the adoption of electric automobiles is gaining momentum, owing to a steady rise in customers’ sustainability consciousness. So far, electric vehicle-related studies have investigated consumer motives, attitudes, and intentions toward adoption. However, empirical research on enablers and inhibitors of electric vehicle choice behaviour has not been fully explored, particularly in an emerging market context, (e.g., India). The present study employed a judicious mix of three notable theoretical lenses of dual-factor theory, innovation resistance theory, and the stimulus-organism-response model to empirically scrutinize electric vehicle adoption enablers and inhibitors by analysing data collected from 391 young Indian sustainability-oriented electric vehicle users. The sample was gathered via the purposive sampling method, and the data was analysed employing structural equation and PROCESS macro modelling. The research posits that consumer sustainability consciousness (CSC) is a stimulus with a positive influence on enablers (e.g., personal motives, social motives, and incentive policy) as well as inhibitors (e.g., usage, value, and risk barriers). Additionally, product involvement and perceived marketplace influence significantly moderate the relationship between choice behaviour and facilitators and inhibitors. The research offers a few useful strategic decision-making insights for electric vehicle manufacturers, green marketers, and policymakers from emerging markets.","container-title":"Journal of Environmental Management","DOI":"10.1016/j.jenvman.2024.120250","ISSN":"0301-4797","source":"ScienceDirect","title":"Electric Vehicles’ Choice Behaviour: An Emerging Market Scenario","URL":"https://www.sciencedirect.com/science/article/pii/S0301479724002366","volume":"354","author":[{"family":"Kautish","given":"Pradeep"},{"family":"Lavuri","given":"Rambabu"},{"family":"Roubaud","given":"David"},{"family":"Grebinevych","given":"Oksana"}],"accessed":{"date-parts":[["2024",2,23]]},"issued":{"date-parts":[["2024",3,1]]}}}],"schema":"https://github.com/citation-style-language/schema/raw/master/csl-citation.json"} </w:instrText>
      </w:r>
      <w:r w:rsidR="0030647A" w:rsidRPr="00E97BC8">
        <w:rPr>
          <w:rFonts w:cs="Times New Roman"/>
          <w:sz w:val="22"/>
          <w:szCs w:val="22"/>
        </w:rPr>
        <w:fldChar w:fldCharType="separate"/>
      </w:r>
      <w:r w:rsidR="0030647A" w:rsidRPr="00E97BC8">
        <w:rPr>
          <w:rFonts w:cs="Times New Roman"/>
          <w:sz w:val="22"/>
          <w:szCs w:val="22"/>
        </w:rPr>
        <w:t>(</w:t>
      </w:r>
      <w:r w:rsidR="00A61B60" w:rsidRPr="00E97BC8">
        <w:rPr>
          <w:rFonts w:cs="Times New Roman"/>
          <w:sz w:val="22"/>
          <w:szCs w:val="22"/>
        </w:rPr>
        <w:t xml:space="preserve">see </w:t>
      </w:r>
      <w:r w:rsidR="0030647A" w:rsidRPr="00E97BC8">
        <w:rPr>
          <w:rFonts w:cs="Times New Roman"/>
          <w:sz w:val="22"/>
          <w:szCs w:val="22"/>
        </w:rPr>
        <w:t>He et al., 2018; Kautish et al., 2024)</w:t>
      </w:r>
      <w:r w:rsidR="0030647A" w:rsidRPr="00E97BC8">
        <w:rPr>
          <w:rFonts w:cs="Times New Roman"/>
          <w:sz w:val="22"/>
          <w:szCs w:val="22"/>
        </w:rPr>
        <w:fldChar w:fldCharType="end"/>
      </w:r>
      <w:r w:rsidR="00DC4652" w:rsidRPr="00E97BC8">
        <w:rPr>
          <w:rFonts w:cs="Times New Roman"/>
          <w:sz w:val="22"/>
          <w:szCs w:val="22"/>
        </w:rPr>
        <w:t xml:space="preserve">, considering individual perceptions </w:t>
      </w:r>
      <w:r w:rsidR="009C23EE" w:rsidRPr="00E97BC8">
        <w:rPr>
          <w:rFonts w:cs="Times New Roman"/>
          <w:sz w:val="22"/>
          <w:szCs w:val="22"/>
        </w:rPr>
        <w:t>associated with contextual/</w:t>
      </w:r>
      <w:r w:rsidR="00BB7518" w:rsidRPr="00E97BC8">
        <w:rPr>
          <w:rFonts w:cs="Times New Roman"/>
          <w:sz w:val="22"/>
          <w:szCs w:val="22"/>
        </w:rPr>
        <w:t xml:space="preserve">technological </w:t>
      </w:r>
      <w:r w:rsidR="009C23EE" w:rsidRPr="00E97BC8">
        <w:rPr>
          <w:rFonts w:cs="Times New Roman"/>
          <w:sz w:val="22"/>
          <w:szCs w:val="22"/>
        </w:rPr>
        <w:t xml:space="preserve">factors </w:t>
      </w:r>
      <w:r w:rsidR="00DC4652" w:rsidRPr="00E97BC8">
        <w:rPr>
          <w:rFonts w:cs="Times New Roman"/>
          <w:sz w:val="22"/>
          <w:szCs w:val="22"/>
        </w:rPr>
        <w:t>directly is more likely to reflect how individuals are actually making adoption decisions</w:t>
      </w:r>
      <w:r w:rsidR="00122F9C" w:rsidRPr="00E97BC8">
        <w:rPr>
          <w:rFonts w:cs="Times New Roman"/>
          <w:sz w:val="22"/>
          <w:szCs w:val="22"/>
        </w:rPr>
        <w:t>.</w:t>
      </w:r>
      <w:r w:rsidR="00107978" w:rsidRPr="00E97BC8">
        <w:rPr>
          <w:rFonts w:cs="Times New Roman"/>
          <w:sz w:val="22"/>
          <w:szCs w:val="22"/>
        </w:rPr>
        <w:t xml:space="preserve"> </w:t>
      </w:r>
      <w:bookmarkStart w:id="9" w:name="_Hlk199921225"/>
      <w:bookmarkStart w:id="10" w:name="_Hlk198559228"/>
      <w:r w:rsidR="00406A94" w:rsidRPr="00E97BC8">
        <w:rPr>
          <w:rFonts w:cs="Times New Roman"/>
          <w:sz w:val="22"/>
          <w:szCs w:val="22"/>
          <w:u w:val="single"/>
        </w:rPr>
        <w:t>Fifth</w:t>
      </w:r>
      <w:r w:rsidR="00406A94" w:rsidRPr="00E97BC8">
        <w:rPr>
          <w:rFonts w:cs="Times New Roman"/>
          <w:sz w:val="22"/>
          <w:szCs w:val="22"/>
        </w:rPr>
        <w:t xml:space="preserve">, </w:t>
      </w:r>
      <w:r w:rsidR="00406A94" w:rsidRPr="00E97BC8">
        <w:rPr>
          <w:rFonts w:cs="Times New Roman"/>
          <w:kern w:val="0"/>
          <w:sz w:val="22"/>
          <w:szCs w:val="22"/>
        </w:rPr>
        <w:t xml:space="preserve">we model the adoption dimension and ranked importance of factors contributing to adoption together in a joint model that accommodates unobserved correlation effects between adoption and </w:t>
      </w:r>
      <w:r w:rsidR="00AD4DD9" w:rsidRPr="00E97BC8">
        <w:rPr>
          <w:rFonts w:cs="Times New Roman"/>
          <w:kern w:val="0"/>
          <w:sz w:val="22"/>
          <w:szCs w:val="22"/>
        </w:rPr>
        <w:t>the ranked importance of factors</w:t>
      </w:r>
      <w:r w:rsidR="00406A94" w:rsidRPr="00E97BC8">
        <w:rPr>
          <w:rFonts w:cs="Times New Roman"/>
          <w:kern w:val="0"/>
          <w:sz w:val="22"/>
          <w:szCs w:val="22"/>
        </w:rPr>
        <w:t xml:space="preserve">. This allows for the possibility of “self-selection” effects among EV owners (that is, existing EV owners may be more likely to prioritize some reasons for choosing EVs than those who have yet to adopt), enabling us </w:t>
      </w:r>
      <w:r w:rsidR="00406A94" w:rsidRPr="00E97BC8">
        <w:rPr>
          <w:rFonts w:cs="Times New Roman"/>
          <w:sz w:val="22"/>
          <w:szCs w:val="22"/>
        </w:rPr>
        <w:t>to identify the importance of EV adoption motivation factors for any individual in the general population, regardless of whether an individual currently owns an EV or not.</w:t>
      </w:r>
      <w:r w:rsidR="00406A94" w:rsidRPr="00E97BC8">
        <w:rPr>
          <w:rFonts w:cs="Times New Roman"/>
          <w:kern w:val="0"/>
          <w:sz w:val="22"/>
          <w:szCs w:val="22"/>
        </w:rPr>
        <w:t xml:space="preserve"> For instance, an individual who has an intrinsically elevated preference for sustainability </w:t>
      </w:r>
      <w:r w:rsidR="00406A94" w:rsidRPr="00E97BC8">
        <w:rPr>
          <w:rFonts w:cs="Times New Roman"/>
          <w:sz w:val="22"/>
          <w:szCs w:val="22"/>
        </w:rPr>
        <w:t xml:space="preserve">(say an unobserved factor) </w:t>
      </w:r>
      <w:r w:rsidR="00406A94" w:rsidRPr="00E97BC8">
        <w:rPr>
          <w:rFonts w:cs="Times New Roman"/>
          <w:kern w:val="0"/>
          <w:sz w:val="22"/>
          <w:szCs w:val="22"/>
        </w:rPr>
        <w:t xml:space="preserve">will be more likely to adopt EVs overall, and to do so specifically because they have concerns about climate change. </w:t>
      </w:r>
      <w:r w:rsidR="00406A94" w:rsidRPr="00E97BC8">
        <w:rPr>
          <w:rFonts w:cs="Times New Roman"/>
          <w:sz w:val="22"/>
          <w:szCs w:val="22"/>
        </w:rPr>
        <w:t>If the EV adoption and EV adoption motivation reasons are modeled independently ignoring the correlation due to the “sustainability</w:t>
      </w:r>
      <w:r w:rsidR="00AD4DD9" w:rsidRPr="00E97BC8">
        <w:rPr>
          <w:rFonts w:cs="Times New Roman"/>
          <w:sz w:val="22"/>
          <w:szCs w:val="22"/>
        </w:rPr>
        <w:t xml:space="preserve"> preference</w:t>
      </w:r>
      <w:r w:rsidR="00406A94" w:rsidRPr="00E97BC8">
        <w:rPr>
          <w:rFonts w:cs="Times New Roman"/>
          <w:sz w:val="22"/>
          <w:szCs w:val="22"/>
        </w:rPr>
        <w:t xml:space="preserve">” unobserved factor, concerns about climate change (as a motivating reason for EV adoption) would be overestimated for any random individual in the population (who would not be as sustainability-concerned as an EV adopter). At an aggregate population level (of current EV owners and current EV non-owners), the result would then be an overestimation of the true benefits of highlighting environmental benefits as a way to promote EV adoption, potentially leading to misinformed policy investments. By estimating the EV adoption and EV motivating factors jointly (that is, accounting for the sample selection in EV motivating factors based on EV adoption, as caused by common unobserved </w:t>
      </w:r>
      <w:r w:rsidR="00406A94" w:rsidRPr="00E97BC8">
        <w:rPr>
          <w:rFonts w:cs="Times New Roman"/>
          <w:sz w:val="22"/>
          <w:szCs w:val="22"/>
        </w:rPr>
        <w:lastRenderedPageBreak/>
        <w:t>effects), however, we are able to more accurately identify the EV motivating factors for any member of the general population, allowing informed policy investments to promote EV adoption.</w:t>
      </w:r>
      <w:bookmarkStart w:id="11" w:name="_Hlk195786374"/>
      <w:r w:rsidR="002E109A" w:rsidRPr="00E97BC8">
        <w:rPr>
          <w:rFonts w:cs="Times New Roman"/>
          <w:sz w:val="22"/>
          <w:szCs w:val="22"/>
        </w:rPr>
        <w:t xml:space="preserve"> </w:t>
      </w:r>
      <w:bookmarkEnd w:id="9"/>
      <w:bookmarkEnd w:id="10"/>
      <w:bookmarkEnd w:id="11"/>
      <w:r w:rsidR="00240907" w:rsidRPr="00E97BC8">
        <w:rPr>
          <w:rFonts w:cs="Times New Roman"/>
          <w:sz w:val="22"/>
          <w:szCs w:val="22"/>
          <w:u w:val="single"/>
        </w:rPr>
        <w:t>Sixth</w:t>
      </w:r>
      <w:r w:rsidR="001015F4" w:rsidRPr="00E97BC8">
        <w:rPr>
          <w:rFonts w:cs="Times New Roman"/>
          <w:sz w:val="22"/>
          <w:szCs w:val="22"/>
        </w:rPr>
        <w:t xml:space="preserve">, </w:t>
      </w:r>
      <w:r w:rsidR="009C23EE" w:rsidRPr="00E97BC8">
        <w:rPr>
          <w:rFonts w:cs="Times New Roman"/>
          <w:sz w:val="22"/>
          <w:szCs w:val="22"/>
        </w:rPr>
        <w:t xml:space="preserve">as another methodological advance, </w:t>
      </w:r>
      <w:r w:rsidR="00127132" w:rsidRPr="00E97BC8">
        <w:rPr>
          <w:rFonts w:cs="Times New Roman"/>
          <w:sz w:val="22"/>
          <w:szCs w:val="22"/>
        </w:rPr>
        <w:t xml:space="preserve">we consider the latent constructs themselves to be endogenous to the </w:t>
      </w:r>
      <w:r w:rsidR="00143E4F" w:rsidRPr="00E97BC8">
        <w:rPr>
          <w:rFonts w:cs="Times New Roman"/>
          <w:sz w:val="22"/>
          <w:szCs w:val="22"/>
        </w:rPr>
        <w:t xml:space="preserve">adoption/motivation </w:t>
      </w:r>
      <w:r w:rsidR="001F422E" w:rsidRPr="00E97BC8">
        <w:rPr>
          <w:rFonts w:cs="Times New Roman"/>
          <w:sz w:val="22"/>
          <w:szCs w:val="22"/>
        </w:rPr>
        <w:t xml:space="preserve">outcomes </w:t>
      </w:r>
      <w:r w:rsidR="00127132" w:rsidRPr="00E97BC8">
        <w:rPr>
          <w:rFonts w:cs="Times New Roman"/>
          <w:sz w:val="22"/>
          <w:szCs w:val="22"/>
        </w:rPr>
        <w:t xml:space="preserve">by allowing correlation effects between the stochastic terms embedded in the latent constructs and the error terms in the </w:t>
      </w:r>
      <w:r w:rsidR="00143E4F" w:rsidRPr="00E97BC8">
        <w:rPr>
          <w:rFonts w:cs="Times New Roman"/>
          <w:sz w:val="22"/>
          <w:szCs w:val="22"/>
        </w:rPr>
        <w:t>adoption/motivation equations</w:t>
      </w:r>
      <w:r w:rsidR="00127132" w:rsidRPr="00E97BC8">
        <w:rPr>
          <w:rFonts w:cs="Times New Roman"/>
          <w:sz w:val="22"/>
          <w:szCs w:val="22"/>
        </w:rPr>
        <w:t xml:space="preserve">. </w:t>
      </w:r>
      <w:r w:rsidR="00AD2CFF" w:rsidRPr="00E97BC8">
        <w:rPr>
          <w:rFonts w:cs="Times New Roman"/>
          <w:sz w:val="22"/>
          <w:szCs w:val="22"/>
        </w:rPr>
        <w:t xml:space="preserve">This is important </w:t>
      </w:r>
      <w:r w:rsidR="00384855" w:rsidRPr="00E97BC8">
        <w:rPr>
          <w:rFonts w:cs="Times New Roman"/>
          <w:sz w:val="22"/>
          <w:szCs w:val="22"/>
        </w:rPr>
        <w:t xml:space="preserve">because </w:t>
      </w:r>
      <w:r w:rsidR="00EC2198" w:rsidRPr="00E97BC8">
        <w:rPr>
          <w:rFonts w:cs="Times New Roman"/>
          <w:sz w:val="22"/>
          <w:szCs w:val="22"/>
        </w:rPr>
        <w:t xml:space="preserve">many unobserved attitudes and lifecycle factors </w:t>
      </w:r>
      <w:r w:rsidR="00BC5F87" w:rsidRPr="00E97BC8">
        <w:rPr>
          <w:rFonts w:cs="Times New Roman"/>
          <w:sz w:val="22"/>
          <w:szCs w:val="22"/>
        </w:rPr>
        <w:t xml:space="preserve">(not considered by themselves as latent constructs because of a lack of indicators in the survey) </w:t>
      </w:r>
      <w:r w:rsidR="00EC2198" w:rsidRPr="00E97BC8">
        <w:rPr>
          <w:rFonts w:cs="Times New Roman"/>
          <w:sz w:val="22"/>
          <w:szCs w:val="22"/>
        </w:rPr>
        <w:t>that influe</w:t>
      </w:r>
      <w:r w:rsidR="00BC5F87" w:rsidRPr="00E97BC8">
        <w:rPr>
          <w:rFonts w:cs="Times New Roman"/>
          <w:sz w:val="22"/>
          <w:szCs w:val="22"/>
        </w:rPr>
        <w:t>nce the latent constructs may</w:t>
      </w:r>
      <w:r w:rsidR="00EC2198" w:rsidRPr="00E97BC8">
        <w:rPr>
          <w:rFonts w:cs="Times New Roman"/>
          <w:sz w:val="22"/>
          <w:szCs w:val="22"/>
        </w:rPr>
        <w:t xml:space="preserve"> also </w:t>
      </w:r>
      <w:r w:rsidR="00BC5F87" w:rsidRPr="00E97BC8">
        <w:rPr>
          <w:rFonts w:cs="Times New Roman"/>
          <w:sz w:val="22"/>
          <w:szCs w:val="22"/>
        </w:rPr>
        <w:t xml:space="preserve">influence the EV adoption/motivation </w:t>
      </w:r>
      <w:r w:rsidR="001F422E" w:rsidRPr="00E97BC8">
        <w:rPr>
          <w:rFonts w:cs="Times New Roman"/>
          <w:sz w:val="22"/>
          <w:szCs w:val="22"/>
        </w:rPr>
        <w:t>outcomes</w:t>
      </w:r>
      <w:r w:rsidR="00BC5F87" w:rsidRPr="00E97BC8">
        <w:rPr>
          <w:rFonts w:cs="Times New Roman"/>
          <w:sz w:val="22"/>
          <w:szCs w:val="22"/>
        </w:rPr>
        <w:t xml:space="preserve">. </w:t>
      </w:r>
      <w:r w:rsidR="00E323AC" w:rsidRPr="00E97BC8">
        <w:rPr>
          <w:rFonts w:cs="Times New Roman"/>
          <w:sz w:val="22"/>
          <w:szCs w:val="22"/>
        </w:rPr>
        <w:t>For instance,</w:t>
      </w:r>
      <w:r w:rsidR="008969D8" w:rsidRPr="00E97BC8">
        <w:rPr>
          <w:rFonts w:cs="Times New Roman"/>
          <w:sz w:val="22"/>
          <w:szCs w:val="22"/>
        </w:rPr>
        <w:t xml:space="preserve"> individuals </w:t>
      </w:r>
      <w:r w:rsidR="002432C5" w:rsidRPr="00E97BC8">
        <w:rPr>
          <w:rFonts w:cs="Times New Roman"/>
          <w:sz w:val="22"/>
          <w:szCs w:val="22"/>
        </w:rPr>
        <w:t>who</w:t>
      </w:r>
      <w:r w:rsidR="0025094F" w:rsidRPr="00E97BC8">
        <w:rPr>
          <w:rFonts w:cs="Times New Roman"/>
          <w:sz w:val="22"/>
          <w:szCs w:val="22"/>
        </w:rPr>
        <w:t xml:space="preserve"> </w:t>
      </w:r>
      <w:r w:rsidR="00AF4A4D" w:rsidRPr="00E97BC8">
        <w:rPr>
          <w:rFonts w:cs="Times New Roman"/>
          <w:sz w:val="22"/>
          <w:szCs w:val="22"/>
        </w:rPr>
        <w:t xml:space="preserve">generically are curious about </w:t>
      </w:r>
      <w:r w:rsidR="0025094F" w:rsidRPr="00E97BC8">
        <w:rPr>
          <w:rFonts w:cs="Times New Roman"/>
          <w:sz w:val="22"/>
          <w:szCs w:val="22"/>
        </w:rPr>
        <w:t xml:space="preserve">technology </w:t>
      </w:r>
      <w:r w:rsidR="00AF4A4D" w:rsidRPr="00E97BC8">
        <w:rPr>
          <w:rFonts w:cs="Times New Roman"/>
          <w:sz w:val="22"/>
          <w:szCs w:val="22"/>
        </w:rPr>
        <w:t xml:space="preserve">(say an unobserved individual variable, as in the current study) </w:t>
      </w:r>
      <w:r w:rsidR="002432C5" w:rsidRPr="00E97BC8">
        <w:rPr>
          <w:rFonts w:cs="Times New Roman"/>
          <w:sz w:val="22"/>
          <w:szCs w:val="22"/>
        </w:rPr>
        <w:t xml:space="preserve">may </w:t>
      </w:r>
      <w:r w:rsidR="00747022" w:rsidRPr="00E97BC8">
        <w:rPr>
          <w:rFonts w:cs="Times New Roman"/>
          <w:sz w:val="22"/>
          <w:szCs w:val="22"/>
        </w:rPr>
        <w:t xml:space="preserve">be higher on the BRP </w:t>
      </w:r>
      <w:r w:rsidR="00AF4A4D" w:rsidRPr="00E97BC8">
        <w:rPr>
          <w:rFonts w:cs="Times New Roman"/>
          <w:sz w:val="22"/>
          <w:szCs w:val="22"/>
        </w:rPr>
        <w:t xml:space="preserve">latent construct </w:t>
      </w:r>
      <w:r w:rsidR="00747022" w:rsidRPr="00E97BC8">
        <w:rPr>
          <w:rFonts w:cs="Times New Roman"/>
          <w:sz w:val="22"/>
          <w:szCs w:val="22"/>
        </w:rPr>
        <w:t xml:space="preserve">scale </w:t>
      </w:r>
      <w:r w:rsidR="00AF4A4D" w:rsidRPr="00E97BC8">
        <w:rPr>
          <w:rFonts w:cs="Times New Roman"/>
          <w:sz w:val="22"/>
          <w:szCs w:val="22"/>
        </w:rPr>
        <w:t xml:space="preserve">(because they would be more likely to seek out information about EV </w:t>
      </w:r>
      <w:r w:rsidR="00BC5F87" w:rsidRPr="00E97BC8">
        <w:rPr>
          <w:rFonts w:cs="Times New Roman"/>
          <w:sz w:val="22"/>
          <w:szCs w:val="22"/>
        </w:rPr>
        <w:t xml:space="preserve">battery </w:t>
      </w:r>
      <w:r w:rsidR="00AF4A4D" w:rsidRPr="00E97BC8">
        <w:rPr>
          <w:rFonts w:cs="Times New Roman"/>
          <w:sz w:val="22"/>
          <w:szCs w:val="22"/>
        </w:rPr>
        <w:t>technolog</w:t>
      </w:r>
      <w:r w:rsidR="00BC5F87" w:rsidRPr="00E97BC8">
        <w:rPr>
          <w:rFonts w:cs="Times New Roman"/>
          <w:sz w:val="22"/>
          <w:szCs w:val="22"/>
        </w:rPr>
        <w:t>y</w:t>
      </w:r>
      <w:r w:rsidR="00AF4A4D" w:rsidRPr="00E97BC8">
        <w:rPr>
          <w:rFonts w:cs="Times New Roman"/>
          <w:sz w:val="22"/>
          <w:szCs w:val="22"/>
        </w:rPr>
        <w:t xml:space="preserve">) and, at the same time, be intrinsically </w:t>
      </w:r>
      <w:r w:rsidR="002432C5" w:rsidRPr="00E97BC8">
        <w:rPr>
          <w:rFonts w:cs="Times New Roman"/>
          <w:sz w:val="22"/>
          <w:szCs w:val="22"/>
        </w:rPr>
        <w:t xml:space="preserve">more likely to </w:t>
      </w:r>
      <w:r w:rsidR="00F91C2C" w:rsidRPr="00E97BC8">
        <w:rPr>
          <w:rFonts w:cs="Times New Roman"/>
          <w:sz w:val="22"/>
          <w:szCs w:val="22"/>
        </w:rPr>
        <w:t>buy an EV</w:t>
      </w:r>
      <w:r w:rsidR="00AF4A4D" w:rsidRPr="00E97BC8">
        <w:rPr>
          <w:rFonts w:cs="Times New Roman"/>
          <w:sz w:val="22"/>
          <w:szCs w:val="22"/>
        </w:rPr>
        <w:t>.</w:t>
      </w:r>
      <w:r w:rsidR="00F91C2C" w:rsidRPr="00E97BC8">
        <w:rPr>
          <w:rFonts w:cs="Times New Roman"/>
          <w:sz w:val="22"/>
          <w:szCs w:val="22"/>
        </w:rPr>
        <w:t xml:space="preserve"> </w:t>
      </w:r>
      <w:r w:rsidR="00BC5F87" w:rsidRPr="00E97BC8">
        <w:rPr>
          <w:rFonts w:cs="Times New Roman"/>
          <w:sz w:val="22"/>
          <w:szCs w:val="22"/>
        </w:rPr>
        <w:t xml:space="preserve">If such a correlation does exist, but is ignored, it would lead to an overestimate of the effect of </w:t>
      </w:r>
      <w:r w:rsidR="006671EE" w:rsidRPr="00E97BC8">
        <w:rPr>
          <w:rFonts w:cs="Times New Roman"/>
          <w:sz w:val="22"/>
          <w:szCs w:val="22"/>
        </w:rPr>
        <w:t>t</w:t>
      </w:r>
      <w:r w:rsidR="00747022" w:rsidRPr="00E97BC8">
        <w:rPr>
          <w:rFonts w:cs="Times New Roman"/>
          <w:sz w:val="22"/>
          <w:szCs w:val="22"/>
        </w:rPr>
        <w:t xml:space="preserve">he BRP </w:t>
      </w:r>
      <w:r w:rsidR="006671EE" w:rsidRPr="00E97BC8">
        <w:rPr>
          <w:rFonts w:cs="Times New Roman"/>
          <w:sz w:val="22"/>
          <w:szCs w:val="22"/>
        </w:rPr>
        <w:t xml:space="preserve">latent construct </w:t>
      </w:r>
      <w:r w:rsidR="00BC5F87" w:rsidRPr="00E97BC8">
        <w:rPr>
          <w:rFonts w:cs="Times New Roman"/>
          <w:sz w:val="22"/>
          <w:szCs w:val="22"/>
        </w:rPr>
        <w:t xml:space="preserve">on EV adoption. </w:t>
      </w:r>
      <w:r w:rsidR="00AF4A4D" w:rsidRPr="00E97BC8">
        <w:rPr>
          <w:rFonts w:cs="Times New Roman"/>
          <w:sz w:val="22"/>
          <w:szCs w:val="22"/>
        </w:rPr>
        <w:t xml:space="preserve">Similarly, these same </w:t>
      </w:r>
      <w:r w:rsidR="006671EE" w:rsidRPr="00E97BC8">
        <w:rPr>
          <w:rFonts w:cs="Times New Roman"/>
          <w:sz w:val="22"/>
          <w:szCs w:val="22"/>
        </w:rPr>
        <w:t xml:space="preserve">generically technology-curious </w:t>
      </w:r>
      <w:r w:rsidR="00AF4A4D" w:rsidRPr="00E97BC8">
        <w:rPr>
          <w:rFonts w:cs="Times New Roman"/>
          <w:sz w:val="22"/>
          <w:szCs w:val="22"/>
        </w:rPr>
        <w:t>individuals</w:t>
      </w:r>
      <w:r w:rsidR="00747022" w:rsidRPr="00E97BC8">
        <w:rPr>
          <w:rFonts w:cs="Times New Roman"/>
          <w:sz w:val="22"/>
          <w:szCs w:val="22"/>
        </w:rPr>
        <w:t xml:space="preserve"> who load higher on the BRP </w:t>
      </w:r>
      <w:r w:rsidR="006671EE" w:rsidRPr="00E97BC8">
        <w:rPr>
          <w:rFonts w:cs="Times New Roman"/>
          <w:sz w:val="22"/>
          <w:szCs w:val="22"/>
        </w:rPr>
        <w:t xml:space="preserve">latent construct </w:t>
      </w:r>
      <w:r w:rsidR="00747022" w:rsidRPr="00E97BC8">
        <w:rPr>
          <w:rFonts w:cs="Times New Roman"/>
          <w:sz w:val="22"/>
          <w:szCs w:val="22"/>
        </w:rPr>
        <w:t xml:space="preserve">may </w:t>
      </w:r>
      <w:r w:rsidR="00AF4A4D" w:rsidRPr="00E97BC8">
        <w:rPr>
          <w:rFonts w:cs="Times New Roman"/>
          <w:sz w:val="22"/>
          <w:szCs w:val="22"/>
        </w:rPr>
        <w:t>also be more likely to</w:t>
      </w:r>
      <w:r w:rsidR="00BC5F87" w:rsidRPr="00E97BC8">
        <w:rPr>
          <w:rFonts w:cs="Times New Roman"/>
          <w:sz w:val="22"/>
          <w:szCs w:val="22"/>
        </w:rPr>
        <w:t xml:space="preserve"> rank “high gas prices” as a top motivator for EV adoption. </w:t>
      </w:r>
      <w:r w:rsidR="006671EE" w:rsidRPr="00E97BC8">
        <w:rPr>
          <w:rFonts w:cs="Times New Roman"/>
          <w:sz w:val="22"/>
          <w:szCs w:val="22"/>
        </w:rPr>
        <w:t>If this correlation exists, bu</w:t>
      </w:r>
      <w:r w:rsidR="00747022" w:rsidRPr="00E97BC8">
        <w:rPr>
          <w:rFonts w:cs="Times New Roman"/>
          <w:sz w:val="22"/>
          <w:szCs w:val="22"/>
        </w:rPr>
        <w:t>t</w:t>
      </w:r>
      <w:r w:rsidR="006671EE" w:rsidRPr="00E97BC8">
        <w:rPr>
          <w:rFonts w:cs="Times New Roman"/>
          <w:sz w:val="22"/>
          <w:szCs w:val="22"/>
        </w:rPr>
        <w:t xml:space="preserve"> is ignored, it would </w:t>
      </w:r>
      <w:r w:rsidR="00747022" w:rsidRPr="00E97BC8">
        <w:rPr>
          <w:rFonts w:cs="Times New Roman"/>
          <w:sz w:val="22"/>
          <w:szCs w:val="22"/>
        </w:rPr>
        <w:t xml:space="preserve">again </w:t>
      </w:r>
      <w:r w:rsidR="006671EE" w:rsidRPr="00E97BC8">
        <w:rPr>
          <w:rFonts w:cs="Times New Roman"/>
          <w:sz w:val="22"/>
          <w:szCs w:val="22"/>
        </w:rPr>
        <w:t>lead to an overestimate of any positive effect of</w:t>
      </w:r>
      <w:r w:rsidR="00747022" w:rsidRPr="00E97BC8">
        <w:rPr>
          <w:rFonts w:cs="Times New Roman"/>
          <w:sz w:val="22"/>
          <w:szCs w:val="22"/>
        </w:rPr>
        <w:t xml:space="preserve"> the BRP latent construct </w:t>
      </w:r>
      <w:r w:rsidR="006671EE" w:rsidRPr="00E97BC8">
        <w:rPr>
          <w:rFonts w:cs="Times New Roman"/>
          <w:sz w:val="22"/>
          <w:szCs w:val="22"/>
        </w:rPr>
        <w:t>on choosing “high gas pr</w:t>
      </w:r>
      <w:r w:rsidR="00747022" w:rsidRPr="00E97BC8">
        <w:rPr>
          <w:rFonts w:cs="Times New Roman"/>
          <w:sz w:val="22"/>
          <w:szCs w:val="22"/>
        </w:rPr>
        <w:t>i</w:t>
      </w:r>
      <w:r w:rsidR="006671EE" w:rsidRPr="00E97BC8">
        <w:rPr>
          <w:rFonts w:cs="Times New Roman"/>
          <w:sz w:val="22"/>
          <w:szCs w:val="22"/>
        </w:rPr>
        <w:t>ces” as a</w:t>
      </w:r>
      <w:r w:rsidR="00747022" w:rsidRPr="00E97BC8">
        <w:rPr>
          <w:rFonts w:cs="Times New Roman"/>
          <w:sz w:val="22"/>
          <w:szCs w:val="22"/>
        </w:rPr>
        <w:t>n EV adoption motivator</w:t>
      </w:r>
      <w:r w:rsidR="006671EE" w:rsidRPr="00E97BC8">
        <w:rPr>
          <w:rFonts w:cs="Times New Roman"/>
          <w:sz w:val="22"/>
          <w:szCs w:val="22"/>
        </w:rPr>
        <w:t xml:space="preserve">. </w:t>
      </w:r>
      <w:r w:rsidR="00240907" w:rsidRPr="00E97BC8">
        <w:rPr>
          <w:rFonts w:cs="Times New Roman"/>
          <w:sz w:val="22"/>
          <w:szCs w:val="22"/>
          <w:u w:val="single"/>
        </w:rPr>
        <w:t>Finally</w:t>
      </w:r>
      <w:r w:rsidR="00240907" w:rsidRPr="00E97BC8">
        <w:rPr>
          <w:rFonts w:cs="Times New Roman"/>
          <w:sz w:val="22"/>
          <w:szCs w:val="22"/>
        </w:rPr>
        <w:t xml:space="preserve">, we translate model estimates into average treatment effects of exogenous individual/household-level variables on EV adoption, further disaggregating these effects based on indirect effects (through the latent constructs) and a direct effect, providing deep insights into ways that EV adoption may be promoted in the general population. </w:t>
      </w:r>
    </w:p>
    <w:bookmarkEnd w:id="8"/>
    <w:p w14:paraId="34A4962F" w14:textId="77777777" w:rsidR="00215563" w:rsidRPr="00E97BC8" w:rsidRDefault="00215563" w:rsidP="00E85093">
      <w:pPr>
        <w:pStyle w:val="ListParagraph"/>
        <w:shd w:val="clear" w:color="auto" w:fill="FFFFFF"/>
        <w:spacing w:after="0" w:line="240" w:lineRule="auto"/>
        <w:ind w:left="0"/>
        <w:jc w:val="both"/>
        <w:rPr>
          <w:rFonts w:cs="Times New Roman"/>
          <w:sz w:val="22"/>
          <w:szCs w:val="22"/>
        </w:rPr>
      </w:pPr>
    </w:p>
    <w:p w14:paraId="2A67999F" w14:textId="410B97D7" w:rsidR="004F4B42" w:rsidRPr="00E97BC8" w:rsidRDefault="00014FD9" w:rsidP="00E85093">
      <w:pPr>
        <w:spacing w:after="0" w:line="240" w:lineRule="auto"/>
        <w:jc w:val="both"/>
        <w:rPr>
          <w:rFonts w:cs="Times New Roman"/>
          <w:b/>
          <w:bCs/>
          <w:sz w:val="22"/>
          <w:szCs w:val="22"/>
        </w:rPr>
      </w:pPr>
      <w:r w:rsidRPr="00E97BC8">
        <w:rPr>
          <w:rFonts w:cs="Times New Roman"/>
          <w:b/>
          <w:sz w:val="22"/>
          <w:szCs w:val="22"/>
        </w:rPr>
        <w:t>3</w:t>
      </w:r>
      <w:r w:rsidR="004F4B42" w:rsidRPr="00E97BC8">
        <w:rPr>
          <w:rFonts w:cs="Times New Roman"/>
          <w:b/>
          <w:sz w:val="22"/>
          <w:szCs w:val="22"/>
        </w:rPr>
        <w:t xml:space="preserve">. </w:t>
      </w:r>
      <w:r w:rsidRPr="00E97BC8">
        <w:rPr>
          <w:rFonts w:cs="Times New Roman"/>
          <w:b/>
          <w:sz w:val="22"/>
          <w:szCs w:val="22"/>
        </w:rPr>
        <w:t>METHODOLOGY</w:t>
      </w:r>
      <w:r w:rsidR="004F4B42" w:rsidRPr="00E97BC8">
        <w:rPr>
          <w:rFonts w:cs="Times New Roman"/>
          <w:b/>
          <w:bCs/>
          <w:sz w:val="22"/>
          <w:szCs w:val="22"/>
        </w:rPr>
        <w:t xml:space="preserve"> </w:t>
      </w:r>
    </w:p>
    <w:p w14:paraId="3F20D759" w14:textId="6A2C5F0E" w:rsidR="00182254" w:rsidRPr="00E97BC8" w:rsidRDefault="002A1AB3" w:rsidP="00E85093">
      <w:pPr>
        <w:shd w:val="clear" w:color="auto" w:fill="FFFFFF"/>
        <w:spacing w:after="0" w:line="240" w:lineRule="auto"/>
        <w:jc w:val="both"/>
        <w:rPr>
          <w:rFonts w:cs="Times New Roman"/>
          <w:b/>
          <w:bCs/>
          <w:sz w:val="22"/>
          <w:szCs w:val="22"/>
        </w:rPr>
      </w:pPr>
      <w:r w:rsidRPr="00E97BC8">
        <w:rPr>
          <w:rFonts w:cs="Times New Roman"/>
          <w:b/>
          <w:bCs/>
          <w:sz w:val="22"/>
          <w:szCs w:val="22"/>
        </w:rPr>
        <w:t xml:space="preserve">3.1 Data Description </w:t>
      </w:r>
    </w:p>
    <w:p w14:paraId="2AA4CE13" w14:textId="2646FAE9" w:rsidR="00307433" w:rsidRPr="00E97BC8" w:rsidRDefault="00AA7DB2" w:rsidP="00E85093">
      <w:pPr>
        <w:shd w:val="clear" w:color="auto" w:fill="FFFFFF"/>
        <w:spacing w:after="0" w:line="240" w:lineRule="auto"/>
        <w:jc w:val="both"/>
        <w:rPr>
          <w:rFonts w:cs="Times New Roman"/>
          <w:sz w:val="22"/>
          <w:szCs w:val="22"/>
        </w:rPr>
      </w:pPr>
      <w:r w:rsidRPr="00E97BC8">
        <w:rPr>
          <w:rFonts w:cs="Times New Roman"/>
          <w:sz w:val="22"/>
          <w:szCs w:val="22"/>
        </w:rPr>
        <w:t xml:space="preserve">The data for this study </w:t>
      </w:r>
      <w:r w:rsidR="001F738B" w:rsidRPr="00E97BC8">
        <w:rPr>
          <w:rFonts w:cs="Times New Roman"/>
          <w:sz w:val="22"/>
          <w:szCs w:val="22"/>
        </w:rPr>
        <w:t>are</w:t>
      </w:r>
      <w:r w:rsidRPr="00E97BC8">
        <w:rPr>
          <w:rFonts w:cs="Times New Roman"/>
          <w:sz w:val="22"/>
          <w:szCs w:val="22"/>
        </w:rPr>
        <w:t xml:space="preserve"> </w:t>
      </w:r>
      <w:r w:rsidR="00540BAF" w:rsidRPr="00E97BC8">
        <w:rPr>
          <w:rFonts w:cs="Times New Roman"/>
          <w:sz w:val="22"/>
          <w:szCs w:val="22"/>
        </w:rPr>
        <w:t>drawn</w:t>
      </w:r>
      <w:r w:rsidRPr="00E97BC8">
        <w:rPr>
          <w:rFonts w:cs="Times New Roman"/>
          <w:sz w:val="22"/>
          <w:szCs w:val="22"/>
        </w:rPr>
        <w:t xml:space="preserve"> from a survey of </w:t>
      </w:r>
      <w:r w:rsidR="00541CFD" w:rsidRPr="00E97BC8">
        <w:rPr>
          <w:rFonts w:cs="Times New Roman"/>
          <w:sz w:val="22"/>
          <w:szCs w:val="22"/>
        </w:rPr>
        <w:t xml:space="preserve">California households </w:t>
      </w:r>
      <w:r w:rsidR="00540BAF" w:rsidRPr="00E97BC8">
        <w:rPr>
          <w:rFonts w:cs="Times New Roman"/>
          <w:sz w:val="22"/>
          <w:szCs w:val="22"/>
        </w:rPr>
        <w:t>conducted between</w:t>
      </w:r>
      <w:r w:rsidR="00541CFD" w:rsidRPr="00E97BC8">
        <w:rPr>
          <w:rFonts w:cs="Times New Roman"/>
          <w:sz w:val="22"/>
          <w:szCs w:val="22"/>
        </w:rPr>
        <w:t xml:space="preserve"> </w:t>
      </w:r>
      <w:bookmarkStart w:id="12" w:name="_Hlk198727072"/>
      <w:r w:rsidR="00541CFD" w:rsidRPr="00E97BC8">
        <w:rPr>
          <w:rFonts w:cs="Times New Roman"/>
          <w:sz w:val="22"/>
          <w:szCs w:val="22"/>
        </w:rPr>
        <w:t>November</w:t>
      </w:r>
      <w:r w:rsidR="00AB7C58" w:rsidRPr="00E97BC8">
        <w:rPr>
          <w:rFonts w:cs="Times New Roman"/>
          <w:sz w:val="22"/>
          <w:szCs w:val="22"/>
        </w:rPr>
        <w:t xml:space="preserve"> 202</w:t>
      </w:r>
      <w:r w:rsidR="00541CFD" w:rsidRPr="00E97BC8">
        <w:rPr>
          <w:rFonts w:cs="Times New Roman"/>
          <w:sz w:val="22"/>
          <w:szCs w:val="22"/>
        </w:rPr>
        <w:t>2</w:t>
      </w:r>
      <w:r w:rsidR="00AB7C58" w:rsidRPr="00E97BC8">
        <w:rPr>
          <w:rFonts w:cs="Times New Roman"/>
          <w:sz w:val="22"/>
          <w:szCs w:val="22"/>
        </w:rPr>
        <w:t xml:space="preserve"> </w:t>
      </w:r>
      <w:r w:rsidR="00540BAF" w:rsidRPr="00E97BC8">
        <w:rPr>
          <w:rFonts w:cs="Times New Roman"/>
          <w:sz w:val="22"/>
          <w:szCs w:val="22"/>
        </w:rPr>
        <w:t>and</w:t>
      </w:r>
      <w:r w:rsidR="00AB7C58" w:rsidRPr="00E97BC8">
        <w:rPr>
          <w:rFonts w:cs="Times New Roman"/>
          <w:sz w:val="22"/>
          <w:szCs w:val="22"/>
        </w:rPr>
        <w:t xml:space="preserve"> January 2023</w:t>
      </w:r>
      <w:bookmarkEnd w:id="12"/>
      <w:r w:rsidR="00541CFD" w:rsidRPr="00E97BC8">
        <w:rPr>
          <w:rFonts w:cs="Times New Roman"/>
          <w:sz w:val="22"/>
          <w:szCs w:val="22"/>
        </w:rPr>
        <w:t xml:space="preserve">. </w:t>
      </w:r>
      <w:r w:rsidR="00A87DE9" w:rsidRPr="00E97BC8">
        <w:rPr>
          <w:rFonts w:cs="Times New Roman"/>
          <w:sz w:val="22"/>
          <w:szCs w:val="22"/>
        </w:rPr>
        <w:t>Households were selected into the sample in two ways</w:t>
      </w:r>
      <w:r w:rsidR="00A71465" w:rsidRPr="00E97BC8">
        <w:rPr>
          <w:rFonts w:cs="Times New Roman"/>
          <w:sz w:val="22"/>
          <w:szCs w:val="22"/>
        </w:rPr>
        <w:t xml:space="preserve"> (for a detailed discussion of the survey collection, please see Firestone, </w:t>
      </w:r>
      <w:r w:rsidR="00A71465" w:rsidRPr="00E97BC8">
        <w:rPr>
          <w:rFonts w:cs="Times New Roman"/>
          <w:sz w:val="22"/>
          <w:szCs w:val="22"/>
        </w:rPr>
        <w:fldChar w:fldCharType="begin"/>
      </w:r>
      <w:r w:rsidR="008F0947" w:rsidRPr="00E97BC8">
        <w:rPr>
          <w:rFonts w:cs="Times New Roman"/>
          <w:sz w:val="22"/>
          <w:szCs w:val="22"/>
        </w:rPr>
        <w:instrText xml:space="preserve"> ADDIN ZOTERO_ITEM CSL_CITATION {"citationID":"LXLX1LSn","properties":{"formattedCitation":"(2022)","plainCitation":"(2022)","dontUpdate":true,"noteIndex":0},"citationItems":[{"id":3589,"uris":["http://zotero.org/users/12832277/items/PVVRNS8F"],"itemData":{"id":3589,"type":"report","event-place":"University of Deleware","number":"DE-EE0009362","publisher":"Department of Energy","publisher-place":"University of Deleware","title":"Rooftop Photovoltaics and Electric Vehicle CoAdoption: Attitudes, Norms, Diffusion, and Economics","URL":"https://doi.org/10.2172/2350822","author":[{"family":"Firestone","given":"Jeremy"}],"issued":{"date-parts":[["2022",12,31]]}},"label":"page","suppress-author":true}],"schema":"https://github.com/citation-style-language/schema/raw/master/csl-citation.json"} </w:instrText>
      </w:r>
      <w:r w:rsidR="00A71465" w:rsidRPr="00E97BC8">
        <w:rPr>
          <w:rFonts w:cs="Times New Roman"/>
          <w:sz w:val="22"/>
          <w:szCs w:val="22"/>
        </w:rPr>
        <w:fldChar w:fldCharType="separate"/>
      </w:r>
      <w:r w:rsidR="00A71465" w:rsidRPr="00E97BC8">
        <w:rPr>
          <w:rFonts w:cs="Times New Roman"/>
          <w:sz w:val="22"/>
          <w:szCs w:val="22"/>
        </w:rPr>
        <w:t>2022)</w:t>
      </w:r>
      <w:r w:rsidR="00A71465" w:rsidRPr="00E97BC8">
        <w:rPr>
          <w:rFonts w:cs="Times New Roman"/>
          <w:sz w:val="22"/>
          <w:szCs w:val="22"/>
        </w:rPr>
        <w:fldChar w:fldCharType="end"/>
      </w:r>
      <w:r w:rsidR="00A71465" w:rsidRPr="00E97BC8">
        <w:rPr>
          <w:rFonts w:cs="Times New Roman"/>
          <w:sz w:val="22"/>
          <w:szCs w:val="22"/>
        </w:rPr>
        <w:t xml:space="preserve">. </w:t>
      </w:r>
      <w:r w:rsidR="00A87DE9" w:rsidRPr="00E97BC8">
        <w:rPr>
          <w:rFonts w:cs="Times New Roman"/>
          <w:sz w:val="22"/>
          <w:szCs w:val="22"/>
        </w:rPr>
        <w:t xml:space="preserve">First, </w:t>
      </w:r>
      <w:r w:rsidR="00BF26D2" w:rsidRPr="00E97BC8">
        <w:rPr>
          <w:rFonts w:cs="Times New Roman"/>
          <w:sz w:val="22"/>
          <w:szCs w:val="22"/>
        </w:rPr>
        <w:t>households with E</w:t>
      </w:r>
      <w:r w:rsidR="00993C76" w:rsidRPr="00E97BC8">
        <w:rPr>
          <w:rFonts w:cs="Times New Roman"/>
          <w:sz w:val="22"/>
          <w:szCs w:val="22"/>
        </w:rPr>
        <w:t>V charging permits and solar panel permits were identi</w:t>
      </w:r>
      <w:r w:rsidR="004A741A" w:rsidRPr="00E97BC8">
        <w:rPr>
          <w:rFonts w:cs="Times New Roman"/>
          <w:sz w:val="22"/>
          <w:szCs w:val="22"/>
        </w:rPr>
        <w:t>fied using the BuildZoom data platform</w:t>
      </w:r>
      <w:r w:rsidR="00F12A6F" w:rsidRPr="00E97BC8">
        <w:rPr>
          <w:rFonts w:cs="Times New Roman"/>
          <w:sz w:val="22"/>
          <w:szCs w:val="22"/>
        </w:rPr>
        <w:t xml:space="preserve"> </w:t>
      </w:r>
      <w:r w:rsidR="00F12A6F" w:rsidRPr="00E97BC8">
        <w:rPr>
          <w:rFonts w:cs="Times New Roman"/>
          <w:sz w:val="22"/>
          <w:szCs w:val="22"/>
        </w:rPr>
        <w:fldChar w:fldCharType="begin"/>
      </w:r>
      <w:r w:rsidR="001C63B2" w:rsidRPr="00E97BC8">
        <w:rPr>
          <w:rFonts w:cs="Times New Roman"/>
          <w:sz w:val="22"/>
          <w:szCs w:val="22"/>
        </w:rPr>
        <w:instrText xml:space="preserve"> ADDIN ZOTERO_ITEM CSL_CITATION {"citationID":"yU94OOaM","properties":{"formattedCitation":"(BuildZoom, 2022)","plainCitation":"(BuildZoom, 2022)","noteIndex":0},"citationItems":[{"id":2944,"uris":["http://zotero.org/users/12832277/items/2UN4EEBJ"],"itemData":{"id":2944,"type":"document","title":"BuildZoom Building Permit Data and Analysis","URL":"https://www.buildzoom.com/data","author":[{"family":"BuildZoom","given":""}],"accessed":{"date-parts":[["2024",4,10]]},"issued":{"date-parts":[["2022"]]}}}],"schema":"https://github.com/citation-style-language/schema/raw/master/csl-citation.json"} </w:instrText>
      </w:r>
      <w:r w:rsidR="00F12A6F" w:rsidRPr="00E97BC8">
        <w:rPr>
          <w:rFonts w:cs="Times New Roman"/>
          <w:sz w:val="22"/>
          <w:szCs w:val="22"/>
        </w:rPr>
        <w:fldChar w:fldCharType="separate"/>
      </w:r>
      <w:r w:rsidR="001E6A07" w:rsidRPr="00E97BC8">
        <w:rPr>
          <w:rFonts w:cs="Times New Roman"/>
          <w:sz w:val="22"/>
          <w:szCs w:val="22"/>
        </w:rPr>
        <w:t>(BuildZoom, 2022)</w:t>
      </w:r>
      <w:r w:rsidR="00F12A6F" w:rsidRPr="00E97BC8">
        <w:rPr>
          <w:rFonts w:cs="Times New Roman"/>
          <w:sz w:val="22"/>
          <w:szCs w:val="22"/>
        </w:rPr>
        <w:fldChar w:fldCharType="end"/>
      </w:r>
      <w:r w:rsidR="004A741A" w:rsidRPr="00E97BC8">
        <w:rPr>
          <w:rFonts w:cs="Times New Roman"/>
          <w:sz w:val="22"/>
          <w:szCs w:val="22"/>
        </w:rPr>
        <w:t xml:space="preserve">. </w:t>
      </w:r>
      <w:r w:rsidR="0064401F" w:rsidRPr="00E97BC8">
        <w:rPr>
          <w:rFonts w:cs="Times New Roman"/>
          <w:sz w:val="22"/>
          <w:szCs w:val="22"/>
        </w:rPr>
        <w:t>From th</w:t>
      </w:r>
      <w:r w:rsidR="00A87DE9" w:rsidRPr="00E97BC8">
        <w:rPr>
          <w:rFonts w:cs="Times New Roman"/>
          <w:sz w:val="22"/>
          <w:szCs w:val="22"/>
        </w:rPr>
        <w:t>is sampling frame</w:t>
      </w:r>
      <w:r w:rsidR="0064401F" w:rsidRPr="00E97BC8">
        <w:rPr>
          <w:rFonts w:cs="Times New Roman"/>
          <w:sz w:val="22"/>
          <w:szCs w:val="22"/>
        </w:rPr>
        <w:t xml:space="preserve">, </w:t>
      </w:r>
      <w:r w:rsidR="0064401F" w:rsidRPr="00E97BC8">
        <w:rPr>
          <w:rFonts w:eastAsia="Times New Roman" w:cs="Times New Roman"/>
          <w:sz w:val="22"/>
          <w:szCs w:val="22"/>
        </w:rPr>
        <w:t>2,000 randomly selected households with solar-only permits, 2,000 randomly selected households with EV-only charging permits, and all 1,073 households that had both a solar and EV charging permit</w:t>
      </w:r>
      <w:r w:rsidR="004A741A" w:rsidRPr="00E97BC8">
        <w:rPr>
          <w:rFonts w:cs="Times New Roman"/>
          <w:sz w:val="22"/>
          <w:szCs w:val="22"/>
        </w:rPr>
        <w:t xml:space="preserve"> </w:t>
      </w:r>
      <w:r w:rsidR="0064401F" w:rsidRPr="00E97BC8">
        <w:rPr>
          <w:rFonts w:cs="Times New Roman"/>
          <w:sz w:val="22"/>
          <w:szCs w:val="22"/>
        </w:rPr>
        <w:t>were invited to participate in the study</w:t>
      </w:r>
      <w:r w:rsidR="00F607DC" w:rsidRPr="00E97BC8">
        <w:rPr>
          <w:rFonts w:cs="Times New Roman"/>
          <w:sz w:val="22"/>
          <w:szCs w:val="22"/>
        </w:rPr>
        <w:t>.</w:t>
      </w:r>
      <w:r w:rsidR="00A87DE9" w:rsidRPr="00E97BC8">
        <w:rPr>
          <w:rFonts w:cs="Times New Roman"/>
          <w:sz w:val="22"/>
          <w:szCs w:val="22"/>
        </w:rPr>
        <w:t xml:space="preserve"> </w:t>
      </w:r>
      <w:r w:rsidR="007E6EF1" w:rsidRPr="00E97BC8">
        <w:rPr>
          <w:rFonts w:cs="Times New Roman"/>
          <w:sz w:val="22"/>
          <w:szCs w:val="22"/>
        </w:rPr>
        <w:t xml:space="preserve">Invitations were mailed to each household, addressed to the listed homeowner, inviting them to take the survey online. </w:t>
      </w:r>
      <w:r w:rsidR="00400653" w:rsidRPr="00E97BC8">
        <w:rPr>
          <w:rFonts w:cs="Times New Roman"/>
          <w:sz w:val="22"/>
          <w:szCs w:val="22"/>
        </w:rPr>
        <w:t xml:space="preserve">Of these, </w:t>
      </w:r>
      <w:r w:rsidR="007E6EF1" w:rsidRPr="00E97BC8">
        <w:rPr>
          <w:rFonts w:cs="Times New Roman"/>
          <w:sz w:val="22"/>
          <w:szCs w:val="22"/>
        </w:rPr>
        <w:t>a representative</w:t>
      </w:r>
      <w:r w:rsidR="00A0105D" w:rsidRPr="00E97BC8">
        <w:rPr>
          <w:rFonts w:cs="Times New Roman"/>
          <w:sz w:val="22"/>
          <w:szCs w:val="22"/>
        </w:rPr>
        <w:t xml:space="preserve"> from each of </w:t>
      </w:r>
      <w:r w:rsidR="00B47B4E" w:rsidRPr="00E97BC8">
        <w:rPr>
          <w:rFonts w:cs="Times New Roman"/>
          <w:sz w:val="22"/>
          <w:szCs w:val="22"/>
        </w:rPr>
        <w:t>561 households responded to the survey</w:t>
      </w:r>
      <w:r w:rsidR="00A0105D" w:rsidRPr="00E97BC8">
        <w:rPr>
          <w:rFonts w:cs="Times New Roman"/>
          <w:sz w:val="22"/>
          <w:szCs w:val="22"/>
        </w:rPr>
        <w:t xml:space="preserve"> online</w:t>
      </w:r>
      <w:r w:rsidR="00B47B4E" w:rsidRPr="00E97BC8">
        <w:rPr>
          <w:rFonts w:cs="Times New Roman"/>
          <w:sz w:val="22"/>
          <w:szCs w:val="22"/>
        </w:rPr>
        <w:t xml:space="preserve">. </w:t>
      </w:r>
      <w:r w:rsidR="00A87DE9" w:rsidRPr="00E97BC8">
        <w:rPr>
          <w:rFonts w:cs="Times New Roman"/>
          <w:sz w:val="22"/>
          <w:szCs w:val="22"/>
        </w:rPr>
        <w:t xml:space="preserve">Second, </w:t>
      </w:r>
      <w:r w:rsidR="00E36A39" w:rsidRPr="00E97BC8">
        <w:rPr>
          <w:rFonts w:cs="Times New Roman"/>
          <w:sz w:val="22"/>
          <w:szCs w:val="22"/>
        </w:rPr>
        <w:t xml:space="preserve">a general population survey of California homeowners </w:t>
      </w:r>
      <w:r w:rsidR="00A87DE9" w:rsidRPr="00E97BC8">
        <w:rPr>
          <w:rFonts w:cs="Times New Roman"/>
          <w:sz w:val="22"/>
          <w:szCs w:val="22"/>
        </w:rPr>
        <w:t xml:space="preserve">was </w:t>
      </w:r>
      <w:r w:rsidR="00E36A39" w:rsidRPr="00E97BC8">
        <w:rPr>
          <w:rFonts w:cs="Times New Roman"/>
          <w:sz w:val="22"/>
          <w:szCs w:val="22"/>
        </w:rPr>
        <w:t>conducted by YouGov</w:t>
      </w:r>
      <w:r w:rsidR="00AF1510" w:rsidRPr="00E97BC8">
        <w:rPr>
          <w:rFonts w:cs="Times New Roman"/>
          <w:sz w:val="22"/>
          <w:szCs w:val="22"/>
        </w:rPr>
        <w:t xml:space="preserve"> </w:t>
      </w:r>
      <w:r w:rsidR="00AF1510" w:rsidRPr="00E97BC8">
        <w:rPr>
          <w:rFonts w:cs="Times New Roman"/>
          <w:sz w:val="22"/>
          <w:szCs w:val="22"/>
        </w:rPr>
        <w:fldChar w:fldCharType="begin"/>
      </w:r>
      <w:r w:rsidR="00AF1510" w:rsidRPr="00E97BC8">
        <w:rPr>
          <w:rFonts w:cs="Times New Roman"/>
          <w:sz w:val="22"/>
          <w:szCs w:val="22"/>
        </w:rPr>
        <w:instrText xml:space="preserve"> ADDIN ZOTERO_ITEM CSL_CITATION {"citationID":"nTDCYPHm","properties":{"formattedCitation":"(YouGov, 2022)","plainCitation":"(YouGov, 2022)","noteIndex":0},"citationItems":[{"id":2946,"uris":["http://zotero.org/users/12832277/items/MCJBUNXJ"],"itemData":{"id":2946,"type":"document","title":"YouGov Market Research and Data Analytics","URL":"https://business.yougov.com/solutions/research","author":[{"family":"YouGov","given":""}],"issued":{"date-parts":[["2022"]]}}}],"schema":"https://github.com/citation-style-language/schema/raw/master/csl-citation.json"} </w:instrText>
      </w:r>
      <w:r w:rsidR="00AF1510" w:rsidRPr="00E97BC8">
        <w:rPr>
          <w:rFonts w:cs="Times New Roman"/>
          <w:sz w:val="22"/>
          <w:szCs w:val="22"/>
        </w:rPr>
        <w:fldChar w:fldCharType="separate"/>
      </w:r>
      <w:r w:rsidR="001E6A07" w:rsidRPr="00E97BC8">
        <w:rPr>
          <w:rFonts w:cs="Times New Roman"/>
          <w:sz w:val="22"/>
          <w:szCs w:val="22"/>
        </w:rPr>
        <w:t>(YouGov, 2022)</w:t>
      </w:r>
      <w:r w:rsidR="00AF1510" w:rsidRPr="00E97BC8">
        <w:rPr>
          <w:rFonts w:cs="Times New Roman"/>
          <w:sz w:val="22"/>
          <w:szCs w:val="22"/>
        </w:rPr>
        <w:fldChar w:fldCharType="end"/>
      </w:r>
      <w:r w:rsidR="00E36A39" w:rsidRPr="00E97BC8">
        <w:rPr>
          <w:rFonts w:cs="Times New Roman"/>
          <w:sz w:val="22"/>
          <w:szCs w:val="22"/>
        </w:rPr>
        <w:t xml:space="preserve">. </w:t>
      </w:r>
      <w:r w:rsidR="00763255" w:rsidRPr="00E97BC8">
        <w:rPr>
          <w:rFonts w:cs="Times New Roman"/>
          <w:sz w:val="22"/>
          <w:szCs w:val="22"/>
        </w:rPr>
        <w:t xml:space="preserve">2,948 </w:t>
      </w:r>
      <w:r w:rsidR="00E210E4" w:rsidRPr="00E97BC8">
        <w:rPr>
          <w:rFonts w:cs="Times New Roman"/>
          <w:sz w:val="22"/>
          <w:szCs w:val="22"/>
        </w:rPr>
        <w:t>individuals</w:t>
      </w:r>
      <w:r w:rsidR="00737B3A" w:rsidRPr="00E97BC8">
        <w:rPr>
          <w:rFonts w:cs="Times New Roman"/>
          <w:sz w:val="22"/>
          <w:szCs w:val="22"/>
        </w:rPr>
        <w:t xml:space="preserve"> from the YouGov </w:t>
      </w:r>
      <w:r w:rsidR="00CE212D" w:rsidRPr="00E97BC8">
        <w:rPr>
          <w:rFonts w:cs="Times New Roman"/>
          <w:sz w:val="22"/>
          <w:szCs w:val="22"/>
        </w:rPr>
        <w:t>active California panel</w:t>
      </w:r>
      <w:r w:rsidR="00763255" w:rsidRPr="00E97BC8">
        <w:rPr>
          <w:rFonts w:cs="Times New Roman"/>
          <w:sz w:val="22"/>
          <w:szCs w:val="22"/>
        </w:rPr>
        <w:t xml:space="preserve"> were invited to participate</w:t>
      </w:r>
      <w:r w:rsidR="00A87DE9" w:rsidRPr="00E97BC8">
        <w:rPr>
          <w:rFonts w:cs="Times New Roman"/>
          <w:sz w:val="22"/>
          <w:szCs w:val="22"/>
        </w:rPr>
        <w:t xml:space="preserve">, of whom </w:t>
      </w:r>
      <w:r w:rsidR="00B47B4E" w:rsidRPr="00E97BC8">
        <w:rPr>
          <w:rFonts w:cs="Times New Roman"/>
          <w:sz w:val="22"/>
          <w:szCs w:val="22"/>
        </w:rPr>
        <w:t>810</w:t>
      </w:r>
      <w:r w:rsidR="005060CC" w:rsidRPr="00E97BC8">
        <w:rPr>
          <w:rFonts w:cs="Times New Roman"/>
          <w:sz w:val="22"/>
          <w:szCs w:val="22"/>
        </w:rPr>
        <w:t xml:space="preserve"> complete responses </w:t>
      </w:r>
      <w:r w:rsidR="00A87DE9" w:rsidRPr="00E97BC8">
        <w:rPr>
          <w:rFonts w:cs="Times New Roman"/>
          <w:sz w:val="22"/>
          <w:szCs w:val="22"/>
        </w:rPr>
        <w:t xml:space="preserve">(from a single individual </w:t>
      </w:r>
      <w:r w:rsidR="00CE212D" w:rsidRPr="00E97BC8">
        <w:rPr>
          <w:rFonts w:cs="Times New Roman"/>
          <w:sz w:val="22"/>
          <w:szCs w:val="22"/>
        </w:rPr>
        <w:t xml:space="preserve">to represent </w:t>
      </w:r>
      <w:r w:rsidR="00A87DE9" w:rsidRPr="00E97BC8">
        <w:rPr>
          <w:rFonts w:cs="Times New Roman"/>
          <w:sz w:val="22"/>
          <w:szCs w:val="22"/>
        </w:rPr>
        <w:t xml:space="preserve">each household) </w:t>
      </w:r>
      <w:r w:rsidR="00CE212D" w:rsidRPr="00E97BC8">
        <w:rPr>
          <w:rFonts w:cs="Times New Roman"/>
          <w:sz w:val="22"/>
          <w:szCs w:val="22"/>
        </w:rPr>
        <w:t xml:space="preserve">to the online survey </w:t>
      </w:r>
      <w:r w:rsidR="005060CC" w:rsidRPr="00E97BC8">
        <w:rPr>
          <w:rFonts w:cs="Times New Roman"/>
          <w:sz w:val="22"/>
          <w:szCs w:val="22"/>
        </w:rPr>
        <w:t>were received</w:t>
      </w:r>
      <w:r w:rsidR="00A87DE9" w:rsidRPr="00E97BC8">
        <w:rPr>
          <w:rFonts w:cs="Times New Roman"/>
          <w:sz w:val="22"/>
          <w:szCs w:val="22"/>
        </w:rPr>
        <w:t xml:space="preserve">. Subsequently, </w:t>
      </w:r>
      <w:r w:rsidR="005060CC" w:rsidRPr="00E97BC8">
        <w:rPr>
          <w:rFonts w:cs="Times New Roman"/>
          <w:sz w:val="22"/>
          <w:szCs w:val="22"/>
        </w:rPr>
        <w:t xml:space="preserve">YouGov performed census matching to reach a final sample of 750 homeowners. </w:t>
      </w:r>
      <w:r w:rsidR="00A87DE9" w:rsidRPr="00E97BC8">
        <w:rPr>
          <w:rFonts w:cs="Times New Roman"/>
          <w:sz w:val="22"/>
          <w:szCs w:val="22"/>
        </w:rPr>
        <w:t xml:space="preserve">Across the two data collection efforts, a </w:t>
      </w:r>
      <w:r w:rsidR="001133D2" w:rsidRPr="00E97BC8">
        <w:rPr>
          <w:rFonts w:cs="Times New Roman"/>
          <w:sz w:val="22"/>
          <w:szCs w:val="22"/>
        </w:rPr>
        <w:t xml:space="preserve">total sample size </w:t>
      </w:r>
      <w:r w:rsidR="00A87DE9" w:rsidRPr="00E97BC8">
        <w:rPr>
          <w:rFonts w:cs="Times New Roman"/>
          <w:sz w:val="22"/>
          <w:szCs w:val="22"/>
        </w:rPr>
        <w:t xml:space="preserve">of </w:t>
      </w:r>
      <w:r w:rsidR="001133D2" w:rsidRPr="00E97BC8">
        <w:rPr>
          <w:rFonts w:cs="Times New Roman"/>
          <w:sz w:val="22"/>
          <w:szCs w:val="22"/>
        </w:rPr>
        <w:t>1</w:t>
      </w:r>
      <w:r w:rsidR="007F7402" w:rsidRPr="00E97BC8">
        <w:rPr>
          <w:rFonts w:cs="Times New Roman"/>
          <w:sz w:val="22"/>
          <w:szCs w:val="22"/>
        </w:rPr>
        <w:t>,</w:t>
      </w:r>
      <w:r w:rsidR="001133D2" w:rsidRPr="00E97BC8">
        <w:rPr>
          <w:rFonts w:cs="Times New Roman"/>
          <w:sz w:val="22"/>
          <w:szCs w:val="22"/>
        </w:rPr>
        <w:t>311</w:t>
      </w:r>
      <w:r w:rsidR="00A87DE9" w:rsidRPr="00E97BC8">
        <w:rPr>
          <w:rFonts w:cs="Times New Roman"/>
          <w:sz w:val="22"/>
          <w:szCs w:val="22"/>
        </w:rPr>
        <w:t xml:space="preserve"> households resulted</w:t>
      </w:r>
      <w:r w:rsidR="001133D2" w:rsidRPr="00E97BC8">
        <w:rPr>
          <w:rFonts w:cs="Times New Roman"/>
          <w:sz w:val="22"/>
          <w:szCs w:val="22"/>
        </w:rPr>
        <w:t>. Of these</w:t>
      </w:r>
      <w:r w:rsidR="0011538A" w:rsidRPr="00E97BC8">
        <w:rPr>
          <w:rFonts w:cs="Times New Roman"/>
          <w:sz w:val="22"/>
          <w:szCs w:val="22"/>
        </w:rPr>
        <w:t>, 2</w:t>
      </w:r>
      <w:r w:rsidR="001F738B" w:rsidRPr="00E97BC8">
        <w:rPr>
          <w:rFonts w:cs="Times New Roman"/>
          <w:sz w:val="22"/>
          <w:szCs w:val="22"/>
        </w:rPr>
        <w:t>13</w:t>
      </w:r>
      <w:r w:rsidR="0011538A" w:rsidRPr="00E97BC8">
        <w:rPr>
          <w:rFonts w:cs="Times New Roman"/>
          <w:sz w:val="22"/>
          <w:szCs w:val="22"/>
        </w:rPr>
        <w:t xml:space="preserve"> additional respondents with incomplete data were removed, </w:t>
      </w:r>
      <w:r w:rsidR="00B379C3" w:rsidRPr="00E97BC8">
        <w:rPr>
          <w:rFonts w:cs="Times New Roman"/>
          <w:sz w:val="22"/>
          <w:szCs w:val="22"/>
        </w:rPr>
        <w:t>leaving a final sample size of 1</w:t>
      </w:r>
      <w:r w:rsidR="007F7402" w:rsidRPr="00E97BC8">
        <w:rPr>
          <w:rFonts w:cs="Times New Roman"/>
          <w:sz w:val="22"/>
          <w:szCs w:val="22"/>
        </w:rPr>
        <w:t>,</w:t>
      </w:r>
      <w:r w:rsidR="001F738B" w:rsidRPr="00E97BC8">
        <w:rPr>
          <w:rFonts w:cs="Times New Roman"/>
          <w:sz w:val="22"/>
          <w:szCs w:val="22"/>
        </w:rPr>
        <w:t>098</w:t>
      </w:r>
      <w:r w:rsidR="00B379C3" w:rsidRPr="00E97BC8">
        <w:rPr>
          <w:rFonts w:cs="Times New Roman"/>
          <w:sz w:val="22"/>
          <w:szCs w:val="22"/>
        </w:rPr>
        <w:t xml:space="preserve"> for the analysis</w:t>
      </w:r>
      <w:r w:rsidR="00A87DE9" w:rsidRPr="00E97BC8">
        <w:rPr>
          <w:rFonts w:cs="Times New Roman"/>
          <w:sz w:val="22"/>
          <w:szCs w:val="22"/>
        </w:rPr>
        <w:t xml:space="preserve"> (important to note is that the labels “household” and “respondent</w:t>
      </w:r>
      <w:r w:rsidR="00335382" w:rsidRPr="00E97BC8">
        <w:rPr>
          <w:rFonts w:cs="Times New Roman"/>
          <w:sz w:val="22"/>
          <w:szCs w:val="22"/>
        </w:rPr>
        <w:t>”</w:t>
      </w:r>
      <w:r w:rsidR="00974A44" w:rsidRPr="00E97BC8">
        <w:rPr>
          <w:rFonts w:cs="Times New Roman"/>
          <w:sz w:val="22"/>
          <w:szCs w:val="22"/>
        </w:rPr>
        <w:t xml:space="preserve"> or </w:t>
      </w:r>
      <w:r w:rsidR="00335382" w:rsidRPr="00E97BC8">
        <w:rPr>
          <w:rFonts w:cs="Times New Roman"/>
          <w:sz w:val="22"/>
          <w:szCs w:val="22"/>
        </w:rPr>
        <w:t>“</w:t>
      </w:r>
      <w:r w:rsidR="00974A44" w:rsidRPr="00E97BC8">
        <w:rPr>
          <w:rFonts w:cs="Times New Roman"/>
          <w:sz w:val="22"/>
          <w:szCs w:val="22"/>
        </w:rPr>
        <w:t>individual</w:t>
      </w:r>
      <w:r w:rsidR="00A87DE9" w:rsidRPr="00E97BC8">
        <w:rPr>
          <w:rFonts w:cs="Times New Roman"/>
          <w:sz w:val="22"/>
          <w:szCs w:val="22"/>
        </w:rPr>
        <w:t>” are synonymous, given a single individual from each household provided information related to the entire household</w:t>
      </w:r>
      <w:r w:rsidR="00EF5FEE" w:rsidRPr="00E97BC8">
        <w:rPr>
          <w:rFonts w:cs="Times New Roman"/>
          <w:sz w:val="22"/>
          <w:szCs w:val="22"/>
        </w:rPr>
        <w:t xml:space="preserve">). </w:t>
      </w:r>
      <w:bookmarkStart w:id="13" w:name="_Hlk198630569"/>
      <w:r w:rsidR="00A1031F" w:rsidRPr="00E97BC8">
        <w:rPr>
          <w:rFonts w:cs="Times New Roman"/>
          <w:sz w:val="22"/>
          <w:szCs w:val="22"/>
        </w:rPr>
        <w:t xml:space="preserve">Of course, one limitation of this approach is that attitudes/opinions are only collected from a single adult to represent those of the entire household, while, in reality, these vehicle ownership decisions are likely made at the household level based on the need, attitudes, and opinions of all household members. Still, the use of this individual-level data to represent the attitudes/opinions of the entire household is supported by evidence from sociological and psychological literature </w:t>
      </w:r>
      <w:r w:rsidR="00A1031F" w:rsidRPr="00E97BC8">
        <w:rPr>
          <w:rFonts w:cs="Times New Roman"/>
          <w:sz w:val="22"/>
          <w:szCs w:val="22"/>
        </w:rPr>
        <w:fldChar w:fldCharType="begin"/>
      </w:r>
      <w:r w:rsidR="00BA1F13" w:rsidRPr="00E97BC8">
        <w:rPr>
          <w:rFonts w:cs="Times New Roman"/>
          <w:sz w:val="22"/>
          <w:szCs w:val="22"/>
        </w:rPr>
        <w:instrText xml:space="preserve"> ADDIN ZOTERO_ITEM CSL_CITATION {"citationID":"IqIog7UU","properties":{"unsorted":true,"formattedCitation":"(Davis and Rusbult, 2001; Levy et al., 2008; Li et al., 2025)","plainCitation":"(Davis and Rusbult, 2001; Levy et al., 2008; Li et al., 2025)","noteIndex":0},"citationItems":[{"id":4573,"uris":["http://zotero.org/users/12832277/items/Y5UZ2DLG"],"itemData":{"id":4573,"type":"article-journal","abstract":"On the basis of principles of balance theory and interdependence theory, this research examined a phenomenon termed attitude alignment, or the tendency of interacting partners to modify their attitudes in such a manner as to achieve altitudinal congruence. The results of three experiments generally were consistent with the proposed model. First, tendencies toward attitude alignment were greater to the extent that attitudinal discrepancies were salient. Second, alignment tendencies were greater to the extent that an issue was central to the partner; there was also evidence that the degree to which an issue was peripheral to the self affected alignment processes (e.g., for changes in centrality of issue, with regard to persuasion methods). Third, degree of alignment tended to be greater in dating-partner interactions than in stranger interactions and tended to be greater among couples with high adjustment than among those with low adjustment. (PsycINFO Database Record (c) 2016 APA, all rights reserved)","container-title":"Journal of Personality and Social Psychology","DOI":"10.1037/0022-3514.81.1.65","ISSN":"1939-1315","issue":"1","note":"publisher-place: US\npublisher: American Psychological Association","page":"65-84","source":"APA PsycNet","title":"Attitude Alignment in Close Relationships","volume":"81","author":[{"family":"Davis","given":"Jody L."},{"family":"Rusbult","given":"Caryl E."}],"issued":{"date-parts":[["2001"]]}}},{"id":4575,"uris":["http://zotero.org/users/12832277/items/UXV3P7TM"],"itemData":{"id":4575,"type":"article-journal","abstract":"The decision to purchase a house is embedded within a set of economic and socio-cultural processes and is operationalized within the context of a specific local property market. In the residential mobility literature considerable attention has been given to examining issues of house prices, life-course and demographic influences on the decision to buy, but less attention has been directed to understanding the internal family decision-making process. While the act of purchasing a property constitutes a significant economic event for a family, the process of purchasing a house is an inherently social activity, involving setting goals, discussing and negotiating family needs, interacting with exchange professionals (information intermediaries), imagining modifications to potential purchases and interpreting market trends. These family activities are shaped by family structures, gender roles, ethnicity and socio-economic status. In addition, the house purchase process takes place within specific market conditions and institutional practices. For example, in New Zealand, the estate agent has a large amount of power when negotiating contracts between buyers and sellers. Using in-depth interviews, this paper examines family decision processes in Auckland from the perspective of estate agents who deal with families purchasing houses on a daily basis, and formulate their own understanding of buyer behaviour, and adult family members who have recently purchased houses. The analysis makes it possible to explore the ways in which estate agents interpret the purchasing behaviour of families and to compare these interpretations with the understandings of adult family members. The study offers insights into the ways in which families engage in search practices, interpret information and internally negotiate decisions. It is argued that the findings here contribute a greater understanding of how housing markets are performed and made.","container-title":"Housing Studies","DOI":"10.1080/02673030801893164","ISSN":"0267-3037","issue":"2","note":"publisher: Routledge\n_eprint: https://doi.org/10.1080/02673030801893164","page":"271-289","source":"Taylor and Francis+NEJM","title":"Influences and Emotions: Exploring Family Decision-making Processes when Buying a House","volume":"23","author":[{"family":"Levy","given":"Deborah"},{"family":"Murphy","given":"Laurence"},{"family":"Lee","given":"Christina K.C."}],"issued":{"date-parts":[["2008",3,1]]}}},{"id":4614,"uris":["http://zotero.org/users/12832277/items/BKV3HADC"],"itemData":{"id":4614,"type":"article","abstract":"The diffusion of innovative products is essential, particularly concerning the adoption of new products within households. This research delves into couple’s joint decision-making process regarding the adoption of new household products from a dyadic perspective. Utilizing surveys of 5,546 consumers, we find that one’s own overall product knowledge, encompassing both knowledge about new and existing products, positively influence the couple’s jointly purchase likelihood for the new products. Besides, his/her partner’s overall product knowledge further amplifies this positive effect. However, the partner’s attitudes toward the new products serve to attenuate the positive effect of both parties’ knowledge on joint purchase likelihood. The study enriches the understanding of the dynamic and dyadic nature of couples’ joint decision-making process, as well as the role of knowledge in new product adoption from a joint decision-making perspective. Our findings also provide valuable insights for promoting new innovative household products.","DOI":"10.2139/ssrn.5108340","event-place":"Rochester, NY","language":"en","number":"5108340","publisher":"Social Science Research Network","publisher-place":"Rochester, NY","source":"papers.ssrn.com","title":"Understanding the Interplay of Knowledge and Attitudes Among Couples in Household New Product Adoption: A Joint Decision-Making Approach","URL":"https://papers.ssrn.com/abstract=5108340","author":[{"family":"Li","given":"Shihao"},{"family":"Xu","given":"Juan"},{"family":"Ye","given":"Qing"}],"accessed":{"date-parts":[["2025",6,9]]},"issued":{"date-parts":[["2025",1,23]]}}}],"schema":"https://github.com/citation-style-language/schema/raw/master/csl-citation.json"} </w:instrText>
      </w:r>
      <w:r w:rsidR="00A1031F" w:rsidRPr="00E97BC8">
        <w:rPr>
          <w:rFonts w:cs="Times New Roman"/>
          <w:sz w:val="22"/>
          <w:szCs w:val="22"/>
        </w:rPr>
        <w:fldChar w:fldCharType="separate"/>
      </w:r>
      <w:r w:rsidR="00BA1F13" w:rsidRPr="00E97BC8">
        <w:rPr>
          <w:rFonts w:cs="Times New Roman"/>
          <w:sz w:val="22"/>
          <w:szCs w:val="22"/>
        </w:rPr>
        <w:t>(Davis and Rusbult, 2001; Levy et al., 2008; Li et al., 2025)</w:t>
      </w:r>
      <w:r w:rsidR="00A1031F" w:rsidRPr="00E97BC8">
        <w:rPr>
          <w:rFonts w:cs="Times New Roman"/>
          <w:sz w:val="22"/>
          <w:szCs w:val="22"/>
        </w:rPr>
        <w:fldChar w:fldCharType="end"/>
      </w:r>
      <w:r w:rsidR="00A1031F" w:rsidRPr="00E97BC8">
        <w:rPr>
          <w:rFonts w:cs="Times New Roman"/>
          <w:sz w:val="22"/>
          <w:szCs w:val="22"/>
        </w:rPr>
        <w:t xml:space="preserve"> suggesting that, because household-level decisions are made through negotiation and collaboration among household members, any individual who reports motivating factors would provide information representing those of the household as a whole. </w:t>
      </w:r>
    </w:p>
    <w:bookmarkEnd w:id="13"/>
    <w:p w14:paraId="0F46BB36" w14:textId="0D847A14" w:rsidR="007D2A43" w:rsidRPr="00E97BC8" w:rsidRDefault="00455475" w:rsidP="00E85093">
      <w:pPr>
        <w:pStyle w:val="NormalWeb"/>
        <w:shd w:val="clear" w:color="auto" w:fill="FFFFFF"/>
        <w:spacing w:before="0" w:beforeAutospacing="0" w:after="0" w:afterAutospacing="0"/>
        <w:jc w:val="both"/>
        <w:rPr>
          <w:sz w:val="22"/>
          <w:szCs w:val="22"/>
        </w:rPr>
      </w:pPr>
      <w:r w:rsidRPr="00E97BC8">
        <w:rPr>
          <w:sz w:val="22"/>
          <w:szCs w:val="22"/>
        </w:rPr>
        <w:tab/>
      </w:r>
      <w:r w:rsidR="00DC63A1" w:rsidRPr="00E97BC8">
        <w:rPr>
          <w:sz w:val="22"/>
          <w:szCs w:val="22"/>
        </w:rPr>
        <w:t>The survey was undertaken as part of a larger research project on t</w:t>
      </w:r>
      <w:r w:rsidR="00C26EC1" w:rsidRPr="00E97BC8">
        <w:rPr>
          <w:sz w:val="22"/>
          <w:szCs w:val="22"/>
        </w:rPr>
        <w:t xml:space="preserve">he co-adoption of EVs and rooftop solar panels. The survey instrument was designed based on the literature, intuition, and semi-structured interview with EV-only adopter, </w:t>
      </w:r>
      <w:r w:rsidR="00D34434" w:rsidRPr="00E97BC8">
        <w:rPr>
          <w:sz w:val="22"/>
          <w:szCs w:val="22"/>
        </w:rPr>
        <w:t>solar-only adopter, and EV-solar co-adopters undertaken in the first phase of the research project</w:t>
      </w:r>
      <w:r w:rsidR="0054359F" w:rsidRPr="00E97BC8">
        <w:rPr>
          <w:sz w:val="22"/>
          <w:szCs w:val="22"/>
        </w:rPr>
        <w:t xml:space="preserve"> </w:t>
      </w:r>
      <w:r w:rsidR="003F383F" w:rsidRPr="00E97BC8">
        <w:rPr>
          <w:sz w:val="22"/>
          <w:szCs w:val="22"/>
        </w:rPr>
        <w:fldChar w:fldCharType="begin"/>
      </w:r>
      <w:r w:rsidR="00335382" w:rsidRPr="00E97BC8">
        <w:rPr>
          <w:sz w:val="22"/>
          <w:szCs w:val="22"/>
        </w:rPr>
        <w:instrText xml:space="preserve"> ADDIN ZOTERO_ITEM CSL_CITATION {"citationID":"dQjCJ0Wm","properties":{"formattedCitation":"(Bull et al., 2025)","plainCitation":"(Bull et al., 2025)","noteIndex":0},"citationItems":[{"id":4147,"uris":["http://zotero.org/users/12832277/items/639FHKL3"],"itemData":{"id":4147,"type":"article-journal","abstract":"This study investigates household decisions regarding adoption of solar panels and plug-in electric vehicles in the United States (CA, CO, FL, MA, MN, TX, VA). Although the adoption of each technology is well-documented, the dynamics of their co-adoption have been understudied. This study uses Theory of Consumption Values to investigate co-adoption decisions. Employing qualitative interviews with co-adopters and single technology adopters, this research uncovers underlying motivations and challenges associated with co-adoption. The study reveals that co-adoption is primarily driven by a blend of functional, emotional, social, epistemic, and conditional values. Key findings indicate that direct connections between the adoption of electric vehicles and solar (conditional value) are uncommon. Instead, many co-adoption decisions are made independently, guided by overlapping consumption values. The study also identifies challenges to co-adoption, including cost, lack of knowledge, and perceived technology incompatibilities. These insights contribute to the broader understanding of complementarity in sustainable technology adoption by households. They also highlight the need for approaches that address identified barriers and facilitate the transition of single adopters to co-adopters.","container-title":"Energy Research &amp; Social Science","DOI":"10.1016/j.erss.2025.103990","ISSN":"2214-6296","source":"ScienceDirect","title":"Electric Vehicles and Rooftop Solar Energy: Consumption Values Influencing Decisions and Barriers to Co-Adoption in the United States","URL":"https://www.sciencedirect.com/science/article/pii/S2214629625000714","volume":"122","author":[{"family":"Bull","given":"Stephen"},{"family":"Buch","given":"Koral"},{"family":"Freling","given":"Coco"},{"family":"Hardman","given":"Scott"},{"family":"Firestone","given":"Jeremy"}],"accessed":{"date-parts":[["2025",2,24]]},"issued":{"date-parts":[["2025",4,1]]}}}],"schema":"https://github.com/citation-style-language/schema/raw/master/csl-citation.json"} </w:instrText>
      </w:r>
      <w:r w:rsidR="003F383F" w:rsidRPr="00E97BC8">
        <w:rPr>
          <w:sz w:val="22"/>
          <w:szCs w:val="22"/>
        </w:rPr>
        <w:fldChar w:fldCharType="separate"/>
      </w:r>
      <w:r w:rsidR="00335382" w:rsidRPr="00E97BC8">
        <w:rPr>
          <w:sz w:val="22"/>
          <w:szCs w:val="22"/>
        </w:rPr>
        <w:t>(Bull et al., 2025)</w:t>
      </w:r>
      <w:r w:rsidR="003F383F" w:rsidRPr="00E97BC8">
        <w:rPr>
          <w:sz w:val="22"/>
          <w:szCs w:val="22"/>
        </w:rPr>
        <w:fldChar w:fldCharType="end"/>
      </w:r>
      <w:r w:rsidR="00D34434" w:rsidRPr="00E97BC8">
        <w:rPr>
          <w:sz w:val="22"/>
          <w:szCs w:val="22"/>
        </w:rPr>
        <w:t xml:space="preserve">. </w:t>
      </w:r>
      <w:r w:rsidR="00F81CB0" w:rsidRPr="00E97BC8">
        <w:rPr>
          <w:sz w:val="22"/>
          <w:szCs w:val="22"/>
        </w:rPr>
        <w:t xml:space="preserve">As part of the survey, </w:t>
      </w:r>
      <w:r w:rsidR="00F8725A" w:rsidRPr="00E97BC8">
        <w:rPr>
          <w:sz w:val="22"/>
          <w:szCs w:val="22"/>
        </w:rPr>
        <w:t>respondents</w:t>
      </w:r>
      <w:r w:rsidR="00F81CB0" w:rsidRPr="00E97BC8">
        <w:rPr>
          <w:sz w:val="22"/>
          <w:szCs w:val="22"/>
        </w:rPr>
        <w:t xml:space="preserve"> were asked</w:t>
      </w:r>
      <w:r w:rsidR="00F8725A" w:rsidRPr="00E97BC8">
        <w:rPr>
          <w:sz w:val="22"/>
          <w:szCs w:val="22"/>
        </w:rPr>
        <w:t xml:space="preserve"> about their current ownership of EVs </w:t>
      </w:r>
      <w:r w:rsidR="00A437E8" w:rsidRPr="00E97BC8">
        <w:rPr>
          <w:sz w:val="22"/>
          <w:szCs w:val="22"/>
        </w:rPr>
        <w:t>as well as</w:t>
      </w:r>
      <w:r w:rsidR="00C23E8C" w:rsidRPr="00E97BC8">
        <w:rPr>
          <w:sz w:val="22"/>
          <w:szCs w:val="22"/>
        </w:rPr>
        <w:t xml:space="preserve"> </w:t>
      </w:r>
      <w:r w:rsidR="00F04EB5" w:rsidRPr="00E97BC8">
        <w:rPr>
          <w:sz w:val="22"/>
          <w:szCs w:val="22"/>
        </w:rPr>
        <w:t>attitudes</w:t>
      </w:r>
      <w:r w:rsidR="00C23E8C" w:rsidRPr="00E97BC8">
        <w:rPr>
          <w:sz w:val="22"/>
          <w:szCs w:val="22"/>
        </w:rPr>
        <w:t xml:space="preserve"> and opinions relating to </w:t>
      </w:r>
      <w:r w:rsidR="00B45352" w:rsidRPr="00E97BC8">
        <w:rPr>
          <w:sz w:val="22"/>
          <w:szCs w:val="22"/>
        </w:rPr>
        <w:t xml:space="preserve">vehicle ownership and vehicle </w:t>
      </w:r>
      <w:r w:rsidR="00B45352" w:rsidRPr="00E97BC8">
        <w:rPr>
          <w:sz w:val="22"/>
          <w:szCs w:val="22"/>
        </w:rPr>
        <w:lastRenderedPageBreak/>
        <w:t xml:space="preserve">characteristics, </w:t>
      </w:r>
      <w:r w:rsidR="00A437E8" w:rsidRPr="00E97BC8">
        <w:rPr>
          <w:sz w:val="22"/>
          <w:szCs w:val="22"/>
        </w:rPr>
        <w:t xml:space="preserve">barriers to adoption of EVs, </w:t>
      </w:r>
      <w:r w:rsidR="004A58B0" w:rsidRPr="00E97BC8">
        <w:rPr>
          <w:sz w:val="22"/>
          <w:szCs w:val="22"/>
        </w:rPr>
        <w:t xml:space="preserve">and </w:t>
      </w:r>
      <w:r w:rsidR="00B45352" w:rsidRPr="00E97BC8">
        <w:rPr>
          <w:sz w:val="22"/>
          <w:szCs w:val="22"/>
        </w:rPr>
        <w:t>environmentally friendly practices and technologies</w:t>
      </w:r>
      <w:r w:rsidR="00F04EB5" w:rsidRPr="00E97BC8">
        <w:rPr>
          <w:sz w:val="22"/>
          <w:szCs w:val="22"/>
        </w:rPr>
        <w:t xml:space="preserve"> in general</w:t>
      </w:r>
      <w:r w:rsidR="004A58B0" w:rsidRPr="00E97BC8">
        <w:rPr>
          <w:sz w:val="22"/>
          <w:szCs w:val="22"/>
        </w:rPr>
        <w:t>. The survey also collected individual- and household-level demographics</w:t>
      </w:r>
      <w:r w:rsidR="008C0470" w:rsidRPr="00E97BC8">
        <w:rPr>
          <w:sz w:val="22"/>
          <w:szCs w:val="22"/>
        </w:rPr>
        <w:t xml:space="preserve"> as well as</w:t>
      </w:r>
      <w:r w:rsidR="004A58B0" w:rsidRPr="00E97BC8">
        <w:rPr>
          <w:sz w:val="22"/>
          <w:szCs w:val="22"/>
        </w:rPr>
        <w:t xml:space="preserve"> </w:t>
      </w:r>
      <w:r w:rsidR="00D67F2C" w:rsidRPr="00E97BC8">
        <w:rPr>
          <w:sz w:val="22"/>
          <w:szCs w:val="22"/>
        </w:rPr>
        <w:t xml:space="preserve">dwelling unit and </w:t>
      </w:r>
      <w:r w:rsidR="008A3F10" w:rsidRPr="00E97BC8">
        <w:rPr>
          <w:sz w:val="22"/>
          <w:szCs w:val="22"/>
        </w:rPr>
        <w:t>residential location characteristics</w:t>
      </w:r>
      <w:r w:rsidR="008C0470" w:rsidRPr="00E97BC8">
        <w:rPr>
          <w:sz w:val="22"/>
          <w:szCs w:val="22"/>
        </w:rPr>
        <w:t xml:space="preserve">. Finally, of particular importance for the current study, the survey asked current EV owners </w:t>
      </w:r>
      <w:r w:rsidR="00877671" w:rsidRPr="00E97BC8">
        <w:rPr>
          <w:sz w:val="22"/>
          <w:szCs w:val="22"/>
        </w:rPr>
        <w:t xml:space="preserve">(that is, the individual respondents from households that own EVs) </w:t>
      </w:r>
      <w:r w:rsidR="008C0470" w:rsidRPr="00E97BC8">
        <w:rPr>
          <w:sz w:val="22"/>
          <w:szCs w:val="22"/>
        </w:rPr>
        <w:t xml:space="preserve">to rank </w:t>
      </w:r>
      <w:r w:rsidR="00A87B54" w:rsidRPr="00E97BC8">
        <w:rPr>
          <w:sz w:val="22"/>
          <w:szCs w:val="22"/>
        </w:rPr>
        <w:t xml:space="preserve">the importance of a set of </w:t>
      </w:r>
      <w:r w:rsidR="00877671" w:rsidRPr="00E97BC8">
        <w:rPr>
          <w:sz w:val="22"/>
          <w:szCs w:val="22"/>
        </w:rPr>
        <w:t xml:space="preserve">motivating </w:t>
      </w:r>
      <w:r w:rsidR="00A87B54" w:rsidRPr="00E97BC8">
        <w:rPr>
          <w:sz w:val="22"/>
          <w:szCs w:val="22"/>
        </w:rPr>
        <w:t xml:space="preserve">factors </w:t>
      </w:r>
      <w:r w:rsidR="004577CE" w:rsidRPr="00E97BC8">
        <w:rPr>
          <w:sz w:val="22"/>
          <w:szCs w:val="22"/>
        </w:rPr>
        <w:t>that led them to consider buying an EV</w:t>
      </w:r>
      <w:r w:rsidR="00253EEC" w:rsidRPr="00E97BC8">
        <w:rPr>
          <w:sz w:val="22"/>
          <w:szCs w:val="22"/>
        </w:rPr>
        <w:t xml:space="preserve">. </w:t>
      </w:r>
      <w:bookmarkStart w:id="14" w:name="_Hlk198562056"/>
      <w:r w:rsidR="00253EEC" w:rsidRPr="00E97BC8">
        <w:rPr>
          <w:sz w:val="22"/>
          <w:szCs w:val="22"/>
        </w:rPr>
        <w:t xml:space="preserve">The set of motivations included were based on the results of the semi-structured interviews in the previous phase of the data collection as well as aligning with five classes of values from the Theory of Consumption Values </w:t>
      </w:r>
      <w:r w:rsidR="00253EEC" w:rsidRPr="00E97BC8">
        <w:rPr>
          <w:sz w:val="22"/>
          <w:szCs w:val="22"/>
        </w:rPr>
        <w:fldChar w:fldCharType="begin"/>
      </w:r>
      <w:r w:rsidR="00253EEC" w:rsidRPr="00E97BC8">
        <w:rPr>
          <w:sz w:val="22"/>
          <w:szCs w:val="22"/>
        </w:rPr>
        <w:instrText xml:space="preserve"> ADDIN ZOTERO_ITEM CSL_CITATION {"citationID":"OIlo4Mnd","properties":{"formattedCitation":"(Sheth et al., 1991)","plainCitation":"(Sheth et al., 1991)","noteIndex":0},"citationItems":[{"id":4570,"uris":["http://zotero.org/users/12832277/items/UJSP4CC2"],"itemData":{"id":4570,"type":"article-journal","abstract":"This article presents a theory developed to explain why consumers make the choices they do. The theory identifies five consumption values influencing consumer choice behavior. Three representative applications of the theory are illustrated pertaining to choices involving cigarette smoking. The illustrations examined include the choice to buy or not buy (or to use or not use) cigarettes, the choice of one type of cigarette over another, and the choice of one cigarette brand over another. Results of the operationalization of the theory suggest that it may be used to predict consumption behavior, as well as to describe and explain it.","container-title":"Journal of Business Research","DOI":"10.1016/0148-2963(91)90050-8","ISSN":"0148-2963","issue":"2","page":"159-170","source":"ScienceDirect","title":"Why We Buy What We Buy: A Theory of Consumption Values","volume":"22","author":[{"family":"Sheth","given":"Jagdish N."},{"family":"Newman","given":"Bruce I."},{"family":"Gross","given":"Barbara L."}],"issued":{"date-parts":[["1991",3,1]]}}}],"schema":"https://github.com/citation-style-language/schema/raw/master/csl-citation.json"} </w:instrText>
      </w:r>
      <w:r w:rsidR="00253EEC" w:rsidRPr="00E97BC8">
        <w:rPr>
          <w:sz w:val="22"/>
          <w:szCs w:val="22"/>
        </w:rPr>
        <w:fldChar w:fldCharType="separate"/>
      </w:r>
      <w:r w:rsidR="00253EEC" w:rsidRPr="00E97BC8">
        <w:rPr>
          <w:sz w:val="22"/>
          <w:szCs w:val="22"/>
        </w:rPr>
        <w:t>(Sheth et al., 1991)</w:t>
      </w:r>
      <w:r w:rsidR="00253EEC" w:rsidRPr="00E97BC8">
        <w:rPr>
          <w:sz w:val="22"/>
          <w:szCs w:val="22"/>
        </w:rPr>
        <w:fldChar w:fldCharType="end"/>
      </w:r>
      <w:r w:rsidR="00253EEC" w:rsidRPr="00E97BC8">
        <w:rPr>
          <w:sz w:val="22"/>
          <w:szCs w:val="22"/>
        </w:rPr>
        <w:t>: Functional, Emotional, Social, Epistemic, and Conditional</w:t>
      </w:r>
      <w:r w:rsidR="00A543BC" w:rsidRPr="00E97BC8">
        <w:rPr>
          <w:sz w:val="22"/>
          <w:szCs w:val="22"/>
        </w:rPr>
        <w:t xml:space="preserve"> </w:t>
      </w:r>
      <w:r w:rsidR="00A543BC" w:rsidRPr="00E97BC8">
        <w:rPr>
          <w:sz w:val="22"/>
          <w:szCs w:val="22"/>
        </w:rPr>
        <w:fldChar w:fldCharType="begin"/>
      </w:r>
      <w:r w:rsidR="005A775A" w:rsidRPr="00E97BC8">
        <w:rPr>
          <w:sz w:val="22"/>
          <w:szCs w:val="22"/>
        </w:rPr>
        <w:instrText xml:space="preserve"> ADDIN ZOTERO_ITEM CSL_CITATION {"citationID":"vwV5h16m","properties":{"formattedCitation":"(Bull et al., 2025)","plainCitation":"(Bull et al., 2025)","dontUpdate":true,"noteIndex":0},"citationItems":[{"id":4147,"uris":["http://zotero.org/users/12832277/items/639FHKL3"],"itemData":{"id":4147,"type":"article-journal","abstract":"This study investigates household decisions regarding adoption of solar panels and plug-in electric vehicles in the United States (CA, CO, FL, MA, MN, TX, VA). Although the adoption of each technology is well-documented, the dynamics of their co-adoption have been understudied. This study uses Theory of Consumption Values to investigate co-adoption decisions. Employing qualitative interviews with co-adopters and single technology adopters, this research uncovers underlying motivations and challenges associated with co-adoption. The study reveals that co-adoption is primarily driven by a blend of functional, emotional, social, epistemic, and conditional values. Key findings indicate that direct connections between the adoption of electric vehicles and solar (conditional value) are uncommon. Instead, many co-adoption decisions are made independently, guided by overlapping consumption values. The study also identifies challenges to co-adoption, including cost, lack of knowledge, and perceived technology incompatibilities. These insights contribute to the broader understanding of complementarity in sustainable technology adoption by households. They also highlight the need for approaches that address identified barriers and facilitate the transition of single adopters to co-adopters.","container-title":"Energy Research &amp; Social Science","DOI":"10.1016/j.erss.2025.103990","ISSN":"2214-6296","source":"ScienceDirect","title":"Electric Vehicles and Rooftop Solar Energy: Consumption Values Influencing Decisions and Barriers to Co-Adoption in the United States","URL":"https://www.sciencedirect.com/science/article/pii/S2214629625000714","volume":"122","author":[{"family":"Bull","given":"Stephen"},{"family":"Buch","given":"Koral"},{"family":"Freling","given":"Coco"},{"family":"Hardman","given":"Scott"},{"family":"Firestone","given":"Jeremy"}],"accessed":{"date-parts":[["2025",2,24]]},"issued":{"date-parts":[["2025",4,1]]}}}],"schema":"https://github.com/citation-style-language/schema/raw/master/csl-citation.json"} </w:instrText>
      </w:r>
      <w:r w:rsidR="00A543BC" w:rsidRPr="00E97BC8">
        <w:rPr>
          <w:sz w:val="22"/>
          <w:szCs w:val="22"/>
        </w:rPr>
        <w:fldChar w:fldCharType="separate"/>
      </w:r>
      <w:r w:rsidR="00253EEC" w:rsidRPr="00E97BC8">
        <w:rPr>
          <w:sz w:val="22"/>
          <w:szCs w:val="22"/>
        </w:rPr>
        <w:t>(see Bull et al., 2025 for a detailed discussion of the semi-structured interview results and theoretical background that led to the development of this set of motivating factors)</w:t>
      </w:r>
      <w:r w:rsidR="00A543BC" w:rsidRPr="00E97BC8">
        <w:rPr>
          <w:sz w:val="22"/>
          <w:szCs w:val="22"/>
        </w:rPr>
        <w:fldChar w:fldCharType="end"/>
      </w:r>
      <w:r w:rsidR="00A87B54" w:rsidRPr="00E97BC8">
        <w:rPr>
          <w:sz w:val="22"/>
          <w:szCs w:val="22"/>
        </w:rPr>
        <w:t>.</w:t>
      </w:r>
      <w:bookmarkEnd w:id="14"/>
      <w:r w:rsidR="00A87B54" w:rsidRPr="00E97BC8">
        <w:rPr>
          <w:sz w:val="22"/>
          <w:szCs w:val="22"/>
        </w:rPr>
        <w:t xml:space="preserve"> </w:t>
      </w:r>
      <w:r w:rsidR="00877671" w:rsidRPr="00E97BC8">
        <w:rPr>
          <w:sz w:val="22"/>
          <w:szCs w:val="22"/>
        </w:rPr>
        <w:t>Specifically, p</w:t>
      </w:r>
      <w:r w:rsidR="004577CE" w:rsidRPr="00E97BC8">
        <w:rPr>
          <w:sz w:val="22"/>
          <w:szCs w:val="22"/>
        </w:rPr>
        <w:t>articipants were asked to rank the top three choices from the following list of factors:</w:t>
      </w:r>
      <w:r w:rsidR="00F77CC5" w:rsidRPr="00E97BC8">
        <w:rPr>
          <w:sz w:val="22"/>
          <w:szCs w:val="22"/>
        </w:rPr>
        <w:t xml:space="preserve"> (1) R</w:t>
      </w:r>
      <w:r w:rsidR="004577CE" w:rsidRPr="00E97BC8">
        <w:rPr>
          <w:sz w:val="22"/>
          <w:szCs w:val="22"/>
        </w:rPr>
        <w:t>ising gasoline prices</w:t>
      </w:r>
      <w:r w:rsidR="00F77CC5" w:rsidRPr="00E97BC8">
        <w:rPr>
          <w:sz w:val="22"/>
          <w:szCs w:val="22"/>
        </w:rPr>
        <w:t xml:space="preserve">, </w:t>
      </w:r>
      <w:r w:rsidR="00F55C23" w:rsidRPr="00E97BC8">
        <w:rPr>
          <w:sz w:val="22"/>
          <w:szCs w:val="22"/>
        </w:rPr>
        <w:t xml:space="preserve">(2) To take advantage of available incentives, </w:t>
      </w:r>
      <w:r w:rsidR="00F77CC5" w:rsidRPr="00E97BC8">
        <w:rPr>
          <w:sz w:val="22"/>
          <w:szCs w:val="22"/>
        </w:rPr>
        <w:t>(</w:t>
      </w:r>
      <w:r w:rsidR="00F55C23" w:rsidRPr="00E97BC8">
        <w:rPr>
          <w:sz w:val="22"/>
          <w:szCs w:val="22"/>
        </w:rPr>
        <w:t>3</w:t>
      </w:r>
      <w:r w:rsidR="00F77CC5" w:rsidRPr="00E97BC8">
        <w:rPr>
          <w:sz w:val="22"/>
          <w:szCs w:val="22"/>
        </w:rPr>
        <w:t xml:space="preserve">) </w:t>
      </w:r>
      <w:r w:rsidR="004577CE" w:rsidRPr="00E97BC8">
        <w:rPr>
          <w:sz w:val="22"/>
          <w:szCs w:val="22"/>
        </w:rPr>
        <w:t>Interest in the technology</w:t>
      </w:r>
      <w:r w:rsidR="00F77CC5" w:rsidRPr="00E97BC8">
        <w:rPr>
          <w:sz w:val="22"/>
          <w:szCs w:val="22"/>
        </w:rPr>
        <w:t>, (</w:t>
      </w:r>
      <w:r w:rsidR="00F55C23" w:rsidRPr="00E97BC8">
        <w:rPr>
          <w:sz w:val="22"/>
          <w:szCs w:val="22"/>
        </w:rPr>
        <w:t>4</w:t>
      </w:r>
      <w:r w:rsidR="00F77CC5" w:rsidRPr="00E97BC8">
        <w:rPr>
          <w:sz w:val="22"/>
          <w:szCs w:val="22"/>
        </w:rPr>
        <w:t xml:space="preserve">) </w:t>
      </w:r>
      <w:r w:rsidR="004577CE" w:rsidRPr="00E97BC8">
        <w:rPr>
          <w:sz w:val="22"/>
          <w:szCs w:val="22"/>
        </w:rPr>
        <w:t>Interest in specific brand/model of electric vehicle</w:t>
      </w:r>
      <w:r w:rsidR="005D4032" w:rsidRPr="00E97BC8">
        <w:rPr>
          <w:sz w:val="22"/>
          <w:szCs w:val="22"/>
        </w:rPr>
        <w:t>,</w:t>
      </w:r>
      <w:r w:rsidR="00F77CC5" w:rsidRPr="00E97BC8">
        <w:rPr>
          <w:sz w:val="22"/>
          <w:szCs w:val="22"/>
        </w:rPr>
        <w:t xml:space="preserve"> (</w:t>
      </w:r>
      <w:r w:rsidR="005D4032" w:rsidRPr="00E97BC8">
        <w:rPr>
          <w:sz w:val="22"/>
          <w:szCs w:val="22"/>
        </w:rPr>
        <w:t>5</w:t>
      </w:r>
      <w:r w:rsidR="00F77CC5" w:rsidRPr="00E97BC8">
        <w:rPr>
          <w:sz w:val="22"/>
          <w:szCs w:val="22"/>
        </w:rPr>
        <w:t xml:space="preserve">) </w:t>
      </w:r>
      <w:r w:rsidR="004577CE" w:rsidRPr="00E97BC8">
        <w:rPr>
          <w:sz w:val="22"/>
          <w:szCs w:val="22"/>
        </w:rPr>
        <w:t>Test drove one</w:t>
      </w:r>
      <w:r w:rsidR="00F77CC5" w:rsidRPr="00E97BC8">
        <w:rPr>
          <w:sz w:val="22"/>
          <w:szCs w:val="22"/>
        </w:rPr>
        <w:t>, (</w:t>
      </w:r>
      <w:r w:rsidR="005D4032" w:rsidRPr="00E97BC8">
        <w:rPr>
          <w:sz w:val="22"/>
          <w:szCs w:val="22"/>
        </w:rPr>
        <w:t>6</w:t>
      </w:r>
      <w:r w:rsidR="00F77CC5" w:rsidRPr="00E97BC8">
        <w:rPr>
          <w:sz w:val="22"/>
          <w:szCs w:val="22"/>
        </w:rPr>
        <w:t xml:space="preserve">) </w:t>
      </w:r>
      <w:r w:rsidR="004577CE" w:rsidRPr="00E97BC8">
        <w:rPr>
          <w:sz w:val="22"/>
          <w:szCs w:val="22"/>
        </w:rPr>
        <w:t>Heard about EVs from friends/family or colleagues</w:t>
      </w:r>
      <w:r w:rsidR="00F77CC5" w:rsidRPr="00E97BC8">
        <w:rPr>
          <w:sz w:val="22"/>
          <w:szCs w:val="22"/>
        </w:rPr>
        <w:t>, (</w:t>
      </w:r>
      <w:r w:rsidR="005D4032" w:rsidRPr="00E97BC8">
        <w:rPr>
          <w:sz w:val="22"/>
          <w:szCs w:val="22"/>
        </w:rPr>
        <w:t>7</w:t>
      </w:r>
      <w:r w:rsidR="00F77CC5" w:rsidRPr="00E97BC8">
        <w:rPr>
          <w:sz w:val="22"/>
          <w:szCs w:val="22"/>
        </w:rPr>
        <w:t xml:space="preserve">) </w:t>
      </w:r>
      <w:r w:rsidR="004577CE" w:rsidRPr="00E97BC8">
        <w:rPr>
          <w:sz w:val="22"/>
          <w:szCs w:val="22"/>
        </w:rPr>
        <w:t>The ability to charge/"refuel" at home</w:t>
      </w:r>
      <w:r w:rsidR="00F77CC5" w:rsidRPr="00E97BC8">
        <w:rPr>
          <w:sz w:val="22"/>
          <w:szCs w:val="22"/>
        </w:rPr>
        <w:t>, (</w:t>
      </w:r>
      <w:r w:rsidR="002267A5" w:rsidRPr="00E97BC8">
        <w:rPr>
          <w:sz w:val="22"/>
          <w:szCs w:val="22"/>
        </w:rPr>
        <w:t>8</w:t>
      </w:r>
      <w:r w:rsidR="00F77CC5" w:rsidRPr="00E97BC8">
        <w:rPr>
          <w:sz w:val="22"/>
          <w:szCs w:val="22"/>
        </w:rPr>
        <w:t xml:space="preserve">) </w:t>
      </w:r>
      <w:r w:rsidR="004577CE" w:rsidRPr="00E97BC8">
        <w:rPr>
          <w:sz w:val="22"/>
          <w:szCs w:val="22"/>
        </w:rPr>
        <w:t>Concerns about climate change</w:t>
      </w:r>
      <w:r w:rsidR="00F77CC5" w:rsidRPr="00E97BC8">
        <w:rPr>
          <w:sz w:val="22"/>
          <w:szCs w:val="22"/>
        </w:rPr>
        <w:t xml:space="preserve">, </w:t>
      </w:r>
      <w:r w:rsidR="002267A5" w:rsidRPr="00E97BC8">
        <w:rPr>
          <w:sz w:val="22"/>
          <w:szCs w:val="22"/>
        </w:rPr>
        <w:t>(</w:t>
      </w:r>
      <w:r w:rsidR="002A5424" w:rsidRPr="00E97BC8">
        <w:rPr>
          <w:sz w:val="22"/>
          <w:szCs w:val="22"/>
        </w:rPr>
        <w:t>9</w:t>
      </w:r>
      <w:r w:rsidR="002267A5" w:rsidRPr="00E97BC8">
        <w:rPr>
          <w:sz w:val="22"/>
          <w:szCs w:val="22"/>
        </w:rPr>
        <w:t>) To increase household electricity consumption as we were planning to get solar panels,</w:t>
      </w:r>
      <w:r w:rsidR="005D4032" w:rsidRPr="00E97BC8">
        <w:rPr>
          <w:sz w:val="22"/>
          <w:szCs w:val="22"/>
        </w:rPr>
        <w:t xml:space="preserve"> (</w:t>
      </w:r>
      <w:r w:rsidR="002267A5" w:rsidRPr="00E97BC8">
        <w:rPr>
          <w:sz w:val="22"/>
          <w:szCs w:val="22"/>
        </w:rPr>
        <w:t>10</w:t>
      </w:r>
      <w:r w:rsidR="005D4032" w:rsidRPr="00E97BC8">
        <w:rPr>
          <w:sz w:val="22"/>
          <w:szCs w:val="22"/>
        </w:rPr>
        <w:t>) Media/advertising, (</w:t>
      </w:r>
      <w:r w:rsidR="002267A5" w:rsidRPr="00E97BC8">
        <w:rPr>
          <w:sz w:val="22"/>
          <w:szCs w:val="22"/>
        </w:rPr>
        <w:t>11</w:t>
      </w:r>
      <w:r w:rsidR="005D4032" w:rsidRPr="00E97BC8">
        <w:rPr>
          <w:sz w:val="22"/>
          <w:szCs w:val="22"/>
        </w:rPr>
        <w:t xml:space="preserve">) Passenger in one, </w:t>
      </w:r>
      <w:r w:rsidR="00F77CC5" w:rsidRPr="00E97BC8">
        <w:rPr>
          <w:sz w:val="22"/>
          <w:szCs w:val="22"/>
        </w:rPr>
        <w:t xml:space="preserve">(12) </w:t>
      </w:r>
      <w:r w:rsidR="00F73A23" w:rsidRPr="00E97BC8">
        <w:rPr>
          <w:sz w:val="22"/>
          <w:szCs w:val="22"/>
        </w:rPr>
        <w:t xml:space="preserve">Saw one at work or others with one, and (13) </w:t>
      </w:r>
      <w:r w:rsidR="00705D4A" w:rsidRPr="00E97BC8">
        <w:rPr>
          <w:sz w:val="22"/>
          <w:szCs w:val="22"/>
        </w:rPr>
        <w:t>Something else (please specify)</w:t>
      </w:r>
      <w:r w:rsidR="00F77CC5" w:rsidRPr="00E97BC8">
        <w:rPr>
          <w:sz w:val="22"/>
          <w:szCs w:val="22"/>
        </w:rPr>
        <w:t xml:space="preserve">. Because of the </w:t>
      </w:r>
      <w:r w:rsidR="00877671" w:rsidRPr="00E97BC8">
        <w:rPr>
          <w:sz w:val="22"/>
          <w:szCs w:val="22"/>
        </w:rPr>
        <w:t xml:space="preserve">handful </w:t>
      </w:r>
      <w:r w:rsidR="00F77CC5" w:rsidRPr="00E97BC8">
        <w:rPr>
          <w:sz w:val="22"/>
          <w:szCs w:val="22"/>
        </w:rPr>
        <w:t>of respondents</w:t>
      </w:r>
      <w:r w:rsidR="002A5424" w:rsidRPr="00E97BC8">
        <w:rPr>
          <w:sz w:val="22"/>
          <w:szCs w:val="22"/>
        </w:rPr>
        <w:t xml:space="preserve"> who</w:t>
      </w:r>
      <w:r w:rsidR="00F77CC5" w:rsidRPr="00E97BC8">
        <w:rPr>
          <w:sz w:val="22"/>
          <w:szCs w:val="22"/>
        </w:rPr>
        <w:t xml:space="preserve"> selected </w:t>
      </w:r>
      <w:r w:rsidR="002A5424" w:rsidRPr="00E97BC8">
        <w:rPr>
          <w:sz w:val="22"/>
          <w:szCs w:val="22"/>
        </w:rPr>
        <w:t xml:space="preserve">the final </w:t>
      </w:r>
      <w:r w:rsidR="00F73A23" w:rsidRPr="00E97BC8">
        <w:rPr>
          <w:sz w:val="22"/>
          <w:szCs w:val="22"/>
        </w:rPr>
        <w:t>five</w:t>
      </w:r>
      <w:r w:rsidR="002A5424" w:rsidRPr="00E97BC8">
        <w:rPr>
          <w:sz w:val="22"/>
          <w:szCs w:val="22"/>
        </w:rPr>
        <w:t xml:space="preserve"> </w:t>
      </w:r>
      <w:r w:rsidR="00877671" w:rsidRPr="00E97BC8">
        <w:rPr>
          <w:sz w:val="22"/>
          <w:szCs w:val="22"/>
        </w:rPr>
        <w:t>factors</w:t>
      </w:r>
      <w:r w:rsidR="00EF04C7" w:rsidRPr="00E97BC8">
        <w:rPr>
          <w:sz w:val="22"/>
          <w:szCs w:val="22"/>
        </w:rPr>
        <w:t>, we remove</w:t>
      </w:r>
      <w:r w:rsidR="00877671" w:rsidRPr="00E97BC8">
        <w:rPr>
          <w:sz w:val="22"/>
          <w:szCs w:val="22"/>
        </w:rPr>
        <w:t>d</w:t>
      </w:r>
      <w:r w:rsidR="00EF04C7" w:rsidRPr="00E97BC8">
        <w:rPr>
          <w:sz w:val="22"/>
          <w:szCs w:val="22"/>
        </w:rPr>
        <w:t xml:space="preserve"> these</w:t>
      </w:r>
      <w:r w:rsidR="00877671" w:rsidRPr="00E97BC8">
        <w:rPr>
          <w:sz w:val="22"/>
          <w:szCs w:val="22"/>
        </w:rPr>
        <w:t xml:space="preserve"> </w:t>
      </w:r>
      <w:r w:rsidR="00EF04C7" w:rsidRPr="00E97BC8">
        <w:rPr>
          <w:sz w:val="22"/>
          <w:szCs w:val="22"/>
        </w:rPr>
        <w:t>and model</w:t>
      </w:r>
      <w:r w:rsidR="00877671" w:rsidRPr="00E97BC8">
        <w:rPr>
          <w:sz w:val="22"/>
          <w:szCs w:val="22"/>
        </w:rPr>
        <w:t>ed</w:t>
      </w:r>
      <w:r w:rsidR="00EF04C7" w:rsidRPr="00E97BC8">
        <w:rPr>
          <w:sz w:val="22"/>
          <w:szCs w:val="22"/>
        </w:rPr>
        <w:t xml:space="preserve"> only the responses for the </w:t>
      </w:r>
      <w:r w:rsidR="002A5424" w:rsidRPr="00E97BC8">
        <w:rPr>
          <w:sz w:val="22"/>
          <w:szCs w:val="22"/>
        </w:rPr>
        <w:t>first</w:t>
      </w:r>
      <w:r w:rsidR="00EF04C7" w:rsidRPr="00E97BC8">
        <w:rPr>
          <w:sz w:val="22"/>
          <w:szCs w:val="22"/>
        </w:rPr>
        <w:t xml:space="preserve"> eight </w:t>
      </w:r>
      <w:r w:rsidR="00877671" w:rsidRPr="00E97BC8">
        <w:rPr>
          <w:sz w:val="22"/>
          <w:szCs w:val="22"/>
        </w:rPr>
        <w:t>factors</w:t>
      </w:r>
      <w:r w:rsidR="00055BDD" w:rsidRPr="00E97BC8">
        <w:rPr>
          <w:sz w:val="22"/>
          <w:szCs w:val="22"/>
        </w:rPr>
        <w:t xml:space="preserve">, retaining only those current EV owners who had at least one </w:t>
      </w:r>
      <w:r w:rsidR="00795C23" w:rsidRPr="00E97BC8">
        <w:rPr>
          <w:sz w:val="22"/>
          <w:szCs w:val="22"/>
        </w:rPr>
        <w:t>of the eight alternatives selected.</w:t>
      </w:r>
      <w:r w:rsidR="00877671" w:rsidRPr="00E97BC8">
        <w:rPr>
          <w:rStyle w:val="FootnoteReference"/>
          <w:sz w:val="22"/>
          <w:szCs w:val="22"/>
        </w:rPr>
        <w:footnoteReference w:id="3"/>
      </w:r>
      <w:r w:rsidR="00795C23" w:rsidRPr="00E97BC8">
        <w:rPr>
          <w:sz w:val="22"/>
          <w:szCs w:val="22"/>
        </w:rPr>
        <w:t xml:space="preserve"> The net result is that, while every EV owner had a top ranked alternative, only a subset had a second ranked </w:t>
      </w:r>
      <w:r w:rsidR="005972D6" w:rsidRPr="00E97BC8">
        <w:rPr>
          <w:sz w:val="22"/>
          <w:szCs w:val="22"/>
        </w:rPr>
        <w:t>response,</w:t>
      </w:r>
      <w:r w:rsidR="00795C23" w:rsidRPr="00E97BC8">
        <w:rPr>
          <w:sz w:val="22"/>
          <w:szCs w:val="22"/>
        </w:rPr>
        <w:t xml:space="preserve"> and a further subset had a complete set of three ranked responses. </w:t>
      </w:r>
    </w:p>
    <w:p w14:paraId="17220979" w14:textId="77777777" w:rsidR="005A775A" w:rsidRPr="00E97BC8" w:rsidRDefault="00AF4342" w:rsidP="00E85093">
      <w:pPr>
        <w:pStyle w:val="NormalWeb"/>
        <w:shd w:val="clear" w:color="auto" w:fill="FFFFFF"/>
        <w:spacing w:before="0" w:beforeAutospacing="0" w:after="0" w:afterAutospacing="0"/>
        <w:ind w:firstLine="720"/>
        <w:jc w:val="both"/>
        <w:rPr>
          <w:sz w:val="22"/>
          <w:szCs w:val="22"/>
        </w:rPr>
      </w:pPr>
      <w:r w:rsidRPr="00E97BC8">
        <w:rPr>
          <w:sz w:val="22"/>
          <w:szCs w:val="22"/>
        </w:rPr>
        <w:t xml:space="preserve">An important point needs mention here. </w:t>
      </w:r>
      <w:r w:rsidR="007D2A43" w:rsidRPr="00E97BC8">
        <w:rPr>
          <w:sz w:val="22"/>
          <w:szCs w:val="22"/>
        </w:rPr>
        <w:t>Due to the retrospective nature of this motivational question (asking respondents to recall the motivations at play during the adoption decision), we must acknowledge the potential that these responses may be influenced by recall bias. However, there are several reasons to believe that such recall biases will be relatively small in the current empirical context. First, the questions ask about general summative motivations and feelings surrounding EV adoption rather than finer aspects of behaviors/actions such as specific dates of EV purchase or precise tradeoff calculations that may have been made before purchasing an EV. The general survey literature</w:t>
      </w:r>
      <w:r w:rsidR="005A775A" w:rsidRPr="00E97BC8">
        <w:rPr>
          <w:sz w:val="22"/>
          <w:szCs w:val="22"/>
        </w:rPr>
        <w:t xml:space="preserve"> </w:t>
      </w:r>
      <w:r w:rsidR="005A775A" w:rsidRPr="00E97BC8">
        <w:rPr>
          <w:sz w:val="22"/>
          <w:szCs w:val="22"/>
        </w:rPr>
        <w:fldChar w:fldCharType="begin"/>
      </w:r>
      <w:r w:rsidR="005A775A" w:rsidRPr="00E97BC8">
        <w:rPr>
          <w:sz w:val="22"/>
          <w:szCs w:val="22"/>
        </w:rPr>
        <w:instrText xml:space="preserve"> ADDIN ZOTERO_ITEM CSL_CITATION {"citationID":"AVGg0Ddr","properties":{"formattedCitation":"(Abadie et al., 2021; Helm and Reyna, 2023)","plainCitation":"(Abadie et al., 2021; Helm and Reyna, 2023)","noteIndex":0},"citationItems":[{"id":4607,"uris":["http://zotero.org/users/12832277/items/3LSPJ5KR"],"itemData":{"id":4607,"type":"article-journal","abstract":"The ability to remember episodic details of prior events declines with normal aging. The present study aimed to determine whether these declines are restricted to verbatim traces of items per se or extend to gist traces of their meaning. Younger (&lt;i&gt;n&lt;/i&gt; = 63) and older adults (&lt;i&gt;n&lt;/i&gt; = 46) studied a list including related (strong gist activation) and unrelated words (weak gist activation) and performed a recognition test consisting of targets, related distractors, and unrelated distractors. Gist memory increased from the strong relative to the weak gist condition in both age groups. Whereas both younger and older adults could retrieve gist traces of the targeted words, older adults were impaired in their ability to retrieve their verbatim traces, resulting in increased false recognition of the related distractors. These findings suggest an age-related decrease in the ability to retrieve verbatim details of the past episodes accompanied by an increase in reliance on gist memory. (PsycInfo Database Record (c) 2024 APA, all rights reserved)","container-title":"Psychology and Aging","DOI":"10.1037/pag0000635","ISSN":"0882-7974","issue":"8","language":"eng","note":"publisher: American Psychological Association","page":"891-901","source":"EBSCOhost","title":"Verbatim and Gist Memory in Aging","volume":"36","author":[{"family":"Abadie","given":"Marlène"},{"family":"Gavard","given":"Elisa"},{"family":"Guillaume","given":"Fabrice"}],"issued":{"date-parts":[["2021",12,1]]}}},{"id":4605,"uris":["http://zotero.org/users/12832277/items/LAXA5VXR"],"itemData":{"id":4605,"type":"chapter","abstract":"Fuzzy Trace Theory (FTT) is a dual-process theory of memory and decision-making that distinguishes two types of mental representations – gist and verbatim – which are encoded simultaneously. These representations have different characteristics; the representation relied on when making decisions influences the way that decisions are made. Through distinguishing gist and verbatim representations, FTT explains known effects, but it also predicts novel and counterintuitive effects, such as developmental reversals when children are less susceptible to spontaneous false memories or to irrational decision biases, compared with adults. Understanding these effects, how they occur under predictable conditions, is important in informing practice and policy. Such understanding mitigates against weaknesses in policy based on ‘common-sense’ rather than evidence and provides insight into both whether and how policy change is likely to have an effect. To facilitate this understanding, we introduce basic precepts of FTT and supporting research. We then show how these findings have important applications and implications for policy. We focus on the following areas – insight into mechanisms behind false memory that can inform policy relating to witness memory in the legal system, insight into the evaluation of evidence that can inform the presentation of medical information and reduce the impact of fake health news, and insight into risky decision-making that can inform policy seeking to reduce unhealthy and illegal risky behaviors and to ensure that decisions to plead guilty or go to trial in the criminal justice system are made for reasons that are normatively acceptable.","container-title":"Memory in Science for Society: There is Nothing as Practical as a Good Theory","ISBN":"978-0-19-284906-9","language":"en","license":"http://www.rioxx.net/licenses/all-rights-reserved","note":"Accepted: 2023-04-24T07:41:10Z","publisher":"Oxford University Press","source":"ore.exeter.ac.uk","title":"Fuzzy Trace Theory: Memory and Decision-Making in Law, Medicine, and Public Health","URL":"https://ore.exeter.ac.uk/repository/handle/10871/132983","author":[{"family":"Helm","given":"R. K."},{"family":"Reyna","given":"V. F."}],"accessed":{"date-parts":[["2025",6,9]]},"issued":{"date-parts":[["2023",4,6]]}}}],"schema":"https://github.com/citation-style-language/schema/raw/master/csl-citation.json"} </w:instrText>
      </w:r>
      <w:r w:rsidR="005A775A" w:rsidRPr="00E97BC8">
        <w:rPr>
          <w:sz w:val="22"/>
          <w:szCs w:val="22"/>
        </w:rPr>
        <w:fldChar w:fldCharType="separate"/>
      </w:r>
      <w:r w:rsidR="005A775A" w:rsidRPr="00E97BC8">
        <w:rPr>
          <w:sz w:val="22"/>
          <w:szCs w:val="22"/>
        </w:rPr>
        <w:t>(see Abadie et al., 2021; Helm and Reyna, 2023)</w:t>
      </w:r>
      <w:r w:rsidR="005A775A" w:rsidRPr="00E97BC8">
        <w:rPr>
          <w:sz w:val="22"/>
          <w:szCs w:val="22"/>
        </w:rPr>
        <w:fldChar w:fldCharType="end"/>
      </w:r>
      <w:r w:rsidR="007D2A43" w:rsidRPr="00E97BC8">
        <w:rPr>
          <w:sz w:val="22"/>
          <w:szCs w:val="22"/>
        </w:rPr>
        <w:t xml:space="preserve"> has established that summative feelings are more easily recalled and ranked than finer aspects of decision making, the latter being more prone to inaccurate recall, scale effects, and telescoping. Second, the broad motivational factors align with how individuals store and retrieve memories, and the use of choice categories for response helps to facilitate memory retrieval </w:t>
      </w:r>
      <w:r w:rsidR="007D2A43" w:rsidRPr="00E97BC8">
        <w:rPr>
          <w:sz w:val="22"/>
          <w:szCs w:val="22"/>
        </w:rPr>
        <w:fldChar w:fldCharType="begin"/>
      </w:r>
      <w:r w:rsidR="007D2A43" w:rsidRPr="00E97BC8">
        <w:rPr>
          <w:sz w:val="22"/>
          <w:szCs w:val="22"/>
        </w:rPr>
        <w:instrText xml:space="preserve"> ADDIN ZOTERO_ITEM CSL_CITATION {"citationID":"eFdbvn8d","properties":{"formattedCitation":"(M\\uc0\\u252{}ggenburg, 2021)","plainCitation":"(Müggenburg, 2021)","noteIndex":0},"citationItems":[{"id":2979,"uris":["http://zotero.org/users/12832277/items/C48DUI5K"],"itemData":{"id":2979,"type":"article-journal","abstract":"In the last decades, an emerging research interest has developed for long-term, individual travel patterns. Retrospective methods as one approach to investigate long-term behaviour on the personal level are being applied more often in travel research. Although biases and errors in retrieval are well known in cognitive psychology and memory research, they are hardly discussed in travel research. This paper focuses on three research questions: (1) What insights into the quality of retrospective methods are provided by memory research, what are its strengths and weaknesses? (2) What can we derive from the theory for the empirical work and the design of surveys? (3) What results can we transfer to the application of retrospective methods in travel research? Firstly, this paper provides an overview of the most important recall traps, such as omission, incorrect numerical and biased retrieval. As memory research has shown, various techniques can support retrieval and response behaviour regarding past behaviour, for example, the choice of event type, memory characteristics and recall aids, such as temporal and thematic landmarks, help improve accuracy. Furthermore, the design of a retrospective survey plays an important role, for example by building up an internal and thematic framework in respondents. The use of retrospective methods in travel research is categorized in the application fields of life events, changes in travel patterns, social networks and travel distances, mobility socialization, travel attitudes and needs and mobility practices. Along these categories, this paper discusses the potential, risks and opportunities to improve the use of retrospective data in travel research.","container-title":"Transportation Research Part A: Policy and Practice","DOI":"10.1016/j.tra.2021.01.010","ISSN":"0965-8564","page":"302-318","source":"ScienceDirect","title":"Beyond the Limits of Memory? The Reliability of Retrospective Data in Travel Research","volume":"145","author":[{"family":"Müggenburg","given":"Hannah"}],"issued":{"date-parts":[["2021",3,1]]}}}],"schema":"https://github.com/citation-style-language/schema/raw/master/csl-citation.json"} </w:instrText>
      </w:r>
      <w:r w:rsidR="007D2A43" w:rsidRPr="00E97BC8">
        <w:rPr>
          <w:sz w:val="22"/>
          <w:szCs w:val="22"/>
        </w:rPr>
        <w:fldChar w:fldCharType="separate"/>
      </w:r>
      <w:r w:rsidR="007D2A43" w:rsidRPr="00E97BC8">
        <w:rPr>
          <w:sz w:val="22"/>
          <w:szCs w:val="22"/>
        </w:rPr>
        <w:t>(Müggenburg, 2021)</w:t>
      </w:r>
      <w:r w:rsidR="007D2A43" w:rsidRPr="00E97BC8">
        <w:rPr>
          <w:sz w:val="22"/>
          <w:szCs w:val="22"/>
        </w:rPr>
        <w:fldChar w:fldCharType="end"/>
      </w:r>
      <w:r w:rsidR="007D2A43" w:rsidRPr="00E97BC8">
        <w:rPr>
          <w:sz w:val="22"/>
          <w:szCs w:val="22"/>
        </w:rPr>
        <w:t>. Third, the decision to adopt EVs is not a daily or routine decision, but more of a one-off major purchase decision that is made with careful and considerable deliberation. In such non-routine and relatively one-off kinds of contexts, respondents are more easily able to recall and contextualize motivations even after a long stretch of time since making the choice</w:t>
      </w:r>
      <w:r w:rsidR="005A775A" w:rsidRPr="00E97BC8">
        <w:rPr>
          <w:sz w:val="22"/>
          <w:szCs w:val="22"/>
        </w:rPr>
        <w:t xml:space="preserve"> </w:t>
      </w:r>
      <w:r w:rsidR="005A775A" w:rsidRPr="00E97BC8">
        <w:rPr>
          <w:sz w:val="22"/>
          <w:szCs w:val="22"/>
        </w:rPr>
        <w:fldChar w:fldCharType="begin"/>
      </w:r>
      <w:r w:rsidR="005A775A" w:rsidRPr="00E97BC8">
        <w:rPr>
          <w:sz w:val="22"/>
          <w:szCs w:val="22"/>
        </w:rPr>
        <w:instrText xml:space="preserve"> ADDIN ZOTERO_ITEM CSL_CITATION {"citationID":"1ikKlkAp","properties":{"formattedCitation":"(Dilevski et al., 2021; Kraemer et al., 2022)","plainCitation":"(Dilevski et al., 2021; Kraemer et al., 2022)","noteIndex":0},"citationItems":[{"id":4609,"uris":["http://zotero.org/users/12832277/items/HXV7C9MA"],"itemData":{"id":4609,"type":"article-journal","abstract":"In cases of repeated victimisation, a complainant’s statement of abuse, and therefore memory, is often critical evidence for forensic investigations and legal proceedings. It is therefore important to understand the functioning of adults’ memory for repeated events. As such, the purpose of this paper was to review the extant literature on adult memory for instances of a repeated event. The results of the review revealed a small number of heterogeneous studies on adult repeated-event memory (N = 12). The literature so far shows that while adults might have difficulty in recalling information specific to instances (narrow accuracy), they are capable of remembering information across multiple instances (broad accuracy). It was also found that several factors may impact recall of instances including age, the number of experienced instances, rehearsing an event, repeated retrieval and event distinctiveness. The discussion highlights the forensic implications of this research and future research directions.","container-title":"Psychiatry, Psychology and Law","DOI":"10.1080/13218719.2020.1837031","ISSN":"1321-8719","issue":"5","note":"publisher: Routledge\n_eprint: https://doi.org/10.1080/13218719.2020.1837031\nPMID: 35571600","page":"711-732","source":"Taylor and Francis+NEJM","title":"Adult Memory for Specific Instances of a Repeated Event: A Preliminary Review","volume":"28","author":[{"family":"Dilevski","given":"Natali"},{"family":"Paterson","given":"Paterson","suffix":"Helen M."},{"family":"Walker","given":"Sarah A."},{"family":"Golde","given":"Celine","non-dropping-particle":"and van"}],"issued":{"date-parts":[["2021",9,3]]}}},{"id":4611,"uris":["http://zotero.org/users/12832277/items/DA9IKPXB"],"itemData":{"id":4611,"type":"article-journal","abstract":"Value-based decisions depend on different forms of memory. However, the respective roles of memory and valuation processes that give rise to these decisions are often vaguely described and have rarely been investigated jointly. In this review article, we address the problem of memory-based decision making from a neuroeconomic perspective. We first describe the neural and cognitive processes involved in decisions requiring memory processes, with a focus on episodic memory. Based on the results of a systematic research program, we then spotlight the phenomenon of the memory bias, a general preference for choice options that can be retrieved from episodic memory more successfully. Our findings indicate that failed memory recall biases neural valuation processes as indicated by altered effective connectivity between the hippocampus and ventromedial prefrontal cortex. This bias can be attributed to meta-cognitive beliefs about the relationship between subjective value and memory as well as to uncertainty aversion. After summarizing the findings, we outline potential future research endeavors to integrate the two research traditions of memory and decision making.","container-title":"Current Research in Neurobiology","DOI":"10.1016/j.crneur.2022.100029","ISSN":"2665-945X","source":"ScienceDirect","title":"Cognitive and Neural Principles of a Memory Bias on Preferential Choices","URL":"https://www.sciencedirect.com/science/article/pii/S2665945X2200002X","volume":"3","author":[{"family":"Kraemer","given":"Peter M."},{"family":"Weilbächer","given":"Regina A."},{"family":"Mechera-Ostrovsky","given":"Tehilla"},{"family":"Gluth","given":"Sebastian"}],"accessed":{"date-parts":[["2025",6,9]]},"issued":{"date-parts":[["2022",1,1]]}}}],"schema":"https://github.com/citation-style-language/schema/raw/master/csl-citation.json"} </w:instrText>
      </w:r>
      <w:r w:rsidR="005A775A" w:rsidRPr="00E97BC8">
        <w:rPr>
          <w:sz w:val="22"/>
          <w:szCs w:val="22"/>
        </w:rPr>
        <w:fldChar w:fldCharType="separate"/>
      </w:r>
      <w:r w:rsidR="005A775A" w:rsidRPr="00E97BC8">
        <w:rPr>
          <w:sz w:val="22"/>
          <w:szCs w:val="22"/>
        </w:rPr>
        <w:t>(Dilevski et al., 2021; Kraemer et al., 2022)</w:t>
      </w:r>
      <w:r w:rsidR="005A775A" w:rsidRPr="00E97BC8">
        <w:rPr>
          <w:sz w:val="22"/>
          <w:szCs w:val="22"/>
        </w:rPr>
        <w:fldChar w:fldCharType="end"/>
      </w:r>
      <w:r w:rsidR="007D2A43" w:rsidRPr="00E97BC8">
        <w:rPr>
          <w:sz w:val="22"/>
          <w:szCs w:val="22"/>
        </w:rPr>
        <w:t>.</w:t>
      </w:r>
    </w:p>
    <w:p w14:paraId="187FB3E0" w14:textId="2FF2F808" w:rsidR="00AE6073" w:rsidRPr="00E97BC8" w:rsidRDefault="00AA527A" w:rsidP="00E85093">
      <w:pPr>
        <w:pStyle w:val="NormalWeb"/>
        <w:shd w:val="clear" w:color="auto" w:fill="FFFFFF"/>
        <w:spacing w:before="0" w:beforeAutospacing="0" w:after="0" w:afterAutospacing="0"/>
        <w:jc w:val="both"/>
        <w:rPr>
          <w:sz w:val="22"/>
          <w:szCs w:val="22"/>
        </w:rPr>
      </w:pPr>
      <w:r w:rsidRPr="00E97BC8">
        <w:rPr>
          <w:sz w:val="22"/>
          <w:szCs w:val="22"/>
        </w:rPr>
        <w:tab/>
        <w:t>In addition to the survey responses, additional geographic data w</w:t>
      </w:r>
      <w:r w:rsidR="00877671" w:rsidRPr="00E97BC8">
        <w:rPr>
          <w:sz w:val="22"/>
          <w:szCs w:val="22"/>
        </w:rPr>
        <w:t>ere</w:t>
      </w:r>
      <w:r w:rsidRPr="00E97BC8">
        <w:rPr>
          <w:sz w:val="22"/>
          <w:szCs w:val="22"/>
        </w:rPr>
        <w:t xml:space="preserve"> appended to the dataset based on each respondent’s zip code. First</w:t>
      </w:r>
      <w:r w:rsidR="002109F7" w:rsidRPr="00E97BC8">
        <w:rPr>
          <w:sz w:val="22"/>
          <w:szCs w:val="22"/>
        </w:rPr>
        <w:t xml:space="preserve">, population </w:t>
      </w:r>
      <w:r w:rsidR="009F2489" w:rsidRPr="00E97BC8">
        <w:rPr>
          <w:sz w:val="22"/>
          <w:szCs w:val="22"/>
        </w:rPr>
        <w:t xml:space="preserve">statistics were </w:t>
      </w:r>
      <w:r w:rsidR="009F5759" w:rsidRPr="00E97BC8">
        <w:rPr>
          <w:sz w:val="22"/>
          <w:szCs w:val="22"/>
        </w:rPr>
        <w:t>included using the EPA Smart Location Database</w:t>
      </w:r>
      <w:r w:rsidR="00971A82" w:rsidRPr="00E97BC8">
        <w:rPr>
          <w:sz w:val="22"/>
          <w:szCs w:val="22"/>
        </w:rPr>
        <w:t xml:space="preserve"> </w:t>
      </w:r>
      <w:r w:rsidR="00971A82" w:rsidRPr="00E97BC8">
        <w:rPr>
          <w:sz w:val="22"/>
          <w:szCs w:val="22"/>
        </w:rPr>
        <w:fldChar w:fldCharType="begin"/>
      </w:r>
      <w:r w:rsidR="00971A82" w:rsidRPr="00E97BC8">
        <w:rPr>
          <w:sz w:val="22"/>
          <w:szCs w:val="22"/>
        </w:rPr>
        <w:instrText xml:space="preserve"> ADDIN ZOTERO_ITEM CSL_CITATION {"citationID":"nbyokrT6","properties":{"formattedCitation":"(Chapman et al., 2021)","plainCitation":"(Chapman et al., 2021)","noteIndex":0},"citationItems":[{"id":386,"uris":["http://zotero.org/users/12832277/items/T3CGQD28"],"itemData":{"id":386,"type":"report","language":"en","publisher":"U.S. Environment Protection Agency","source":"Zotero","title":"Smart Location Database Technical Documentation and User Guide Version 3.0","URL":"https://www.epa.gov/sites/default/files/2021-06/documents/epa_sld_3.0_technicaldocumentationuserguide_may2021.pdf","author":[{"family":"Chapman","given":"Jim"},{"family":"Fox","given":"Eric"},{"family":"Bachman","given":"William"},{"family":"Frank","given":"Lawrence"}],"issued":{"date-parts":[["2021",6]]}}}],"schema":"https://github.com/citation-style-language/schema/raw/master/csl-citation.json"} </w:instrText>
      </w:r>
      <w:r w:rsidR="00971A82" w:rsidRPr="00E97BC8">
        <w:rPr>
          <w:sz w:val="22"/>
          <w:szCs w:val="22"/>
        </w:rPr>
        <w:fldChar w:fldCharType="separate"/>
      </w:r>
      <w:r w:rsidR="001E6A07" w:rsidRPr="00E97BC8">
        <w:rPr>
          <w:sz w:val="22"/>
          <w:szCs w:val="22"/>
        </w:rPr>
        <w:t>(Chapman et al., 2021)</w:t>
      </w:r>
      <w:r w:rsidR="00971A82" w:rsidRPr="00E97BC8">
        <w:rPr>
          <w:sz w:val="22"/>
          <w:szCs w:val="22"/>
        </w:rPr>
        <w:fldChar w:fldCharType="end"/>
      </w:r>
      <w:r w:rsidR="009F5759" w:rsidRPr="00E97BC8">
        <w:rPr>
          <w:sz w:val="22"/>
          <w:szCs w:val="22"/>
        </w:rPr>
        <w:t xml:space="preserve">. Second, </w:t>
      </w:r>
      <w:r w:rsidR="008B071E" w:rsidRPr="00E97BC8">
        <w:rPr>
          <w:sz w:val="22"/>
          <w:szCs w:val="22"/>
        </w:rPr>
        <w:t xml:space="preserve">EV charging station prevalence by zip code was determined using </w:t>
      </w:r>
      <w:r w:rsidR="001E2FCD" w:rsidRPr="00E97BC8">
        <w:rPr>
          <w:sz w:val="22"/>
          <w:szCs w:val="22"/>
        </w:rPr>
        <w:t>the U</w:t>
      </w:r>
      <w:r w:rsidR="00FD20AC" w:rsidRPr="00E97BC8">
        <w:rPr>
          <w:sz w:val="22"/>
          <w:szCs w:val="22"/>
        </w:rPr>
        <w:t>.</w:t>
      </w:r>
      <w:r w:rsidR="001E2FCD" w:rsidRPr="00E97BC8">
        <w:rPr>
          <w:sz w:val="22"/>
          <w:szCs w:val="22"/>
        </w:rPr>
        <w:t>S</w:t>
      </w:r>
      <w:r w:rsidR="00FD20AC" w:rsidRPr="00E97BC8">
        <w:rPr>
          <w:sz w:val="22"/>
          <w:szCs w:val="22"/>
        </w:rPr>
        <w:t>.</w:t>
      </w:r>
      <w:r w:rsidR="001E2FCD" w:rsidRPr="00E97BC8">
        <w:rPr>
          <w:sz w:val="22"/>
          <w:szCs w:val="22"/>
        </w:rPr>
        <w:t xml:space="preserve"> Department of Energy Alternative Fuels Data Center</w:t>
      </w:r>
      <w:r w:rsidR="00C02BC2" w:rsidRPr="00E97BC8">
        <w:rPr>
          <w:sz w:val="22"/>
          <w:szCs w:val="22"/>
        </w:rPr>
        <w:t xml:space="preserve"> </w:t>
      </w:r>
      <w:r w:rsidR="00AE6073" w:rsidRPr="00E97BC8">
        <w:rPr>
          <w:sz w:val="22"/>
          <w:szCs w:val="22"/>
        </w:rPr>
        <w:fldChar w:fldCharType="begin"/>
      </w:r>
      <w:r w:rsidR="00AE6073" w:rsidRPr="00E97BC8">
        <w:rPr>
          <w:sz w:val="22"/>
          <w:szCs w:val="22"/>
        </w:rPr>
        <w:instrText xml:space="preserve"> ADDIN ZOTERO_ITEM CSL_CITATION {"citationID":"Wbj2ODD4","properties":{"formattedCitation":"(National Renewable Energy Laboratory, 2024)","plainCitation":"(National Renewable Energy Laboratory, 2024)","noteIndex":0},"citationItems":[{"id":2430,"uris":["http://zotero.org/users/12832277/items/9QVZT4XP"],"itemData":{"id":2430,"type":"dataset","publisher":"US Department of Energy","title":"Alternative Fuels Data Center","URL":"https://afdc.energy.gov/fuels/electricity_locations.html","author":[{"family":"National Renewable Energy Laboratory","given":""}],"issued":{"date-parts":[["2024"]]}}}],"schema":"https://github.com/citation-style-language/schema/raw/master/csl-citation.json"} </w:instrText>
      </w:r>
      <w:r w:rsidR="00AE6073" w:rsidRPr="00E97BC8">
        <w:rPr>
          <w:sz w:val="22"/>
          <w:szCs w:val="22"/>
        </w:rPr>
        <w:fldChar w:fldCharType="separate"/>
      </w:r>
      <w:r w:rsidR="001E6A07" w:rsidRPr="00E97BC8">
        <w:rPr>
          <w:sz w:val="22"/>
          <w:szCs w:val="22"/>
        </w:rPr>
        <w:t>(National Renewable Energy Laboratory, 2024)</w:t>
      </w:r>
      <w:r w:rsidR="00AE6073" w:rsidRPr="00E97BC8">
        <w:rPr>
          <w:sz w:val="22"/>
          <w:szCs w:val="22"/>
        </w:rPr>
        <w:fldChar w:fldCharType="end"/>
      </w:r>
      <w:r w:rsidR="00C02BC2" w:rsidRPr="00E97BC8">
        <w:rPr>
          <w:sz w:val="22"/>
          <w:szCs w:val="22"/>
        </w:rPr>
        <w:t xml:space="preserve">. </w:t>
      </w:r>
    </w:p>
    <w:p w14:paraId="411E0D68" w14:textId="77777777" w:rsidR="00182254" w:rsidRPr="00E97BC8" w:rsidRDefault="00182254" w:rsidP="00E85093">
      <w:pPr>
        <w:shd w:val="clear" w:color="auto" w:fill="FFFFFF"/>
        <w:spacing w:after="0" w:line="240" w:lineRule="auto"/>
        <w:jc w:val="both"/>
        <w:rPr>
          <w:rFonts w:cs="Times New Roman"/>
          <w:sz w:val="22"/>
          <w:szCs w:val="22"/>
        </w:rPr>
      </w:pPr>
    </w:p>
    <w:p w14:paraId="59BB6B83" w14:textId="495664F7" w:rsidR="00FA2EDB" w:rsidRPr="00E97BC8" w:rsidRDefault="00FA2EDB" w:rsidP="00E85093">
      <w:pPr>
        <w:shd w:val="clear" w:color="auto" w:fill="FFFFFF"/>
        <w:spacing w:after="0" w:line="240" w:lineRule="auto"/>
        <w:jc w:val="both"/>
        <w:rPr>
          <w:rFonts w:cs="Times New Roman"/>
          <w:b/>
          <w:bCs/>
          <w:i/>
          <w:iCs/>
          <w:sz w:val="22"/>
          <w:szCs w:val="22"/>
        </w:rPr>
      </w:pPr>
      <w:r w:rsidRPr="00E97BC8">
        <w:rPr>
          <w:rFonts w:cs="Times New Roman"/>
          <w:b/>
          <w:bCs/>
          <w:i/>
          <w:iCs/>
          <w:sz w:val="22"/>
          <w:szCs w:val="22"/>
        </w:rPr>
        <w:t>3.1.</w:t>
      </w:r>
      <w:r w:rsidR="0034533B" w:rsidRPr="00E97BC8">
        <w:rPr>
          <w:rFonts w:cs="Times New Roman"/>
          <w:b/>
          <w:bCs/>
          <w:i/>
          <w:iCs/>
          <w:sz w:val="22"/>
          <w:szCs w:val="22"/>
        </w:rPr>
        <w:t>1</w:t>
      </w:r>
      <w:r w:rsidRPr="00E97BC8">
        <w:rPr>
          <w:rFonts w:cs="Times New Roman"/>
          <w:b/>
          <w:bCs/>
          <w:i/>
          <w:iCs/>
          <w:sz w:val="22"/>
          <w:szCs w:val="22"/>
        </w:rPr>
        <w:t xml:space="preserve"> </w:t>
      </w:r>
      <w:r w:rsidR="008C083B" w:rsidRPr="00E97BC8">
        <w:rPr>
          <w:rFonts w:cs="Times New Roman"/>
          <w:b/>
          <w:bCs/>
          <w:i/>
          <w:iCs/>
          <w:sz w:val="22"/>
          <w:szCs w:val="22"/>
        </w:rPr>
        <w:t xml:space="preserve">Exogenous Variables </w:t>
      </w:r>
    </w:p>
    <w:p w14:paraId="2F48ABC6" w14:textId="5F62317F" w:rsidR="003F150C" w:rsidRPr="00E97BC8" w:rsidRDefault="00B46BCC" w:rsidP="00E85093">
      <w:pPr>
        <w:shd w:val="clear" w:color="auto" w:fill="FFFFFF"/>
        <w:spacing w:after="0" w:line="240" w:lineRule="auto"/>
        <w:jc w:val="both"/>
        <w:rPr>
          <w:rFonts w:cs="Times New Roman"/>
          <w:sz w:val="22"/>
          <w:szCs w:val="22"/>
        </w:rPr>
      </w:pPr>
      <w:r w:rsidRPr="00E97BC8">
        <w:rPr>
          <w:rFonts w:cs="Times New Roman"/>
          <w:sz w:val="22"/>
          <w:szCs w:val="22"/>
        </w:rPr>
        <w:t xml:space="preserve">Descriptive statistics </w:t>
      </w:r>
      <w:r w:rsidR="00993A50" w:rsidRPr="00E97BC8">
        <w:rPr>
          <w:rFonts w:cs="Times New Roman"/>
          <w:sz w:val="22"/>
          <w:szCs w:val="22"/>
        </w:rPr>
        <w:t xml:space="preserve">of the sample are shown in Table </w:t>
      </w:r>
      <w:r w:rsidR="00AE743A" w:rsidRPr="00E97BC8">
        <w:rPr>
          <w:rFonts w:cs="Times New Roman"/>
          <w:sz w:val="22"/>
          <w:szCs w:val="22"/>
        </w:rPr>
        <w:t>1</w:t>
      </w:r>
      <w:r w:rsidR="00E21BBF" w:rsidRPr="00E97BC8">
        <w:rPr>
          <w:rFonts w:cs="Times New Roman"/>
          <w:sz w:val="22"/>
          <w:szCs w:val="22"/>
        </w:rPr>
        <w:t>,</w:t>
      </w:r>
      <w:r w:rsidR="00DC6D70" w:rsidRPr="00E97BC8">
        <w:rPr>
          <w:rFonts w:cs="Times New Roman"/>
          <w:sz w:val="22"/>
          <w:szCs w:val="22"/>
        </w:rPr>
        <w:t xml:space="preserve"> along with a comparison to 2022 American Community Survey 5-year estimates </w:t>
      </w:r>
      <w:r w:rsidR="00284EEA" w:rsidRPr="00E97BC8">
        <w:rPr>
          <w:rFonts w:cs="Times New Roman"/>
          <w:sz w:val="22"/>
          <w:szCs w:val="22"/>
        </w:rPr>
        <w:t xml:space="preserve">for the state of California </w:t>
      </w:r>
      <w:r w:rsidR="00DC6D70" w:rsidRPr="00E97BC8">
        <w:rPr>
          <w:rFonts w:cs="Times New Roman"/>
          <w:sz w:val="22"/>
          <w:szCs w:val="22"/>
        </w:rPr>
        <w:fldChar w:fldCharType="begin"/>
      </w:r>
      <w:r w:rsidR="00DC6D70" w:rsidRPr="00E97BC8">
        <w:rPr>
          <w:rFonts w:cs="Times New Roman"/>
          <w:sz w:val="22"/>
          <w:szCs w:val="22"/>
        </w:rPr>
        <w:instrText xml:space="preserve"> ADDIN ZOTERO_ITEM CSL_CITATION {"citationID":"cTANGJRT","properties":{"formattedCitation":"(U.S. Census Bureau, 2023)","plainCitation":"(U.S. Census Bureau, 2023)","noteIndex":0},"citationItems":[{"id":3356,"uris":["http://zotero.org/users/12832277/items/JFHA3Z8S"],"itemData":{"id":3356,"type":"document","abstract":"Data Dictionary - Survey ACS 2022 (5-Year Estimates)","language":"en","title":"American Community Survey 2022 (5-Year Estimates)","URL":"https://www.socialexplorer.com/data/ACS2022_5yr/metadata/?ds=ACS22_5yr","author":[{"family":"U.S. Census Bureau","given":""}],"accessed":{"date-parts":[["2023",3,27]]},"issued":{"date-parts":[["2023"]]}}}],"schema":"https://github.com/citation-style-language/schema/raw/master/csl-citation.json"} </w:instrText>
      </w:r>
      <w:r w:rsidR="00DC6D70" w:rsidRPr="00E97BC8">
        <w:rPr>
          <w:rFonts w:cs="Times New Roman"/>
          <w:sz w:val="22"/>
          <w:szCs w:val="22"/>
        </w:rPr>
        <w:fldChar w:fldCharType="separate"/>
      </w:r>
      <w:r w:rsidR="001E6A07" w:rsidRPr="00E97BC8">
        <w:rPr>
          <w:rFonts w:cs="Times New Roman"/>
          <w:sz w:val="22"/>
          <w:szCs w:val="22"/>
        </w:rPr>
        <w:t>(U.S. Census Bureau, 2023)</w:t>
      </w:r>
      <w:r w:rsidR="00DC6D70" w:rsidRPr="00E97BC8">
        <w:rPr>
          <w:rFonts w:cs="Times New Roman"/>
          <w:sz w:val="22"/>
          <w:szCs w:val="22"/>
        </w:rPr>
        <w:fldChar w:fldCharType="end"/>
      </w:r>
      <w:r w:rsidR="00993A50" w:rsidRPr="00E97BC8">
        <w:rPr>
          <w:rFonts w:cs="Times New Roman"/>
          <w:sz w:val="22"/>
          <w:szCs w:val="22"/>
        </w:rPr>
        <w:t xml:space="preserve">. </w:t>
      </w:r>
      <w:r w:rsidR="00FA316F" w:rsidRPr="00E97BC8">
        <w:rPr>
          <w:rFonts w:cs="Times New Roman"/>
          <w:sz w:val="22"/>
          <w:szCs w:val="22"/>
        </w:rPr>
        <w:t xml:space="preserve">The sample </w:t>
      </w:r>
      <w:r w:rsidR="003E2AD3" w:rsidRPr="00E97BC8">
        <w:rPr>
          <w:rFonts w:cs="Times New Roman"/>
          <w:sz w:val="22"/>
          <w:szCs w:val="22"/>
        </w:rPr>
        <w:t xml:space="preserve">underrepresents </w:t>
      </w:r>
      <w:r w:rsidR="00FA316F" w:rsidRPr="00E97BC8">
        <w:rPr>
          <w:rFonts w:cs="Times New Roman"/>
          <w:sz w:val="22"/>
          <w:szCs w:val="22"/>
        </w:rPr>
        <w:t>younger individuals</w:t>
      </w:r>
      <w:r w:rsidR="00E21BBF" w:rsidRPr="00E97BC8">
        <w:rPr>
          <w:rFonts w:cs="Times New Roman"/>
          <w:sz w:val="22"/>
          <w:szCs w:val="22"/>
        </w:rPr>
        <w:t xml:space="preserve"> (especially in the age group of 18-34 years)</w:t>
      </w:r>
      <w:r w:rsidR="00FA316F" w:rsidRPr="00E97BC8">
        <w:rPr>
          <w:rFonts w:cs="Times New Roman"/>
          <w:sz w:val="22"/>
          <w:szCs w:val="22"/>
        </w:rPr>
        <w:t xml:space="preserve">, non-white individuals, </w:t>
      </w:r>
      <w:r w:rsidR="00E21BBF" w:rsidRPr="00E97BC8">
        <w:rPr>
          <w:rFonts w:cs="Times New Roman"/>
          <w:sz w:val="22"/>
          <w:szCs w:val="22"/>
        </w:rPr>
        <w:t xml:space="preserve">women, </w:t>
      </w:r>
      <w:r w:rsidR="00D92F73" w:rsidRPr="00E97BC8">
        <w:rPr>
          <w:rFonts w:cs="Times New Roman"/>
          <w:sz w:val="22"/>
          <w:szCs w:val="22"/>
        </w:rPr>
        <w:t>employed individuals, and those with lower levels of educational attainment.</w:t>
      </w:r>
      <w:r w:rsidR="00FA316F" w:rsidRPr="00E97BC8">
        <w:rPr>
          <w:rFonts w:cs="Times New Roman"/>
          <w:sz w:val="22"/>
          <w:szCs w:val="22"/>
        </w:rPr>
        <w:t xml:space="preserve"> </w:t>
      </w:r>
      <w:r w:rsidR="003E2AD3" w:rsidRPr="00E97BC8">
        <w:rPr>
          <w:rFonts w:cs="Times New Roman"/>
          <w:sz w:val="22"/>
          <w:szCs w:val="22"/>
        </w:rPr>
        <w:t xml:space="preserve">For household-level </w:t>
      </w:r>
      <w:r w:rsidR="003E2AD3" w:rsidRPr="00E97BC8">
        <w:rPr>
          <w:rFonts w:cs="Times New Roman"/>
          <w:sz w:val="22"/>
          <w:szCs w:val="22"/>
        </w:rPr>
        <w:lastRenderedPageBreak/>
        <w:t xml:space="preserve">demographics, there is </w:t>
      </w:r>
      <w:r w:rsidR="00E21BBF" w:rsidRPr="00E97BC8">
        <w:rPr>
          <w:rFonts w:cs="Times New Roman"/>
          <w:sz w:val="22"/>
          <w:szCs w:val="22"/>
        </w:rPr>
        <w:t xml:space="preserve">an </w:t>
      </w:r>
      <w:r w:rsidR="003E2AD3" w:rsidRPr="00E97BC8">
        <w:rPr>
          <w:rFonts w:cs="Times New Roman"/>
          <w:sz w:val="22"/>
          <w:szCs w:val="22"/>
        </w:rPr>
        <w:t xml:space="preserve">overrepresentation of households </w:t>
      </w:r>
      <w:r w:rsidR="006E4F5A" w:rsidRPr="00E97BC8">
        <w:rPr>
          <w:rFonts w:cs="Times New Roman"/>
          <w:sz w:val="22"/>
          <w:szCs w:val="22"/>
        </w:rPr>
        <w:t>with two or more adults</w:t>
      </w:r>
      <w:r w:rsidR="00E21BBF" w:rsidRPr="00E97BC8">
        <w:rPr>
          <w:rFonts w:cs="Times New Roman"/>
          <w:sz w:val="22"/>
          <w:szCs w:val="22"/>
        </w:rPr>
        <w:t>, high</w:t>
      </w:r>
      <w:r w:rsidR="00B80866" w:rsidRPr="00E97BC8">
        <w:rPr>
          <w:rFonts w:cs="Times New Roman"/>
          <w:sz w:val="22"/>
          <w:szCs w:val="22"/>
        </w:rPr>
        <w:t>-</w:t>
      </w:r>
      <w:r w:rsidR="00E21BBF" w:rsidRPr="00E97BC8">
        <w:rPr>
          <w:rFonts w:cs="Times New Roman"/>
          <w:sz w:val="22"/>
          <w:szCs w:val="22"/>
        </w:rPr>
        <w:t>income</w:t>
      </w:r>
      <w:r w:rsidR="00B80866" w:rsidRPr="00E97BC8">
        <w:rPr>
          <w:rFonts w:cs="Times New Roman"/>
          <w:sz w:val="22"/>
          <w:szCs w:val="22"/>
        </w:rPr>
        <w:t xml:space="preserve"> households</w:t>
      </w:r>
      <w:r w:rsidR="00E21BBF" w:rsidRPr="00E97BC8">
        <w:rPr>
          <w:rFonts w:cs="Times New Roman"/>
          <w:sz w:val="22"/>
          <w:szCs w:val="22"/>
        </w:rPr>
        <w:t>,</w:t>
      </w:r>
      <w:r w:rsidR="006E4F5A" w:rsidRPr="00E97BC8">
        <w:rPr>
          <w:rFonts w:cs="Times New Roman"/>
          <w:sz w:val="22"/>
          <w:szCs w:val="22"/>
        </w:rPr>
        <w:t xml:space="preserve"> </w:t>
      </w:r>
      <w:r w:rsidR="000E352C" w:rsidRPr="00E97BC8">
        <w:rPr>
          <w:rFonts w:cs="Times New Roman"/>
          <w:sz w:val="22"/>
          <w:szCs w:val="22"/>
        </w:rPr>
        <w:t xml:space="preserve">households without children, </w:t>
      </w:r>
      <w:r w:rsidR="00E21BBF" w:rsidRPr="00E97BC8">
        <w:rPr>
          <w:rFonts w:cs="Times New Roman"/>
          <w:sz w:val="22"/>
          <w:szCs w:val="22"/>
        </w:rPr>
        <w:t>and those living in single</w:t>
      </w:r>
      <w:r w:rsidR="006961B0" w:rsidRPr="00E97BC8">
        <w:rPr>
          <w:rFonts w:cs="Times New Roman"/>
          <w:sz w:val="22"/>
          <w:szCs w:val="22"/>
        </w:rPr>
        <w:t>-</w:t>
      </w:r>
      <w:r w:rsidR="00E21BBF" w:rsidRPr="00E97BC8">
        <w:rPr>
          <w:rFonts w:cs="Times New Roman"/>
          <w:sz w:val="22"/>
          <w:szCs w:val="22"/>
        </w:rPr>
        <w:t xml:space="preserve">family </w:t>
      </w:r>
      <w:r w:rsidR="00C02453" w:rsidRPr="00E97BC8">
        <w:rPr>
          <w:rFonts w:cs="Times New Roman"/>
          <w:sz w:val="22"/>
          <w:szCs w:val="22"/>
        </w:rPr>
        <w:t xml:space="preserve">(detached) </w:t>
      </w:r>
      <w:r w:rsidR="00E21BBF" w:rsidRPr="00E97BC8">
        <w:rPr>
          <w:rFonts w:cs="Times New Roman"/>
          <w:sz w:val="22"/>
          <w:szCs w:val="22"/>
        </w:rPr>
        <w:t>homes</w:t>
      </w:r>
      <w:r w:rsidR="00BE148D" w:rsidRPr="00E97BC8">
        <w:rPr>
          <w:rFonts w:cs="Times New Roman"/>
          <w:sz w:val="22"/>
          <w:szCs w:val="22"/>
        </w:rPr>
        <w:t xml:space="preserve">. </w:t>
      </w:r>
      <w:r w:rsidR="006961B0" w:rsidRPr="00E97BC8">
        <w:rPr>
          <w:rFonts w:cs="Times New Roman"/>
          <w:sz w:val="22"/>
          <w:szCs w:val="22"/>
        </w:rPr>
        <w:t xml:space="preserve">We categorize household type as either single-family (detached) homes or multifamily homes (including apartments and </w:t>
      </w:r>
      <w:r w:rsidR="00983482" w:rsidRPr="00E97BC8">
        <w:rPr>
          <w:rFonts w:cs="Times New Roman"/>
          <w:sz w:val="22"/>
          <w:szCs w:val="22"/>
        </w:rPr>
        <w:t>attached dwellings</w:t>
      </w:r>
      <w:r w:rsidR="002543F1" w:rsidRPr="00E97BC8">
        <w:rPr>
          <w:rFonts w:cs="Times New Roman"/>
          <w:sz w:val="22"/>
          <w:szCs w:val="22"/>
        </w:rPr>
        <w:t>; this segment is made up primarily of duplexes in the current sample</w:t>
      </w:r>
      <w:r w:rsidR="00983482" w:rsidRPr="00E97BC8">
        <w:rPr>
          <w:rFonts w:cs="Times New Roman"/>
          <w:sz w:val="22"/>
          <w:szCs w:val="22"/>
        </w:rPr>
        <w:t xml:space="preserve">). </w:t>
      </w:r>
      <w:r w:rsidR="00BE148D" w:rsidRPr="00E97BC8">
        <w:rPr>
          <w:rFonts w:cs="Times New Roman"/>
          <w:sz w:val="22"/>
          <w:szCs w:val="22"/>
        </w:rPr>
        <w:t xml:space="preserve">The </w:t>
      </w:r>
      <w:r w:rsidR="00357766" w:rsidRPr="00E97BC8">
        <w:rPr>
          <w:rFonts w:cs="Times New Roman"/>
          <w:sz w:val="22"/>
          <w:szCs w:val="22"/>
        </w:rPr>
        <w:t xml:space="preserve">over-representation of households </w:t>
      </w:r>
      <w:r w:rsidR="00804D3A" w:rsidRPr="00E97BC8">
        <w:rPr>
          <w:rFonts w:cs="Times New Roman"/>
          <w:sz w:val="22"/>
          <w:szCs w:val="22"/>
        </w:rPr>
        <w:t xml:space="preserve">living </w:t>
      </w:r>
      <w:r w:rsidR="00357766" w:rsidRPr="00E97BC8">
        <w:rPr>
          <w:rFonts w:cs="Times New Roman"/>
          <w:sz w:val="22"/>
          <w:szCs w:val="22"/>
        </w:rPr>
        <w:t xml:space="preserve">in single family homes </w:t>
      </w:r>
      <w:r w:rsidR="00BE148D" w:rsidRPr="00E97BC8">
        <w:rPr>
          <w:rFonts w:cs="Times New Roman"/>
          <w:sz w:val="22"/>
          <w:szCs w:val="22"/>
        </w:rPr>
        <w:t xml:space="preserve">is unsurprising given that the sampling frame was based, in part, on solar </w:t>
      </w:r>
      <w:r w:rsidR="00A10488" w:rsidRPr="00E97BC8">
        <w:rPr>
          <w:rFonts w:cs="Times New Roman"/>
          <w:sz w:val="22"/>
          <w:szCs w:val="22"/>
        </w:rPr>
        <w:t>panel</w:t>
      </w:r>
      <w:r w:rsidR="00BE148D" w:rsidRPr="00E97BC8">
        <w:rPr>
          <w:rFonts w:cs="Times New Roman"/>
          <w:sz w:val="22"/>
          <w:szCs w:val="22"/>
        </w:rPr>
        <w:t xml:space="preserve"> ownership</w:t>
      </w:r>
      <w:r w:rsidR="0065147D" w:rsidRPr="00E97BC8">
        <w:rPr>
          <w:rFonts w:cs="Times New Roman"/>
          <w:sz w:val="22"/>
          <w:szCs w:val="22"/>
        </w:rPr>
        <w:t xml:space="preserve"> and building permits</w:t>
      </w:r>
      <w:r w:rsidR="00CC25C3" w:rsidRPr="00E97BC8">
        <w:rPr>
          <w:rFonts w:cs="Times New Roman"/>
          <w:sz w:val="22"/>
          <w:szCs w:val="22"/>
        </w:rPr>
        <w:t xml:space="preserve"> and consisted solely of </w:t>
      </w:r>
      <w:r w:rsidR="002543F1" w:rsidRPr="00E97BC8">
        <w:rPr>
          <w:rFonts w:cs="Times New Roman"/>
          <w:sz w:val="22"/>
          <w:szCs w:val="22"/>
        </w:rPr>
        <w:t>homeowners</w:t>
      </w:r>
      <w:r w:rsidR="00BE148D" w:rsidRPr="00E97BC8">
        <w:rPr>
          <w:rFonts w:cs="Times New Roman"/>
          <w:sz w:val="22"/>
          <w:szCs w:val="22"/>
        </w:rPr>
        <w:t xml:space="preserve">. </w:t>
      </w:r>
      <w:r w:rsidR="003F150C" w:rsidRPr="00E97BC8">
        <w:rPr>
          <w:rFonts w:cs="Times New Roman"/>
          <w:sz w:val="22"/>
          <w:szCs w:val="22"/>
        </w:rPr>
        <w:t xml:space="preserve">Finally, </w:t>
      </w:r>
      <w:r w:rsidR="00FA497D" w:rsidRPr="00E97BC8">
        <w:rPr>
          <w:rFonts w:cs="Times New Roman"/>
          <w:sz w:val="22"/>
          <w:szCs w:val="22"/>
        </w:rPr>
        <w:t>two</w:t>
      </w:r>
      <w:r w:rsidR="00BD5733" w:rsidRPr="00E97BC8">
        <w:rPr>
          <w:rFonts w:cs="Times New Roman"/>
          <w:sz w:val="22"/>
          <w:szCs w:val="22"/>
        </w:rPr>
        <w:t xml:space="preserve"> metrics are used to characterize the</w:t>
      </w:r>
      <w:r w:rsidR="000D3653" w:rsidRPr="00E97BC8">
        <w:rPr>
          <w:rFonts w:cs="Times New Roman"/>
          <w:sz w:val="22"/>
          <w:szCs w:val="22"/>
        </w:rPr>
        <w:t xml:space="preserve"> residential location </w:t>
      </w:r>
      <w:r w:rsidR="00BD5733" w:rsidRPr="00E97BC8">
        <w:rPr>
          <w:rFonts w:cs="Times New Roman"/>
          <w:sz w:val="22"/>
          <w:szCs w:val="22"/>
        </w:rPr>
        <w:t>of each respondent. First</w:t>
      </w:r>
      <w:r w:rsidR="005624BD" w:rsidRPr="00E97BC8">
        <w:rPr>
          <w:rFonts w:cs="Times New Roman"/>
          <w:sz w:val="22"/>
          <w:szCs w:val="22"/>
        </w:rPr>
        <w:t>,</w:t>
      </w:r>
      <w:r w:rsidR="00BD5733" w:rsidRPr="00E97BC8">
        <w:rPr>
          <w:rFonts w:cs="Times New Roman"/>
          <w:sz w:val="22"/>
          <w:szCs w:val="22"/>
        </w:rPr>
        <w:t xml:space="preserve"> respondents are considered to be in either high population density areas</w:t>
      </w:r>
      <w:r w:rsidR="003E7B0D" w:rsidRPr="00E97BC8">
        <w:rPr>
          <w:rFonts w:cs="Times New Roman"/>
          <w:sz w:val="22"/>
          <w:szCs w:val="22"/>
        </w:rPr>
        <w:t xml:space="preserve"> (more than 9,597 people per mile)</w:t>
      </w:r>
      <w:r w:rsidR="00BD5733" w:rsidRPr="00E97BC8">
        <w:rPr>
          <w:rFonts w:cs="Times New Roman"/>
          <w:sz w:val="22"/>
          <w:szCs w:val="22"/>
        </w:rPr>
        <w:t xml:space="preserve"> or low population density areas</w:t>
      </w:r>
      <w:r w:rsidR="003E7B0D" w:rsidRPr="00E97BC8">
        <w:rPr>
          <w:rFonts w:cs="Times New Roman"/>
          <w:sz w:val="22"/>
          <w:szCs w:val="22"/>
        </w:rPr>
        <w:t xml:space="preserve"> (equal or fewer than 9,597 people per mile)</w:t>
      </w:r>
      <w:r w:rsidR="00BD5733" w:rsidRPr="00E97BC8">
        <w:rPr>
          <w:rFonts w:cs="Times New Roman"/>
          <w:sz w:val="22"/>
          <w:szCs w:val="22"/>
        </w:rPr>
        <w:t xml:space="preserve">, </w:t>
      </w:r>
      <w:r w:rsidR="00E37DAD" w:rsidRPr="00E97BC8">
        <w:rPr>
          <w:rFonts w:cs="Times New Roman"/>
          <w:sz w:val="22"/>
          <w:szCs w:val="22"/>
        </w:rPr>
        <w:t>based on the population weighted average density of all zip codes in the state</w:t>
      </w:r>
      <w:r w:rsidR="006725AE" w:rsidRPr="00E97BC8">
        <w:rPr>
          <w:rFonts w:cs="Times New Roman"/>
          <w:sz w:val="22"/>
          <w:szCs w:val="22"/>
        </w:rPr>
        <w:t xml:space="preserve">. </w:t>
      </w:r>
      <w:r w:rsidR="00FA497D" w:rsidRPr="00E97BC8">
        <w:rPr>
          <w:rFonts w:cs="Times New Roman"/>
          <w:sz w:val="22"/>
          <w:szCs w:val="22"/>
        </w:rPr>
        <w:t>Second</w:t>
      </w:r>
      <w:r w:rsidR="00BF1C29" w:rsidRPr="00E97BC8">
        <w:rPr>
          <w:rFonts w:cs="Times New Roman"/>
          <w:sz w:val="22"/>
          <w:szCs w:val="22"/>
        </w:rPr>
        <w:t>,</w:t>
      </w:r>
      <w:r w:rsidR="008379D0" w:rsidRPr="00E97BC8">
        <w:rPr>
          <w:rFonts w:cs="Times New Roman"/>
          <w:sz w:val="22"/>
          <w:szCs w:val="22"/>
        </w:rPr>
        <w:t xml:space="preserve"> the density of electric vehicle charging stations is determined by the number of publicly available stations </w:t>
      </w:r>
      <w:r w:rsidR="0042265D" w:rsidRPr="00E97BC8">
        <w:rPr>
          <w:rFonts w:cs="Times New Roman"/>
          <w:sz w:val="22"/>
          <w:szCs w:val="22"/>
        </w:rPr>
        <w:t xml:space="preserve">(at any charging level) </w:t>
      </w:r>
      <w:r w:rsidR="008379D0" w:rsidRPr="00E97BC8">
        <w:rPr>
          <w:rFonts w:cs="Times New Roman"/>
          <w:sz w:val="22"/>
          <w:szCs w:val="22"/>
        </w:rPr>
        <w:t>per square mile in each zip code</w:t>
      </w:r>
      <w:r w:rsidR="00A24053" w:rsidRPr="00E97BC8">
        <w:rPr>
          <w:rFonts w:cs="Times New Roman"/>
          <w:sz w:val="22"/>
          <w:szCs w:val="22"/>
        </w:rPr>
        <w:t xml:space="preserve"> </w:t>
      </w:r>
      <w:r w:rsidR="00021AF4" w:rsidRPr="00E97BC8">
        <w:rPr>
          <w:rFonts w:cs="Times New Roman"/>
          <w:sz w:val="22"/>
          <w:szCs w:val="22"/>
        </w:rPr>
        <w:t xml:space="preserve">as of </w:t>
      </w:r>
      <w:r w:rsidR="003F383F" w:rsidRPr="00E97BC8">
        <w:rPr>
          <w:rFonts w:cs="Times New Roman"/>
          <w:sz w:val="22"/>
          <w:szCs w:val="22"/>
        </w:rPr>
        <w:t>January 2023 and</w:t>
      </w:r>
      <w:r w:rsidR="00A24053" w:rsidRPr="00E97BC8">
        <w:rPr>
          <w:rFonts w:cs="Times New Roman"/>
          <w:sz w:val="22"/>
          <w:szCs w:val="22"/>
        </w:rPr>
        <w:t xml:space="preserve"> is categorized into </w:t>
      </w:r>
      <w:r w:rsidR="002972CD" w:rsidRPr="00E97BC8">
        <w:rPr>
          <w:rFonts w:cs="Times New Roman"/>
          <w:sz w:val="22"/>
          <w:szCs w:val="22"/>
        </w:rPr>
        <w:t>three</w:t>
      </w:r>
      <w:r w:rsidR="00A24053" w:rsidRPr="00E97BC8">
        <w:rPr>
          <w:rFonts w:cs="Times New Roman"/>
          <w:sz w:val="22"/>
          <w:szCs w:val="22"/>
        </w:rPr>
        <w:t xml:space="preserve"> levels of low (</w:t>
      </w:r>
      <w:r w:rsidR="0016547C" w:rsidRPr="00E97BC8">
        <w:rPr>
          <w:rFonts w:cs="Times New Roman"/>
          <w:sz w:val="22"/>
          <w:szCs w:val="22"/>
        </w:rPr>
        <w:t>10 or fewer stations per square mile), medium (</w:t>
      </w:r>
      <w:r w:rsidR="007944A7" w:rsidRPr="00E97BC8">
        <w:rPr>
          <w:rFonts w:cs="Times New Roman"/>
          <w:sz w:val="22"/>
          <w:szCs w:val="22"/>
        </w:rPr>
        <w:t xml:space="preserve">between 10 and </w:t>
      </w:r>
      <w:r w:rsidR="002972CD" w:rsidRPr="00E97BC8">
        <w:rPr>
          <w:rFonts w:cs="Times New Roman"/>
          <w:sz w:val="22"/>
          <w:szCs w:val="22"/>
        </w:rPr>
        <w:t>50</w:t>
      </w:r>
      <w:r w:rsidR="007944A7" w:rsidRPr="00E97BC8">
        <w:rPr>
          <w:rFonts w:cs="Times New Roman"/>
          <w:sz w:val="22"/>
          <w:szCs w:val="22"/>
        </w:rPr>
        <w:t xml:space="preserve"> stations per square mile</w:t>
      </w:r>
      <w:r w:rsidR="00D72DD1" w:rsidRPr="00E97BC8">
        <w:rPr>
          <w:rFonts w:cs="Times New Roman"/>
          <w:sz w:val="22"/>
          <w:szCs w:val="22"/>
        </w:rPr>
        <w:t xml:space="preserve">), and high (more than 50 stations per square mile). </w:t>
      </w:r>
      <w:r w:rsidR="007944A7" w:rsidRPr="00E97BC8">
        <w:rPr>
          <w:rFonts w:cs="Times New Roman"/>
          <w:sz w:val="22"/>
          <w:szCs w:val="22"/>
        </w:rPr>
        <w:t>I</w:t>
      </w:r>
      <w:r w:rsidR="0068604D" w:rsidRPr="00E97BC8">
        <w:rPr>
          <w:rFonts w:cs="Times New Roman"/>
          <w:sz w:val="22"/>
          <w:szCs w:val="22"/>
        </w:rPr>
        <w:t xml:space="preserve">ndividuals living in </w:t>
      </w:r>
      <w:r w:rsidR="009C3C29" w:rsidRPr="00E97BC8">
        <w:rPr>
          <w:rFonts w:cs="Times New Roman"/>
          <w:sz w:val="22"/>
          <w:szCs w:val="22"/>
        </w:rPr>
        <w:t xml:space="preserve">areas with </w:t>
      </w:r>
      <w:r w:rsidR="00D20730" w:rsidRPr="00E97BC8">
        <w:rPr>
          <w:rFonts w:cs="Times New Roman"/>
          <w:sz w:val="22"/>
          <w:szCs w:val="22"/>
        </w:rPr>
        <w:t>high charging station density</w:t>
      </w:r>
      <w:r w:rsidR="009C3C29" w:rsidRPr="00E97BC8">
        <w:rPr>
          <w:rFonts w:cs="Times New Roman"/>
          <w:sz w:val="22"/>
          <w:szCs w:val="22"/>
        </w:rPr>
        <w:t xml:space="preserve"> are overrepresented compared with population weighted estimates from the U</w:t>
      </w:r>
      <w:r w:rsidR="00FD20AC" w:rsidRPr="00E97BC8">
        <w:rPr>
          <w:rFonts w:cs="Times New Roman"/>
          <w:sz w:val="22"/>
          <w:szCs w:val="22"/>
        </w:rPr>
        <w:t>.</w:t>
      </w:r>
      <w:r w:rsidR="009C3C29" w:rsidRPr="00E97BC8">
        <w:rPr>
          <w:rFonts w:cs="Times New Roman"/>
          <w:sz w:val="22"/>
          <w:szCs w:val="22"/>
        </w:rPr>
        <w:t>S</w:t>
      </w:r>
      <w:r w:rsidR="00FD20AC" w:rsidRPr="00E97BC8">
        <w:rPr>
          <w:rFonts w:cs="Times New Roman"/>
          <w:sz w:val="22"/>
          <w:szCs w:val="22"/>
        </w:rPr>
        <w:t>.</w:t>
      </w:r>
      <w:r w:rsidR="009C3C29" w:rsidRPr="00E97BC8">
        <w:rPr>
          <w:rFonts w:cs="Times New Roman"/>
          <w:sz w:val="22"/>
          <w:szCs w:val="22"/>
        </w:rPr>
        <w:t xml:space="preserve"> Department of Energy Alternative Fuels Data Center</w:t>
      </w:r>
      <w:r w:rsidR="00357766" w:rsidRPr="00E97BC8">
        <w:rPr>
          <w:rFonts w:cs="Times New Roman"/>
          <w:sz w:val="22"/>
          <w:szCs w:val="22"/>
        </w:rPr>
        <w:t xml:space="preserve">, which is again </w:t>
      </w:r>
      <w:r w:rsidR="00D20730" w:rsidRPr="00E97BC8">
        <w:rPr>
          <w:rFonts w:cs="Times New Roman"/>
          <w:sz w:val="22"/>
          <w:szCs w:val="22"/>
        </w:rPr>
        <w:t xml:space="preserve">unsurprising given that </w:t>
      </w:r>
      <w:r w:rsidR="00357766" w:rsidRPr="00E97BC8">
        <w:rPr>
          <w:rFonts w:cs="Times New Roman"/>
          <w:sz w:val="22"/>
          <w:szCs w:val="22"/>
        </w:rPr>
        <w:t xml:space="preserve">respondents were selected </w:t>
      </w:r>
      <w:r w:rsidR="005B0C1E" w:rsidRPr="00E97BC8">
        <w:rPr>
          <w:rFonts w:cs="Times New Roman"/>
          <w:sz w:val="22"/>
          <w:szCs w:val="22"/>
        </w:rPr>
        <w:t>in part on EV ownership</w:t>
      </w:r>
      <w:r w:rsidR="00357766" w:rsidRPr="00E97BC8">
        <w:rPr>
          <w:rFonts w:cs="Times New Roman"/>
          <w:sz w:val="22"/>
          <w:szCs w:val="22"/>
        </w:rPr>
        <w:t>.</w:t>
      </w:r>
    </w:p>
    <w:p w14:paraId="45AD08B2" w14:textId="72BFC5D8" w:rsidR="00E1564A" w:rsidRPr="00E97BC8" w:rsidRDefault="00E1564A" w:rsidP="00E85093">
      <w:pPr>
        <w:shd w:val="clear" w:color="auto" w:fill="FFFFFF"/>
        <w:spacing w:after="0" w:line="240" w:lineRule="auto"/>
        <w:jc w:val="both"/>
        <w:rPr>
          <w:rFonts w:cs="Times New Roman"/>
          <w:sz w:val="22"/>
          <w:szCs w:val="22"/>
        </w:rPr>
      </w:pPr>
      <w:r w:rsidRPr="00E97BC8">
        <w:rPr>
          <w:rFonts w:cs="Times New Roman"/>
          <w:sz w:val="22"/>
          <w:szCs w:val="22"/>
        </w:rPr>
        <w:tab/>
      </w:r>
      <w:r w:rsidR="00D778BC" w:rsidRPr="00E97BC8">
        <w:rPr>
          <w:rFonts w:cs="Times New Roman"/>
          <w:sz w:val="22"/>
          <w:szCs w:val="22"/>
        </w:rPr>
        <w:t>T</w:t>
      </w:r>
      <w:r w:rsidRPr="00E97BC8">
        <w:rPr>
          <w:rFonts w:cs="Times New Roman"/>
          <w:sz w:val="22"/>
          <w:szCs w:val="22"/>
        </w:rPr>
        <w:t xml:space="preserve">he observed skews in the exogenous variables are to be expected in this sample due to the </w:t>
      </w:r>
      <w:r w:rsidR="00CC19F6" w:rsidRPr="00E97BC8">
        <w:rPr>
          <w:rFonts w:cs="Times New Roman"/>
          <w:sz w:val="22"/>
          <w:szCs w:val="22"/>
        </w:rPr>
        <w:t xml:space="preserve">choice-based </w:t>
      </w:r>
      <w:r w:rsidR="00357766" w:rsidRPr="00E97BC8">
        <w:rPr>
          <w:rFonts w:cs="Times New Roman"/>
          <w:sz w:val="22"/>
          <w:szCs w:val="22"/>
        </w:rPr>
        <w:t xml:space="preserve">sampling </w:t>
      </w:r>
      <w:r w:rsidRPr="00E97BC8">
        <w:rPr>
          <w:rFonts w:cs="Times New Roman"/>
          <w:sz w:val="22"/>
          <w:szCs w:val="22"/>
        </w:rPr>
        <w:t xml:space="preserve">mechanism used </w:t>
      </w:r>
      <w:r w:rsidR="00357766" w:rsidRPr="00E97BC8">
        <w:rPr>
          <w:rFonts w:cs="Times New Roman"/>
          <w:sz w:val="22"/>
          <w:szCs w:val="22"/>
        </w:rPr>
        <w:t xml:space="preserve">in </w:t>
      </w:r>
      <w:r w:rsidRPr="00E97BC8">
        <w:rPr>
          <w:rFonts w:cs="Times New Roman"/>
          <w:sz w:val="22"/>
          <w:szCs w:val="22"/>
        </w:rPr>
        <w:t xml:space="preserve">data collection. </w:t>
      </w:r>
      <w:r w:rsidR="00357766" w:rsidRPr="00E97BC8">
        <w:rPr>
          <w:rFonts w:cs="Times New Roman"/>
          <w:sz w:val="22"/>
          <w:szCs w:val="22"/>
        </w:rPr>
        <w:t xml:space="preserve">This choice-based sampling approach implies that </w:t>
      </w:r>
      <w:r w:rsidR="00373E2E" w:rsidRPr="00E97BC8">
        <w:rPr>
          <w:rFonts w:cs="Times New Roman"/>
          <w:sz w:val="22"/>
          <w:szCs w:val="22"/>
        </w:rPr>
        <w:t>an unweighted estimation approach would lead to biased parameter results</w:t>
      </w:r>
      <w:r w:rsidR="00294EB2" w:rsidRPr="00E97BC8">
        <w:rPr>
          <w:rFonts w:cs="Times New Roman"/>
          <w:sz w:val="22"/>
          <w:szCs w:val="22"/>
        </w:rPr>
        <w:t xml:space="preserve"> </w:t>
      </w:r>
      <w:r w:rsidR="005B3855" w:rsidRPr="00E97BC8">
        <w:rPr>
          <w:rFonts w:cs="Times New Roman"/>
          <w:sz w:val="22"/>
          <w:szCs w:val="22"/>
        </w:rPr>
        <w:fldChar w:fldCharType="begin"/>
      </w:r>
      <w:r w:rsidR="00F73BDE" w:rsidRPr="00E97BC8">
        <w:rPr>
          <w:rFonts w:cs="Times New Roman"/>
          <w:sz w:val="22"/>
          <w:szCs w:val="22"/>
        </w:rPr>
        <w:instrText xml:space="preserve"> ADDIN ZOTERO_ITEM CSL_CITATION {"citationID":"Pe2WTAzs","properties":{"unsorted":true,"formattedCitation":"(Wooldridge, 1995; Solon et al., 2015)","plainCitation":"(Wooldridge, 1995; Solon et al., 2015)","dontUpdate":true,"noteIndex":0},"citationItems":[{"id":719,"uris":["http://zotero.org/users/12832277/items/HWFMUF9L"],"itemData":{"id":719,"type":"article-journal","abstract":"Some new methods for testing and correcting for sample selection bias in panel data models are proposed. The assumptions allow the unobserved effects in both the regression and selection equations to be correlated with the observed variables; the error distribution in the regression equation is unspecified; arbitrary serial dependence in the idiosyncratic errors of both equations is allowed; and all idiosyncratic errors can be heterogeneously distributed. Compared with maximum likelihood and other estimators derived under fully parametric assumptions, the new estimators are much more robust and have significant computational advantages.","container-title":"Journal of Econometrics","DOI":"10.1016/0304-4076(94)01645-G","ISSN":"0304-4076","issue":"1","language":"en","page":"115-132","source":"ScienceDirect","title":"Selection Corrections for Panel Data Models Under Conditional Mean Independence Assumptions","volume":"68","author":[{"family":"Wooldridge","given":"Jeffrey M."}],"issued":{"date-parts":[["1995",7,1]]}}},{"id":721,"uris":["http://zotero.org/users/12832277/items/68L8HU9K"],"itemData":{"id":721,"type":"article-journal","abstract":"When estimating population descriptive statistics, weighting is called for if needed to make the analysis sample representative of the target population. With regard to research directed instead at estimating causal effects, we discuss three distinct weighting motives: (1) to achieve precise estimates by correcting for heteroskedasticity; (2) to achieve consistent estimates by correcting for endogenous sampling; and (3) to identify average partial effects in the presence of unmodeled heterogeneity of effects. In each case, we find that the motive sometimes does not apply in situations where practitioners often assume it does.","container-title":"Journal of Human Resources","DOI":"10.3368/jhr.50.2.301","ISSN":"0022-166X, 1548-8004","issue":"2","language":"en","license":"© 2015 by the Board of Regents of the University of Wisconsin System","note":"publisher: University of Wisconsin Press\nsection: Symposium on Empirical Methods","page":"301-316","source":"jhr.uwpress.org","title":"What Are We Weighting For?","volume":"50","author":[{"family":"Solon","given":"Gary"},{"family":"Haider","given":"Steven J."},{"family":"Wooldridge","given":"Jeffrey M."}],"issued":{"date-parts":[["2015",3,31]]}}}],"schema":"https://github.com/citation-style-language/schema/raw/master/csl-citation.json"} </w:instrText>
      </w:r>
      <w:r w:rsidR="005B3855" w:rsidRPr="00E97BC8">
        <w:rPr>
          <w:rFonts w:cs="Times New Roman"/>
          <w:sz w:val="22"/>
          <w:szCs w:val="22"/>
        </w:rPr>
        <w:fldChar w:fldCharType="separate"/>
      </w:r>
      <w:r w:rsidR="005B3855" w:rsidRPr="00E97BC8">
        <w:rPr>
          <w:rFonts w:cs="Times New Roman"/>
          <w:sz w:val="22"/>
          <w:szCs w:val="22"/>
        </w:rPr>
        <w:t>(</w:t>
      </w:r>
      <w:r w:rsidR="008256CE" w:rsidRPr="00E97BC8">
        <w:rPr>
          <w:rFonts w:cs="Times New Roman"/>
          <w:sz w:val="22"/>
          <w:szCs w:val="22"/>
        </w:rPr>
        <w:t xml:space="preserve">see </w:t>
      </w:r>
      <w:r w:rsidR="005B3855" w:rsidRPr="00E97BC8">
        <w:rPr>
          <w:rFonts w:cs="Times New Roman"/>
          <w:sz w:val="22"/>
          <w:szCs w:val="22"/>
        </w:rPr>
        <w:t>Wooldridge, 1995; Solon et al., 2015)</w:t>
      </w:r>
      <w:r w:rsidR="005B3855" w:rsidRPr="00E97BC8">
        <w:rPr>
          <w:rFonts w:cs="Times New Roman"/>
          <w:sz w:val="22"/>
          <w:szCs w:val="22"/>
        </w:rPr>
        <w:fldChar w:fldCharType="end"/>
      </w:r>
      <w:r w:rsidR="00373E2E" w:rsidRPr="00E97BC8">
        <w:rPr>
          <w:rFonts w:cs="Times New Roman"/>
          <w:sz w:val="22"/>
          <w:szCs w:val="22"/>
        </w:rPr>
        <w:t xml:space="preserve">. </w:t>
      </w:r>
      <w:r w:rsidR="00E75D41" w:rsidRPr="00E97BC8">
        <w:rPr>
          <w:rFonts w:cs="Times New Roman"/>
          <w:sz w:val="22"/>
          <w:szCs w:val="22"/>
        </w:rPr>
        <w:t xml:space="preserve">Therefore, to accommodate the </w:t>
      </w:r>
      <w:r w:rsidR="00357766" w:rsidRPr="00E97BC8">
        <w:rPr>
          <w:rFonts w:cs="Times New Roman"/>
          <w:sz w:val="22"/>
          <w:szCs w:val="22"/>
        </w:rPr>
        <w:t xml:space="preserve">choice-based </w:t>
      </w:r>
      <w:r w:rsidR="00E75D41" w:rsidRPr="00E97BC8">
        <w:rPr>
          <w:rFonts w:cs="Times New Roman"/>
          <w:sz w:val="22"/>
          <w:szCs w:val="22"/>
        </w:rPr>
        <w:t>sampling</w:t>
      </w:r>
      <w:r w:rsidR="00647F5F" w:rsidRPr="00E97BC8">
        <w:rPr>
          <w:rFonts w:cs="Times New Roman"/>
          <w:sz w:val="22"/>
          <w:szCs w:val="22"/>
        </w:rPr>
        <w:t>,</w:t>
      </w:r>
      <w:r w:rsidR="00E75D41" w:rsidRPr="00E97BC8">
        <w:rPr>
          <w:rFonts w:cs="Times New Roman"/>
          <w:sz w:val="22"/>
          <w:szCs w:val="22"/>
        </w:rPr>
        <w:t xml:space="preserve"> </w:t>
      </w:r>
      <w:r w:rsidR="00116905" w:rsidRPr="00E97BC8">
        <w:rPr>
          <w:rFonts w:cs="Times New Roman"/>
          <w:sz w:val="22"/>
          <w:szCs w:val="22"/>
        </w:rPr>
        <w:t xml:space="preserve">a series of </w:t>
      </w:r>
      <w:r w:rsidR="007C52AF" w:rsidRPr="00E97BC8">
        <w:rPr>
          <w:rFonts w:cs="Times New Roman"/>
          <w:sz w:val="22"/>
          <w:szCs w:val="22"/>
        </w:rPr>
        <w:t xml:space="preserve">sampling </w:t>
      </w:r>
      <w:r w:rsidR="00F46868" w:rsidRPr="00E97BC8">
        <w:rPr>
          <w:rFonts w:cs="Times New Roman"/>
          <w:sz w:val="22"/>
          <w:szCs w:val="22"/>
        </w:rPr>
        <w:t xml:space="preserve">weights were </w:t>
      </w:r>
      <w:r w:rsidR="00116905" w:rsidRPr="00E97BC8">
        <w:rPr>
          <w:rFonts w:cs="Times New Roman"/>
          <w:sz w:val="22"/>
          <w:szCs w:val="22"/>
        </w:rPr>
        <w:t xml:space="preserve">generated using iterative proportional fitting </w:t>
      </w:r>
      <w:r w:rsidR="00764591" w:rsidRPr="00E97BC8">
        <w:rPr>
          <w:rFonts w:cs="Times New Roman"/>
          <w:sz w:val="22"/>
          <w:szCs w:val="22"/>
        </w:rPr>
        <w:t xml:space="preserve">based on overall EV ownership and solar panel ownership levels in </w:t>
      </w:r>
      <w:r w:rsidR="001D1A01" w:rsidRPr="00E97BC8">
        <w:rPr>
          <w:rFonts w:cs="Times New Roman"/>
          <w:sz w:val="22"/>
          <w:szCs w:val="22"/>
        </w:rPr>
        <w:t>California</w:t>
      </w:r>
      <w:r w:rsidR="00481183" w:rsidRPr="00E97BC8">
        <w:rPr>
          <w:rFonts w:cs="Times New Roman"/>
          <w:sz w:val="22"/>
          <w:szCs w:val="22"/>
        </w:rPr>
        <w:t xml:space="preserve"> </w:t>
      </w:r>
      <w:r w:rsidR="00904BF7" w:rsidRPr="00E97BC8">
        <w:rPr>
          <w:rFonts w:cs="Times New Roman"/>
          <w:sz w:val="22"/>
          <w:szCs w:val="22"/>
        </w:rPr>
        <w:fldChar w:fldCharType="begin"/>
      </w:r>
      <w:r w:rsidR="00F73BDE" w:rsidRPr="00E97BC8">
        <w:rPr>
          <w:rFonts w:cs="Times New Roman"/>
          <w:sz w:val="22"/>
          <w:szCs w:val="22"/>
        </w:rPr>
        <w:instrText xml:space="preserve"> ADDIN ZOTERO_ITEM CSL_CITATION {"citationID":"H9sByVW1","properties":{"formattedCitation":"(California Energy Commission, 2024)","plainCitation":"(California Energy Commission, 2024)","dontUpdate":true,"noteIndex":0},"citationItems":[{"id":2494,"uris":["http://zotero.org/users/12832277/items/G947KTAY"],"itemData":{"id":2494,"type":"dataset","title":"California Energy Commission Zero Emission Vehicle and Infrastructure Statistics","URL":"http://www.energy.ca.gov/zevstats","author":[{"family":"California Energy Commission","given":""}],"issued":{"date-parts":[["2024"]]}}}],"schema":"https://github.com/citation-style-language/schema/raw/master/csl-citation.json"} </w:instrText>
      </w:r>
      <w:r w:rsidR="00904BF7" w:rsidRPr="00E97BC8">
        <w:rPr>
          <w:rFonts w:cs="Times New Roman"/>
          <w:sz w:val="22"/>
          <w:szCs w:val="22"/>
        </w:rPr>
        <w:fldChar w:fldCharType="separate"/>
      </w:r>
      <w:r w:rsidR="00904BF7" w:rsidRPr="00E97BC8">
        <w:rPr>
          <w:rFonts w:cs="Times New Roman"/>
          <w:sz w:val="22"/>
          <w:szCs w:val="22"/>
        </w:rPr>
        <w:t>(</w:t>
      </w:r>
      <w:r w:rsidR="003D093F" w:rsidRPr="00E97BC8">
        <w:rPr>
          <w:rFonts w:cs="Times New Roman"/>
          <w:sz w:val="22"/>
          <w:szCs w:val="22"/>
        </w:rPr>
        <w:t xml:space="preserve">see </w:t>
      </w:r>
      <w:r w:rsidR="00904BF7" w:rsidRPr="00E97BC8">
        <w:rPr>
          <w:rFonts w:cs="Times New Roman"/>
          <w:sz w:val="22"/>
          <w:szCs w:val="22"/>
        </w:rPr>
        <w:t>California Energy Commission, 2024)</w:t>
      </w:r>
      <w:r w:rsidR="00904BF7" w:rsidRPr="00E97BC8">
        <w:rPr>
          <w:rFonts w:cs="Times New Roman"/>
          <w:sz w:val="22"/>
          <w:szCs w:val="22"/>
        </w:rPr>
        <w:fldChar w:fldCharType="end"/>
      </w:r>
      <w:r w:rsidR="00357766" w:rsidRPr="00E97BC8">
        <w:rPr>
          <w:rFonts w:cs="Times New Roman"/>
          <w:sz w:val="22"/>
          <w:szCs w:val="22"/>
        </w:rPr>
        <w:t xml:space="preserve"> to avoid estimator</w:t>
      </w:r>
      <w:r w:rsidR="00A71465" w:rsidRPr="00E97BC8">
        <w:rPr>
          <w:rFonts w:cs="Times New Roman"/>
          <w:sz w:val="22"/>
          <w:szCs w:val="22"/>
        </w:rPr>
        <w:t xml:space="preserve"> inconsistency. This weighted exogenous sample maximum likelihood (WESML) </w:t>
      </w:r>
      <w:r w:rsidR="00F52743" w:rsidRPr="00E97BC8">
        <w:rPr>
          <w:rFonts w:cs="Times New Roman"/>
          <w:sz w:val="22"/>
          <w:szCs w:val="22"/>
        </w:rPr>
        <w:t xml:space="preserve">estimator </w:t>
      </w:r>
      <w:r w:rsidR="00A71465" w:rsidRPr="00E97BC8">
        <w:rPr>
          <w:rFonts w:cs="Times New Roman"/>
          <w:sz w:val="22"/>
          <w:szCs w:val="22"/>
        </w:rPr>
        <w:t>is consistent under very general conditions</w:t>
      </w:r>
      <w:r w:rsidR="00F52743" w:rsidRPr="00E97BC8">
        <w:rPr>
          <w:rFonts w:cs="Times New Roman"/>
          <w:sz w:val="22"/>
          <w:szCs w:val="22"/>
        </w:rPr>
        <w:t xml:space="preserve"> for a choice-based sample</w:t>
      </w:r>
      <w:r w:rsidR="00A71465" w:rsidRPr="00E97BC8">
        <w:rPr>
          <w:rFonts w:cs="Times New Roman"/>
          <w:sz w:val="22"/>
          <w:szCs w:val="22"/>
        </w:rPr>
        <w:t xml:space="preserve">, though it also requires the computation of a robust </w:t>
      </w:r>
      <w:r w:rsidR="00D50855" w:rsidRPr="00E97BC8">
        <w:rPr>
          <w:rFonts w:cs="Times New Roman"/>
          <w:sz w:val="22"/>
          <w:szCs w:val="22"/>
        </w:rPr>
        <w:t xml:space="preserve">sandwich </w:t>
      </w:r>
      <w:r w:rsidR="00A71465" w:rsidRPr="00E97BC8">
        <w:rPr>
          <w:rFonts w:cs="Times New Roman"/>
          <w:sz w:val="22"/>
          <w:szCs w:val="22"/>
        </w:rPr>
        <w:t xml:space="preserve">covariance matrix to obtain </w:t>
      </w:r>
      <w:r w:rsidR="00F52743" w:rsidRPr="00E97BC8">
        <w:rPr>
          <w:rFonts w:cs="Times New Roman"/>
          <w:sz w:val="22"/>
          <w:szCs w:val="22"/>
        </w:rPr>
        <w:t xml:space="preserve">parameter </w:t>
      </w:r>
      <w:r w:rsidR="00A71465" w:rsidRPr="00E97BC8">
        <w:rPr>
          <w:rFonts w:cs="Times New Roman"/>
          <w:sz w:val="22"/>
          <w:szCs w:val="22"/>
        </w:rPr>
        <w:t xml:space="preserve">standard errors </w:t>
      </w:r>
      <w:r w:rsidR="00207BE1" w:rsidRPr="00E97BC8">
        <w:rPr>
          <w:rFonts w:cs="Times New Roman"/>
          <w:sz w:val="22"/>
          <w:szCs w:val="22"/>
        </w:rPr>
        <w:fldChar w:fldCharType="begin"/>
      </w:r>
      <w:r w:rsidR="00207BE1" w:rsidRPr="00E97BC8">
        <w:rPr>
          <w:rFonts w:cs="Times New Roman"/>
          <w:sz w:val="22"/>
          <w:szCs w:val="22"/>
        </w:rPr>
        <w:instrText xml:space="preserve"> ADDIN ZOTERO_ITEM CSL_CITATION {"citationID":"zVwIgIjr","properties":{"formattedCitation":"(Manski and Lerman, 1977)","plainCitation":"(Manski and Lerman, 1977)","noteIndex":0},"citationItems":[{"id":1067,"uris":["http://zotero.org/users/12832277/items/BMGXI46J"],"itemData":{"id":1067,"type":"article-journal","container-title":"Econometrica","DOI":"10.2307/1914121","ISSN":"0012-9682","issue":"8","note":"publisher: [Wiley, Econometric Society]","page":"1977-1988","source":"JSTOR","title":"The Estimation of Choice Probabilities from Choice Based Samples","volume":"45","author":[{"family":"Manski","given":"Charles F."},{"family":"Lerman","given":"Steven R."}],"issued":{"date-parts":[["1977"]]}}}],"schema":"https://github.com/citation-style-language/schema/raw/master/csl-citation.json"} </w:instrText>
      </w:r>
      <w:r w:rsidR="00207BE1" w:rsidRPr="00E97BC8">
        <w:rPr>
          <w:rFonts w:cs="Times New Roman"/>
          <w:sz w:val="22"/>
          <w:szCs w:val="22"/>
        </w:rPr>
        <w:fldChar w:fldCharType="separate"/>
      </w:r>
      <w:r w:rsidR="001E6A07" w:rsidRPr="00E97BC8">
        <w:rPr>
          <w:rFonts w:cs="Times New Roman"/>
          <w:sz w:val="22"/>
          <w:szCs w:val="22"/>
        </w:rPr>
        <w:t>(Manski and Lerman, 1977)</w:t>
      </w:r>
      <w:r w:rsidR="00207BE1" w:rsidRPr="00E97BC8">
        <w:rPr>
          <w:rFonts w:cs="Times New Roman"/>
          <w:sz w:val="22"/>
          <w:szCs w:val="22"/>
        </w:rPr>
        <w:fldChar w:fldCharType="end"/>
      </w:r>
      <w:r w:rsidR="00A71465" w:rsidRPr="00E97BC8">
        <w:rPr>
          <w:rFonts w:cs="Times New Roman"/>
          <w:sz w:val="22"/>
          <w:szCs w:val="22"/>
        </w:rPr>
        <w:t>.</w:t>
      </w:r>
    </w:p>
    <w:p w14:paraId="5E95D6DF" w14:textId="400040B5" w:rsidR="00D226A0" w:rsidRPr="00E97BC8" w:rsidRDefault="00D226A0" w:rsidP="00E85093">
      <w:pPr>
        <w:shd w:val="clear" w:color="auto" w:fill="FFFFFF"/>
        <w:spacing w:after="0" w:line="240" w:lineRule="auto"/>
        <w:jc w:val="both"/>
        <w:rPr>
          <w:rFonts w:cs="Times New Roman"/>
          <w:sz w:val="22"/>
          <w:szCs w:val="22"/>
        </w:rPr>
      </w:pPr>
    </w:p>
    <w:p w14:paraId="17564ACA" w14:textId="36C45B58" w:rsidR="0034533B" w:rsidRPr="00E97BC8" w:rsidRDefault="0034533B" w:rsidP="00E85093">
      <w:pPr>
        <w:shd w:val="clear" w:color="auto" w:fill="FFFFFF"/>
        <w:spacing w:after="0" w:line="240" w:lineRule="auto"/>
        <w:jc w:val="both"/>
        <w:rPr>
          <w:rFonts w:cs="Times New Roman"/>
          <w:b/>
          <w:bCs/>
          <w:i/>
          <w:iCs/>
          <w:sz w:val="22"/>
          <w:szCs w:val="22"/>
        </w:rPr>
      </w:pPr>
      <w:r w:rsidRPr="00E97BC8">
        <w:rPr>
          <w:rFonts w:cs="Times New Roman"/>
          <w:b/>
          <w:bCs/>
          <w:i/>
          <w:iCs/>
          <w:sz w:val="22"/>
          <w:szCs w:val="22"/>
        </w:rPr>
        <w:t>3.1.</w:t>
      </w:r>
      <w:r w:rsidR="00735A1F" w:rsidRPr="00E97BC8">
        <w:rPr>
          <w:rFonts w:cs="Times New Roman"/>
          <w:b/>
          <w:bCs/>
          <w:i/>
          <w:iCs/>
          <w:sz w:val="22"/>
          <w:szCs w:val="22"/>
        </w:rPr>
        <w:t>2</w:t>
      </w:r>
      <w:r w:rsidRPr="00E97BC8">
        <w:rPr>
          <w:rFonts w:cs="Times New Roman"/>
          <w:b/>
          <w:bCs/>
          <w:i/>
          <w:iCs/>
          <w:sz w:val="22"/>
          <w:szCs w:val="22"/>
        </w:rPr>
        <w:t xml:space="preserve"> Endogenous Outcomes</w:t>
      </w:r>
    </w:p>
    <w:p w14:paraId="131E5027" w14:textId="45616110" w:rsidR="00DA6581" w:rsidRPr="00E97BC8" w:rsidRDefault="0034533B" w:rsidP="00E85093">
      <w:pPr>
        <w:shd w:val="clear" w:color="auto" w:fill="FFFFFF"/>
        <w:spacing w:after="0" w:line="240" w:lineRule="auto"/>
        <w:jc w:val="both"/>
        <w:rPr>
          <w:rFonts w:cs="Times New Roman"/>
          <w:sz w:val="22"/>
          <w:szCs w:val="22"/>
        </w:rPr>
      </w:pPr>
      <w:r w:rsidRPr="00E97BC8">
        <w:rPr>
          <w:rFonts w:cs="Times New Roman"/>
          <w:sz w:val="22"/>
          <w:szCs w:val="22"/>
        </w:rPr>
        <w:t>The main outcomes in this study include a binary outcome for EV adoption and a rank-ordered outcome representing the motivating factors that prompted existing EV owners to consider buying an EV. Of the 1,098 individuals</w:t>
      </w:r>
      <w:r w:rsidR="00974A44" w:rsidRPr="00E97BC8">
        <w:rPr>
          <w:rFonts w:cs="Times New Roman"/>
          <w:sz w:val="22"/>
          <w:szCs w:val="22"/>
        </w:rPr>
        <w:t>/households</w:t>
      </w:r>
      <w:r w:rsidRPr="00E97BC8">
        <w:rPr>
          <w:rFonts w:cs="Times New Roman"/>
          <w:sz w:val="22"/>
          <w:szCs w:val="22"/>
        </w:rPr>
        <w:t xml:space="preserve"> included in the sample, 417 (38.3%) individuals</w:t>
      </w:r>
      <w:r w:rsidR="00974A44" w:rsidRPr="00E97BC8">
        <w:rPr>
          <w:rFonts w:cs="Times New Roman"/>
          <w:sz w:val="22"/>
          <w:szCs w:val="22"/>
        </w:rPr>
        <w:t>/households</w:t>
      </w:r>
      <w:r w:rsidRPr="00E97BC8">
        <w:rPr>
          <w:rFonts w:cs="Times New Roman"/>
          <w:sz w:val="22"/>
          <w:szCs w:val="22"/>
        </w:rPr>
        <w:t xml:space="preserve"> owned an EV</w:t>
      </w:r>
      <w:r w:rsidR="00736ADF" w:rsidRPr="00E97BC8">
        <w:rPr>
          <w:rFonts w:cs="Times New Roman"/>
          <w:sz w:val="22"/>
          <w:szCs w:val="22"/>
        </w:rPr>
        <w:t xml:space="preserve"> using the unweighted shares</w:t>
      </w:r>
      <w:r w:rsidR="00B40CD3" w:rsidRPr="00E97BC8">
        <w:rPr>
          <w:rFonts w:cs="Times New Roman"/>
          <w:sz w:val="22"/>
          <w:szCs w:val="22"/>
        </w:rPr>
        <w:t xml:space="preserve"> (this includes all individuals who owned either a BEV or PHEV at the time of the survey)</w:t>
      </w:r>
      <w:r w:rsidRPr="00E97BC8">
        <w:rPr>
          <w:rFonts w:cs="Times New Roman"/>
          <w:sz w:val="22"/>
          <w:szCs w:val="22"/>
        </w:rPr>
        <w:t xml:space="preserve">. </w:t>
      </w:r>
      <w:r w:rsidR="00376129" w:rsidRPr="00E97BC8">
        <w:rPr>
          <w:rFonts w:cs="Times New Roman"/>
          <w:sz w:val="22"/>
          <w:szCs w:val="22"/>
        </w:rPr>
        <w:t xml:space="preserve">After applying the sampling weights, the EV share in the sample corresponds with a weighted share of 5.17%, aligning with overall EV ownership levels in California in early 2023. </w:t>
      </w:r>
      <w:r w:rsidR="008F3F6D" w:rsidRPr="00E97BC8">
        <w:rPr>
          <w:rFonts w:cs="Times New Roman"/>
          <w:sz w:val="22"/>
          <w:szCs w:val="22"/>
        </w:rPr>
        <w:t xml:space="preserve">In our analysis, because of the small number and weighted share of EV-owning households, we make a distinction in preference between BEV and PHEV ownership </w:t>
      </w:r>
      <w:r w:rsidR="00974A44" w:rsidRPr="00E97BC8">
        <w:rPr>
          <w:rFonts w:cs="Times New Roman"/>
          <w:sz w:val="22"/>
          <w:szCs w:val="22"/>
        </w:rPr>
        <w:t xml:space="preserve">solely </w:t>
      </w:r>
      <w:r w:rsidR="008F3F6D" w:rsidRPr="00E97BC8">
        <w:rPr>
          <w:rFonts w:cs="Times New Roman"/>
          <w:sz w:val="22"/>
          <w:szCs w:val="22"/>
        </w:rPr>
        <w:t xml:space="preserve">based on individual/household demographics and latent constructs, maintaining the same </w:t>
      </w:r>
      <w:r w:rsidR="003337A0" w:rsidRPr="00E97BC8">
        <w:rPr>
          <w:rFonts w:cs="Times New Roman"/>
          <w:sz w:val="22"/>
          <w:szCs w:val="22"/>
        </w:rPr>
        <w:t xml:space="preserve">kernel </w:t>
      </w:r>
      <w:r w:rsidR="008F3F6D" w:rsidRPr="00E97BC8">
        <w:rPr>
          <w:rFonts w:cs="Times New Roman"/>
          <w:sz w:val="22"/>
          <w:szCs w:val="22"/>
        </w:rPr>
        <w:t xml:space="preserve">error term </w:t>
      </w:r>
      <w:r w:rsidR="0043127C" w:rsidRPr="00E97BC8">
        <w:rPr>
          <w:rFonts w:cs="Times New Roman"/>
          <w:sz w:val="22"/>
          <w:szCs w:val="22"/>
        </w:rPr>
        <w:t xml:space="preserve">for both BEVs and PHEVs. We achieve this by defining a PHEV-ownership </w:t>
      </w:r>
      <w:r w:rsidR="00A3056E" w:rsidRPr="00E97BC8">
        <w:rPr>
          <w:rFonts w:cs="Times New Roman"/>
          <w:sz w:val="22"/>
          <w:szCs w:val="22"/>
        </w:rPr>
        <w:t>indicator and</w:t>
      </w:r>
      <w:r w:rsidR="0043127C" w:rsidRPr="00E97BC8">
        <w:rPr>
          <w:rFonts w:cs="Times New Roman"/>
          <w:sz w:val="22"/>
          <w:szCs w:val="22"/>
        </w:rPr>
        <w:t xml:space="preserve"> interacting this indicator with the remaining exogenous variables as well as the latent constructs. Effectively, the assumption here is then that, while </w:t>
      </w:r>
      <w:r w:rsidR="003337A0" w:rsidRPr="00E97BC8">
        <w:rPr>
          <w:rFonts w:cs="Times New Roman"/>
          <w:sz w:val="22"/>
          <w:szCs w:val="22"/>
        </w:rPr>
        <w:t xml:space="preserve">the overall </w:t>
      </w:r>
      <w:r w:rsidR="0043127C" w:rsidRPr="00E97BC8">
        <w:rPr>
          <w:rFonts w:cs="Times New Roman"/>
          <w:sz w:val="22"/>
          <w:szCs w:val="22"/>
        </w:rPr>
        <w:t>error term distributions in the BEV and PHEV utilities do differ because of the interaction</w:t>
      </w:r>
      <w:r w:rsidR="003337A0" w:rsidRPr="00E97BC8">
        <w:rPr>
          <w:rFonts w:cs="Times New Roman"/>
          <w:sz w:val="22"/>
          <w:szCs w:val="22"/>
        </w:rPr>
        <w:t>s</w:t>
      </w:r>
      <w:r w:rsidR="0043127C" w:rsidRPr="00E97BC8">
        <w:rPr>
          <w:rFonts w:cs="Times New Roman"/>
          <w:sz w:val="22"/>
          <w:szCs w:val="22"/>
        </w:rPr>
        <w:t xml:space="preserve"> of the PHEV indicator with the stochastic latent constructs, conditional on the latent constructs, the </w:t>
      </w:r>
      <w:r w:rsidR="003337A0" w:rsidRPr="00E97BC8">
        <w:rPr>
          <w:rFonts w:cs="Times New Roman"/>
          <w:sz w:val="22"/>
          <w:szCs w:val="22"/>
        </w:rPr>
        <w:t xml:space="preserve">determinant </w:t>
      </w:r>
      <w:r w:rsidR="0043127C" w:rsidRPr="00E97BC8">
        <w:rPr>
          <w:rFonts w:cs="Times New Roman"/>
          <w:sz w:val="22"/>
          <w:szCs w:val="22"/>
        </w:rPr>
        <w:t xml:space="preserve">factors </w:t>
      </w:r>
      <w:r w:rsidR="003337A0" w:rsidRPr="00E97BC8">
        <w:rPr>
          <w:rFonts w:cs="Times New Roman"/>
          <w:sz w:val="22"/>
          <w:szCs w:val="22"/>
        </w:rPr>
        <w:t xml:space="preserve">not considered in our analysis are identical </w:t>
      </w:r>
      <w:r w:rsidR="00974A44" w:rsidRPr="00E97BC8">
        <w:rPr>
          <w:rFonts w:cs="Times New Roman"/>
          <w:sz w:val="22"/>
          <w:szCs w:val="22"/>
        </w:rPr>
        <w:t>in</w:t>
      </w:r>
      <w:r w:rsidR="003337A0" w:rsidRPr="00E97BC8">
        <w:rPr>
          <w:rFonts w:cs="Times New Roman"/>
          <w:sz w:val="22"/>
          <w:szCs w:val="22"/>
        </w:rPr>
        <w:t xml:space="preserve"> the BEV and PHEV </w:t>
      </w:r>
      <w:r w:rsidR="0043127C" w:rsidRPr="00E97BC8">
        <w:rPr>
          <w:rFonts w:cs="Times New Roman"/>
          <w:sz w:val="22"/>
          <w:szCs w:val="22"/>
        </w:rPr>
        <w:t>utilities</w:t>
      </w:r>
      <w:r w:rsidR="003337A0" w:rsidRPr="00E97BC8">
        <w:rPr>
          <w:rFonts w:cs="Times New Roman"/>
          <w:sz w:val="22"/>
          <w:szCs w:val="22"/>
        </w:rPr>
        <w:t xml:space="preserve">. </w:t>
      </w:r>
      <w:r w:rsidR="0043127C" w:rsidRPr="00E97BC8">
        <w:rPr>
          <w:rFonts w:cs="Times New Roman"/>
          <w:sz w:val="22"/>
          <w:szCs w:val="22"/>
        </w:rPr>
        <w:t xml:space="preserve"> </w:t>
      </w:r>
      <w:r w:rsidR="003337A0" w:rsidRPr="00E97BC8">
        <w:rPr>
          <w:rFonts w:cs="Times New Roman"/>
          <w:sz w:val="22"/>
          <w:szCs w:val="22"/>
        </w:rPr>
        <w:t>In this model structure,</w:t>
      </w:r>
      <w:r w:rsidR="00335382" w:rsidRPr="00E97BC8">
        <w:rPr>
          <w:rFonts w:cs="Times New Roman"/>
          <w:sz w:val="22"/>
          <w:szCs w:val="22"/>
        </w:rPr>
        <w:t xml:space="preserve"> </w:t>
      </w:r>
      <w:r w:rsidR="00DA6581" w:rsidRPr="00E97BC8">
        <w:rPr>
          <w:rFonts w:cs="Times New Roman"/>
          <w:sz w:val="22"/>
          <w:szCs w:val="22"/>
        </w:rPr>
        <w:t xml:space="preserve">the main </w:t>
      </w:r>
      <w:r w:rsidR="003337A0" w:rsidRPr="00E97BC8">
        <w:rPr>
          <w:rFonts w:cs="Times New Roman"/>
          <w:sz w:val="22"/>
          <w:szCs w:val="22"/>
        </w:rPr>
        <w:t xml:space="preserve">exogenous/latent construct </w:t>
      </w:r>
      <w:r w:rsidR="00DA6581" w:rsidRPr="00E97BC8">
        <w:rPr>
          <w:rFonts w:cs="Times New Roman"/>
          <w:sz w:val="22"/>
          <w:szCs w:val="22"/>
        </w:rPr>
        <w:t xml:space="preserve">effects in the </w:t>
      </w:r>
      <w:r w:rsidR="00E77CF3" w:rsidRPr="00E97BC8">
        <w:rPr>
          <w:rFonts w:cs="Times New Roman"/>
          <w:sz w:val="22"/>
          <w:szCs w:val="22"/>
        </w:rPr>
        <w:t>adoption equation</w:t>
      </w:r>
      <w:r w:rsidR="00DA6581" w:rsidRPr="00E97BC8">
        <w:rPr>
          <w:rFonts w:cs="Times New Roman"/>
          <w:sz w:val="22"/>
          <w:szCs w:val="22"/>
        </w:rPr>
        <w:t xml:space="preserve"> represent the effects </w:t>
      </w:r>
      <w:r w:rsidR="003337A0" w:rsidRPr="00E97BC8">
        <w:rPr>
          <w:rFonts w:cs="Times New Roman"/>
          <w:sz w:val="22"/>
          <w:szCs w:val="22"/>
        </w:rPr>
        <w:t xml:space="preserve">for </w:t>
      </w:r>
      <w:r w:rsidR="00DA6581" w:rsidRPr="00E97BC8">
        <w:rPr>
          <w:rFonts w:cs="Times New Roman"/>
          <w:sz w:val="22"/>
          <w:szCs w:val="22"/>
        </w:rPr>
        <w:t>BEV adoption</w:t>
      </w:r>
      <w:r w:rsidR="008055D9" w:rsidRPr="00E97BC8">
        <w:rPr>
          <w:rFonts w:cs="Times New Roman"/>
          <w:sz w:val="22"/>
          <w:szCs w:val="22"/>
        </w:rPr>
        <w:t>,</w:t>
      </w:r>
      <w:r w:rsidR="00DA6581" w:rsidRPr="00E97BC8">
        <w:rPr>
          <w:rFonts w:cs="Times New Roman"/>
          <w:sz w:val="22"/>
          <w:szCs w:val="22"/>
        </w:rPr>
        <w:t xml:space="preserve"> while the interaction effects represent the difference in the preferences for PHEV adoption relative to BEV adoption. </w:t>
      </w:r>
      <w:r w:rsidR="00D240AB" w:rsidRPr="00E97BC8">
        <w:rPr>
          <w:rFonts w:cs="Times New Roman"/>
          <w:sz w:val="22"/>
          <w:szCs w:val="22"/>
        </w:rPr>
        <w:t xml:space="preserve">Where no interactions are present, the coefficients indicate </w:t>
      </w:r>
      <w:r w:rsidR="00C82ABA" w:rsidRPr="00E97BC8">
        <w:rPr>
          <w:rFonts w:cs="Times New Roman"/>
          <w:sz w:val="22"/>
          <w:szCs w:val="22"/>
        </w:rPr>
        <w:t>an effect for EV adoption in general (with no statistically significant difference between BEV and PHEV adoption).</w:t>
      </w:r>
      <w:r w:rsidR="003337A0" w:rsidRPr="00E97BC8">
        <w:rPr>
          <w:rStyle w:val="FootnoteReference"/>
          <w:rFonts w:cs="Times New Roman"/>
          <w:sz w:val="22"/>
          <w:szCs w:val="22"/>
        </w:rPr>
        <w:footnoteReference w:id="4"/>
      </w:r>
      <w:r w:rsidR="00C82ABA" w:rsidRPr="00E97BC8">
        <w:rPr>
          <w:rFonts w:cs="Times New Roman"/>
          <w:sz w:val="22"/>
          <w:szCs w:val="22"/>
        </w:rPr>
        <w:t xml:space="preserve"> </w:t>
      </w:r>
    </w:p>
    <w:p w14:paraId="647FEA97" w14:textId="6D138F64" w:rsidR="0034533B" w:rsidRPr="00E97BC8" w:rsidRDefault="0034533B" w:rsidP="00E85093">
      <w:pPr>
        <w:shd w:val="clear" w:color="auto" w:fill="FFFFFF"/>
        <w:spacing w:after="0" w:line="240" w:lineRule="auto"/>
        <w:ind w:firstLine="720"/>
        <w:jc w:val="both"/>
        <w:rPr>
          <w:rFonts w:cs="Times New Roman"/>
          <w:sz w:val="22"/>
          <w:szCs w:val="22"/>
        </w:rPr>
      </w:pPr>
      <w:r w:rsidRPr="00E97BC8">
        <w:rPr>
          <w:rFonts w:cs="Times New Roman"/>
          <w:sz w:val="22"/>
          <w:szCs w:val="22"/>
        </w:rPr>
        <w:lastRenderedPageBreak/>
        <w:t xml:space="preserve">The distribution of responses to the rank-ordered outcome is presented in Table </w:t>
      </w:r>
      <w:r w:rsidR="00F37076" w:rsidRPr="00E97BC8">
        <w:rPr>
          <w:rFonts w:cs="Times New Roman"/>
          <w:sz w:val="22"/>
          <w:szCs w:val="22"/>
        </w:rPr>
        <w:t>2</w:t>
      </w:r>
      <w:r w:rsidR="00794962" w:rsidRPr="00E97BC8">
        <w:rPr>
          <w:rFonts w:cs="Times New Roman"/>
          <w:sz w:val="22"/>
          <w:szCs w:val="22"/>
        </w:rPr>
        <w:t xml:space="preserve"> for both the </w:t>
      </w:r>
      <w:r w:rsidR="004778F1" w:rsidRPr="00E97BC8">
        <w:rPr>
          <w:rFonts w:cs="Times New Roman"/>
          <w:sz w:val="22"/>
          <w:szCs w:val="22"/>
        </w:rPr>
        <w:t>unweighted</w:t>
      </w:r>
      <w:r w:rsidR="00794962" w:rsidRPr="00E97BC8">
        <w:rPr>
          <w:rFonts w:cs="Times New Roman"/>
          <w:sz w:val="22"/>
          <w:szCs w:val="22"/>
        </w:rPr>
        <w:t xml:space="preserve"> and weighted shares</w:t>
      </w:r>
      <w:r w:rsidRPr="00E97BC8">
        <w:rPr>
          <w:rFonts w:cs="Times New Roman"/>
          <w:sz w:val="22"/>
          <w:szCs w:val="22"/>
        </w:rPr>
        <w:t xml:space="preserve">. This question was only asked of current EV owners. Additionally, as discussed before, since only the eight most selected reasons were retained, not all EV owners have a full set of three rankings. Of the 417 EV owners, 285 had a full set of three ranked responses, 108 had only two ranked responses, and 24 had only a single ranked response (the percentages shown in Table </w:t>
      </w:r>
      <w:r w:rsidR="00F37076" w:rsidRPr="00E97BC8">
        <w:rPr>
          <w:rFonts w:cs="Times New Roman"/>
          <w:sz w:val="22"/>
          <w:szCs w:val="22"/>
        </w:rPr>
        <w:t>2</w:t>
      </w:r>
      <w:r w:rsidRPr="00E97BC8">
        <w:rPr>
          <w:rFonts w:cs="Times New Roman"/>
          <w:sz w:val="22"/>
          <w:szCs w:val="22"/>
        </w:rPr>
        <w:t xml:space="preserve"> for the second and third columns </w:t>
      </w:r>
      <w:r w:rsidR="00AE4BF6" w:rsidRPr="00E97BC8">
        <w:rPr>
          <w:rFonts w:cs="Times New Roman"/>
          <w:sz w:val="22"/>
          <w:szCs w:val="22"/>
        </w:rPr>
        <w:t xml:space="preserve">in each panel </w:t>
      </w:r>
      <w:r w:rsidRPr="00E97BC8">
        <w:rPr>
          <w:rFonts w:cs="Times New Roman"/>
          <w:sz w:val="22"/>
          <w:szCs w:val="22"/>
        </w:rPr>
        <w:t xml:space="preserve">are based on the number of participants with at least two or three ranked reasons, respectively, so all the columns sum to 100%). </w:t>
      </w:r>
      <w:r w:rsidR="006A690B" w:rsidRPr="00E97BC8">
        <w:rPr>
          <w:rFonts w:cs="Times New Roman"/>
          <w:sz w:val="22"/>
          <w:szCs w:val="22"/>
        </w:rPr>
        <w:t xml:space="preserve">The </w:t>
      </w:r>
      <w:r w:rsidR="00AA4F9E" w:rsidRPr="00E97BC8">
        <w:rPr>
          <w:rFonts w:cs="Times New Roman"/>
          <w:sz w:val="22"/>
          <w:szCs w:val="22"/>
        </w:rPr>
        <w:t xml:space="preserve">sampling weights do not seem to </w:t>
      </w:r>
      <w:r w:rsidR="005223FD" w:rsidRPr="00E97BC8">
        <w:rPr>
          <w:rFonts w:cs="Times New Roman"/>
          <w:sz w:val="22"/>
          <w:szCs w:val="22"/>
        </w:rPr>
        <w:t>significantly</w:t>
      </w:r>
      <w:r w:rsidR="00AA4F9E" w:rsidRPr="00E97BC8">
        <w:rPr>
          <w:rFonts w:cs="Times New Roman"/>
          <w:sz w:val="22"/>
          <w:szCs w:val="22"/>
        </w:rPr>
        <w:t xml:space="preserve"> influence the </w:t>
      </w:r>
      <w:r w:rsidR="005223FD" w:rsidRPr="00E97BC8">
        <w:rPr>
          <w:rFonts w:cs="Times New Roman"/>
          <w:sz w:val="22"/>
          <w:szCs w:val="22"/>
        </w:rPr>
        <w:t>distribution of motivating reasons that influence adoption</w:t>
      </w:r>
      <w:r w:rsidR="000C5F39" w:rsidRPr="00E97BC8">
        <w:rPr>
          <w:rFonts w:cs="Times New Roman"/>
          <w:sz w:val="22"/>
          <w:szCs w:val="22"/>
        </w:rPr>
        <w:t xml:space="preserve">, an </w:t>
      </w:r>
      <w:r w:rsidR="00491E00" w:rsidRPr="00E97BC8">
        <w:rPr>
          <w:rFonts w:cs="Times New Roman"/>
          <w:sz w:val="22"/>
          <w:szCs w:val="22"/>
        </w:rPr>
        <w:t>unsurprising result given that they are only available for current EV owners</w:t>
      </w:r>
      <w:r w:rsidR="003576CF" w:rsidRPr="00E97BC8">
        <w:rPr>
          <w:rFonts w:cs="Times New Roman"/>
          <w:sz w:val="22"/>
          <w:szCs w:val="22"/>
        </w:rPr>
        <w:t xml:space="preserve">. </w:t>
      </w:r>
      <w:r w:rsidR="00F37076" w:rsidRPr="00E97BC8">
        <w:rPr>
          <w:rFonts w:cs="Times New Roman"/>
          <w:sz w:val="22"/>
          <w:szCs w:val="22"/>
        </w:rPr>
        <w:t>As</w:t>
      </w:r>
      <w:r w:rsidRPr="00E97BC8">
        <w:rPr>
          <w:rFonts w:cs="Times New Roman"/>
          <w:sz w:val="22"/>
          <w:szCs w:val="22"/>
        </w:rPr>
        <w:t xml:space="preserve"> may be observed from the table, concern about climate change is the most significant factor leading to EV adoption, with 34.5% of the sample selecting this factor as the most important. Interest in EV technology and rising gasoline process also appear to be important at this aggregate level. In contrast, having a test drive or hearing about EVs from friends or family members do not seem to be particularly important (with less than 5% of respondents ranking each of these reasons first). “Taking advantage of available incentives” and “The ability to charge/</w:t>
      </w:r>
      <w:r w:rsidR="00F33A36" w:rsidRPr="00E97BC8">
        <w:rPr>
          <w:rFonts w:cs="Times New Roman"/>
          <w:sz w:val="22"/>
          <w:szCs w:val="22"/>
        </w:rPr>
        <w:t>’</w:t>
      </w:r>
      <w:r w:rsidRPr="00E97BC8">
        <w:rPr>
          <w:rFonts w:cs="Times New Roman"/>
          <w:sz w:val="22"/>
          <w:szCs w:val="22"/>
        </w:rPr>
        <w:t>refuel</w:t>
      </w:r>
      <w:r w:rsidR="00F33A36" w:rsidRPr="00E97BC8">
        <w:rPr>
          <w:rFonts w:cs="Times New Roman"/>
          <w:sz w:val="22"/>
          <w:szCs w:val="22"/>
        </w:rPr>
        <w:t>’</w:t>
      </w:r>
      <w:r w:rsidRPr="00E97BC8">
        <w:rPr>
          <w:rFonts w:cs="Times New Roman"/>
          <w:sz w:val="22"/>
          <w:szCs w:val="22"/>
        </w:rPr>
        <w:t xml:space="preserve"> at home</w:t>
      </w:r>
      <w:r w:rsidR="003D7CA2" w:rsidRPr="00E97BC8">
        <w:rPr>
          <w:rFonts w:cs="Times New Roman"/>
          <w:sz w:val="22"/>
          <w:szCs w:val="22"/>
        </w:rPr>
        <w:t>,</w:t>
      </w:r>
      <w:r w:rsidRPr="00E97BC8">
        <w:rPr>
          <w:rFonts w:cs="Times New Roman"/>
          <w:sz w:val="22"/>
          <w:szCs w:val="22"/>
        </w:rPr>
        <w:t xml:space="preserve">” while not appearing as the top rank frequently, do appear frequently as the second or third rank in motivation. Overall, EV adoption, based at least on this aggregate descriptive analysis, appears to be driven more by climate change concerns and benefits of the technologies overall rather than peer effects or test drive experiences. </w:t>
      </w:r>
    </w:p>
    <w:p w14:paraId="64BF3B64" w14:textId="77777777" w:rsidR="0034533B" w:rsidRPr="00E97BC8" w:rsidRDefault="0034533B" w:rsidP="00E85093">
      <w:pPr>
        <w:shd w:val="clear" w:color="auto" w:fill="FFFFFF"/>
        <w:spacing w:after="0" w:line="240" w:lineRule="auto"/>
        <w:jc w:val="both"/>
        <w:rPr>
          <w:rFonts w:cs="Times New Roman"/>
          <w:sz w:val="22"/>
          <w:szCs w:val="22"/>
        </w:rPr>
      </w:pPr>
    </w:p>
    <w:p w14:paraId="2EF34D50" w14:textId="156D36BC" w:rsidR="000A5A1F" w:rsidRPr="00E97BC8" w:rsidRDefault="008C083B" w:rsidP="00E85093">
      <w:pPr>
        <w:keepNext/>
        <w:keepLines/>
        <w:shd w:val="clear" w:color="auto" w:fill="FFFFFF"/>
        <w:spacing w:after="0" w:line="240" w:lineRule="auto"/>
        <w:jc w:val="both"/>
        <w:rPr>
          <w:rFonts w:cs="Times New Roman"/>
          <w:b/>
          <w:bCs/>
          <w:i/>
          <w:iCs/>
          <w:sz w:val="22"/>
          <w:szCs w:val="22"/>
        </w:rPr>
      </w:pPr>
      <w:r w:rsidRPr="00E97BC8">
        <w:rPr>
          <w:rFonts w:cs="Times New Roman"/>
          <w:b/>
          <w:bCs/>
          <w:i/>
          <w:iCs/>
          <w:sz w:val="22"/>
          <w:szCs w:val="22"/>
        </w:rPr>
        <w:t xml:space="preserve">3.1.3 Latent Constructs </w:t>
      </w:r>
    </w:p>
    <w:p w14:paraId="570ADED3" w14:textId="729FC75E" w:rsidR="00AE3D59" w:rsidRPr="00E97BC8" w:rsidRDefault="00F52743" w:rsidP="00E85093">
      <w:pPr>
        <w:spacing w:after="0" w:line="240" w:lineRule="auto"/>
        <w:jc w:val="both"/>
        <w:rPr>
          <w:rFonts w:cs="Times New Roman"/>
          <w:sz w:val="22"/>
          <w:szCs w:val="22"/>
        </w:rPr>
      </w:pPr>
      <w:r w:rsidRPr="00E97BC8">
        <w:rPr>
          <w:rFonts w:cs="Times New Roman"/>
          <w:sz w:val="22"/>
          <w:szCs w:val="22"/>
        </w:rPr>
        <w:t>As discussed earlier in Section 2.3, w</w:t>
      </w:r>
      <w:r w:rsidR="00A7484F" w:rsidRPr="00E97BC8">
        <w:rPr>
          <w:rFonts w:cs="Times New Roman"/>
          <w:sz w:val="22"/>
          <w:szCs w:val="22"/>
        </w:rPr>
        <w:t xml:space="preserve">e consider four </w:t>
      </w:r>
      <w:r w:rsidR="00595D67" w:rsidRPr="00E97BC8">
        <w:rPr>
          <w:rFonts w:cs="Times New Roman"/>
          <w:sz w:val="22"/>
          <w:szCs w:val="22"/>
        </w:rPr>
        <w:t xml:space="preserve">stochastic </w:t>
      </w:r>
      <w:r w:rsidR="00A7484F" w:rsidRPr="00E97BC8">
        <w:rPr>
          <w:rFonts w:cs="Times New Roman"/>
          <w:sz w:val="22"/>
          <w:szCs w:val="22"/>
        </w:rPr>
        <w:t xml:space="preserve">latent constructs </w:t>
      </w:r>
      <w:r w:rsidR="009C362E" w:rsidRPr="00E97BC8">
        <w:rPr>
          <w:rFonts w:cs="Times New Roman"/>
          <w:sz w:val="22"/>
          <w:szCs w:val="22"/>
        </w:rPr>
        <w:t>that are likely to impact EV adoption</w:t>
      </w:r>
      <w:r w:rsidR="004A2A88" w:rsidRPr="00E97BC8">
        <w:rPr>
          <w:rFonts w:cs="Times New Roman"/>
          <w:sz w:val="22"/>
          <w:szCs w:val="22"/>
        </w:rPr>
        <w:t xml:space="preserve">, two associated with psychological/lifestyle-related factors (green lifestyle propensity or GLP and vehicle functionality </w:t>
      </w:r>
      <w:r w:rsidR="003E5D0F" w:rsidRPr="00E97BC8">
        <w:rPr>
          <w:rFonts w:cs="Times New Roman"/>
          <w:sz w:val="22"/>
          <w:szCs w:val="22"/>
        </w:rPr>
        <w:t>preference or</w:t>
      </w:r>
      <w:r w:rsidR="004A2A88" w:rsidRPr="00E97BC8">
        <w:rPr>
          <w:rFonts w:cs="Times New Roman"/>
          <w:sz w:val="22"/>
          <w:szCs w:val="22"/>
        </w:rPr>
        <w:t xml:space="preserve"> VFP), and two associated with contextual and </w:t>
      </w:r>
      <w:r w:rsidR="00BB7518" w:rsidRPr="00E97BC8">
        <w:rPr>
          <w:rFonts w:cs="Times New Roman"/>
          <w:sz w:val="22"/>
          <w:szCs w:val="22"/>
        </w:rPr>
        <w:t xml:space="preserve">technological </w:t>
      </w:r>
      <w:r w:rsidR="004A2A88" w:rsidRPr="00E97BC8">
        <w:rPr>
          <w:rFonts w:cs="Times New Roman"/>
          <w:sz w:val="22"/>
          <w:szCs w:val="22"/>
        </w:rPr>
        <w:t>factors (EV cost and maintenance perception or CMP and EV battery range and charging perception or BRP).</w:t>
      </w:r>
      <w:r w:rsidR="00BE5217" w:rsidRPr="00E97BC8">
        <w:rPr>
          <w:rFonts w:cs="Times New Roman"/>
          <w:sz w:val="22"/>
          <w:szCs w:val="22"/>
        </w:rPr>
        <w:t xml:space="preserve"> </w:t>
      </w:r>
      <w:r w:rsidR="00D37724" w:rsidRPr="00E97BC8">
        <w:rPr>
          <w:rFonts w:cs="Times New Roman"/>
          <w:sz w:val="22"/>
          <w:szCs w:val="22"/>
        </w:rPr>
        <w:t xml:space="preserve">These constructs are latent </w:t>
      </w:r>
      <w:r w:rsidR="00595D67" w:rsidRPr="00E97BC8">
        <w:rPr>
          <w:rFonts w:cs="Times New Roman"/>
          <w:sz w:val="22"/>
          <w:szCs w:val="22"/>
        </w:rPr>
        <w:t xml:space="preserve">and stochastic </w:t>
      </w:r>
      <w:r w:rsidR="00D37724" w:rsidRPr="00E97BC8">
        <w:rPr>
          <w:rFonts w:cs="Times New Roman"/>
          <w:sz w:val="22"/>
          <w:szCs w:val="22"/>
        </w:rPr>
        <w:t xml:space="preserve">because they are not directly observed, but indicators for these underlying lifestyle and technology </w:t>
      </w:r>
      <w:r w:rsidR="00595D67" w:rsidRPr="00E97BC8">
        <w:rPr>
          <w:rFonts w:cs="Times New Roman"/>
          <w:sz w:val="22"/>
          <w:szCs w:val="22"/>
        </w:rPr>
        <w:t>preferences/</w:t>
      </w:r>
      <w:r w:rsidR="00D37724" w:rsidRPr="00E97BC8">
        <w:rPr>
          <w:rFonts w:cs="Times New Roman"/>
          <w:sz w:val="22"/>
          <w:szCs w:val="22"/>
        </w:rPr>
        <w:t xml:space="preserve">perceptions are available. </w:t>
      </w:r>
      <w:bookmarkStart w:id="16" w:name="_Hlk198819735"/>
      <w:bookmarkStart w:id="17" w:name="_Hlk199938114"/>
      <w:r w:rsidR="002603DF" w:rsidRPr="00E97BC8">
        <w:rPr>
          <w:rFonts w:cs="Times New Roman"/>
          <w:sz w:val="22"/>
          <w:szCs w:val="22"/>
        </w:rPr>
        <w:t xml:space="preserve">The </w:t>
      </w:r>
      <w:r w:rsidR="00D778BC" w:rsidRPr="00E97BC8">
        <w:rPr>
          <w:rFonts w:cs="Times New Roman"/>
          <w:sz w:val="22"/>
          <w:szCs w:val="22"/>
        </w:rPr>
        <w:t xml:space="preserve">four </w:t>
      </w:r>
      <w:r w:rsidR="002603DF" w:rsidRPr="00E97BC8">
        <w:rPr>
          <w:rFonts w:cs="Times New Roman"/>
          <w:sz w:val="22"/>
          <w:szCs w:val="22"/>
        </w:rPr>
        <w:t>constructs</w:t>
      </w:r>
      <w:r w:rsidR="00E72371" w:rsidRPr="00E97BC8">
        <w:rPr>
          <w:rFonts w:cs="Times New Roman"/>
          <w:sz w:val="22"/>
          <w:szCs w:val="22"/>
        </w:rPr>
        <w:t xml:space="preserve"> are also consistent with the TPB framework </w:t>
      </w:r>
      <w:bookmarkStart w:id="18" w:name="_Hlk91346079"/>
      <w:r w:rsidR="002603DF" w:rsidRPr="00E97BC8">
        <w:rPr>
          <w:rFonts w:cs="Times New Roman"/>
          <w:sz w:val="22"/>
          <w:szCs w:val="22"/>
        </w:rPr>
        <w:t xml:space="preserve">and the </w:t>
      </w:r>
      <w:r w:rsidR="00E72371" w:rsidRPr="00E97BC8">
        <w:rPr>
          <w:rFonts w:cs="Times New Roman"/>
          <w:sz w:val="22"/>
          <w:szCs w:val="22"/>
        </w:rPr>
        <w:t>TAM model</w:t>
      </w:r>
      <w:r w:rsidR="00A3056E" w:rsidRPr="00E97BC8">
        <w:rPr>
          <w:rFonts w:cs="Times New Roman"/>
          <w:sz w:val="22"/>
          <w:szCs w:val="22"/>
        </w:rPr>
        <w:t>,</w:t>
      </w:r>
      <w:r w:rsidR="00E72371" w:rsidRPr="00E97BC8">
        <w:rPr>
          <w:rFonts w:cs="Times New Roman"/>
          <w:sz w:val="22"/>
          <w:szCs w:val="22"/>
        </w:rPr>
        <w:t xml:space="preserve"> discussed in Section 2</w:t>
      </w:r>
      <w:r w:rsidR="00A3056E" w:rsidRPr="00E97BC8">
        <w:rPr>
          <w:rFonts w:cs="Times New Roman"/>
          <w:sz w:val="22"/>
          <w:szCs w:val="22"/>
        </w:rPr>
        <w:t>,</w:t>
      </w:r>
      <w:r w:rsidR="00E72371" w:rsidRPr="00E97BC8">
        <w:rPr>
          <w:rFonts w:cs="Times New Roman"/>
          <w:sz w:val="22"/>
          <w:szCs w:val="22"/>
        </w:rPr>
        <w:t xml:space="preserve"> </w:t>
      </w:r>
      <w:r w:rsidR="002603DF" w:rsidRPr="00E97BC8">
        <w:rPr>
          <w:rFonts w:cs="Times New Roman"/>
          <w:sz w:val="22"/>
          <w:szCs w:val="22"/>
        </w:rPr>
        <w:t xml:space="preserve">that emphasize </w:t>
      </w:r>
      <w:r w:rsidR="00D778BC" w:rsidRPr="00E97BC8">
        <w:rPr>
          <w:rFonts w:cs="Times New Roman"/>
          <w:sz w:val="22"/>
          <w:szCs w:val="22"/>
        </w:rPr>
        <w:t xml:space="preserve">the importance of </w:t>
      </w:r>
      <w:r w:rsidR="002603DF" w:rsidRPr="00E97BC8">
        <w:rPr>
          <w:rFonts w:cs="Times New Roman"/>
          <w:sz w:val="22"/>
          <w:szCs w:val="22"/>
        </w:rPr>
        <w:t>attitudinal</w:t>
      </w:r>
      <w:r w:rsidR="00D778BC" w:rsidRPr="00E97BC8">
        <w:rPr>
          <w:rFonts w:cs="Times New Roman"/>
          <w:sz w:val="22"/>
          <w:szCs w:val="22"/>
        </w:rPr>
        <w:t>/lifestyle factors</w:t>
      </w:r>
      <w:r w:rsidR="00E72371" w:rsidRPr="00E97BC8">
        <w:rPr>
          <w:rFonts w:cs="Times New Roman"/>
          <w:sz w:val="22"/>
          <w:szCs w:val="22"/>
        </w:rPr>
        <w:t>, subjective norms,</w:t>
      </w:r>
      <w:r w:rsidR="002603DF" w:rsidRPr="00E97BC8">
        <w:rPr>
          <w:rFonts w:cs="Times New Roman"/>
          <w:sz w:val="22"/>
          <w:szCs w:val="22"/>
        </w:rPr>
        <w:t xml:space="preserve"> </w:t>
      </w:r>
      <w:r w:rsidR="00D778BC" w:rsidRPr="00E97BC8">
        <w:rPr>
          <w:rFonts w:cs="Times New Roman"/>
          <w:sz w:val="22"/>
          <w:szCs w:val="22"/>
        </w:rPr>
        <w:t xml:space="preserve">as well as </w:t>
      </w:r>
      <w:r w:rsidR="002603DF" w:rsidRPr="00E97BC8">
        <w:rPr>
          <w:rFonts w:cs="Times New Roman"/>
          <w:sz w:val="22"/>
          <w:szCs w:val="22"/>
        </w:rPr>
        <w:t xml:space="preserve">perceived usefulness factors </w:t>
      </w:r>
      <w:r w:rsidR="00D778BC" w:rsidRPr="00E97BC8">
        <w:rPr>
          <w:rFonts w:cs="Times New Roman"/>
          <w:sz w:val="22"/>
          <w:szCs w:val="22"/>
        </w:rPr>
        <w:t xml:space="preserve">in the context of technology uptake. </w:t>
      </w:r>
      <w:bookmarkEnd w:id="18"/>
      <w:r w:rsidR="003D2331" w:rsidRPr="00E97BC8">
        <w:rPr>
          <w:rFonts w:cs="Times New Roman"/>
          <w:sz w:val="22"/>
          <w:szCs w:val="22"/>
        </w:rPr>
        <w:t xml:space="preserve">Regarding the psychological constructs, </w:t>
      </w:r>
      <w:r w:rsidR="003D2331" w:rsidRPr="00E97BC8">
        <w:rPr>
          <w:rFonts w:cs="Times New Roman"/>
          <w:color w:val="000000" w:themeColor="text1"/>
          <w:sz w:val="22"/>
          <w:szCs w:val="22"/>
        </w:rPr>
        <w:t>e</w:t>
      </w:r>
      <w:r w:rsidR="00D778BC" w:rsidRPr="00E97BC8">
        <w:rPr>
          <w:rFonts w:cs="Times New Roman"/>
          <w:color w:val="000000" w:themeColor="text1"/>
          <w:sz w:val="22"/>
          <w:szCs w:val="22"/>
        </w:rPr>
        <w:t>x</w:t>
      </w:r>
      <w:r w:rsidR="00D778BC" w:rsidRPr="00E97BC8">
        <w:rPr>
          <w:rFonts w:cs="Times New Roman"/>
          <w:sz w:val="22"/>
          <w:szCs w:val="22"/>
        </w:rPr>
        <w:t xml:space="preserve">tensive studies in transportation, information science, technology adoption, and the more general psychology/ethnography fields have validated the use of psycho-social identities of individuals in explaining the adoption of emerging technology </w:t>
      </w:r>
      <w:r w:rsidR="00503857" w:rsidRPr="00E97BC8">
        <w:rPr>
          <w:rFonts w:cs="Times New Roman"/>
          <w:sz w:val="22"/>
          <w:szCs w:val="22"/>
        </w:rPr>
        <w:fldChar w:fldCharType="begin"/>
      </w:r>
      <w:r w:rsidR="001E6A07" w:rsidRPr="00E97BC8">
        <w:rPr>
          <w:rFonts w:cs="Times New Roman"/>
          <w:sz w:val="22"/>
          <w:szCs w:val="22"/>
        </w:rPr>
        <w:instrText xml:space="preserve"> ADDIN ZOTERO_ITEM CSL_CITATION {"citationID":"amgrofqk20","properties":{"formattedCitation":"(Astroza et al., 2017; Foroudi et al., 2018; Gunden et al., 2020; Marikyan et al., 2019)","plainCitation":"(Astroza et al., 2017; Foroudi et al., 2018; Gunden et al., 2020; Marikyan et al., 2019)","noteIndex":0},"citationItems":[{"id":3913,"uris":["http://zotero.org/users/12832277/items/AVWUX2GN"],"itemData":{"id":3913,"type":"article-journal","abstract":"Smartphone ownership and use are becoming increasingly prevalent around the world. However, little is known about the impacts of this technology on activity travel choices. The objective of this study was to determine the extent to which smartphone ownership and use influence activity travel demand, after controlling for other lifestyle and demographic attributes. The impacts of smartphone ownership and use on multiple travel dimensions were examined through the specification and estimation of a joint model system that explicitly accounts for self-selection effects arising from lifestyle preferences (such as green lifestyle propensity and technology savviness). Specifically, the impacts of smartphone ownership and use on the following choice dimensions were estimated: (a) use of multiple modes of transportation, (b) pursuit of complex trip chains with a large number of intermediate stops, (c) engagement in tours that have a recreational activity, and (d) participation in joint tours that involve an accompanying person. Travel survey data from the 2014–2015 Puget Sound (Washington) Regional Travel Study were used. The results show substantial and statistically significant effects of smartphone ownership and use on activity travel patterns, even after controlling for lifestyle preferences. Smartphone ownership and use were found to increase the likelihood of using multiple modes of transportation and participating in complex tours, joint tours, and recreational tours.","container-title":"Transportation Research Record","DOI":"10.3141/2666-03","ISSN":"0361-1981","issue":"1","language":"en","note":"publisher: SAGE Publications Inc","page":"19-28","source":"SAGE Journals","title":"Analysis of the Impact of Technology Use on Multimodality and Activity Travel Characteristics","volume":"2666","author":[{"family":"Astroza","given":"Sebastian"},{"family":"Garikapati","given":"Venu M."},{"family":"Bhat","given":"Chandra R."},{"family":"Pendyala","given":"Ram M."},{"family":"Lavieri","given":"Patrícia S."},{"family":"Dias","given":"Felipe F."}],"issued":{"date-parts":[["2017",1,1]]}}},{"id":3910,"uris":["http://zotero.org/users/12832277/items/J7GI5EJI"],"itemData":{"id":3910,"type":"article-journal","abstract":"This research investigates the impact of brand perception on brand loyalty and brand purchase intention using the lenses of complexity theory. First, the study conceptualizes and operationalizes perceptional and behavioral components of brand equity. It then examines the dimensions of brand perception, and by assessing the consequences of favorable brand perception, the study enables a better understanding regarding whether a brand marketing approach helps to improve marketing performance. The research was conducted using a mixed methodology, beginning with interviews in order to gain a better understanding of the relationship between the dimensions of brand perception. These were followed by a questionnaire survey, and the resulting data were analyzed through content analysis and fuzzy-set qualitative comparative analysis (fsQCA). The results indicate that brand awareness, perceived quality, brand association, brand fondness, brand image, and product country image have a strong impact on the management of brand perception. The finding illustrates that it is the combinations of various perceptional elements of brand equity rather than any single factor that have strong impacts on brand loyalty and brand purchasing intention. The results support the importance of brand perception for the fashion industry, which needs to be more interactive in order to increase their customers' brand loyalty and brand purchasing intention.","container-title":"Journal of Business Research","DOI":"10.1016/j.jbusres.2018.01.031","ISSN":"0148-2963","journalAbbreviation":"Journal of Business Research","page":"462-474","source":"ScienceDirect","title":"Perceptional components of brand equity: Configuring the Symmetrical and Asymmetrical Paths to brand loyalty and brand purchase intention","title-short":"Perceptional components of brand equity","volume":"89","author":[{"family":"Foroudi","given":"Pantea"},{"family":"Jin","given":"Zhongqi"},{"family":"Gupta","given":"Suraksha"},{"family":"Foroudi","given":"Mohammad M."},{"family":"Kitchen","given":"Philip J."}],"issued":{"date-parts":[["2018",8,1]]}}},{"id":3905,"uris":["http://zotero.org/users/12832277/items/KGQN7GHM"],"itemData":{"id":3905,"type":"paper-conference","abstract":"Recent technological advances have contributed to the development of smart homes, embedded with artificial intelligence, which aim to provide tailored services to residents. Smart home technologies benefit people daily and improve the environment in the long-term perspective. Despite the great interest of the research community in smart homes, the adoption rate is still low. The purpose of this study is to develop the research model, which can explain the acceptance of smart homes by users. Along with the relationship of technology acceptance factors with use behaviour, this study analyses the importance of individuals’ belief and values. Structural equational modelling has been employed to test the proposed hypotheses using a sample of 422 smart home users. The analysis revealed the significance of the relationships between values and perceived technology-fit, while the technology acceptance factors had a strong correlation with use behaviour leading to satisfaction.","container-title":"Digital Transformation for a Sustainable Society in the 21st Century","DOI":"10.1007/978-3-030-29374-1_25","event-place":"Cham","ISBN":"978-3-030-29374-1","language":"en","page":"305-315","publisher":"Springer International Publishing","publisher-place":"Cham","source":"Springer Link","title":"Smart Home Technology Acceptance: An Empirical Investigation","author":[{"family":"Marikyan","given":"Davit"},{"family":"Papagiannidis","given":"Savvas"},{"family":"Alamanos","given":"Eleftherios"}],"editor":[{"family":"Pappas","given":"Ilias O."},{"family":"Mikalef","given":"Patrick"},{"family":"Dwivedi","given":"Yogesh K."},{"family":"Jaccheri","given":"Letizia"},{"family":"Krogstie","given":"John"},{"family":"Mäntymäki","given":"Matti"}],"issued":{"date-parts":[["2019"]]}}},{"id":3907,"uris":["http://zotero.org/users/12832277/items/ZKGZ2QLP"],"itemData":{"id":3907,"type":"article-journal","abstract":"The recent development of online food delivery systems (OFDS) consolidated the restaurant industry’s representation in the electronic distribution landscape. The purpose of this study is to examine consumers’ intentions to use OFDS.,A comprehensive structural model was developed based on UTAUT2 and extended the model with three additional constructs: impulse buying tendency, congruity with self-image and mindfulness. Data were collected from 605 US respondents. Confirmatory factor analysis and structural equation modeling were used to test the model.,Performance expectancy was the strongest predictor of intentions to use OFDS, followed by congruity with self-image. Low-magnitude predictors included habit and mindfulness, while impulse buying tendency had a negative impact on intentions to use OFDS.,The study validates a comprehensive yet parsimonious conceptual model that explains consumers’ intentions to use OFDS. The model brings together constructs that capture the essence of the online food ordering tasks and the consumers’ cognitive processes that inform such tasks.,This study offers substantial practical implications for two types of practitioners: OFDS developers and restaurants and provides a mapping of the factors influencing consumers’ intentions to use OFDS.,This study provides a first theoretical perspective on consumers’ intentions to use OFDS, which have not been studied so far. Studying such intentions provides insight into consumers’ adoption behaviors, which are critical to the success of OFDS.","archive_location":"world","container-title":"International Journal of Contemporary Hospitality Management","DOI":"10.1108/IJCHM-06-2019-0595","ISSN":"0959-6119","issue":"3","language":"en","note":"publisher: Emerald Publishing Limited","page":"1325-1345","source":"www.emerald.com","title":"Consumers’ intentions to use online food delivery systems in the USA","volume":"32","author":[{"family":"Gunden","given":"Nefike"},{"family":"Morosan","given":"Cristian"},{"family":"DeFranco","given":"Agnes"}],"issued":{"date-parts":[["2020",4,10]]}}}],"schema":"https://github.com/citation-style-language/schema/raw/master/csl-citation.json"} </w:instrText>
      </w:r>
      <w:r w:rsidR="00503857" w:rsidRPr="00E97BC8">
        <w:rPr>
          <w:rFonts w:cs="Times New Roman"/>
          <w:sz w:val="22"/>
          <w:szCs w:val="22"/>
        </w:rPr>
        <w:fldChar w:fldCharType="separate"/>
      </w:r>
      <w:r w:rsidR="001E6A07" w:rsidRPr="00E97BC8">
        <w:rPr>
          <w:rFonts w:cs="Times New Roman"/>
          <w:kern w:val="0"/>
          <w:sz w:val="22"/>
          <w:szCs w:val="22"/>
        </w:rPr>
        <w:t>(Astroza et al., 2017; Foroudi et al., 2018; Gunden et al., 2020; Marikyan et al., 2019)</w:t>
      </w:r>
      <w:r w:rsidR="00503857" w:rsidRPr="00E97BC8">
        <w:rPr>
          <w:rFonts w:cs="Times New Roman"/>
          <w:sz w:val="22"/>
          <w:szCs w:val="22"/>
        </w:rPr>
        <w:fldChar w:fldCharType="end"/>
      </w:r>
      <w:r w:rsidR="00D778BC" w:rsidRPr="00E97BC8">
        <w:rPr>
          <w:rFonts w:cs="Times New Roman"/>
          <w:color w:val="000000" w:themeColor="text1"/>
          <w:sz w:val="22"/>
          <w:szCs w:val="22"/>
        </w:rPr>
        <w:t xml:space="preserve">. </w:t>
      </w:r>
      <w:r w:rsidR="003D2331" w:rsidRPr="00E97BC8">
        <w:rPr>
          <w:rFonts w:cs="Times New Roman"/>
          <w:color w:val="000000" w:themeColor="text1"/>
          <w:sz w:val="22"/>
          <w:szCs w:val="22"/>
        </w:rPr>
        <w:t>The two selected for inclusion in the current study (GLP and VFP) have been shown in existing research to be closely aligned with motivations for EV adoption, and GLP has emerged in existing work as particularly pivotal, as EVs ha</w:t>
      </w:r>
      <w:r w:rsidR="00E72371" w:rsidRPr="00E97BC8">
        <w:rPr>
          <w:rFonts w:cs="Times New Roman"/>
          <w:color w:val="000000" w:themeColor="text1"/>
          <w:sz w:val="22"/>
          <w:szCs w:val="22"/>
        </w:rPr>
        <w:t>ve</w:t>
      </w:r>
      <w:r w:rsidR="003D2331" w:rsidRPr="00E97BC8">
        <w:rPr>
          <w:rFonts w:cs="Times New Roman"/>
          <w:color w:val="000000" w:themeColor="text1"/>
          <w:sz w:val="22"/>
          <w:szCs w:val="22"/>
        </w:rPr>
        <w:t xml:space="preserve"> been positioned as important contributors to climate change mitigation </w:t>
      </w:r>
      <w:r w:rsidR="0007045F" w:rsidRPr="00E97BC8">
        <w:rPr>
          <w:rFonts w:cs="Times New Roman"/>
          <w:color w:val="000000" w:themeColor="text1"/>
          <w:sz w:val="22"/>
          <w:szCs w:val="22"/>
        </w:rPr>
        <w:fldChar w:fldCharType="begin"/>
      </w:r>
      <w:r w:rsidR="005A775A" w:rsidRPr="00E97BC8">
        <w:rPr>
          <w:rFonts w:cs="Times New Roman"/>
          <w:color w:val="000000" w:themeColor="text1"/>
          <w:sz w:val="22"/>
          <w:szCs w:val="22"/>
        </w:rPr>
        <w:instrText xml:space="preserve"> ADDIN ZOTERO_ITEM CSL_CITATION {"citationID":"Nofju0Ik","properties":{"unsorted":true,"formattedCitation":"(Biresselioglu et al., 2018; Buhmann et al., 2024)","plainCitation":"(Biresselioglu et al., 2018; Buhmann et al., 2024)","dontUpdate":true,"noteIndex":0},"citationItems":[{"id":4599,"uris":["http://zotero.org/users/12832277/items/RIT4LUR7"],"itemData":{"id":4599,"type":"article-journal","abstract":"European Union’s (EU) long-term objective of achieving a competitive low carbon economy is mainly based on enabling environmentally sustainable investments, particularly in terms of decreasing energy consumption in buildings, transition to electric vehicles, and developing smart electricity networks, while promoting renewable energy use in order to reduce greenhouse gas (GHG) emissions by at least 80% by 2050 compared to 1990 levels. Since, transport is one of the main sector responsible for EU’s emissions; diffusion of Electric Vehicles (EVs) could allow immense reduction. Therefore, since the announcement of 2050 Roadmap in 2009, there has been a great increase in studies exploring the viability of transition to e-mobility in a Europe-wide context, identifying common factors and variables. However, it is usually not that straightforward when decision makers seek to transform these variables into policy implications that will actually help to achieve the EU goals on energy transition. At this point, the motivators and barriers are of utmost importance. Accordingly, this study is based on an extensive and up-to-date review of the existing literature on e-mobility in Europe, with the main aim of identifying and mapping the motivators and barriers for the diffusion of electric mobility through three levels of decision-making: Formal Social Units, Collective Decision-Making Units, and Individual Units. Results of the analysis identifies that the main barriers are lack of charging infrastructure; economic restrictions and cost concerns; technical and operational restrictions; lack of trust; information and knowledge; limited supply of electricity and raw materials; and practicability concerns. Thus, key motivators appear to be environmental, economic and technical benefits associated with EVs, as well as personal and demographic factors.","container-title":"Transportation Research Part A: Policy and Practice","DOI":"10.1016/j.tra.2018.01.017","ISSN":"0965-8564","page":"1-13","source":"ScienceDirect","title":"Electric Mobility in Europe: A Comprehensive Review of Motivators and Barriers in Decision Making Processes","volume":"109","author":[{"family":"Biresselioglu","given":"Mehmet Efe"},{"family":"Demirbag Kaplan","given":"Melike"},{"family":"Yilmaz","given":"Barbara Katharina"}],"issued":{"date-parts":[["2018",3,1]]}}},{"id":2694,"uris":["http://zotero.org/users/12832277/items/AJEDZHRX"],"itemData":{"id":2694,"type":"article-journal","abstract":"Societies worldwide are under increasing pressure to reduce carbon footprints, combat air pollution, and address climate change. Battery electric vehicles (BEVs) represent a sustainable transportation solution to mitigate environmental issues. Despite growing consumer demand, BEV adoption rates remain relatively low. This study extends the theory of planned behavior to analyze factors influencing consumer adoption intentions for BEVs in Spain. The research incorporates the constructs Attitude, Perceived Behavioral Control, Subjective Norm, Moral Norm, Environmental Concern, and a unique consumer ‘profile’ dimension comprising experience, education, and gender, alongside the moderating variable of ‘price sensitivity’. This study comprises 1816 responses collected through an online survey, and it utilized the partial least squares structural equation model. The empirical findings indicate that Attitude, Perceived Behavioral Control, Subjective Norm, and Moral Norm significantly impact consumer adoption intention. Attitude emerges as the strongest influencer, emphasizing the significance of personal beliefs. Environmental Concern suggests environmentally conscious consumers may lean toward BEV adoption due to positive attitudes. The ‘profile’ dimension does not affect the relationship toward adoption intention. Price sensitivity moderates these relationships, indicating pricing strategies and incentives could significantly influence BEV adoption decisions. These findings offer practical guidance for governments and manufacturers aiming to promote sustainable, eco-friendly transportation methods in the face of global environmental challenges.","container-title":"Sustainability","DOI":"10.3390/su16031284","ISSN":"2071-1050","issue":"3","language":"en","license":"http://creativecommons.org/licenses/by/3.0/","note":"number: 3\npublisher: Multidisciplinary Digital Publishing Institute","source":"www.mdpi.com","title":"Predicting Consumer Intention to Adopt Battery Electric Vehicles: Extending the Theory of Planned Behavior","URL":"https://www.mdpi.com/2071-1050/16/3/1284","volume":"16","author":[{"family":"Buhmann","given":"Kathrin Monika"},{"family":"Rialp-Criado","given":"Josep"},{"family":"Rialp-Criado","given":"Alex"}],"accessed":{"date-parts":[["2024",2,28]]},"issued":{"date-parts":[["2024",1]]}}}],"schema":"https://github.com/citation-style-language/schema/raw/master/csl-citation.json"} </w:instrText>
      </w:r>
      <w:r w:rsidR="0007045F" w:rsidRPr="00E97BC8">
        <w:rPr>
          <w:rFonts w:cs="Times New Roman"/>
          <w:color w:val="000000" w:themeColor="text1"/>
          <w:sz w:val="22"/>
          <w:szCs w:val="22"/>
        </w:rPr>
        <w:fldChar w:fldCharType="separate"/>
      </w:r>
      <w:r w:rsidR="0007045F" w:rsidRPr="00E97BC8">
        <w:rPr>
          <w:rFonts w:cs="Times New Roman"/>
          <w:sz w:val="22"/>
          <w:szCs w:val="22"/>
        </w:rPr>
        <w:t>(see Biresselioglu et al., 2018; Buhmann et al., 2024)</w:t>
      </w:r>
      <w:r w:rsidR="0007045F" w:rsidRPr="00E97BC8">
        <w:rPr>
          <w:rFonts w:cs="Times New Roman"/>
          <w:color w:val="000000" w:themeColor="text1"/>
          <w:sz w:val="22"/>
          <w:szCs w:val="22"/>
        </w:rPr>
        <w:fldChar w:fldCharType="end"/>
      </w:r>
      <w:r w:rsidR="003D2331" w:rsidRPr="00E97BC8">
        <w:rPr>
          <w:rFonts w:cs="Times New Roman"/>
          <w:color w:val="000000" w:themeColor="text1"/>
          <w:sz w:val="22"/>
          <w:szCs w:val="22"/>
        </w:rPr>
        <w:t xml:space="preserve">. Regarding the two latent constructs associated with contextual and technological perceptions of EVs, as discussed in Section 2.1, perceptions of EV characteristics are critical to adoption patterns, possibly even more so than their objective characteristics </w:t>
      </w:r>
      <w:r w:rsidR="00D545B5" w:rsidRPr="00E97BC8">
        <w:rPr>
          <w:rFonts w:cs="Times New Roman"/>
          <w:color w:val="000000" w:themeColor="text1"/>
          <w:sz w:val="22"/>
          <w:szCs w:val="22"/>
        </w:rPr>
        <w:fldChar w:fldCharType="begin"/>
      </w:r>
      <w:r w:rsidR="00D545B5" w:rsidRPr="00E97BC8">
        <w:rPr>
          <w:rFonts w:cs="Times New Roman"/>
          <w:color w:val="000000" w:themeColor="text1"/>
          <w:sz w:val="22"/>
          <w:szCs w:val="22"/>
        </w:rPr>
        <w:instrText xml:space="preserve"> ADDIN ZOTERO_ITEM CSL_CITATION {"citationID":"dTbG5q4G","properties":{"formattedCitation":"(Shrestha et al., 2022; Zhang et al., 2022)","plainCitation":"(Shrestha et al., 2022; Zhang et al., 2022)","noteIndex":0},"citationItems":[{"id":4596,"uris":["http://zotero.org/users/12832277/items/PF7WDSBZ"],"itemData":{"id":4596,"type":"article-journal","abstract":"Electric Vehicle (EV) technology is the key to emission reduction and energy efficiency improvement targets while decreasing the dependence on fossil fuel. Despite the fact that replacing conventional vehicle powered by internal combustion engine with EVs reduce greenhouse gas emissions, limited range of EVs has been leading their mass deployment towards saturation. This paper performs a scoping review of articles on range anxiety induced among EV users. It explores user’s perception and actual affecting factors on range of EVs, and proceeds on to measures suggested in the articles to mitigate range anxiety.","container-title":"International Journal of Low-Carbon Technologies","DOI":"10.1093/ijlct/ctac100","ISSN":"1748-1317","page":"1186-1206","source":"Silverchair","title":"Measures to Resolve Range Anxiety in Electric Vehicle Users","volume":"17","author":[{"family":"Shrestha","given":"Sirapa"},{"family":"Baral","given":"Bivek"},{"family":"Shah","given":"Malesh"},{"family":"Chitrakar","given":"Sailesh"},{"family":"Shrestha","given":"Bim P"}],"issued":{"date-parts":[["2022",2,8]]}}},{"id":2762,"uris":["http://zotero.org/users/12832277/items/GHNMJ7GR"],"itemData":{"id":2762,"type":"article-journal","abstract":"This research aims to explore the relationships between electric vehicle (EV)-related information (e.g., environmentally friendly information and performance and attribute information) and consumers’ perceptions (perceived value and perceived trust) of EVs and adoption intentions. Based on survey data from 343 respondents, this research indicated that environmentally friendly information and performance and attribute information regarding EVs are positively associated with consumers’ perceived value and perceived trust of EVs. However, the positive relationships between environmentally friendly information and performance and attribute information and consumers’ perceived value and perceived trust are dependent on information quality. Information quality positively moderates and strengthens the relationships between EV-related information and perceived value and perceived trust. In addition, perceived value and perceived trust are positively associated with consumers’ intentions to adopt EVs. On the basis of the research findings, policy implications and suggestions to further promote EVs are discussed.","container-title":"Transportation Research Part D: Transport and Environment","DOI":"10.1016/j.trd.2021.103157","ISSN":"1361-9209","source":"ScienceDirect","title":"Information Perspective for Understanding Consumers’ Perceptions of Electric Vehicles and Adoption Intentions","URL":"https://www.sciencedirect.com/science/article/pii/S1361920921004521","volume":"102","author":[{"family":"Zhang","given":"Wenliang"},{"family":"Wang","given":"Shanyong"},{"family":"Wan","given":"Liang"},{"family":"Zhang","given":"Zengtian"},{"family":"Zhao","given":"Dingtao"}],"accessed":{"date-parts":[["2024",2,28]]},"issued":{"date-parts":[["2022",1,1]]}}}],"schema":"https://github.com/citation-style-language/schema/raw/master/csl-citation.json"} </w:instrText>
      </w:r>
      <w:r w:rsidR="00D545B5" w:rsidRPr="00E97BC8">
        <w:rPr>
          <w:rFonts w:cs="Times New Roman"/>
          <w:color w:val="000000" w:themeColor="text1"/>
          <w:sz w:val="22"/>
          <w:szCs w:val="22"/>
        </w:rPr>
        <w:fldChar w:fldCharType="separate"/>
      </w:r>
      <w:r w:rsidR="00D545B5" w:rsidRPr="00E97BC8">
        <w:rPr>
          <w:rFonts w:cs="Times New Roman"/>
          <w:sz w:val="22"/>
          <w:szCs w:val="22"/>
        </w:rPr>
        <w:t>(Shrestha et al., 2022; Zhang et al., 2022)</w:t>
      </w:r>
      <w:r w:rsidR="00D545B5" w:rsidRPr="00E97BC8">
        <w:rPr>
          <w:rFonts w:cs="Times New Roman"/>
          <w:color w:val="000000" w:themeColor="text1"/>
          <w:sz w:val="22"/>
          <w:szCs w:val="22"/>
        </w:rPr>
        <w:fldChar w:fldCharType="end"/>
      </w:r>
      <w:r w:rsidR="00D545B5" w:rsidRPr="00E97BC8">
        <w:rPr>
          <w:rFonts w:cs="Times New Roman"/>
          <w:color w:val="000000" w:themeColor="text1"/>
          <w:sz w:val="22"/>
          <w:szCs w:val="22"/>
        </w:rPr>
        <w:t xml:space="preserve">. </w:t>
      </w:r>
      <w:r w:rsidR="003D2331" w:rsidRPr="00E97BC8">
        <w:rPr>
          <w:rFonts w:cs="Times New Roman"/>
          <w:color w:val="000000" w:themeColor="text1"/>
          <w:sz w:val="22"/>
          <w:szCs w:val="22"/>
        </w:rPr>
        <w:t>Further, results regarding these two perception-related constructs have clear implications for practical EV adoption policies, as determining how these perceptions (to battery technologies and charging stations as well as EV costs) are formed and how they contribute to adoption have direct implications for technology and infrastructure development, information campaigns, and incentive policies.</w:t>
      </w:r>
      <w:r w:rsidR="00E72371" w:rsidRPr="00E97BC8">
        <w:rPr>
          <w:rStyle w:val="FootnoteReference"/>
          <w:rFonts w:cs="Times New Roman"/>
          <w:color w:val="000000" w:themeColor="text1"/>
          <w:sz w:val="22"/>
          <w:szCs w:val="22"/>
        </w:rPr>
        <w:footnoteReference w:id="5"/>
      </w:r>
      <w:r w:rsidR="003D2331" w:rsidRPr="00E97BC8">
        <w:rPr>
          <w:rFonts w:cs="Times New Roman"/>
          <w:color w:val="000000" w:themeColor="text1"/>
          <w:sz w:val="22"/>
          <w:szCs w:val="22"/>
        </w:rPr>
        <w:t xml:space="preserve"> </w:t>
      </w:r>
      <w:r w:rsidR="008B2BA2" w:rsidRPr="00E97BC8">
        <w:rPr>
          <w:rFonts w:cs="Times New Roman"/>
          <w:sz w:val="22"/>
          <w:szCs w:val="22"/>
        </w:rPr>
        <w:t>Each of the latent constructs i</w:t>
      </w:r>
      <w:r w:rsidR="00DA6E0D" w:rsidRPr="00E97BC8">
        <w:rPr>
          <w:rFonts w:cs="Times New Roman"/>
          <w:sz w:val="22"/>
          <w:szCs w:val="22"/>
        </w:rPr>
        <w:t>s</w:t>
      </w:r>
      <w:r w:rsidR="008B2BA2" w:rsidRPr="00E97BC8">
        <w:rPr>
          <w:rFonts w:cs="Times New Roman"/>
          <w:sz w:val="22"/>
          <w:szCs w:val="22"/>
        </w:rPr>
        <w:t xml:space="preserve"> discussed briefly below.</w:t>
      </w:r>
      <w:bookmarkEnd w:id="16"/>
    </w:p>
    <w:bookmarkEnd w:id="17"/>
    <w:p w14:paraId="0BCCCB56" w14:textId="380E339C" w:rsidR="004E7955" w:rsidRPr="00E97BC8" w:rsidRDefault="00F52743" w:rsidP="00E85093">
      <w:pPr>
        <w:pStyle w:val="FootnoteText"/>
        <w:ind w:firstLine="720"/>
        <w:jc w:val="both"/>
        <w:rPr>
          <w:rFonts w:cs="Times New Roman"/>
          <w:color w:val="000000" w:themeColor="text1"/>
          <w:sz w:val="22"/>
          <w:szCs w:val="22"/>
        </w:rPr>
      </w:pPr>
      <w:r w:rsidRPr="00E97BC8">
        <w:rPr>
          <w:rFonts w:cs="Times New Roman"/>
          <w:sz w:val="22"/>
          <w:szCs w:val="22"/>
        </w:rPr>
        <w:lastRenderedPageBreak/>
        <w:t>M</w:t>
      </w:r>
      <w:r w:rsidR="001B7963" w:rsidRPr="00E97BC8">
        <w:rPr>
          <w:rFonts w:cs="Times New Roman"/>
          <w:sz w:val="22"/>
          <w:szCs w:val="22"/>
        </w:rPr>
        <w:t xml:space="preserve">any previous studies </w:t>
      </w:r>
      <w:r w:rsidR="0049761F" w:rsidRPr="00E97BC8">
        <w:rPr>
          <w:rFonts w:cs="Times New Roman"/>
          <w:sz w:val="22"/>
          <w:szCs w:val="22"/>
        </w:rPr>
        <w:fldChar w:fldCharType="begin"/>
      </w:r>
      <w:r w:rsidR="001E6A07" w:rsidRPr="00E97BC8">
        <w:rPr>
          <w:rFonts w:cs="Times New Roman"/>
          <w:sz w:val="22"/>
          <w:szCs w:val="22"/>
        </w:rPr>
        <w:instrText xml:space="preserve"> ADDIN ZOTERO_ITEM CSL_CITATION {"citationID":"a25ssrmv3r7","properties":{"formattedCitation":"(Asadi et al., 2021; Kautish et al., 2024)","plainCitation":"(Asadi et al., 2021; Kautish et al., 2024)","noteIndex":0},"citationItems":[{"id":2698,"uris":["http://zotero.org/users/12832277/items/HSE79K37"],"itemData":{"id":2698,"type":"article-journal","abstract":"Electric vehicles have significantly contributed to the sustainability of world economic growth. It is of critical importance to understand and examine the factors impacting the consumers’ attitude toward the adoption of electric vehicles. However, limited study investigated the effect of altruism on electric vehicles adoption from a pro-environmental behaviour perspective. Therefore, the present work aimed at identifying the influencing factors on consumers’ intention to use electric vehicles. To this end, a model has been developed based on two theoretical models called the Norm Activation Model and the Theory of Planned Behaviour. The potential consumers in Malaysia were selected to answer questionnaires. Accordingly, 177 valid questionnaires were collected and the influencing factors on the electric vehicles purchase intention were empirically analyzed using a structural equation model. According to the results, perceived value, attitude, the ascription of responsibility, subjective norms, personal norms, perceived consumer effectiveness, and awareness of consequences affected the consumers’ electric vehicles’ purchase intention significantly and positively. Consumers’ behaviour regarding the adoption of electric vehicles can be understood better through the findings of this study, while electric vehicle development can be promoted as well.","container-title":"Journal of Cleaner Production","DOI":"10.1016/j.jclepro.2020.124474","ISSN":"0959-6526","source":"ScienceDirect","title":"Factors Impacting Consumers’ Intention Toward Adoption of Electric Vehicles in Malaysia","URL":"https://www.sciencedirect.com/science/article/pii/S0959652620345182","volume":"282","author":[{"family":"Asadi","given":"Shahla"},{"family":"Nilashi","given":"Mehrbakhsh"},{"family":"Samad","given":"Sarminah"},{"family":"Abdullah","given":"Rusli"},{"family":"Mahmoud","given":"Marwan"},{"family":"Alkinani","given":"Monagi H."},{"family":"Yadegaridehkordi","given":"Elaheh"}],"accessed":{"date-parts":[["2024",2,28]]},"issued":{"date-parts":[["2021",2,1]]}}},{"id":2561,"uris":["http://zotero.org/users/12832277/items/HAYIUK7X"],"itemData":{"id":2561,"type":"article-journal","abstract":"Worldwide, the adoption of electric automobiles is gaining momentum, owing to a steady rise in customers’ sustainability consciousness. So far, electric vehicle-related studies have investigated consumer motives, attitudes, and intentions toward adoption. However, empirical research on enablers and inhibitors of electric vehicle choice behaviour has not been fully explored, particularly in an emerging market context, (e.g., India). The present study employed a judicious mix of three notable theoretical lenses of dual-factor theory, innovation resistance theory, and the stimulus-organism-response model to empirically scrutinize electric vehicle adoption enablers and inhibitors by analysing data collected from 391 young Indian sustainability-oriented electric vehicle users. The sample was gathered via the purposive sampling method, and the data was analysed employing structural equation and PROCESS macro modelling. The research posits that consumer sustainability consciousness (CSC) is a stimulus with a positive influence on enablers (e.g., personal motives, social motives, and incentive policy) as well as inhibitors (e.g., usage, value, and risk barriers). Additionally, product involvement and perceived marketplace influence significantly moderate the relationship between choice behaviour and facilitators and inhibitors. The research offers a few useful strategic decision-making insights for electric vehicle manufacturers, green marketers, and policymakers from emerging markets.","container-title":"Journal of Environmental Management","DOI":"10.1016/j.jenvman.2024.120250","ISSN":"0301-4797","source":"ScienceDirect","title":"Electric Vehicles’ Choice Behaviour: An Emerging Market Scenario","URL":"https://www.sciencedirect.com/science/article/pii/S0301479724002366","volume":"354","author":[{"family":"Kautish","given":"Pradeep"},{"family":"Lavuri","given":"Rambabu"},{"family":"Roubaud","given":"David"},{"family":"Grebinevych","given":"Oksana"}],"accessed":{"date-parts":[["2024",2,23]]},"issued":{"date-parts":[["2024",3,1]]}}}],"schema":"https://github.com/citation-style-language/schema/raw/master/csl-citation.json"} </w:instrText>
      </w:r>
      <w:r w:rsidR="0049761F" w:rsidRPr="00E97BC8">
        <w:rPr>
          <w:rFonts w:cs="Times New Roman"/>
          <w:sz w:val="22"/>
          <w:szCs w:val="22"/>
        </w:rPr>
        <w:fldChar w:fldCharType="separate"/>
      </w:r>
      <w:r w:rsidR="001E6A07" w:rsidRPr="00E97BC8">
        <w:rPr>
          <w:rFonts w:cs="Times New Roman"/>
          <w:kern w:val="0"/>
          <w:sz w:val="22"/>
          <w:szCs w:val="22"/>
        </w:rPr>
        <w:t>(Asadi et al., 2021; Kautish et al., 2024)</w:t>
      </w:r>
      <w:r w:rsidR="0049761F" w:rsidRPr="00E97BC8">
        <w:rPr>
          <w:rFonts w:cs="Times New Roman"/>
          <w:sz w:val="22"/>
          <w:szCs w:val="22"/>
        </w:rPr>
        <w:fldChar w:fldCharType="end"/>
      </w:r>
      <w:r w:rsidRPr="00E97BC8">
        <w:rPr>
          <w:rFonts w:cs="Times New Roman"/>
          <w:sz w:val="22"/>
          <w:szCs w:val="22"/>
        </w:rPr>
        <w:t xml:space="preserve"> </w:t>
      </w:r>
      <w:r w:rsidR="001B7963" w:rsidRPr="00E97BC8">
        <w:rPr>
          <w:rFonts w:cs="Times New Roman"/>
          <w:sz w:val="22"/>
          <w:szCs w:val="22"/>
        </w:rPr>
        <w:t xml:space="preserve">have </w:t>
      </w:r>
      <w:r w:rsidRPr="00E97BC8">
        <w:rPr>
          <w:rFonts w:cs="Times New Roman"/>
          <w:sz w:val="22"/>
          <w:szCs w:val="22"/>
        </w:rPr>
        <w:t xml:space="preserve">observed </w:t>
      </w:r>
      <w:r w:rsidR="001B7963" w:rsidRPr="00E97BC8">
        <w:rPr>
          <w:rFonts w:cs="Times New Roman"/>
          <w:sz w:val="22"/>
          <w:szCs w:val="22"/>
        </w:rPr>
        <w:t>that environmental consciousness is closely associated with intentions to adopt electric vehicles</w:t>
      </w:r>
      <w:r w:rsidR="0027174B" w:rsidRPr="00E97BC8">
        <w:rPr>
          <w:rFonts w:cs="Times New Roman"/>
          <w:sz w:val="22"/>
          <w:szCs w:val="22"/>
        </w:rPr>
        <w:t xml:space="preserve">, so it is expected that </w:t>
      </w:r>
      <w:r w:rsidR="001616E8" w:rsidRPr="00E97BC8">
        <w:rPr>
          <w:rFonts w:cs="Times New Roman"/>
          <w:sz w:val="22"/>
          <w:szCs w:val="22"/>
        </w:rPr>
        <w:t>GLP</w:t>
      </w:r>
      <w:r w:rsidR="0027174B" w:rsidRPr="00E97BC8">
        <w:rPr>
          <w:rFonts w:cs="Times New Roman"/>
          <w:sz w:val="22"/>
          <w:szCs w:val="22"/>
        </w:rPr>
        <w:t xml:space="preserve"> will significantly </w:t>
      </w:r>
      <w:r w:rsidRPr="00E97BC8">
        <w:rPr>
          <w:rFonts w:cs="Times New Roman"/>
          <w:sz w:val="22"/>
          <w:szCs w:val="22"/>
        </w:rPr>
        <w:t xml:space="preserve">and positively </w:t>
      </w:r>
      <w:r w:rsidR="0027174B" w:rsidRPr="00E97BC8">
        <w:rPr>
          <w:rFonts w:cs="Times New Roman"/>
          <w:sz w:val="22"/>
          <w:szCs w:val="22"/>
        </w:rPr>
        <w:t>impact EV adoption</w:t>
      </w:r>
      <w:r w:rsidR="00C60C3E" w:rsidRPr="00E97BC8">
        <w:rPr>
          <w:rFonts w:cs="Times New Roman"/>
          <w:sz w:val="22"/>
          <w:szCs w:val="22"/>
        </w:rPr>
        <w:t xml:space="preserve"> and be most closely aligned with “concern about climate change” as the motivating reason for EV adoption</w:t>
      </w:r>
      <w:r w:rsidR="00A362CA" w:rsidRPr="00E97BC8">
        <w:rPr>
          <w:rFonts w:cs="Times New Roman"/>
          <w:sz w:val="22"/>
          <w:szCs w:val="22"/>
        </w:rPr>
        <w:t>. The second latent construct</w:t>
      </w:r>
      <w:r w:rsidRPr="00E97BC8">
        <w:rPr>
          <w:rFonts w:cs="Times New Roman"/>
          <w:sz w:val="22"/>
          <w:szCs w:val="22"/>
        </w:rPr>
        <w:t xml:space="preserve"> of </w:t>
      </w:r>
      <w:r w:rsidR="001616E8" w:rsidRPr="00E97BC8">
        <w:rPr>
          <w:rFonts w:cs="Times New Roman"/>
          <w:sz w:val="22"/>
          <w:szCs w:val="22"/>
        </w:rPr>
        <w:t>VFP</w:t>
      </w:r>
      <w:r w:rsidRPr="00E97BC8">
        <w:rPr>
          <w:rFonts w:cs="Times New Roman"/>
          <w:sz w:val="22"/>
          <w:szCs w:val="22"/>
        </w:rPr>
        <w:t xml:space="preserve"> helps locate individuals on a continuum </w:t>
      </w:r>
      <w:r w:rsidR="0079235F" w:rsidRPr="00E97BC8">
        <w:rPr>
          <w:rFonts w:cs="Times New Roman"/>
          <w:sz w:val="22"/>
          <w:szCs w:val="22"/>
        </w:rPr>
        <w:t>between individuals who</w:t>
      </w:r>
      <w:r w:rsidR="000715DA" w:rsidRPr="00E97BC8">
        <w:rPr>
          <w:rFonts w:cs="Times New Roman"/>
          <w:sz w:val="22"/>
          <w:szCs w:val="22"/>
        </w:rPr>
        <w:t xml:space="preserve"> </w:t>
      </w:r>
      <w:r w:rsidR="008B2BA2" w:rsidRPr="00E97BC8">
        <w:rPr>
          <w:rFonts w:cs="Times New Roman"/>
          <w:sz w:val="22"/>
          <w:szCs w:val="22"/>
        </w:rPr>
        <w:t xml:space="preserve">view vehicles as a status symbol or signaling device versus individuals who </w:t>
      </w:r>
      <w:r w:rsidR="0079235F" w:rsidRPr="00E97BC8">
        <w:rPr>
          <w:rFonts w:cs="Times New Roman"/>
          <w:sz w:val="22"/>
          <w:szCs w:val="22"/>
        </w:rPr>
        <w:t>view vehicles as primarily intended for functional purposes and mobility</w:t>
      </w:r>
      <w:r w:rsidRPr="00E97BC8">
        <w:rPr>
          <w:rFonts w:cs="Times New Roman"/>
          <w:sz w:val="22"/>
          <w:szCs w:val="22"/>
        </w:rPr>
        <w:t xml:space="preserve"> </w:t>
      </w:r>
      <w:r w:rsidR="002908A8" w:rsidRPr="00E97BC8">
        <w:rPr>
          <w:rFonts w:cs="Times New Roman"/>
          <w:sz w:val="22"/>
          <w:szCs w:val="22"/>
        </w:rPr>
        <w:fldChar w:fldCharType="begin"/>
      </w:r>
      <w:r w:rsidR="001C63B2" w:rsidRPr="00E97BC8">
        <w:rPr>
          <w:rFonts w:cs="Times New Roman"/>
          <w:sz w:val="22"/>
          <w:szCs w:val="22"/>
        </w:rPr>
        <w:instrText xml:space="preserve"> ADDIN ZOTERO_ITEM CSL_CITATION {"citationID":"0m67GxpI","properties":{"unsorted":true,"formattedCitation":"(Burs et al., 2020; Buhmann et al., 2024)","plainCitation":"(Burs et al., 2020; Buhmann et al., 2024)","dontUpdate":true,"noteIndex":0},"citationItems":[{"id":2743,"uris":["http://zotero.org/users/12832277/items/WH5WG42H"],"itemData":{"id":2743,"type":"article-journal","abstract":"Battery Electric Vehicles are regarded as highly important to reach environmental goals, such as CO2 savings in the transport sector. Despite governments making strong efforts to encourage their adoption and diffusion, sales still remain at a notoriously low level. One of the reasons may be the lack of a deeper understanding of the differences among potential adopters of Battery Electric Vehicles. To close this research gap, the authors segment adopter groups in a new way. They simultaneously use preferences for product attributes and personal characteristics to identify and characterize adopter groups of Battery Electric Vehicles. In this way, adopters can be effectively segmented, uncovering a more precise picture of adopters’ needs. Moreover, the authors introduce a three-step-procedure combining inputs from an adaptive choice-based conjoint experiment with a questionnaire. This approach can be used to segment adopter groups of other eco-innovations, as well. Based on three adopter groups of Battery Electric Vehicles (Utilitarian Savers, Performance Seekers, and Green Technologists), the authors develop tailored measures for decision-makers in policy and management to foster the adoption and diffusion of Battery Electric Vehicles.","container-title":"Sustainability","DOI":"10.3390/su12072815","ISSN":"2071-1050","issue":"7","language":"en","license":"http://creativecommons.org/licenses/by/3.0/","note":"number: 7\npublisher: Multidisciplinary Digital Publishing Institute","source":"www.mdpi.com","title":"Are They All Equal? Uncovering Adopter Groups of Battery Electric Vehicles","URL":"https://www.mdpi.com/2071-1050/12/7/2815","volume":"12","author":[{"family":"Burs","given":"Lukas"},{"family":"Roemer","given":"Ellen"},{"family":"Worm","given":"Stefan"},{"family":"Masini","given":"Andrea"}],"accessed":{"date-parts":[["2024",2,28]]},"issued":{"date-parts":[["2020",1]]}}},{"id":2694,"uris":["http://zotero.org/users/12832277/items/AJEDZHRX"],"itemData":{"id":2694,"type":"article-journal","abstract":"Societies worldwide are under increasing pressure to reduce carbon footprints, combat air pollution, and address climate change. Battery electric vehicles (BEVs) represent a sustainable transportation solution to mitigate environmental issues. Despite growing consumer demand, BEV adoption rates remain relatively low. This study extends the theory of planned behavior to analyze factors influencing consumer adoption intentions for BEVs in Spain. The research incorporates the constructs Attitude, Perceived Behavioral Control, Subjective Norm, Moral Norm, Environmental Concern, and a unique consumer ‘profile’ dimension comprising experience, education, and gender, alongside the moderating variable of ‘price sensitivity’. This study comprises 1816 responses collected through an online survey, and it utilized the partial least squares structural equation model. The empirical findings indicate that Attitude, Perceived Behavioral Control, Subjective Norm, and Moral Norm significantly impact consumer adoption intention. Attitude emerges as the strongest influencer, emphasizing the significance of personal beliefs. Environmental Concern suggests environmentally conscious consumers may lean toward BEV adoption due to positive attitudes. The ‘profile’ dimension does not affect the relationship toward adoption intention. Price sensitivity moderates these relationships, indicating pricing strategies and incentives could significantly influence BEV adoption decisions. These findings offer practical guidance for governments and manufacturers aiming to promote sustainable, eco-friendly transportation methods in the face of global environmental challenges.","container-title":"Sustainability","DOI":"10.3390/su16031284","ISSN":"2071-1050","issue":"3","language":"en","license":"http://creativecommons.org/licenses/by/3.0/","note":"number: 3\npublisher: Multidisciplinary Digital Publishing Institute","source":"www.mdpi.com","title":"Predicting Consumer Intention to Adopt Battery Electric Vehicles: Extending the Theory of Planned Behavior","URL":"https://www.mdpi.com/2071-1050/16/3/1284","volume":"16","author":[{"family":"Buhmann","given":"Kathrin Monika"},{"family":"Rialp-Criado","given":"Josep"},{"family":"Rialp-Criado","given":"Alex"}],"accessed":{"date-parts":[["2024",2,28]]},"issued":{"date-parts":[["2024",1]]}}}],"schema":"https://github.com/citation-style-language/schema/raw/master/csl-citation.json"} </w:instrText>
      </w:r>
      <w:r w:rsidR="002908A8" w:rsidRPr="00E97BC8">
        <w:rPr>
          <w:rFonts w:cs="Times New Roman"/>
          <w:sz w:val="22"/>
          <w:szCs w:val="22"/>
        </w:rPr>
        <w:fldChar w:fldCharType="separate"/>
      </w:r>
      <w:r w:rsidR="002908A8" w:rsidRPr="00E97BC8">
        <w:rPr>
          <w:rFonts w:cs="Times New Roman"/>
          <w:sz w:val="22"/>
          <w:szCs w:val="22"/>
        </w:rPr>
        <w:t>(</w:t>
      </w:r>
      <w:r w:rsidR="009379E8" w:rsidRPr="00E97BC8">
        <w:rPr>
          <w:rFonts w:cs="Times New Roman"/>
          <w:sz w:val="22"/>
          <w:szCs w:val="22"/>
        </w:rPr>
        <w:t xml:space="preserve">see </w:t>
      </w:r>
      <w:r w:rsidR="002908A8" w:rsidRPr="00E97BC8">
        <w:rPr>
          <w:rFonts w:cs="Times New Roman"/>
          <w:sz w:val="22"/>
          <w:szCs w:val="22"/>
        </w:rPr>
        <w:t>Burs et al., 2020; Buhmann et al., 2024)</w:t>
      </w:r>
      <w:r w:rsidR="002908A8" w:rsidRPr="00E97BC8">
        <w:rPr>
          <w:rFonts w:cs="Times New Roman"/>
          <w:sz w:val="22"/>
          <w:szCs w:val="22"/>
        </w:rPr>
        <w:fldChar w:fldCharType="end"/>
      </w:r>
      <w:r w:rsidR="0079235F" w:rsidRPr="00E97BC8">
        <w:rPr>
          <w:rFonts w:cs="Times New Roman"/>
          <w:sz w:val="22"/>
          <w:szCs w:val="22"/>
        </w:rPr>
        <w:t xml:space="preserve">. </w:t>
      </w:r>
      <w:r w:rsidR="000715DA" w:rsidRPr="00E97BC8">
        <w:rPr>
          <w:rFonts w:cs="Times New Roman"/>
          <w:sz w:val="22"/>
          <w:szCs w:val="22"/>
        </w:rPr>
        <w:t xml:space="preserve">The VFP is constructed such that higher values of VFP refer to a higher preference of functionality over status signaling. </w:t>
      </w:r>
      <w:r w:rsidR="00F86C26" w:rsidRPr="00E97BC8">
        <w:rPr>
          <w:rFonts w:cs="Times New Roman"/>
          <w:sz w:val="22"/>
          <w:szCs w:val="22"/>
        </w:rPr>
        <w:t xml:space="preserve">Given that EVs remain </w:t>
      </w:r>
      <w:r w:rsidR="004F141D" w:rsidRPr="00E97BC8">
        <w:rPr>
          <w:rFonts w:cs="Times New Roman"/>
          <w:sz w:val="22"/>
          <w:szCs w:val="22"/>
        </w:rPr>
        <w:t>high-cost</w:t>
      </w:r>
      <w:r w:rsidR="00F86C26" w:rsidRPr="00E97BC8">
        <w:rPr>
          <w:rFonts w:cs="Times New Roman"/>
          <w:sz w:val="22"/>
          <w:szCs w:val="22"/>
        </w:rPr>
        <w:t xml:space="preserve"> investments</w:t>
      </w:r>
      <w:r w:rsidR="00781B52" w:rsidRPr="00E97BC8">
        <w:rPr>
          <w:rFonts w:cs="Times New Roman"/>
          <w:sz w:val="22"/>
          <w:szCs w:val="22"/>
        </w:rPr>
        <w:t xml:space="preserve"> and have often been marketed as a luxury product</w:t>
      </w:r>
      <w:r w:rsidR="00F82F29" w:rsidRPr="00E97BC8">
        <w:rPr>
          <w:rFonts w:cs="Times New Roman"/>
          <w:sz w:val="22"/>
          <w:szCs w:val="22"/>
        </w:rPr>
        <w:t>,</w:t>
      </w:r>
      <w:r w:rsidR="00F86C26" w:rsidRPr="00E97BC8">
        <w:rPr>
          <w:rFonts w:cs="Times New Roman"/>
          <w:sz w:val="22"/>
          <w:szCs w:val="22"/>
        </w:rPr>
        <w:t xml:space="preserve"> it is likely </w:t>
      </w:r>
      <w:r w:rsidR="004F141D" w:rsidRPr="00E97BC8">
        <w:rPr>
          <w:rFonts w:cs="Times New Roman"/>
          <w:sz w:val="22"/>
          <w:szCs w:val="22"/>
        </w:rPr>
        <w:t>that they appeal to</w:t>
      </w:r>
      <w:r w:rsidR="008B2BA2" w:rsidRPr="00E97BC8">
        <w:rPr>
          <w:rFonts w:cs="Times New Roman"/>
          <w:sz w:val="22"/>
          <w:szCs w:val="22"/>
        </w:rPr>
        <w:t xml:space="preserve"> some</w:t>
      </w:r>
      <w:r w:rsidR="00FA65E3" w:rsidRPr="00E97BC8">
        <w:rPr>
          <w:rFonts w:cs="Times New Roman"/>
          <w:sz w:val="22"/>
          <w:szCs w:val="22"/>
        </w:rPr>
        <w:t xml:space="preserve"> individuals</w:t>
      </w:r>
      <w:r w:rsidR="004F141D" w:rsidRPr="00E97BC8">
        <w:rPr>
          <w:rFonts w:cs="Times New Roman"/>
          <w:sz w:val="22"/>
          <w:szCs w:val="22"/>
        </w:rPr>
        <w:t xml:space="preserve"> as a status symbol</w:t>
      </w:r>
      <w:r w:rsidR="00FA65E3" w:rsidRPr="00E97BC8">
        <w:rPr>
          <w:rFonts w:cs="Times New Roman"/>
          <w:sz w:val="22"/>
          <w:szCs w:val="22"/>
        </w:rPr>
        <w:t xml:space="preserve"> </w:t>
      </w:r>
      <w:r w:rsidR="00FA65E3" w:rsidRPr="00E97BC8">
        <w:rPr>
          <w:rFonts w:cs="Times New Roman"/>
          <w:sz w:val="22"/>
          <w:szCs w:val="22"/>
        </w:rPr>
        <w:fldChar w:fldCharType="begin"/>
      </w:r>
      <w:r w:rsidR="00FA65E3" w:rsidRPr="00E97BC8">
        <w:rPr>
          <w:rFonts w:cs="Times New Roman"/>
          <w:sz w:val="22"/>
          <w:szCs w:val="22"/>
        </w:rPr>
        <w:instrText xml:space="preserve"> ADDIN ZOTERO_ITEM CSL_CITATION {"citationID":"1cwjdDsH","properties":{"formattedCitation":"(Sovacool and Axsen, 2018)","plainCitation":"(Sovacool and Axsen, 2018)","noteIndex":0},"citationItems":[{"id":3622,"uris":["http://zotero.org/users/12832277/items/GZIQWGZK"],"itemData":{"id":3622,"type":"article-journal","abstract":"Automobility refers to the continued, self-perpetuating dominance of privately-owned, gasoline-powered vehicles used primarily by single occupants—a system which clearly has broad environmental and societal impacts. Despite increasing societal interest in transitions to more sustainable transportation technologies, there has been little consideration of how such innovations might challenge, maintain or support different aspects of automobility, and what that means for technology deployment, transport policy, and user practices. To bring attention to the complexity and apparent durability of the automobility system, in this paper we develop a conceptual framework that explores automobility through a categorization of frames, or shared cultural meanings. This framework moves beyond the typical focus on private, functional considerations of user choice, financial costs and time use to also consider symbolic and societal frames of automobility that exist among users, non-users, industry, policymakers and other relevant social groups. We illustrate this framework with eight particular frames of automobility that fall into four broad categories: private-functional frames such as (1) cocooning and fortressing and (2) mobile digital offices; private-symbolic frames such as (3) gender identity and (4) social status; societal-functional frames such as (5) environmental stewardship and (6) suburbanization; and societal-symbolic frames such as (7) self-sufficiency and (8) innovativeness. Finally, we start the process of discussing several transportation innovations in light of these automobility frames, namely electrified, autonomous and shared mobility—examining early evidence for which frames would be challenged or supported by such transitions. We believe that appreciation of the complex and varied frames of automobility can enrich discussion of transitions and policy relating to sustainable transportation.","container-title":"Transportation Research Part A: Policy and Practice","DOI":"10.1016/j.tra.2018.10.008","ISSN":"0965-8564","page":"730-746","source":"ScienceDirect","title":"Functional, Symbolic and Societal Frames for Automobility: Implications for Sustainability Transitions","volume":"118","author":[{"family":"Sovacool","given":"Benjamin K."},{"family":"Axsen","given":"Jonn"}],"issued":{"date-parts":[["2018",12,1]]}}}],"schema":"https://github.com/citation-style-language/schema/raw/master/csl-citation.json"} </w:instrText>
      </w:r>
      <w:r w:rsidR="00FA65E3" w:rsidRPr="00E97BC8">
        <w:rPr>
          <w:rFonts w:cs="Times New Roman"/>
          <w:sz w:val="22"/>
          <w:szCs w:val="22"/>
        </w:rPr>
        <w:fldChar w:fldCharType="separate"/>
      </w:r>
      <w:r w:rsidR="001E6A07" w:rsidRPr="00E97BC8">
        <w:rPr>
          <w:rFonts w:cs="Times New Roman"/>
          <w:sz w:val="22"/>
          <w:szCs w:val="22"/>
        </w:rPr>
        <w:t>(Sovacool and Axsen, 2018)</w:t>
      </w:r>
      <w:r w:rsidR="00FA65E3" w:rsidRPr="00E97BC8">
        <w:rPr>
          <w:rFonts w:cs="Times New Roman"/>
          <w:sz w:val="22"/>
          <w:szCs w:val="22"/>
        </w:rPr>
        <w:fldChar w:fldCharType="end"/>
      </w:r>
      <w:r w:rsidR="00FA65E3" w:rsidRPr="00E97BC8">
        <w:rPr>
          <w:rFonts w:cs="Times New Roman"/>
          <w:sz w:val="22"/>
          <w:szCs w:val="22"/>
        </w:rPr>
        <w:t>. At</w:t>
      </w:r>
      <w:r w:rsidR="004F141D" w:rsidRPr="00E97BC8">
        <w:rPr>
          <w:rFonts w:cs="Times New Roman"/>
          <w:sz w:val="22"/>
          <w:szCs w:val="22"/>
        </w:rPr>
        <w:t xml:space="preserve"> the same time </w:t>
      </w:r>
      <w:r w:rsidR="00FA65E3" w:rsidRPr="00E97BC8">
        <w:rPr>
          <w:rFonts w:cs="Times New Roman"/>
          <w:sz w:val="22"/>
          <w:szCs w:val="22"/>
        </w:rPr>
        <w:t xml:space="preserve">EVs </w:t>
      </w:r>
      <w:r w:rsidR="004F141D" w:rsidRPr="00E97BC8">
        <w:rPr>
          <w:rFonts w:cs="Times New Roman"/>
          <w:sz w:val="22"/>
          <w:szCs w:val="22"/>
        </w:rPr>
        <w:t>represent a functional advance in vehicle technolog</w:t>
      </w:r>
      <w:r w:rsidR="001B20B0" w:rsidRPr="00E97BC8">
        <w:rPr>
          <w:rFonts w:cs="Times New Roman"/>
          <w:sz w:val="22"/>
          <w:szCs w:val="22"/>
        </w:rPr>
        <w:t>y</w:t>
      </w:r>
      <w:r w:rsidR="004F141D" w:rsidRPr="00E97BC8">
        <w:rPr>
          <w:rFonts w:cs="Times New Roman"/>
          <w:sz w:val="22"/>
          <w:szCs w:val="22"/>
        </w:rPr>
        <w:t xml:space="preserve"> which </w:t>
      </w:r>
      <w:r w:rsidR="000715DA" w:rsidRPr="00E97BC8">
        <w:rPr>
          <w:rFonts w:cs="Times New Roman"/>
          <w:sz w:val="22"/>
          <w:szCs w:val="22"/>
        </w:rPr>
        <w:t xml:space="preserve">may be </w:t>
      </w:r>
      <w:r w:rsidR="004F141D" w:rsidRPr="00E97BC8">
        <w:rPr>
          <w:rFonts w:cs="Times New Roman"/>
          <w:sz w:val="22"/>
          <w:szCs w:val="22"/>
        </w:rPr>
        <w:t xml:space="preserve">attractive to </w:t>
      </w:r>
      <w:r w:rsidR="000715DA" w:rsidRPr="00E97BC8">
        <w:rPr>
          <w:rFonts w:cs="Times New Roman"/>
          <w:sz w:val="22"/>
          <w:szCs w:val="22"/>
        </w:rPr>
        <w:t xml:space="preserve">some </w:t>
      </w:r>
      <w:r w:rsidR="004F141D" w:rsidRPr="00E97BC8">
        <w:rPr>
          <w:rFonts w:cs="Times New Roman"/>
          <w:sz w:val="22"/>
          <w:szCs w:val="22"/>
        </w:rPr>
        <w:t xml:space="preserve">others. </w:t>
      </w:r>
      <w:r w:rsidR="008B2BA2" w:rsidRPr="00E97BC8">
        <w:rPr>
          <w:rFonts w:cs="Times New Roman"/>
          <w:sz w:val="22"/>
          <w:szCs w:val="22"/>
        </w:rPr>
        <w:t>In our analysis, we are able to estimate the effect of VFP on adoption and motivating reasons and also capture variations in this effect across individuals by interacting VFP with demographic variables</w:t>
      </w:r>
      <w:r w:rsidR="000715DA" w:rsidRPr="00E97BC8">
        <w:rPr>
          <w:rFonts w:cs="Times New Roman"/>
          <w:sz w:val="22"/>
          <w:szCs w:val="22"/>
        </w:rPr>
        <w:t xml:space="preserve">. The third CMP latent construct refers to the perception of the value of an EV (relative to an ICEV) over its lifespan, with higher values of CMP corresponding to more favorable views of an EV over an ICEV. We would expect that individuals with a high CMP would be more likely to adopt EVs and cite economic considerations </w:t>
      </w:r>
      <w:r w:rsidR="00C60C3E" w:rsidRPr="00E97BC8">
        <w:rPr>
          <w:rFonts w:cs="Times New Roman"/>
          <w:sz w:val="22"/>
          <w:szCs w:val="22"/>
        </w:rPr>
        <w:t xml:space="preserve">(such as “rising gas prices” and “take advantage of incentives”) </w:t>
      </w:r>
      <w:r w:rsidR="000715DA" w:rsidRPr="00E97BC8">
        <w:rPr>
          <w:rFonts w:cs="Times New Roman"/>
          <w:sz w:val="22"/>
          <w:szCs w:val="22"/>
        </w:rPr>
        <w:t>as important motivating factors in the</w:t>
      </w:r>
      <w:r w:rsidR="00C60C3E" w:rsidRPr="00E97BC8">
        <w:rPr>
          <w:rFonts w:cs="Times New Roman"/>
          <w:sz w:val="22"/>
          <w:szCs w:val="22"/>
        </w:rPr>
        <w:t xml:space="preserve"> </w:t>
      </w:r>
      <w:r w:rsidR="000715DA" w:rsidRPr="00E97BC8">
        <w:rPr>
          <w:rFonts w:cs="Times New Roman"/>
          <w:sz w:val="22"/>
          <w:szCs w:val="22"/>
        </w:rPr>
        <w:t xml:space="preserve">adoption decision. Finally, the last </w:t>
      </w:r>
      <w:r w:rsidR="00C60C3E" w:rsidRPr="00E97BC8">
        <w:rPr>
          <w:rFonts w:cs="Times New Roman"/>
          <w:sz w:val="22"/>
          <w:szCs w:val="22"/>
        </w:rPr>
        <w:t xml:space="preserve">BRP </w:t>
      </w:r>
      <w:r w:rsidR="000715DA" w:rsidRPr="00E97BC8">
        <w:rPr>
          <w:rFonts w:cs="Times New Roman"/>
          <w:sz w:val="22"/>
          <w:szCs w:val="22"/>
        </w:rPr>
        <w:t>latent construct refers to the relative ease of using an EV for long distance trips and charging an EV (out of home) compared with fueling an ICEV</w:t>
      </w:r>
      <w:r w:rsidR="00C60C3E" w:rsidRPr="00E97BC8">
        <w:rPr>
          <w:rFonts w:cs="Times New Roman"/>
          <w:sz w:val="22"/>
          <w:szCs w:val="22"/>
        </w:rPr>
        <w:t xml:space="preserve">, with the natural expectation that BRP would </w:t>
      </w:r>
      <w:r w:rsidR="004E7955" w:rsidRPr="00E97BC8">
        <w:rPr>
          <w:rFonts w:cs="Times New Roman"/>
          <w:sz w:val="22"/>
          <w:szCs w:val="22"/>
        </w:rPr>
        <w:t xml:space="preserve">positively affect </w:t>
      </w:r>
      <w:r w:rsidR="00C60C3E" w:rsidRPr="00E97BC8">
        <w:rPr>
          <w:rFonts w:cs="Times New Roman"/>
          <w:sz w:val="22"/>
          <w:szCs w:val="22"/>
        </w:rPr>
        <w:t xml:space="preserve">EV adoption and the </w:t>
      </w:r>
      <w:r w:rsidR="004E7955" w:rsidRPr="00E97BC8">
        <w:rPr>
          <w:rFonts w:cs="Times New Roman"/>
          <w:sz w:val="22"/>
          <w:szCs w:val="22"/>
        </w:rPr>
        <w:t xml:space="preserve">consideration of such motivating factors as “interest in a specific brand/model” (given that individuals with a high BRP would not be so concerned about charging/functionality issues and can place greater emphasis on the type of EV vehicle they would like). </w:t>
      </w:r>
    </w:p>
    <w:p w14:paraId="5EBD82BF" w14:textId="20CB1910" w:rsidR="00F52743" w:rsidRPr="00E97BC8" w:rsidRDefault="00AE3D59" w:rsidP="00E85093">
      <w:pPr>
        <w:shd w:val="clear" w:color="auto" w:fill="FFFFFF"/>
        <w:spacing w:after="0" w:line="240" w:lineRule="auto"/>
        <w:jc w:val="both"/>
        <w:rPr>
          <w:rFonts w:cs="Times New Roman"/>
          <w:sz w:val="22"/>
          <w:szCs w:val="22"/>
        </w:rPr>
      </w:pPr>
      <w:r w:rsidRPr="00E97BC8">
        <w:rPr>
          <w:rFonts w:cs="Times New Roman"/>
          <w:sz w:val="22"/>
          <w:szCs w:val="22"/>
        </w:rPr>
        <w:tab/>
      </w:r>
      <w:r w:rsidR="00F52743" w:rsidRPr="00E97BC8">
        <w:rPr>
          <w:rFonts w:cs="Times New Roman"/>
          <w:sz w:val="22"/>
          <w:szCs w:val="22"/>
        </w:rPr>
        <w:t xml:space="preserve">Figure 1 presents the </w:t>
      </w:r>
      <w:r w:rsidR="004E7955" w:rsidRPr="00E97BC8">
        <w:rPr>
          <w:rFonts w:cs="Times New Roman"/>
          <w:sz w:val="22"/>
          <w:szCs w:val="22"/>
        </w:rPr>
        <w:t xml:space="preserve">list of indicators for each latent construct and the </w:t>
      </w:r>
      <w:r w:rsidR="00F52743" w:rsidRPr="00E97BC8">
        <w:rPr>
          <w:rFonts w:cs="Times New Roman"/>
          <w:sz w:val="22"/>
          <w:szCs w:val="22"/>
        </w:rPr>
        <w:t>distribution of responses to each of the indicators</w:t>
      </w:r>
      <w:r w:rsidR="0034533B" w:rsidRPr="00E97BC8">
        <w:rPr>
          <w:rFonts w:cs="Times New Roman"/>
          <w:sz w:val="22"/>
          <w:szCs w:val="22"/>
        </w:rPr>
        <w:t xml:space="preserve"> based on weighted shares</w:t>
      </w:r>
      <w:r w:rsidR="00F52743" w:rsidRPr="00E97BC8">
        <w:rPr>
          <w:rFonts w:cs="Times New Roman"/>
          <w:sz w:val="22"/>
          <w:szCs w:val="22"/>
        </w:rPr>
        <w:t>.</w:t>
      </w:r>
      <w:r w:rsidR="004E7955" w:rsidRPr="00E97BC8">
        <w:rPr>
          <w:rFonts w:cs="Times New Roman"/>
          <w:sz w:val="22"/>
          <w:szCs w:val="22"/>
        </w:rPr>
        <w:t xml:space="preserve"> Individuals appear to lie relatively uniformly </w:t>
      </w:r>
      <w:r w:rsidR="00240907" w:rsidRPr="00E97BC8">
        <w:rPr>
          <w:rFonts w:cs="Times New Roman"/>
          <w:sz w:val="22"/>
          <w:szCs w:val="22"/>
        </w:rPr>
        <w:t>o</w:t>
      </w:r>
      <w:r w:rsidR="004E7955" w:rsidRPr="00E97BC8">
        <w:rPr>
          <w:rFonts w:cs="Times New Roman"/>
          <w:sz w:val="22"/>
          <w:szCs w:val="22"/>
        </w:rPr>
        <w:t xml:space="preserve">n the green-ness scale (the GLP scale), even if skewed slightly more toward being green overall. They appear to be more focused on functionality than status signaling </w:t>
      </w:r>
      <w:r w:rsidR="0034533B" w:rsidRPr="00E97BC8">
        <w:rPr>
          <w:rFonts w:cs="Times New Roman"/>
          <w:sz w:val="22"/>
          <w:szCs w:val="22"/>
        </w:rPr>
        <w:t xml:space="preserve">(high VFP) </w:t>
      </w:r>
      <w:r w:rsidR="004E7955" w:rsidRPr="00E97BC8">
        <w:rPr>
          <w:rFonts w:cs="Times New Roman"/>
          <w:sz w:val="22"/>
          <w:szCs w:val="22"/>
        </w:rPr>
        <w:t>in vehicle adoption/use</w:t>
      </w:r>
      <w:r w:rsidR="0034533B" w:rsidRPr="00E97BC8">
        <w:rPr>
          <w:rFonts w:cs="Times New Roman"/>
          <w:sz w:val="22"/>
          <w:szCs w:val="22"/>
        </w:rPr>
        <w:t>, though the distribution of individuals on the specific indicator question of</w:t>
      </w:r>
      <w:r w:rsidR="004E7955" w:rsidRPr="00E97BC8">
        <w:rPr>
          <w:rFonts w:cs="Times New Roman"/>
          <w:sz w:val="22"/>
          <w:szCs w:val="22"/>
        </w:rPr>
        <w:t xml:space="preserve"> </w:t>
      </w:r>
      <w:r w:rsidR="0034533B" w:rsidRPr="00E97BC8">
        <w:rPr>
          <w:rFonts w:cs="Times New Roman"/>
          <w:sz w:val="22"/>
          <w:szCs w:val="22"/>
        </w:rPr>
        <w:t>“A vehicle provides status and prestige” is more balanced. The distribution of the indicators for CMP</w:t>
      </w:r>
      <w:r w:rsidR="00A66DA8" w:rsidRPr="00E97BC8">
        <w:rPr>
          <w:rFonts w:cs="Times New Roman"/>
          <w:sz w:val="22"/>
          <w:szCs w:val="22"/>
        </w:rPr>
        <w:t xml:space="preserve"> shows that there may be more uncertainty, in general, about the </w:t>
      </w:r>
      <w:r w:rsidR="002D7E68" w:rsidRPr="00E97BC8">
        <w:rPr>
          <w:rFonts w:cs="Times New Roman"/>
          <w:sz w:val="22"/>
          <w:szCs w:val="22"/>
        </w:rPr>
        <w:t>relative difference in cost and maintenance between EVs and ICEVs, with a large number of respondents selecting “about the same”</w:t>
      </w:r>
      <w:r w:rsidR="00B60281" w:rsidRPr="00E97BC8">
        <w:rPr>
          <w:rFonts w:cs="Times New Roman"/>
          <w:sz w:val="22"/>
          <w:szCs w:val="22"/>
        </w:rPr>
        <w:t xml:space="preserve"> for the CMP indicators. </w:t>
      </w:r>
      <w:r w:rsidR="00423AAA" w:rsidRPr="00E97BC8">
        <w:rPr>
          <w:rFonts w:cs="Times New Roman"/>
          <w:sz w:val="22"/>
          <w:szCs w:val="22"/>
        </w:rPr>
        <w:t xml:space="preserve">Finally, respondents seem to be more skeptical of </w:t>
      </w:r>
      <w:r w:rsidR="0068250F" w:rsidRPr="00E97BC8">
        <w:rPr>
          <w:rFonts w:cs="Times New Roman"/>
          <w:sz w:val="22"/>
          <w:szCs w:val="22"/>
        </w:rPr>
        <w:t>EV range</w:t>
      </w:r>
      <w:r w:rsidR="00480D08" w:rsidRPr="00E97BC8">
        <w:rPr>
          <w:rFonts w:cs="Times New Roman"/>
          <w:sz w:val="22"/>
          <w:szCs w:val="22"/>
        </w:rPr>
        <w:t xml:space="preserve">, with most respondents indicating that EVs are “somewhat worse” or “much worse” that ICEVs for the BRP indicators. </w:t>
      </w:r>
    </w:p>
    <w:p w14:paraId="3285580B" w14:textId="77777777" w:rsidR="009F35E3" w:rsidRPr="00E97BC8" w:rsidRDefault="009F35E3" w:rsidP="00E85093">
      <w:pPr>
        <w:shd w:val="clear" w:color="auto" w:fill="FFFFFF"/>
        <w:spacing w:after="0" w:line="240" w:lineRule="auto"/>
        <w:jc w:val="both"/>
        <w:rPr>
          <w:rFonts w:cs="Times New Roman"/>
          <w:sz w:val="22"/>
          <w:szCs w:val="22"/>
        </w:rPr>
      </w:pPr>
    </w:p>
    <w:p w14:paraId="598DCE94" w14:textId="641A8710" w:rsidR="009F35E3" w:rsidRPr="00E97BC8" w:rsidRDefault="009F35E3" w:rsidP="00E85093">
      <w:pPr>
        <w:keepNext/>
        <w:shd w:val="clear" w:color="auto" w:fill="FFFFFF"/>
        <w:spacing w:after="0" w:line="240" w:lineRule="auto"/>
        <w:jc w:val="both"/>
        <w:rPr>
          <w:rFonts w:cs="Times New Roman"/>
          <w:b/>
          <w:bCs/>
          <w:sz w:val="22"/>
          <w:szCs w:val="22"/>
        </w:rPr>
      </w:pPr>
      <w:r w:rsidRPr="00E97BC8">
        <w:rPr>
          <w:rFonts w:cs="Times New Roman"/>
          <w:b/>
          <w:bCs/>
          <w:sz w:val="22"/>
          <w:szCs w:val="22"/>
        </w:rPr>
        <w:t xml:space="preserve">3.2 Analytic Framework </w:t>
      </w:r>
    </w:p>
    <w:p w14:paraId="17FA129A" w14:textId="58256360" w:rsidR="00A34BF3" w:rsidRPr="00E97BC8" w:rsidRDefault="00F60086" w:rsidP="00E85093">
      <w:pPr>
        <w:pStyle w:val="NormalWeb"/>
        <w:shd w:val="clear" w:color="auto" w:fill="FFFFFF"/>
        <w:spacing w:before="0" w:beforeAutospacing="0" w:after="0" w:afterAutospacing="0"/>
        <w:jc w:val="both"/>
        <w:rPr>
          <w:sz w:val="22"/>
          <w:szCs w:val="22"/>
        </w:rPr>
      </w:pPr>
      <w:r w:rsidRPr="00E97BC8">
        <w:rPr>
          <w:sz w:val="22"/>
          <w:szCs w:val="22"/>
        </w:rPr>
        <w:t xml:space="preserve">The </w:t>
      </w:r>
      <w:r w:rsidR="001E62E2" w:rsidRPr="00E97BC8">
        <w:rPr>
          <w:sz w:val="22"/>
          <w:szCs w:val="22"/>
        </w:rPr>
        <w:t>generalized heterogeneous data model (</w:t>
      </w:r>
      <w:r w:rsidRPr="00E97BC8">
        <w:rPr>
          <w:sz w:val="22"/>
          <w:szCs w:val="22"/>
        </w:rPr>
        <w:t>GHDM</w:t>
      </w:r>
      <w:r w:rsidR="001E62E2" w:rsidRPr="00E97BC8">
        <w:rPr>
          <w:sz w:val="22"/>
          <w:szCs w:val="22"/>
        </w:rPr>
        <w:t>)</w:t>
      </w:r>
      <w:r w:rsidRPr="00E97BC8">
        <w:rPr>
          <w:sz w:val="22"/>
          <w:szCs w:val="22"/>
        </w:rPr>
        <w:t xml:space="preserve"> framework developed by Bhat </w:t>
      </w:r>
      <w:r w:rsidR="00651987" w:rsidRPr="00E97BC8">
        <w:rPr>
          <w:sz w:val="22"/>
          <w:szCs w:val="22"/>
        </w:rPr>
        <w:fldChar w:fldCharType="begin"/>
      </w:r>
      <w:r w:rsidR="003A4331" w:rsidRPr="00E97BC8">
        <w:rPr>
          <w:sz w:val="22"/>
          <w:szCs w:val="22"/>
        </w:rPr>
        <w:instrText xml:space="preserve"> ADDIN ZOTERO_ITEM CSL_CITATION {"citationID":"HeTOJrfW","properties":{"formattedCitation":"(2015)","plainCitation":"(2015)","noteIndex":0},"citationItems":[{"id":675,"uris":["http://zotero.org/users/12832277/items/E2IK5TA3"],"itemData":{"id":675,"type":"article-journal","abstract":"This paper formulates a generalized heterogeneous data model (GHDM) that jointly handles mixed types of dependent variables—including multiple nominal outcomes, multiple ordinal variables, and multiple count variables, as well as multiple continuous variables—by representing the covariance relationships among them through a reduced number of latent factors. Sufficiency conditions for identification of the GHDM parameters are presented. The maximum approximate composite marginal likelihood (MACML) method is proposed to estimate this jointly mixed model system. This estimation method provides computational time advantages since the dimensionality of integration in the likelihood function is independent of the number of latent factors. The study undertakes a simulation experiment within the virtual context of integrating residential location choice and travel behavior to evaluate the ability of the MACML approach to recover parameters. The simulation results show that the MACML approach effectively recovers underlying parameters, and also that ignoring the multi-dimensional nature of the relationship among mixed types of dependent variables can lead not only to inconsistent parameter estimation, but also have important implications for policy analysis.","container-title":"Transportation Research Part B: Methodological","DOI":"10.1016/j.trb.2015.05.017","ISSN":"0191-2615","language":"en","page":"50-77","source":"ScienceDirect","title":"A New Generalized Heterogeneous Data Model (GHDM) to Jointly Model Mixed Types of Dependent Variables","volume":"79","author":[{"family":"Bhat","given":"Chandra R."}],"issued":{"date-parts":[["2015",9,1]]}},"label":"page","suppress-author":true}],"schema":"https://github.com/citation-style-language/schema/raw/master/csl-citation.json"} </w:instrText>
      </w:r>
      <w:r w:rsidR="00651987" w:rsidRPr="00E97BC8">
        <w:rPr>
          <w:sz w:val="22"/>
          <w:szCs w:val="22"/>
        </w:rPr>
        <w:fldChar w:fldCharType="separate"/>
      </w:r>
      <w:r w:rsidR="001E6A07" w:rsidRPr="00E97BC8">
        <w:rPr>
          <w:sz w:val="22"/>
          <w:szCs w:val="22"/>
        </w:rPr>
        <w:t>(2015)</w:t>
      </w:r>
      <w:r w:rsidR="00651987" w:rsidRPr="00E97BC8">
        <w:rPr>
          <w:sz w:val="22"/>
          <w:szCs w:val="22"/>
        </w:rPr>
        <w:fldChar w:fldCharType="end"/>
      </w:r>
      <w:r w:rsidRPr="00E97BC8">
        <w:rPr>
          <w:sz w:val="22"/>
          <w:szCs w:val="22"/>
        </w:rPr>
        <w:t xml:space="preserve"> is used for this analysis. Figure </w:t>
      </w:r>
      <w:r w:rsidR="00CA7AF5" w:rsidRPr="00E97BC8">
        <w:rPr>
          <w:sz w:val="22"/>
          <w:szCs w:val="22"/>
        </w:rPr>
        <w:t>2</w:t>
      </w:r>
      <w:r w:rsidRPr="00E97BC8">
        <w:rPr>
          <w:sz w:val="22"/>
          <w:szCs w:val="22"/>
        </w:rPr>
        <w:t xml:space="preserve"> </w:t>
      </w:r>
      <w:r w:rsidR="008F28EB" w:rsidRPr="00E97BC8">
        <w:rPr>
          <w:sz w:val="22"/>
          <w:szCs w:val="22"/>
        </w:rPr>
        <w:t xml:space="preserve">presents </w:t>
      </w:r>
      <w:r w:rsidRPr="00E97BC8">
        <w:rPr>
          <w:sz w:val="22"/>
          <w:szCs w:val="22"/>
        </w:rPr>
        <w:t xml:space="preserve">a visual representation of this framework. </w:t>
      </w:r>
      <w:r w:rsidR="00C77FA3" w:rsidRPr="00E97BC8">
        <w:rPr>
          <w:sz w:val="22"/>
          <w:szCs w:val="22"/>
        </w:rPr>
        <w:t xml:space="preserve">The annotations by the arrows between the many boxes correspond to the equation notations used in the next section on model formulation. </w:t>
      </w:r>
      <w:r w:rsidR="005D529A" w:rsidRPr="00E97BC8">
        <w:rPr>
          <w:sz w:val="22"/>
          <w:szCs w:val="22"/>
        </w:rPr>
        <w:t xml:space="preserve">Bhat’s GHDM model is adapted here to include a single endogenous binary choice outcome for EV adoption and one endogenous rank-ordered outcome for the factors motivating EV adoption (shown toward the right side of Figure </w:t>
      </w:r>
      <w:r w:rsidR="00127339" w:rsidRPr="00E97BC8">
        <w:rPr>
          <w:sz w:val="22"/>
          <w:szCs w:val="22"/>
        </w:rPr>
        <w:t>2</w:t>
      </w:r>
      <w:r w:rsidR="005D529A" w:rsidRPr="00E97BC8">
        <w:rPr>
          <w:sz w:val="22"/>
          <w:szCs w:val="22"/>
        </w:rPr>
        <w:t>). As mentioned in Section 3.1.2, we distinguish between BEV and PHEV ownership based only on individual/household demographics and latent constructs, while maintaining the same kernel error term for adoption of each type of EV. Thus, in the model structure, a single combined utility equation can be used to represent the binary EV adoption decision, where the utility differences between BEVs and PHEVs are identified through interactions between the PHEV indicator and the exogenous variables/latent constructs, while maintaining a single kernel error term.</w:t>
      </w:r>
    </w:p>
    <w:p w14:paraId="0EA65EEB" w14:textId="4A0C0002" w:rsidR="00A34BF3" w:rsidRPr="00E97BC8" w:rsidRDefault="00F60086" w:rsidP="00E85093">
      <w:pPr>
        <w:shd w:val="clear" w:color="auto" w:fill="FFFFFF"/>
        <w:spacing w:after="0" w:line="240" w:lineRule="auto"/>
        <w:ind w:firstLine="720"/>
        <w:jc w:val="both"/>
        <w:rPr>
          <w:rFonts w:cs="Times New Roman"/>
          <w:i/>
          <w:iCs/>
          <w:sz w:val="22"/>
          <w:szCs w:val="22"/>
          <w:highlight w:val="yellow"/>
        </w:rPr>
      </w:pPr>
      <w:r w:rsidRPr="00E97BC8">
        <w:rPr>
          <w:rFonts w:cs="Times New Roman"/>
          <w:sz w:val="22"/>
          <w:szCs w:val="22"/>
        </w:rPr>
        <w:t>A set of individual</w:t>
      </w:r>
      <w:r w:rsidR="00A81B2E" w:rsidRPr="00E97BC8">
        <w:rPr>
          <w:rFonts w:cs="Times New Roman"/>
          <w:sz w:val="22"/>
          <w:szCs w:val="22"/>
        </w:rPr>
        <w:t xml:space="preserve">- and </w:t>
      </w:r>
      <w:r w:rsidRPr="00E97BC8">
        <w:rPr>
          <w:rFonts w:cs="Times New Roman"/>
          <w:sz w:val="22"/>
          <w:szCs w:val="22"/>
        </w:rPr>
        <w:t>household</w:t>
      </w:r>
      <w:r w:rsidR="00A81B2E" w:rsidRPr="00E97BC8">
        <w:rPr>
          <w:rFonts w:cs="Times New Roman"/>
          <w:sz w:val="22"/>
          <w:szCs w:val="22"/>
        </w:rPr>
        <w:t>-level</w:t>
      </w:r>
      <w:r w:rsidR="00745284" w:rsidRPr="00E97BC8">
        <w:rPr>
          <w:rFonts w:cs="Times New Roman"/>
          <w:sz w:val="22"/>
          <w:szCs w:val="22"/>
        </w:rPr>
        <w:t xml:space="preserve"> </w:t>
      </w:r>
      <w:r w:rsidR="00A81B2E" w:rsidRPr="00E97BC8">
        <w:rPr>
          <w:rFonts w:cs="Times New Roman"/>
          <w:sz w:val="22"/>
          <w:szCs w:val="22"/>
        </w:rPr>
        <w:t>variables</w:t>
      </w:r>
      <w:r w:rsidRPr="00E97BC8">
        <w:rPr>
          <w:rFonts w:cs="Times New Roman"/>
          <w:sz w:val="22"/>
          <w:szCs w:val="22"/>
        </w:rPr>
        <w:t xml:space="preserve"> (</w:t>
      </w:r>
      <w:r w:rsidR="00A36380" w:rsidRPr="00E97BC8">
        <w:rPr>
          <w:rFonts w:cs="Times New Roman"/>
          <w:sz w:val="22"/>
          <w:szCs w:val="22"/>
        </w:rPr>
        <w:t xml:space="preserve">left side </w:t>
      </w:r>
      <w:r w:rsidRPr="00E97BC8">
        <w:rPr>
          <w:rFonts w:cs="Times New Roman"/>
          <w:sz w:val="22"/>
          <w:szCs w:val="22"/>
        </w:rPr>
        <w:t xml:space="preserve">of </w:t>
      </w:r>
      <w:r w:rsidR="00FA71E3" w:rsidRPr="00E97BC8">
        <w:rPr>
          <w:rFonts w:cs="Times New Roman"/>
          <w:sz w:val="22"/>
          <w:szCs w:val="22"/>
        </w:rPr>
        <w:t xml:space="preserve">the </w:t>
      </w:r>
      <w:r w:rsidRPr="00E97BC8">
        <w:rPr>
          <w:rFonts w:cs="Times New Roman"/>
          <w:sz w:val="22"/>
          <w:szCs w:val="22"/>
        </w:rPr>
        <w:t xml:space="preserve">figure) </w:t>
      </w:r>
      <w:r w:rsidR="00FA71E3" w:rsidRPr="00E97BC8">
        <w:rPr>
          <w:rFonts w:cs="Times New Roman"/>
          <w:sz w:val="22"/>
          <w:szCs w:val="22"/>
        </w:rPr>
        <w:t>influence</w:t>
      </w:r>
      <w:r w:rsidRPr="00E97BC8">
        <w:rPr>
          <w:rFonts w:cs="Times New Roman"/>
          <w:sz w:val="22"/>
          <w:szCs w:val="22"/>
        </w:rPr>
        <w:t xml:space="preserve"> </w:t>
      </w:r>
      <w:r w:rsidR="00A36380" w:rsidRPr="00E97BC8">
        <w:rPr>
          <w:rFonts w:cs="Times New Roman"/>
          <w:sz w:val="22"/>
          <w:szCs w:val="22"/>
        </w:rPr>
        <w:t xml:space="preserve">each of </w:t>
      </w:r>
      <w:r w:rsidRPr="00E97BC8">
        <w:rPr>
          <w:rFonts w:cs="Times New Roman"/>
          <w:sz w:val="22"/>
          <w:szCs w:val="22"/>
        </w:rPr>
        <w:t>the</w:t>
      </w:r>
      <w:r w:rsidR="00630A35" w:rsidRPr="00E97BC8">
        <w:rPr>
          <w:rFonts w:cs="Times New Roman"/>
          <w:sz w:val="22"/>
          <w:szCs w:val="22"/>
        </w:rPr>
        <w:t>se</w:t>
      </w:r>
      <w:r w:rsidRPr="00E97BC8">
        <w:rPr>
          <w:rFonts w:cs="Times New Roman"/>
          <w:sz w:val="22"/>
          <w:szCs w:val="22"/>
        </w:rPr>
        <w:t xml:space="preserve"> outcomes in two different ways: (1) directl</w:t>
      </w:r>
      <w:r w:rsidR="00630A35" w:rsidRPr="00E97BC8">
        <w:rPr>
          <w:rFonts w:cs="Times New Roman"/>
          <w:sz w:val="22"/>
          <w:szCs w:val="22"/>
        </w:rPr>
        <w:t>y</w:t>
      </w:r>
      <w:r w:rsidRPr="00E97BC8">
        <w:rPr>
          <w:rFonts w:cs="Times New Roman"/>
          <w:sz w:val="22"/>
          <w:szCs w:val="22"/>
        </w:rPr>
        <w:t xml:space="preserve"> through the arrow</w:t>
      </w:r>
      <w:r w:rsidR="00A36380" w:rsidRPr="00E97BC8">
        <w:rPr>
          <w:rFonts w:cs="Times New Roman"/>
          <w:sz w:val="22"/>
          <w:szCs w:val="22"/>
        </w:rPr>
        <w:t>s</w:t>
      </w:r>
      <w:r w:rsidRPr="00E97BC8">
        <w:rPr>
          <w:rFonts w:cs="Times New Roman"/>
          <w:sz w:val="22"/>
          <w:szCs w:val="22"/>
        </w:rPr>
        <w:t xml:space="preserve"> at the </w:t>
      </w:r>
      <w:r w:rsidR="00A81B2E" w:rsidRPr="00E97BC8">
        <w:rPr>
          <w:rFonts w:cs="Times New Roman"/>
          <w:sz w:val="22"/>
          <w:szCs w:val="22"/>
        </w:rPr>
        <w:t>top</w:t>
      </w:r>
      <w:r w:rsidR="00A36380" w:rsidRPr="00E97BC8">
        <w:rPr>
          <w:rFonts w:cs="Times New Roman"/>
          <w:sz w:val="22"/>
          <w:szCs w:val="22"/>
        </w:rPr>
        <w:t xml:space="preserve"> and bottom of the figure going to </w:t>
      </w:r>
      <w:r w:rsidR="00A36380" w:rsidRPr="00E97BC8">
        <w:rPr>
          <w:rFonts w:cs="Times New Roman"/>
          <w:sz w:val="22"/>
          <w:szCs w:val="22"/>
        </w:rPr>
        <w:lastRenderedPageBreak/>
        <w:t>each outcome</w:t>
      </w:r>
      <w:r w:rsidRPr="00E97BC8">
        <w:rPr>
          <w:rFonts w:cs="Times New Roman"/>
          <w:sz w:val="22"/>
          <w:szCs w:val="22"/>
        </w:rPr>
        <w:t xml:space="preserve"> (labeled “MEM” for the measurement equation model component of the GHDM), </w:t>
      </w:r>
      <w:r w:rsidR="008F28EB" w:rsidRPr="00E97BC8">
        <w:rPr>
          <w:rFonts w:cs="Times New Roman"/>
          <w:sz w:val="22"/>
          <w:szCs w:val="22"/>
        </w:rPr>
        <w:t>and</w:t>
      </w:r>
      <w:r w:rsidRPr="00E97BC8">
        <w:rPr>
          <w:rFonts w:cs="Times New Roman"/>
          <w:sz w:val="22"/>
          <w:szCs w:val="22"/>
        </w:rPr>
        <w:t xml:space="preserve"> (2) indirectly through the effects</w:t>
      </w:r>
      <w:r w:rsidR="008F28EB" w:rsidRPr="00E97BC8">
        <w:rPr>
          <w:rFonts w:cs="Times New Roman"/>
          <w:sz w:val="22"/>
          <w:szCs w:val="22"/>
        </w:rPr>
        <w:t xml:space="preserve"> of these exogenous variables</w:t>
      </w:r>
      <w:r w:rsidRPr="00E97BC8">
        <w:rPr>
          <w:rFonts w:cs="Times New Roman"/>
          <w:sz w:val="22"/>
          <w:szCs w:val="22"/>
        </w:rPr>
        <w:t xml:space="preserve"> on a set of </w:t>
      </w:r>
      <w:r w:rsidR="006F5AE8" w:rsidRPr="00E97BC8">
        <w:rPr>
          <w:rFonts w:cs="Times New Roman"/>
          <w:sz w:val="22"/>
          <w:szCs w:val="22"/>
        </w:rPr>
        <w:t xml:space="preserve">stochastic </w:t>
      </w:r>
      <w:r w:rsidRPr="00E97BC8">
        <w:rPr>
          <w:rFonts w:cs="Times New Roman"/>
          <w:sz w:val="22"/>
          <w:szCs w:val="22"/>
        </w:rPr>
        <w:t>latent constructs</w:t>
      </w:r>
      <w:r w:rsidR="004C51FE" w:rsidRPr="00E97BC8">
        <w:rPr>
          <w:rFonts w:cs="Times New Roman"/>
          <w:sz w:val="22"/>
          <w:szCs w:val="22"/>
        </w:rPr>
        <w:t xml:space="preserve"> </w:t>
      </w:r>
      <w:r w:rsidR="00630A35" w:rsidRPr="00E97BC8">
        <w:rPr>
          <w:rFonts w:cs="Times New Roman"/>
          <w:sz w:val="22"/>
          <w:szCs w:val="22"/>
        </w:rPr>
        <w:t>(</w:t>
      </w:r>
      <w:r w:rsidR="004E62FB" w:rsidRPr="00E97BC8">
        <w:rPr>
          <w:rFonts w:cs="Times New Roman"/>
          <w:sz w:val="22"/>
          <w:szCs w:val="22"/>
        </w:rPr>
        <w:t xml:space="preserve">GLP, VFP, </w:t>
      </w:r>
      <w:r w:rsidR="001F738B" w:rsidRPr="00E97BC8">
        <w:rPr>
          <w:rFonts w:cs="Times New Roman"/>
          <w:sz w:val="22"/>
          <w:szCs w:val="22"/>
        </w:rPr>
        <w:t xml:space="preserve">CMP, and </w:t>
      </w:r>
      <w:r w:rsidR="004E62FB" w:rsidRPr="00E97BC8">
        <w:rPr>
          <w:rFonts w:cs="Times New Roman"/>
          <w:sz w:val="22"/>
          <w:szCs w:val="22"/>
        </w:rPr>
        <w:t>BRP</w:t>
      </w:r>
      <w:r w:rsidR="006F5AE8" w:rsidRPr="00E97BC8">
        <w:rPr>
          <w:rFonts w:cs="Times New Roman"/>
          <w:sz w:val="22"/>
          <w:szCs w:val="22"/>
        </w:rPr>
        <w:t>)</w:t>
      </w:r>
      <w:r w:rsidR="003A5275" w:rsidRPr="00E97BC8">
        <w:rPr>
          <w:rFonts w:cs="Times New Roman"/>
          <w:sz w:val="22"/>
          <w:szCs w:val="22"/>
        </w:rPr>
        <w:t xml:space="preserve">, </w:t>
      </w:r>
      <w:r w:rsidRPr="00E97BC8">
        <w:rPr>
          <w:rFonts w:cs="Times New Roman"/>
          <w:sz w:val="22"/>
          <w:szCs w:val="22"/>
        </w:rPr>
        <w:t xml:space="preserve">positioned </w:t>
      </w:r>
      <w:r w:rsidR="00A36380" w:rsidRPr="00E97BC8">
        <w:rPr>
          <w:rFonts w:cs="Times New Roman"/>
          <w:sz w:val="22"/>
          <w:szCs w:val="22"/>
        </w:rPr>
        <w:t>in</w:t>
      </w:r>
      <w:r w:rsidRPr="00E97BC8">
        <w:rPr>
          <w:rFonts w:cs="Times New Roman"/>
          <w:sz w:val="22"/>
          <w:szCs w:val="22"/>
        </w:rPr>
        <w:t xml:space="preserve"> the </w:t>
      </w:r>
      <w:r w:rsidR="00A36380" w:rsidRPr="00E97BC8">
        <w:rPr>
          <w:rFonts w:cs="Times New Roman"/>
          <w:sz w:val="22"/>
          <w:szCs w:val="22"/>
        </w:rPr>
        <w:t>center</w:t>
      </w:r>
      <w:r w:rsidRPr="00E97BC8">
        <w:rPr>
          <w:rFonts w:cs="Times New Roman"/>
          <w:sz w:val="22"/>
          <w:szCs w:val="22"/>
        </w:rPr>
        <w:t xml:space="preserve"> of Figure </w:t>
      </w:r>
      <w:r w:rsidR="00CA7AF5" w:rsidRPr="00E97BC8">
        <w:rPr>
          <w:rFonts w:cs="Times New Roman"/>
          <w:sz w:val="22"/>
          <w:szCs w:val="22"/>
        </w:rPr>
        <w:t>2</w:t>
      </w:r>
      <w:r w:rsidR="008F28EB" w:rsidRPr="00E97BC8">
        <w:rPr>
          <w:rFonts w:cs="Times New Roman"/>
          <w:sz w:val="22"/>
          <w:szCs w:val="22"/>
        </w:rPr>
        <w:t xml:space="preserve"> (this</w:t>
      </w:r>
      <w:r w:rsidRPr="00E97BC8">
        <w:rPr>
          <w:rFonts w:cs="Times New Roman"/>
          <w:sz w:val="22"/>
          <w:szCs w:val="22"/>
        </w:rPr>
        <w:t xml:space="preserve"> arrow from the </w:t>
      </w:r>
      <w:r w:rsidR="008F28EB" w:rsidRPr="00E97BC8">
        <w:rPr>
          <w:rFonts w:cs="Times New Roman"/>
          <w:sz w:val="22"/>
          <w:szCs w:val="22"/>
        </w:rPr>
        <w:t>exogenous variables</w:t>
      </w:r>
      <w:r w:rsidRPr="00E97BC8">
        <w:rPr>
          <w:rFonts w:cs="Times New Roman"/>
          <w:sz w:val="22"/>
          <w:szCs w:val="22"/>
        </w:rPr>
        <w:t xml:space="preserve"> to the latent constructs is labeled “SEM” for the structural equation model component of the GHDM</w:t>
      </w:r>
      <w:r w:rsidR="008F28EB" w:rsidRPr="00E97BC8">
        <w:rPr>
          <w:rFonts w:cs="Times New Roman"/>
          <w:sz w:val="22"/>
          <w:szCs w:val="22"/>
        </w:rPr>
        <w:t>)</w:t>
      </w:r>
      <w:r w:rsidRPr="00E97BC8">
        <w:rPr>
          <w:rFonts w:cs="Times New Roman"/>
          <w:sz w:val="22"/>
          <w:szCs w:val="22"/>
        </w:rPr>
        <w:t xml:space="preserve">. </w:t>
      </w:r>
      <w:r w:rsidR="008F28EB" w:rsidRPr="00E97BC8">
        <w:rPr>
          <w:rFonts w:cs="Times New Roman"/>
          <w:sz w:val="22"/>
          <w:szCs w:val="22"/>
        </w:rPr>
        <w:t xml:space="preserve">The four stochastic latent constructs are loaded on a set of observed indicator variables (positioned at the center-bottom of the figure) as well as effecting the set of endogenous outcomes to estimate (impute) the SEM component of the GHDM. </w:t>
      </w:r>
      <w:r w:rsidRPr="00E97BC8">
        <w:rPr>
          <w:rFonts w:cs="Times New Roman"/>
          <w:sz w:val="22"/>
          <w:szCs w:val="22"/>
        </w:rPr>
        <w:t>These loadings and effects are identified by arrows originating from the</w:t>
      </w:r>
      <w:r w:rsidR="008F28EB" w:rsidRPr="00E97BC8">
        <w:rPr>
          <w:rFonts w:cs="Times New Roman"/>
          <w:sz w:val="22"/>
          <w:szCs w:val="22"/>
        </w:rPr>
        <w:t xml:space="preserve"> box containing the</w:t>
      </w:r>
      <w:r w:rsidRPr="00E97BC8">
        <w:rPr>
          <w:rFonts w:cs="Times New Roman"/>
          <w:sz w:val="22"/>
          <w:szCs w:val="22"/>
        </w:rPr>
        <w:t xml:space="preserve"> latent constructs in the figure</w:t>
      </w:r>
      <w:r w:rsidR="008F28EB" w:rsidRPr="00E97BC8">
        <w:rPr>
          <w:rFonts w:cs="Times New Roman"/>
          <w:sz w:val="22"/>
          <w:szCs w:val="22"/>
        </w:rPr>
        <w:t xml:space="preserve"> (these arrows</w:t>
      </w:r>
      <w:r w:rsidRPr="00E97BC8">
        <w:rPr>
          <w:rFonts w:cs="Times New Roman"/>
          <w:sz w:val="22"/>
          <w:szCs w:val="22"/>
        </w:rPr>
        <w:t xml:space="preserve"> are labeled “MEM” </w:t>
      </w:r>
      <w:r w:rsidR="008F28EB" w:rsidRPr="00E97BC8">
        <w:rPr>
          <w:rFonts w:cs="Times New Roman"/>
          <w:sz w:val="22"/>
          <w:szCs w:val="22"/>
        </w:rPr>
        <w:t xml:space="preserve">as </w:t>
      </w:r>
      <w:r w:rsidRPr="00E97BC8">
        <w:rPr>
          <w:rFonts w:cs="Times New Roman"/>
          <w:sz w:val="22"/>
          <w:szCs w:val="22"/>
        </w:rPr>
        <w:t xml:space="preserve">these relationships are estimated as part of the </w:t>
      </w:r>
      <w:r w:rsidR="000606D9" w:rsidRPr="00E97BC8">
        <w:rPr>
          <w:rFonts w:cs="Times New Roman"/>
          <w:sz w:val="22"/>
          <w:szCs w:val="22"/>
        </w:rPr>
        <w:t xml:space="preserve">measurement equation model </w:t>
      </w:r>
      <w:r w:rsidRPr="00E97BC8">
        <w:rPr>
          <w:rFonts w:cs="Times New Roman"/>
          <w:sz w:val="22"/>
          <w:szCs w:val="22"/>
        </w:rPr>
        <w:t>component of the GHDM</w:t>
      </w:r>
      <w:r w:rsidR="008F28EB" w:rsidRPr="00E97BC8">
        <w:rPr>
          <w:rFonts w:cs="Times New Roman"/>
          <w:sz w:val="22"/>
          <w:szCs w:val="22"/>
        </w:rPr>
        <w:t>)</w:t>
      </w:r>
      <w:r w:rsidRPr="00E97BC8">
        <w:rPr>
          <w:rFonts w:cs="Times New Roman"/>
          <w:sz w:val="22"/>
          <w:szCs w:val="22"/>
        </w:rPr>
        <w:t>.</w:t>
      </w:r>
      <w:r w:rsidR="00105151" w:rsidRPr="00E97BC8">
        <w:rPr>
          <w:rFonts w:cs="Times New Roman"/>
          <w:sz w:val="22"/>
          <w:szCs w:val="22"/>
        </w:rPr>
        <w:t xml:space="preserve"> </w:t>
      </w:r>
      <w:bookmarkStart w:id="19" w:name="_Hlk199923464"/>
      <w:r w:rsidR="00105151" w:rsidRPr="00E97BC8">
        <w:rPr>
          <w:rFonts w:cs="Times New Roman"/>
          <w:sz w:val="22"/>
          <w:szCs w:val="22"/>
        </w:rPr>
        <w:t xml:space="preserve">In addition to capturing attitudes and perceptions that influence EV choices, the inclusion of </w:t>
      </w:r>
      <w:r w:rsidR="008F28EB" w:rsidRPr="00E97BC8">
        <w:rPr>
          <w:rFonts w:cs="Times New Roman"/>
          <w:sz w:val="22"/>
          <w:szCs w:val="22"/>
        </w:rPr>
        <w:t xml:space="preserve">the </w:t>
      </w:r>
      <w:r w:rsidR="00105151" w:rsidRPr="00E97BC8">
        <w:rPr>
          <w:rFonts w:cs="Times New Roman"/>
          <w:sz w:val="22"/>
          <w:szCs w:val="22"/>
        </w:rPr>
        <w:t>stochastic latent constructs facilitates a parsimonious correlation structure among the</w:t>
      </w:r>
      <w:r w:rsidR="008F28EB" w:rsidRPr="00E97BC8">
        <w:rPr>
          <w:rFonts w:cs="Times New Roman"/>
          <w:sz w:val="22"/>
          <w:szCs w:val="22"/>
        </w:rPr>
        <w:t xml:space="preserve"> main</w:t>
      </w:r>
      <w:r w:rsidR="00105151" w:rsidRPr="00E97BC8">
        <w:rPr>
          <w:rFonts w:cs="Times New Roman"/>
          <w:sz w:val="22"/>
          <w:szCs w:val="22"/>
        </w:rPr>
        <w:t xml:space="preserve"> outcome variables</w:t>
      </w:r>
      <w:r w:rsidR="00A36380" w:rsidRPr="00E97BC8">
        <w:rPr>
          <w:rFonts w:cs="Times New Roman"/>
          <w:sz w:val="22"/>
          <w:szCs w:val="22"/>
        </w:rPr>
        <w:t xml:space="preserve"> (see the two-headed arrow at the top of the box containing the stochastic latent constructs identifying the correlations among the latent constructs)</w:t>
      </w:r>
      <w:r w:rsidR="00105151" w:rsidRPr="00E97BC8">
        <w:rPr>
          <w:rFonts w:cs="Times New Roman"/>
          <w:sz w:val="22"/>
          <w:szCs w:val="22"/>
        </w:rPr>
        <w:t>.</w:t>
      </w:r>
      <w:r w:rsidR="00BB02D1" w:rsidRPr="00E97BC8">
        <w:rPr>
          <w:rFonts w:cs="Times New Roman"/>
          <w:sz w:val="22"/>
          <w:szCs w:val="22"/>
        </w:rPr>
        <w:t xml:space="preserve"> </w:t>
      </w:r>
      <w:bookmarkStart w:id="20" w:name="_Hlk198716043"/>
      <w:r w:rsidR="00B02032" w:rsidRPr="00E97BC8">
        <w:rPr>
          <w:rFonts w:cs="Times New Roman"/>
          <w:sz w:val="22"/>
          <w:szCs w:val="22"/>
        </w:rPr>
        <w:t>Essentially, if a stochastic latent construct impacts both the EV adoption and an EV adoption motivating reason, the result immediately is a correlation between EV adoption and th</w:t>
      </w:r>
      <w:r w:rsidR="00AD4DD9" w:rsidRPr="00E97BC8">
        <w:rPr>
          <w:rFonts w:cs="Times New Roman"/>
          <w:sz w:val="22"/>
          <w:szCs w:val="22"/>
        </w:rPr>
        <w:t>e</w:t>
      </w:r>
      <w:r w:rsidR="00B02032" w:rsidRPr="00E97BC8">
        <w:rPr>
          <w:rFonts w:cs="Times New Roman"/>
          <w:sz w:val="22"/>
          <w:szCs w:val="22"/>
        </w:rPr>
        <w:t xml:space="preserve"> EV adoption motivating reason (because of the stochasticity</w:t>
      </w:r>
      <w:r w:rsidR="00A34BF3" w:rsidRPr="00E97BC8">
        <w:rPr>
          <w:rFonts w:cs="Times New Roman"/>
          <w:sz w:val="22"/>
          <w:szCs w:val="22"/>
        </w:rPr>
        <w:t xml:space="preserve"> of the latent construct</w:t>
      </w:r>
      <w:r w:rsidR="00B02032" w:rsidRPr="00E97BC8">
        <w:rPr>
          <w:rFonts w:cs="Times New Roman"/>
          <w:sz w:val="22"/>
          <w:szCs w:val="22"/>
        </w:rPr>
        <w:t xml:space="preserve">; that is, the unobserved error term embedded in the latent construct). This accounts for the self-selection bias </w:t>
      </w:r>
      <w:r w:rsidR="00BB02D1" w:rsidRPr="00E97BC8">
        <w:rPr>
          <w:rFonts w:cs="Times New Roman"/>
          <w:sz w:val="22"/>
          <w:szCs w:val="22"/>
        </w:rPr>
        <w:t>caused by the fact that motivations for EV adoption are only observed for current adopters</w:t>
      </w:r>
      <w:r w:rsidR="00B02032" w:rsidRPr="00E97BC8">
        <w:rPr>
          <w:rFonts w:cs="Times New Roman"/>
          <w:sz w:val="22"/>
          <w:szCs w:val="22"/>
        </w:rPr>
        <w:t xml:space="preserve">, as discussed earlier in Section </w:t>
      </w:r>
      <w:r w:rsidR="008C582E" w:rsidRPr="00E97BC8">
        <w:rPr>
          <w:rFonts w:cs="Times New Roman"/>
          <w:sz w:val="22"/>
          <w:szCs w:val="22"/>
        </w:rPr>
        <w:t>2</w:t>
      </w:r>
      <w:r w:rsidR="00B02032" w:rsidRPr="00E97BC8">
        <w:rPr>
          <w:rFonts w:cs="Times New Roman"/>
          <w:sz w:val="22"/>
          <w:szCs w:val="22"/>
        </w:rPr>
        <w:t xml:space="preserve">.3. </w:t>
      </w:r>
      <w:r w:rsidR="00A34BF3" w:rsidRPr="00E97BC8">
        <w:rPr>
          <w:rFonts w:cs="Times New Roman"/>
          <w:sz w:val="22"/>
          <w:szCs w:val="22"/>
        </w:rPr>
        <w:t xml:space="preserve">For example, if the GLP stochastic latent construct (which includes an unobserved </w:t>
      </w:r>
      <w:r w:rsidR="00BD40DB" w:rsidRPr="00E97BC8">
        <w:rPr>
          <w:rFonts w:cs="Times New Roman"/>
          <w:sz w:val="22"/>
          <w:szCs w:val="22"/>
        </w:rPr>
        <w:t xml:space="preserve">component, say </w:t>
      </w:r>
      <w:r w:rsidR="00A34BF3" w:rsidRPr="00E97BC8">
        <w:rPr>
          <w:rFonts w:cs="Times New Roman"/>
          <w:sz w:val="22"/>
          <w:szCs w:val="22"/>
        </w:rPr>
        <w:t xml:space="preserve">sustainability </w:t>
      </w:r>
      <w:r w:rsidR="00AD4DD9" w:rsidRPr="00E97BC8">
        <w:rPr>
          <w:rFonts w:cs="Times New Roman"/>
          <w:sz w:val="22"/>
          <w:szCs w:val="22"/>
        </w:rPr>
        <w:t>preference</w:t>
      </w:r>
      <w:r w:rsidR="00A34BF3" w:rsidRPr="00E97BC8">
        <w:rPr>
          <w:rFonts w:cs="Times New Roman"/>
          <w:sz w:val="22"/>
          <w:szCs w:val="22"/>
        </w:rPr>
        <w:t>) positively affects EV adoption as well as the motivating reason of “concern about climate change</w:t>
      </w:r>
      <w:r w:rsidR="006C2A31" w:rsidRPr="00E97BC8">
        <w:rPr>
          <w:rFonts w:cs="Times New Roman"/>
          <w:sz w:val="22"/>
          <w:szCs w:val="22"/>
        </w:rPr>
        <w:t>,</w:t>
      </w:r>
      <w:r w:rsidR="00A34BF3" w:rsidRPr="00E97BC8">
        <w:rPr>
          <w:rFonts w:cs="Times New Roman"/>
          <w:sz w:val="22"/>
          <w:szCs w:val="22"/>
        </w:rPr>
        <w:t xml:space="preserve">” as we observed in our empirical results discussed later, the net result is a positive correlation between these two dimensions that accommodates for self-selection effects. </w:t>
      </w:r>
      <w:bookmarkEnd w:id="19"/>
    </w:p>
    <w:bookmarkEnd w:id="20"/>
    <w:p w14:paraId="3A81A9B4" w14:textId="62AB9254" w:rsidR="00D21EB8" w:rsidRPr="00E97BC8" w:rsidRDefault="00427E08" w:rsidP="00E85093">
      <w:pPr>
        <w:keepNext/>
        <w:shd w:val="clear" w:color="auto" w:fill="FFFFFF"/>
        <w:spacing w:after="0" w:line="240" w:lineRule="auto"/>
        <w:ind w:firstLine="720"/>
        <w:jc w:val="both"/>
        <w:rPr>
          <w:rFonts w:cs="Times New Roman"/>
          <w:sz w:val="22"/>
          <w:szCs w:val="22"/>
        </w:rPr>
      </w:pPr>
      <w:r w:rsidRPr="00E97BC8">
        <w:rPr>
          <w:rFonts w:cs="Times New Roman"/>
          <w:sz w:val="22"/>
          <w:szCs w:val="22"/>
        </w:rPr>
        <w:t>Finally, t</w:t>
      </w:r>
      <w:r w:rsidR="00A71EBD" w:rsidRPr="00E97BC8">
        <w:rPr>
          <w:rFonts w:cs="Times New Roman"/>
          <w:sz w:val="22"/>
          <w:szCs w:val="22"/>
        </w:rPr>
        <w:t xml:space="preserve">he latent constructs are also allowed to be co-endogenous with the </w:t>
      </w:r>
      <w:r w:rsidR="00815127" w:rsidRPr="00E97BC8">
        <w:rPr>
          <w:rFonts w:cs="Times New Roman"/>
          <w:sz w:val="22"/>
          <w:szCs w:val="22"/>
        </w:rPr>
        <w:t>main EV outcomes</w:t>
      </w:r>
      <w:r w:rsidR="00A36380" w:rsidRPr="00E97BC8">
        <w:rPr>
          <w:rFonts w:cs="Times New Roman"/>
          <w:sz w:val="22"/>
          <w:szCs w:val="22"/>
        </w:rPr>
        <w:t xml:space="preserve"> (see the two-headed arrows connecting the stochastic latent constructs with each of the main outcomes in Figure 2)</w:t>
      </w:r>
      <w:r w:rsidR="00815127" w:rsidRPr="00E97BC8">
        <w:rPr>
          <w:rFonts w:cs="Times New Roman"/>
          <w:sz w:val="22"/>
          <w:szCs w:val="22"/>
        </w:rPr>
        <w:t xml:space="preserve">, allowing for correlations between the latent lifestyle preferences and perceptions </w:t>
      </w:r>
      <w:r w:rsidR="004154C4" w:rsidRPr="00E97BC8">
        <w:rPr>
          <w:rFonts w:cs="Times New Roman"/>
          <w:sz w:val="22"/>
          <w:szCs w:val="22"/>
        </w:rPr>
        <w:t>and the main outcomes of interest</w:t>
      </w:r>
      <w:r w:rsidR="00A34BF3" w:rsidRPr="00E97BC8">
        <w:rPr>
          <w:rFonts w:cs="Times New Roman"/>
          <w:sz w:val="22"/>
          <w:szCs w:val="22"/>
        </w:rPr>
        <w:t xml:space="preserve">, again as discussed earlier in Section </w:t>
      </w:r>
      <w:r w:rsidR="008C582E" w:rsidRPr="00E97BC8">
        <w:rPr>
          <w:rFonts w:cs="Times New Roman"/>
          <w:sz w:val="22"/>
          <w:szCs w:val="22"/>
        </w:rPr>
        <w:t>2</w:t>
      </w:r>
      <w:r w:rsidR="00A34BF3" w:rsidRPr="00E97BC8">
        <w:rPr>
          <w:rFonts w:cs="Times New Roman"/>
          <w:sz w:val="22"/>
          <w:szCs w:val="22"/>
        </w:rPr>
        <w:t>.3</w:t>
      </w:r>
      <w:r w:rsidR="004154C4" w:rsidRPr="00E97BC8">
        <w:rPr>
          <w:rFonts w:cs="Times New Roman"/>
          <w:sz w:val="22"/>
          <w:szCs w:val="22"/>
        </w:rPr>
        <w:t xml:space="preserve">. </w:t>
      </w:r>
    </w:p>
    <w:p w14:paraId="17B9160D" w14:textId="77777777" w:rsidR="00105151" w:rsidRPr="00E97BC8" w:rsidRDefault="00105151" w:rsidP="00E85093">
      <w:pPr>
        <w:shd w:val="clear" w:color="auto" w:fill="FFFFFF"/>
        <w:spacing w:after="0" w:line="240" w:lineRule="auto"/>
        <w:ind w:firstLine="720"/>
        <w:jc w:val="both"/>
        <w:rPr>
          <w:rFonts w:cs="Times New Roman"/>
          <w:sz w:val="22"/>
          <w:szCs w:val="22"/>
        </w:rPr>
      </w:pPr>
    </w:p>
    <w:p w14:paraId="47295F2F" w14:textId="66143088" w:rsidR="009F35E3" w:rsidRPr="00E97BC8" w:rsidRDefault="009F35E3" w:rsidP="00E85093">
      <w:pPr>
        <w:shd w:val="clear" w:color="auto" w:fill="FFFFFF"/>
        <w:spacing w:after="0" w:line="240" w:lineRule="auto"/>
        <w:jc w:val="both"/>
        <w:rPr>
          <w:rFonts w:cs="Times New Roman"/>
          <w:b/>
          <w:bCs/>
          <w:sz w:val="22"/>
          <w:szCs w:val="22"/>
        </w:rPr>
      </w:pPr>
      <w:r w:rsidRPr="00E97BC8">
        <w:rPr>
          <w:rFonts w:cs="Times New Roman"/>
          <w:b/>
          <w:bCs/>
          <w:sz w:val="22"/>
          <w:szCs w:val="22"/>
        </w:rPr>
        <w:t>3.</w:t>
      </w:r>
      <w:r w:rsidR="00ED490B" w:rsidRPr="00E97BC8">
        <w:rPr>
          <w:rFonts w:cs="Times New Roman"/>
          <w:b/>
          <w:bCs/>
          <w:sz w:val="22"/>
          <w:szCs w:val="22"/>
        </w:rPr>
        <w:t>3</w:t>
      </w:r>
      <w:r w:rsidRPr="00E97BC8">
        <w:rPr>
          <w:rFonts w:cs="Times New Roman"/>
          <w:b/>
          <w:bCs/>
          <w:sz w:val="22"/>
          <w:szCs w:val="22"/>
        </w:rPr>
        <w:t xml:space="preserve"> </w:t>
      </w:r>
      <w:r w:rsidR="00ED490B" w:rsidRPr="00E97BC8">
        <w:rPr>
          <w:rFonts w:cs="Times New Roman"/>
          <w:b/>
          <w:bCs/>
          <w:sz w:val="22"/>
          <w:szCs w:val="22"/>
        </w:rPr>
        <w:t>Model</w:t>
      </w:r>
      <w:r w:rsidRPr="00E97BC8">
        <w:rPr>
          <w:rFonts w:cs="Times New Roman"/>
          <w:b/>
          <w:bCs/>
          <w:sz w:val="22"/>
          <w:szCs w:val="22"/>
        </w:rPr>
        <w:t xml:space="preserve"> Formulation </w:t>
      </w:r>
    </w:p>
    <w:p w14:paraId="6C3F458C" w14:textId="15E36459" w:rsidR="00FF26BC" w:rsidRPr="00E97BC8" w:rsidRDefault="00D37CC2" w:rsidP="00E85093">
      <w:pPr>
        <w:shd w:val="clear" w:color="auto" w:fill="FFFFFF"/>
        <w:spacing w:after="0" w:line="240" w:lineRule="auto"/>
        <w:jc w:val="both"/>
        <w:rPr>
          <w:rFonts w:cs="Times New Roman"/>
          <w:sz w:val="22"/>
          <w:szCs w:val="22"/>
        </w:rPr>
      </w:pPr>
      <w:r w:rsidRPr="00E97BC8">
        <w:rPr>
          <w:rFonts w:cs="Times New Roman"/>
          <w:sz w:val="22"/>
          <w:szCs w:val="22"/>
        </w:rPr>
        <w:t xml:space="preserve">As mentioned </w:t>
      </w:r>
      <w:r w:rsidR="008F28EB" w:rsidRPr="00E97BC8">
        <w:rPr>
          <w:rFonts w:cs="Times New Roman"/>
          <w:sz w:val="22"/>
          <w:szCs w:val="22"/>
        </w:rPr>
        <w:t>above</w:t>
      </w:r>
      <w:r w:rsidR="0011666D" w:rsidRPr="00E97BC8">
        <w:rPr>
          <w:rFonts w:cs="Times New Roman"/>
          <w:sz w:val="22"/>
          <w:szCs w:val="22"/>
        </w:rPr>
        <w:t xml:space="preserve">, the main outcomes in this study consist of </w:t>
      </w:r>
      <w:r w:rsidR="005C1951" w:rsidRPr="00E97BC8">
        <w:rPr>
          <w:rFonts w:cs="Times New Roman"/>
          <w:sz w:val="22"/>
          <w:szCs w:val="22"/>
        </w:rPr>
        <w:t>one</w:t>
      </w:r>
      <w:r w:rsidR="0011666D" w:rsidRPr="00E97BC8">
        <w:rPr>
          <w:rFonts w:cs="Times New Roman"/>
          <w:sz w:val="22"/>
          <w:szCs w:val="22"/>
        </w:rPr>
        <w:t xml:space="preserve"> binary outcome and one nominal rank-ordered outcome. </w:t>
      </w:r>
      <w:r w:rsidR="00A97174" w:rsidRPr="00E97BC8">
        <w:rPr>
          <w:rFonts w:cs="Times New Roman"/>
          <w:sz w:val="22"/>
          <w:szCs w:val="22"/>
        </w:rPr>
        <w:t xml:space="preserve">Although </w:t>
      </w:r>
      <w:r w:rsidR="00023C87" w:rsidRPr="00E97BC8">
        <w:rPr>
          <w:rFonts w:cs="Times New Roman"/>
          <w:sz w:val="22"/>
          <w:szCs w:val="22"/>
        </w:rPr>
        <w:t xml:space="preserve">the rank-ordered outcome is only available for </w:t>
      </w:r>
      <w:r w:rsidR="00586025" w:rsidRPr="00E97BC8">
        <w:rPr>
          <w:rFonts w:cs="Times New Roman"/>
          <w:sz w:val="22"/>
          <w:szCs w:val="22"/>
        </w:rPr>
        <w:t>current EV owners</w:t>
      </w:r>
      <w:r w:rsidR="00A97174" w:rsidRPr="00E97BC8">
        <w:rPr>
          <w:rFonts w:cs="Times New Roman"/>
          <w:sz w:val="22"/>
          <w:szCs w:val="22"/>
        </w:rPr>
        <w:t xml:space="preserve">, the mathematical formulation of the GHDM model presented below is shown for </w:t>
      </w:r>
      <w:r w:rsidR="005104B8" w:rsidRPr="00E97BC8">
        <w:rPr>
          <w:rFonts w:cs="Times New Roman"/>
          <w:sz w:val="22"/>
          <w:szCs w:val="22"/>
        </w:rPr>
        <w:t xml:space="preserve">an individual with an EV (who has </w:t>
      </w:r>
      <w:r w:rsidR="001F738B" w:rsidRPr="00E97BC8">
        <w:rPr>
          <w:rFonts w:cs="Times New Roman"/>
          <w:sz w:val="22"/>
          <w:szCs w:val="22"/>
        </w:rPr>
        <w:t>an available set of rank-ordered reasons for adoption</w:t>
      </w:r>
      <w:r w:rsidR="005104B8" w:rsidRPr="00E97BC8">
        <w:rPr>
          <w:rFonts w:cs="Times New Roman"/>
          <w:sz w:val="22"/>
          <w:szCs w:val="22"/>
        </w:rPr>
        <w:t>)</w:t>
      </w:r>
      <w:r w:rsidR="00586025" w:rsidRPr="00E97BC8">
        <w:rPr>
          <w:rFonts w:cs="Times New Roman"/>
          <w:sz w:val="22"/>
          <w:szCs w:val="22"/>
        </w:rPr>
        <w:t xml:space="preserve">. </w:t>
      </w:r>
      <w:r w:rsidR="005971A1" w:rsidRPr="00E97BC8">
        <w:rPr>
          <w:rFonts w:cs="Times New Roman"/>
          <w:sz w:val="22"/>
          <w:szCs w:val="22"/>
        </w:rPr>
        <w:t>For individuals who do not own EVs</w:t>
      </w:r>
      <w:r w:rsidR="00913562" w:rsidRPr="00E97BC8">
        <w:rPr>
          <w:rFonts w:cs="Times New Roman"/>
          <w:sz w:val="22"/>
          <w:szCs w:val="22"/>
        </w:rPr>
        <w:t xml:space="preserve">, the </w:t>
      </w:r>
      <w:r w:rsidR="009559D3" w:rsidRPr="00E97BC8">
        <w:rPr>
          <w:rFonts w:cs="Times New Roman"/>
          <w:sz w:val="22"/>
          <w:szCs w:val="22"/>
        </w:rPr>
        <w:t>procedure</w:t>
      </w:r>
      <w:r w:rsidR="00913562" w:rsidRPr="00E97BC8">
        <w:rPr>
          <w:rFonts w:cs="Times New Roman"/>
          <w:sz w:val="22"/>
          <w:szCs w:val="22"/>
        </w:rPr>
        <w:t xml:space="preserve"> needs only a slight modification to marginalize over the rank-ordered outcome </w:t>
      </w:r>
      <w:r w:rsidR="00697A70" w:rsidRPr="00E97BC8">
        <w:rPr>
          <w:rFonts w:cs="Times New Roman"/>
          <w:sz w:val="22"/>
          <w:szCs w:val="22"/>
        </w:rPr>
        <w:t xml:space="preserve">such that only the EV ownership outcome (and the latent constructs along with their indicators) </w:t>
      </w:r>
      <w:r w:rsidR="00FF26BC" w:rsidRPr="00E97BC8">
        <w:rPr>
          <w:rFonts w:cs="Times New Roman"/>
          <w:sz w:val="22"/>
          <w:szCs w:val="22"/>
        </w:rPr>
        <w:t>is</w:t>
      </w:r>
      <w:r w:rsidR="00697A70" w:rsidRPr="00E97BC8">
        <w:rPr>
          <w:rFonts w:cs="Times New Roman"/>
          <w:sz w:val="22"/>
          <w:szCs w:val="22"/>
        </w:rPr>
        <w:t xml:space="preserve"> relevant.</w:t>
      </w:r>
      <w:r w:rsidR="001D5587" w:rsidRPr="00E97BC8">
        <w:rPr>
          <w:rFonts w:cs="Times New Roman"/>
          <w:sz w:val="22"/>
          <w:szCs w:val="22"/>
        </w:rPr>
        <w:t xml:space="preserve"> </w:t>
      </w:r>
      <w:r w:rsidR="00627889" w:rsidRPr="00E97BC8">
        <w:rPr>
          <w:rFonts w:cs="Times New Roman"/>
          <w:sz w:val="22"/>
          <w:szCs w:val="22"/>
        </w:rPr>
        <w:t xml:space="preserve">In the presentation below, we suppress the index for individuals for ease in presentation. </w:t>
      </w:r>
      <w:bookmarkStart w:id="21" w:name="_Hlk200012736"/>
      <w:r w:rsidR="00C70774" w:rsidRPr="00E97BC8">
        <w:rPr>
          <w:rFonts w:cs="Times New Roman"/>
          <w:sz w:val="22"/>
          <w:szCs w:val="22"/>
        </w:rPr>
        <w:t>Also, note that each individual does have the possibility of owning an EV</w:t>
      </w:r>
      <w:r w:rsidR="00421F55" w:rsidRPr="00E97BC8">
        <w:rPr>
          <w:rFonts w:cs="Times New Roman"/>
          <w:sz w:val="22"/>
          <w:szCs w:val="22"/>
        </w:rPr>
        <w:t xml:space="preserve"> (in either of the BEV or PHEV variant forms)</w:t>
      </w:r>
      <w:r w:rsidR="00C70774" w:rsidRPr="00E97BC8">
        <w:rPr>
          <w:rFonts w:cs="Times New Roman"/>
          <w:sz w:val="22"/>
          <w:szCs w:val="22"/>
        </w:rPr>
        <w:t xml:space="preserve">, since </w:t>
      </w:r>
      <w:r w:rsidR="00421F55" w:rsidRPr="00E97BC8">
        <w:rPr>
          <w:rFonts w:cs="Times New Roman"/>
          <w:sz w:val="22"/>
          <w:szCs w:val="22"/>
        </w:rPr>
        <w:t>both B</w:t>
      </w:r>
      <w:r w:rsidR="00C70774" w:rsidRPr="00E97BC8">
        <w:rPr>
          <w:rFonts w:cs="Times New Roman"/>
          <w:sz w:val="22"/>
          <w:szCs w:val="22"/>
        </w:rPr>
        <w:t xml:space="preserve">EVs </w:t>
      </w:r>
      <w:r w:rsidR="00421F55" w:rsidRPr="00E97BC8">
        <w:rPr>
          <w:rFonts w:cs="Times New Roman"/>
          <w:sz w:val="22"/>
          <w:szCs w:val="22"/>
        </w:rPr>
        <w:t xml:space="preserve">and PHEVs </w:t>
      </w:r>
      <w:r w:rsidR="00C70774" w:rsidRPr="00E97BC8">
        <w:rPr>
          <w:rFonts w:cs="Times New Roman"/>
          <w:sz w:val="22"/>
          <w:szCs w:val="22"/>
        </w:rPr>
        <w:t xml:space="preserve">are available in the marketplace. Similarly, because of the fact that, for current EV owners, all the adoption motivating reasons were presented to respondents in the survey, all of these reasons are de facto available to be chosen within the top three reasons.  </w:t>
      </w:r>
      <w:bookmarkEnd w:id="21"/>
    </w:p>
    <w:p w14:paraId="775779E1" w14:textId="58809755" w:rsidR="00B05C04" w:rsidRPr="00E97BC8" w:rsidRDefault="00FF26BC" w:rsidP="00E85093">
      <w:pPr>
        <w:shd w:val="clear" w:color="auto" w:fill="FFFFFF"/>
        <w:spacing w:after="0" w:line="240" w:lineRule="auto"/>
        <w:ind w:firstLine="720"/>
        <w:jc w:val="both"/>
        <w:rPr>
          <w:rFonts w:cs="Times New Roman"/>
          <w:sz w:val="22"/>
          <w:szCs w:val="22"/>
        </w:rPr>
      </w:pPr>
      <w:r w:rsidRPr="00E97BC8">
        <w:rPr>
          <w:rFonts w:cs="Times New Roman"/>
          <w:sz w:val="22"/>
          <w:szCs w:val="22"/>
        </w:rPr>
        <w:t>To begin, l</w:t>
      </w:r>
      <w:r w:rsidR="00F03F8F" w:rsidRPr="00E97BC8">
        <w:rPr>
          <w:rFonts w:cs="Times New Roman"/>
          <w:sz w:val="22"/>
          <w:szCs w:val="22"/>
        </w:rPr>
        <w:t xml:space="preserve">et </w:t>
      </w:r>
      <w:r w:rsidR="00BB15C1" w:rsidRPr="00E97BC8">
        <w:rPr>
          <w:rFonts w:cs="Times New Roman"/>
          <w:position w:val="-6"/>
          <w:sz w:val="22"/>
          <w:szCs w:val="22"/>
        </w:rPr>
        <w:object w:dxaOrig="139" w:dyaOrig="279" w14:anchorId="56C720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5pt;height:13.7pt" o:ole="">
            <v:imagedata r:id="rId8" o:title=""/>
          </v:shape>
          <o:OLEObject Type="Embed" ProgID="Equation.DSMT4" ShapeID="_x0000_i1025" DrawAspect="Content" ObjectID="_1811172213" r:id="rId9"/>
        </w:object>
      </w:r>
      <w:r w:rsidR="00F03F8F" w:rsidRPr="00E97BC8">
        <w:rPr>
          <w:rFonts w:cs="Times New Roman"/>
          <w:sz w:val="22"/>
          <w:szCs w:val="22"/>
        </w:rPr>
        <w:t xml:space="preserve"> be the index for the </w:t>
      </w:r>
      <w:r w:rsidR="00D44F78" w:rsidRPr="00E97BC8">
        <w:rPr>
          <w:rFonts w:cs="Times New Roman"/>
          <w:sz w:val="22"/>
          <w:szCs w:val="22"/>
        </w:rPr>
        <w:t xml:space="preserve">stochastic </w:t>
      </w:r>
      <w:r w:rsidR="00F03F8F" w:rsidRPr="00E97BC8">
        <w:rPr>
          <w:rFonts w:cs="Times New Roman"/>
          <w:sz w:val="22"/>
          <w:szCs w:val="22"/>
        </w:rPr>
        <w:t xml:space="preserve">latent constructs </w:t>
      </w:r>
      <w:r w:rsidR="00B9562B" w:rsidRPr="00E97BC8">
        <w:rPr>
          <w:rFonts w:cs="Times New Roman"/>
          <w:position w:val="-10"/>
          <w:sz w:val="22"/>
          <w:szCs w:val="22"/>
        </w:rPr>
        <w:object w:dxaOrig="1380" w:dyaOrig="320" w14:anchorId="7DD494F4">
          <v:shape id="_x0000_i1026" type="#_x0000_t75" style="width:68.15pt;height:16.3pt" o:ole="">
            <v:imagedata r:id="rId10" o:title=""/>
          </v:shape>
          <o:OLEObject Type="Embed" ProgID="Equation.DSMT4" ShapeID="_x0000_i1026" DrawAspect="Content" ObjectID="_1811172214" r:id="rId11"/>
        </w:object>
      </w:r>
      <w:r w:rsidR="000E27DA" w:rsidRPr="00E97BC8">
        <w:rPr>
          <w:rFonts w:cs="Times New Roman"/>
          <w:sz w:val="22"/>
          <w:szCs w:val="22"/>
        </w:rPr>
        <w:t>.</w:t>
      </w:r>
      <w:r w:rsidR="00E455A4" w:rsidRPr="00E97BC8">
        <w:rPr>
          <w:rFonts w:cs="Times New Roman"/>
          <w:sz w:val="22"/>
          <w:szCs w:val="22"/>
        </w:rPr>
        <w:t xml:space="preserve"> </w:t>
      </w:r>
      <w:r w:rsidR="000E27DA" w:rsidRPr="00E97BC8">
        <w:rPr>
          <w:rFonts w:cs="Times New Roman"/>
          <w:sz w:val="22"/>
          <w:szCs w:val="22"/>
        </w:rPr>
        <w:t>I</w:t>
      </w:r>
      <w:r w:rsidR="00E455A4" w:rsidRPr="00E97BC8">
        <w:rPr>
          <w:rFonts w:cs="Times New Roman"/>
          <w:sz w:val="22"/>
          <w:szCs w:val="22"/>
        </w:rPr>
        <w:t xml:space="preserve">n this case </w:t>
      </w:r>
      <w:r w:rsidR="002800A1" w:rsidRPr="00E97BC8">
        <w:rPr>
          <w:rFonts w:cs="Times New Roman"/>
          <w:position w:val="-10"/>
          <w:sz w:val="22"/>
          <w:szCs w:val="22"/>
        </w:rPr>
        <w:object w:dxaOrig="639" w:dyaOrig="320" w14:anchorId="081E9719">
          <v:shape id="_x0000_i1027" type="#_x0000_t75" style="width:31.7pt;height:16.3pt" o:ole="" o:preferrelative="f">
            <v:imagedata r:id="rId12" o:title=""/>
            <o:lock v:ext="edit" aspectratio="f"/>
          </v:shape>
          <o:OLEObject Type="Embed" ProgID="Equation.DSMT4" ShapeID="_x0000_i1027" DrawAspect="Content" ObjectID="_1811172215" r:id="rId13"/>
        </w:object>
      </w:r>
      <w:r w:rsidR="000E27DA" w:rsidRPr="00E97BC8">
        <w:rPr>
          <w:rFonts w:cs="Times New Roman"/>
          <w:sz w:val="22"/>
          <w:szCs w:val="22"/>
        </w:rPr>
        <w:t xml:space="preserve"> corresponding to the two attitudinal constructs and two EV perceptions. Then, denote the underlying latent construct </w:t>
      </w:r>
      <w:r w:rsidR="00BB15C1" w:rsidRPr="00E97BC8">
        <w:rPr>
          <w:rFonts w:cs="Times New Roman"/>
          <w:position w:val="-12"/>
          <w:sz w:val="22"/>
          <w:szCs w:val="22"/>
        </w:rPr>
        <w:object w:dxaOrig="260" w:dyaOrig="380" w14:anchorId="5708FAE3">
          <v:shape id="_x0000_i1028" type="#_x0000_t75" style="width:13.3pt;height:20.15pt" o:ole="">
            <v:imagedata r:id="rId14" o:title=""/>
          </v:shape>
          <o:OLEObject Type="Embed" ProgID="Equation.DSMT4" ShapeID="_x0000_i1028" DrawAspect="Content" ObjectID="_1811172216" r:id="rId15"/>
        </w:object>
      </w:r>
      <w:r w:rsidR="00067032" w:rsidRPr="00E97BC8">
        <w:rPr>
          <w:rFonts w:cs="Times New Roman"/>
          <w:sz w:val="22"/>
          <w:szCs w:val="22"/>
        </w:rPr>
        <w:t xml:space="preserve">, and write it as a function of covariates </w:t>
      </w:r>
      <w:r w:rsidR="00AE2B30" w:rsidRPr="00E97BC8">
        <w:rPr>
          <w:rFonts w:cs="Times New Roman"/>
          <w:sz w:val="22"/>
          <w:szCs w:val="22"/>
        </w:rPr>
        <w:t>in the SEM</w:t>
      </w:r>
      <w:r w:rsidR="002C3C1F" w:rsidRPr="00E97BC8">
        <w:rPr>
          <w:rFonts w:cs="Times New Roman"/>
          <w:sz w:val="22"/>
          <w:szCs w:val="22"/>
        </w:rPr>
        <w:t xml:space="preserve"> model</w:t>
      </w:r>
      <w:r w:rsidR="00AE2B30" w:rsidRPr="00E97BC8">
        <w:rPr>
          <w:rFonts w:cs="Times New Roman"/>
          <w:sz w:val="22"/>
          <w:szCs w:val="22"/>
        </w:rPr>
        <w:t xml:space="preserve"> component:</w:t>
      </w:r>
    </w:p>
    <w:p w14:paraId="67284990" w14:textId="48F7856D" w:rsidR="00AE2B30" w:rsidRPr="00E97BC8" w:rsidRDefault="008B43AC" w:rsidP="00E85093">
      <w:pPr>
        <w:pStyle w:val="MTDisplayEquation"/>
        <w:rPr>
          <w:rFonts w:cs="Times New Roman"/>
          <w:sz w:val="22"/>
          <w:szCs w:val="22"/>
        </w:rPr>
      </w:pPr>
      <w:r w:rsidRPr="00E97BC8">
        <w:rPr>
          <w:rFonts w:cs="Times New Roman"/>
          <w:position w:val="-12"/>
          <w:sz w:val="22"/>
          <w:szCs w:val="22"/>
        </w:rPr>
        <w:object w:dxaOrig="1260" w:dyaOrig="380" w14:anchorId="1DCCAF1B">
          <v:shape id="_x0000_i1029" type="#_x0000_t75" style="width:63.85pt;height:18.85pt" o:ole="" o:preferrelative="f">
            <v:imagedata r:id="rId16" o:title=""/>
            <o:lock v:ext="edit" aspectratio="f"/>
          </v:shape>
          <o:OLEObject Type="Embed" ProgID="Equation.DSMT4" ShapeID="_x0000_i1029" DrawAspect="Content" ObjectID="_1811172217" r:id="rId17"/>
        </w:object>
      </w:r>
      <w:r w:rsidR="00AE2B30" w:rsidRPr="00E97BC8">
        <w:rPr>
          <w:rFonts w:cs="Times New Roman"/>
          <w:sz w:val="22"/>
          <w:szCs w:val="22"/>
        </w:rPr>
        <w:tab/>
      </w:r>
      <w:r w:rsidR="00C1584B" w:rsidRPr="00E97BC8">
        <w:rPr>
          <w:rFonts w:cs="Times New Roman"/>
          <w:sz w:val="22"/>
          <w:szCs w:val="22"/>
        </w:rPr>
        <w:tab/>
      </w:r>
      <w:r w:rsidR="00AE2B30" w:rsidRPr="00E97BC8">
        <w:rPr>
          <w:rFonts w:cs="Times New Roman"/>
          <w:sz w:val="22"/>
          <w:szCs w:val="22"/>
        </w:rPr>
        <w:fldChar w:fldCharType="begin"/>
      </w:r>
      <w:r w:rsidR="00AE2B30" w:rsidRPr="00E97BC8">
        <w:rPr>
          <w:rFonts w:cs="Times New Roman"/>
          <w:sz w:val="22"/>
          <w:szCs w:val="22"/>
        </w:rPr>
        <w:instrText xml:space="preserve"> MACROBUTTON MTPlaceRef \* MERGEFORMAT </w:instrText>
      </w:r>
      <w:r w:rsidR="00AE2B30" w:rsidRPr="00E97BC8">
        <w:rPr>
          <w:rFonts w:cs="Times New Roman"/>
          <w:sz w:val="22"/>
          <w:szCs w:val="22"/>
        </w:rPr>
        <w:fldChar w:fldCharType="begin"/>
      </w:r>
      <w:r w:rsidR="00AE2B30" w:rsidRPr="00E97BC8">
        <w:rPr>
          <w:rFonts w:cs="Times New Roman"/>
          <w:sz w:val="22"/>
          <w:szCs w:val="22"/>
        </w:rPr>
        <w:instrText xml:space="preserve"> SEQ MTEqn \h \* MERGEFORMAT </w:instrText>
      </w:r>
      <w:r w:rsidR="00AE2B30" w:rsidRPr="00E97BC8">
        <w:rPr>
          <w:rFonts w:cs="Times New Roman"/>
          <w:sz w:val="22"/>
          <w:szCs w:val="22"/>
        </w:rPr>
        <w:fldChar w:fldCharType="end"/>
      </w:r>
      <w:r w:rsidR="00AE2B30" w:rsidRPr="00E97BC8">
        <w:rPr>
          <w:rFonts w:cs="Times New Roman"/>
          <w:sz w:val="22"/>
          <w:szCs w:val="22"/>
        </w:rPr>
        <w:instrText>(</w:instrText>
      </w:r>
      <w:r w:rsidR="008E368F" w:rsidRPr="00E97BC8">
        <w:rPr>
          <w:rFonts w:cs="Times New Roman"/>
          <w:sz w:val="22"/>
          <w:szCs w:val="22"/>
        </w:rPr>
        <w:fldChar w:fldCharType="begin"/>
      </w:r>
      <w:r w:rsidR="008E368F" w:rsidRPr="00E97BC8">
        <w:rPr>
          <w:rFonts w:cs="Times New Roman"/>
          <w:sz w:val="22"/>
          <w:szCs w:val="22"/>
        </w:rPr>
        <w:instrText xml:space="preserve"> SEQ MTEqn \c \* Arabic \* MERGEFORMAT </w:instrText>
      </w:r>
      <w:r w:rsidR="008E368F" w:rsidRPr="00E97BC8">
        <w:rPr>
          <w:rFonts w:cs="Times New Roman"/>
          <w:sz w:val="22"/>
          <w:szCs w:val="22"/>
        </w:rPr>
        <w:fldChar w:fldCharType="separate"/>
      </w:r>
      <w:r w:rsidR="00EF198F" w:rsidRPr="00E97BC8">
        <w:rPr>
          <w:rFonts w:cs="Times New Roman"/>
          <w:sz w:val="22"/>
          <w:szCs w:val="22"/>
        </w:rPr>
        <w:instrText>1</w:instrText>
      </w:r>
      <w:r w:rsidR="008E368F" w:rsidRPr="00E97BC8">
        <w:rPr>
          <w:rFonts w:cs="Times New Roman"/>
          <w:sz w:val="22"/>
          <w:szCs w:val="22"/>
        </w:rPr>
        <w:fldChar w:fldCharType="end"/>
      </w:r>
      <w:r w:rsidR="00AE2B30" w:rsidRPr="00E97BC8">
        <w:rPr>
          <w:rFonts w:cs="Times New Roman"/>
          <w:sz w:val="22"/>
          <w:szCs w:val="22"/>
        </w:rPr>
        <w:instrText>)</w:instrText>
      </w:r>
      <w:r w:rsidR="00AE2B30" w:rsidRPr="00E97BC8">
        <w:rPr>
          <w:rFonts w:cs="Times New Roman"/>
          <w:sz w:val="22"/>
          <w:szCs w:val="22"/>
        </w:rPr>
        <w:fldChar w:fldCharType="end"/>
      </w:r>
    </w:p>
    <w:p w14:paraId="3719E37D" w14:textId="450F96A4" w:rsidR="00EB52DF" w:rsidRPr="00E97BC8" w:rsidRDefault="004F39EB" w:rsidP="00E85093">
      <w:pPr>
        <w:spacing w:after="0" w:line="240" w:lineRule="auto"/>
        <w:jc w:val="both"/>
        <w:rPr>
          <w:rFonts w:cs="Times New Roman"/>
          <w:sz w:val="22"/>
          <w:szCs w:val="22"/>
        </w:rPr>
      </w:pPr>
      <w:r w:rsidRPr="00E97BC8">
        <w:rPr>
          <w:rFonts w:cs="Times New Roman"/>
          <w:sz w:val="22"/>
          <w:szCs w:val="22"/>
        </w:rPr>
        <w:t xml:space="preserve">where </w:t>
      </w:r>
      <w:r w:rsidR="008B43AC" w:rsidRPr="00E97BC8">
        <w:rPr>
          <w:rFonts w:cs="Times New Roman"/>
          <w:position w:val="-6"/>
          <w:sz w:val="22"/>
          <w:szCs w:val="22"/>
        </w:rPr>
        <w:object w:dxaOrig="260" w:dyaOrig="220" w14:anchorId="53F89B44">
          <v:shape id="_x0000_i1030" type="#_x0000_t75" style="width:13.3pt;height:10.7pt" o:ole="" o:preferrelative="f">
            <v:imagedata r:id="rId18" o:title=""/>
            <o:lock v:ext="edit" aspectratio="f"/>
          </v:shape>
          <o:OLEObject Type="Embed" ProgID="Equation.DSMT4" ShapeID="_x0000_i1030" DrawAspect="Content" ObjectID="_1811172218" r:id="rId19"/>
        </w:object>
      </w:r>
      <w:r w:rsidRPr="00E97BC8">
        <w:rPr>
          <w:rFonts w:cs="Times New Roman"/>
          <w:sz w:val="22"/>
          <w:szCs w:val="22"/>
        </w:rPr>
        <w:t xml:space="preserve"> is a </w:t>
      </w:r>
      <w:r w:rsidR="008B43AC" w:rsidRPr="00E97BC8">
        <w:rPr>
          <w:rFonts w:cs="Times New Roman"/>
          <w:position w:val="-10"/>
          <w:sz w:val="22"/>
          <w:szCs w:val="22"/>
        </w:rPr>
        <w:object w:dxaOrig="680" w:dyaOrig="320" w14:anchorId="5AE6C2A1">
          <v:shape id="_x0000_i1031" type="#_x0000_t75" style="width:33.85pt;height:16.3pt" o:ole="" o:preferrelative="f">
            <v:imagedata r:id="rId20" o:title=""/>
            <o:lock v:ext="edit" aspectratio="f"/>
          </v:shape>
          <o:OLEObject Type="Embed" ProgID="Equation.DSMT4" ShapeID="_x0000_i1031" DrawAspect="Content" ObjectID="_1811172219" r:id="rId21"/>
        </w:object>
      </w:r>
      <w:r w:rsidRPr="00E97BC8">
        <w:rPr>
          <w:rFonts w:cs="Times New Roman"/>
          <w:sz w:val="22"/>
          <w:szCs w:val="22"/>
        </w:rPr>
        <w:t xml:space="preserve"> vector of observed </w:t>
      </w:r>
      <w:r w:rsidR="002C3C1F" w:rsidRPr="00E97BC8">
        <w:rPr>
          <w:rFonts w:cs="Times New Roman"/>
          <w:sz w:val="22"/>
          <w:szCs w:val="22"/>
        </w:rPr>
        <w:t>variables</w:t>
      </w:r>
      <w:r w:rsidRPr="00E97BC8">
        <w:rPr>
          <w:rFonts w:cs="Times New Roman"/>
          <w:sz w:val="22"/>
          <w:szCs w:val="22"/>
        </w:rPr>
        <w:t xml:space="preserve"> (excluding a constant), </w:t>
      </w:r>
      <w:r w:rsidR="008B43AC" w:rsidRPr="00E97BC8">
        <w:rPr>
          <w:rFonts w:cs="Times New Roman"/>
          <w:position w:val="-12"/>
          <w:sz w:val="22"/>
          <w:szCs w:val="22"/>
        </w:rPr>
        <w:object w:dxaOrig="260" w:dyaOrig="360" w14:anchorId="1C00CAC6">
          <v:shape id="_x0000_i1032" type="#_x0000_t75" style="width:13.3pt;height:18.85pt" o:ole="" o:preferrelative="f">
            <v:imagedata r:id="rId22" o:title=""/>
            <o:lock v:ext="edit" aspectratio="f"/>
          </v:shape>
          <o:OLEObject Type="Embed" ProgID="Equation.DSMT4" ShapeID="_x0000_i1032" DrawAspect="Content" ObjectID="_1811172220" r:id="rId23"/>
        </w:object>
      </w:r>
      <w:r w:rsidRPr="00E97BC8">
        <w:rPr>
          <w:rFonts w:cs="Times New Roman"/>
          <w:sz w:val="22"/>
          <w:szCs w:val="22"/>
        </w:rPr>
        <w:t xml:space="preserve"> is a corresponding </w:t>
      </w:r>
      <w:r w:rsidR="008B43AC" w:rsidRPr="00E97BC8">
        <w:rPr>
          <w:rFonts w:cs="Times New Roman"/>
          <w:position w:val="-10"/>
          <w:sz w:val="22"/>
          <w:szCs w:val="22"/>
        </w:rPr>
        <w:object w:dxaOrig="680" w:dyaOrig="320" w14:anchorId="18FB6F15">
          <v:shape id="_x0000_i1033" type="#_x0000_t75" style="width:33.85pt;height:16.3pt" o:ole="" o:preferrelative="f">
            <v:imagedata r:id="rId20" o:title=""/>
            <o:lock v:ext="edit" aspectratio="f"/>
          </v:shape>
          <o:OLEObject Type="Embed" ProgID="Equation.DSMT4" ShapeID="_x0000_i1033" DrawAspect="Content" ObjectID="_1811172221" r:id="rId24"/>
        </w:object>
      </w:r>
      <w:r w:rsidRPr="00E97BC8">
        <w:rPr>
          <w:rFonts w:cs="Times New Roman"/>
          <w:sz w:val="22"/>
          <w:szCs w:val="22"/>
        </w:rPr>
        <w:t xml:space="preserve"> vector of coefficients, and </w:t>
      </w:r>
      <w:r w:rsidR="008B43AC" w:rsidRPr="00E97BC8">
        <w:rPr>
          <w:rFonts w:cs="Times New Roman"/>
          <w:position w:val="-12"/>
          <w:sz w:val="22"/>
          <w:szCs w:val="22"/>
        </w:rPr>
        <w:object w:dxaOrig="240" w:dyaOrig="360" w14:anchorId="79E7CFF9">
          <v:shape id="_x0000_i1034" type="#_x0000_t75" style="width:11.15pt;height:18.85pt" o:ole="" o:preferrelative="f">
            <v:imagedata r:id="rId25" o:title=""/>
            <o:lock v:ext="edit" aspectratio="f"/>
          </v:shape>
          <o:OLEObject Type="Embed" ProgID="Equation.DSMT4" ShapeID="_x0000_i1034" DrawAspect="Content" ObjectID="_1811172222" r:id="rId26"/>
        </w:object>
      </w:r>
      <w:r w:rsidRPr="00E97BC8">
        <w:rPr>
          <w:rFonts w:cs="Times New Roman"/>
          <w:sz w:val="22"/>
          <w:szCs w:val="22"/>
        </w:rPr>
        <w:t xml:space="preserve"> is a random error </w:t>
      </w:r>
      <w:proofErr w:type="gramStart"/>
      <w:r w:rsidRPr="00E97BC8">
        <w:rPr>
          <w:rFonts w:cs="Times New Roman"/>
          <w:sz w:val="22"/>
          <w:szCs w:val="22"/>
        </w:rPr>
        <w:t>term</w:t>
      </w:r>
      <w:r w:rsidR="00757D34" w:rsidRPr="00E97BC8">
        <w:rPr>
          <w:rFonts w:cs="Times New Roman"/>
          <w:sz w:val="22"/>
          <w:szCs w:val="22"/>
        </w:rPr>
        <w:t>.</w:t>
      </w:r>
      <w:proofErr w:type="gramEnd"/>
      <w:r w:rsidR="00757D34" w:rsidRPr="00E97BC8">
        <w:rPr>
          <w:rFonts w:cs="Times New Roman"/>
          <w:sz w:val="22"/>
          <w:szCs w:val="22"/>
        </w:rPr>
        <w:t xml:space="preserve"> </w:t>
      </w:r>
      <w:r w:rsidR="001009BE" w:rsidRPr="00E97BC8">
        <w:rPr>
          <w:rFonts w:cs="Times New Roman"/>
          <w:sz w:val="22"/>
          <w:szCs w:val="22"/>
        </w:rPr>
        <w:t xml:space="preserve">The error vector </w:t>
      </w:r>
      <w:bookmarkStart w:id="22" w:name="_Hlk198814409"/>
      <w:r w:rsidR="008B43AC" w:rsidRPr="00E97BC8">
        <w:rPr>
          <w:rFonts w:cs="Times New Roman"/>
          <w:position w:val="-12"/>
          <w:sz w:val="22"/>
          <w:szCs w:val="22"/>
        </w:rPr>
        <w:object w:dxaOrig="240" w:dyaOrig="360" w14:anchorId="64E5D2ED">
          <v:shape id="_x0000_i1035" type="#_x0000_t75" style="width:11.15pt;height:18.85pt" o:ole="" o:preferrelative="f">
            <v:imagedata r:id="rId25" o:title=""/>
            <o:lock v:ext="edit" aspectratio="f"/>
          </v:shape>
          <o:OLEObject Type="Embed" ProgID="Equation.DSMT4" ShapeID="_x0000_i1035" DrawAspect="Content" ObjectID="_1811172223" r:id="rId27"/>
        </w:object>
      </w:r>
      <w:bookmarkEnd w:id="22"/>
      <w:r w:rsidR="001009BE" w:rsidRPr="00E97BC8">
        <w:rPr>
          <w:rFonts w:cs="Times New Roman"/>
          <w:sz w:val="22"/>
          <w:szCs w:val="22"/>
        </w:rPr>
        <w:t xml:space="preserve"> is</w:t>
      </w:r>
      <w:r w:rsidRPr="00E97BC8">
        <w:rPr>
          <w:rFonts w:cs="Times New Roman"/>
          <w:sz w:val="22"/>
          <w:szCs w:val="22"/>
        </w:rPr>
        <w:t xml:space="preserve"> assumed to be standard normally distributed</w:t>
      </w:r>
      <w:r w:rsidR="001009BE" w:rsidRPr="00E97BC8">
        <w:rPr>
          <w:rFonts w:cs="Times New Roman"/>
          <w:sz w:val="22"/>
          <w:szCs w:val="22"/>
        </w:rPr>
        <w:t xml:space="preserve"> and</w:t>
      </w:r>
      <w:r w:rsidR="00585656" w:rsidRPr="00E97BC8">
        <w:rPr>
          <w:rFonts w:cs="Times New Roman"/>
          <w:sz w:val="22"/>
          <w:szCs w:val="22"/>
        </w:rPr>
        <w:t xml:space="preserve"> captures the effects of unobserved factors that </w:t>
      </w:r>
      <w:r w:rsidR="0057283F" w:rsidRPr="00E97BC8">
        <w:rPr>
          <w:rFonts w:cs="Times New Roman"/>
          <w:sz w:val="22"/>
          <w:szCs w:val="22"/>
        </w:rPr>
        <w:t>influence</w:t>
      </w:r>
      <w:r w:rsidR="00585656" w:rsidRPr="00E97BC8">
        <w:rPr>
          <w:rFonts w:cs="Times New Roman"/>
          <w:sz w:val="22"/>
          <w:szCs w:val="22"/>
        </w:rPr>
        <w:t xml:space="preserve"> the</w:t>
      </w:r>
      <w:r w:rsidR="0057283F" w:rsidRPr="00E97BC8">
        <w:rPr>
          <w:rFonts w:cs="Times New Roman"/>
          <w:sz w:val="22"/>
          <w:szCs w:val="22"/>
        </w:rPr>
        <w:t xml:space="preserve"> stochastic</w:t>
      </w:r>
      <w:r w:rsidR="00585656" w:rsidRPr="00E97BC8">
        <w:rPr>
          <w:rFonts w:cs="Times New Roman"/>
          <w:sz w:val="22"/>
          <w:szCs w:val="22"/>
        </w:rPr>
        <w:t xml:space="preserve"> latent constructs, after controlling for observed demographics. </w:t>
      </w:r>
      <w:r w:rsidR="00EB52DF" w:rsidRPr="00E97BC8">
        <w:rPr>
          <w:rFonts w:cs="Times New Roman"/>
          <w:sz w:val="22"/>
          <w:szCs w:val="22"/>
        </w:rPr>
        <w:t xml:space="preserve">We also define the </w:t>
      </w:r>
      <w:r w:rsidR="00A53CD0" w:rsidRPr="00E97BC8">
        <w:rPr>
          <w:rFonts w:eastAsiaTheme="minorEastAsia" w:cs="Times New Roman"/>
          <w:position w:val="-10"/>
          <w:sz w:val="22"/>
          <w:szCs w:val="22"/>
        </w:rPr>
        <w:object w:dxaOrig="760" w:dyaOrig="320" w14:anchorId="6374D518">
          <v:shape id="_x0000_i1036" type="#_x0000_t75" style="width:38.15pt;height:16.3pt" o:ole="" o:preferrelative="f">
            <v:imagedata r:id="rId28" o:title=""/>
            <o:lock v:ext="edit" aspectratio="f"/>
          </v:shape>
          <o:OLEObject Type="Embed" ProgID="Equation.DSMT4" ShapeID="_x0000_i1036" DrawAspect="Content" ObjectID="_1811172224" r:id="rId29"/>
        </w:object>
      </w:r>
      <w:r w:rsidR="00EB52DF" w:rsidRPr="00E97BC8">
        <w:rPr>
          <w:rFonts w:eastAsiaTheme="minorEastAsia" w:cs="Times New Roman"/>
          <w:sz w:val="22"/>
          <w:szCs w:val="22"/>
        </w:rPr>
        <w:t xml:space="preserve"> </w:t>
      </w:r>
      <w:r w:rsidR="00EB52DF" w:rsidRPr="00E97BC8">
        <w:rPr>
          <w:rFonts w:cs="Times New Roman"/>
          <w:sz w:val="22"/>
          <w:szCs w:val="22"/>
        </w:rPr>
        <w:t xml:space="preserve">matrix </w:t>
      </w:r>
      <w:r w:rsidR="008B43AC" w:rsidRPr="00E97BC8">
        <w:rPr>
          <w:rFonts w:eastAsiaTheme="minorEastAsia" w:cs="Times New Roman"/>
          <w:position w:val="-12"/>
          <w:sz w:val="22"/>
          <w:szCs w:val="22"/>
        </w:rPr>
        <w:object w:dxaOrig="1780" w:dyaOrig="360" w14:anchorId="719E7C51">
          <v:shape id="_x0000_i1037" type="#_x0000_t75" style="width:88.3pt;height:18.85pt" o:ole="" o:preferrelative="f">
            <v:imagedata r:id="rId30" o:title=""/>
            <o:lock v:ext="edit" aspectratio="f"/>
          </v:shape>
          <o:OLEObject Type="Embed" ProgID="Equation.DSMT4" ShapeID="_x0000_i1037" DrawAspect="Content" ObjectID="_1811172225" r:id="rId31"/>
        </w:object>
      </w:r>
      <w:r w:rsidR="00EB52DF" w:rsidRPr="00E97BC8">
        <w:rPr>
          <w:rFonts w:cs="Times New Roman"/>
          <w:sz w:val="22"/>
          <w:szCs w:val="22"/>
        </w:rPr>
        <w:t xml:space="preserve">, and </w:t>
      </w:r>
      <w:r w:rsidR="00EB52DF" w:rsidRPr="00E97BC8">
        <w:rPr>
          <w:rFonts w:cs="Times New Roman"/>
          <w:sz w:val="22"/>
          <w:szCs w:val="22"/>
        </w:rPr>
        <w:lastRenderedPageBreak/>
        <w:t xml:space="preserve">the </w:t>
      </w:r>
      <w:r w:rsidR="00B9562B" w:rsidRPr="00E97BC8">
        <w:rPr>
          <w:rFonts w:eastAsiaTheme="minorEastAsia" w:cs="Times New Roman"/>
          <w:position w:val="-10"/>
          <w:sz w:val="22"/>
          <w:szCs w:val="22"/>
        </w:rPr>
        <w:object w:dxaOrig="672" w:dyaOrig="312" w14:anchorId="12F8FB2F">
          <v:shape id="_x0000_i1038" type="#_x0000_t75" style="width:33.85pt;height:15.85pt" o:ole="" o:preferrelative="f">
            <v:imagedata r:id="rId32" o:title=""/>
            <o:lock v:ext="edit" aspectratio="f"/>
          </v:shape>
          <o:OLEObject Type="Embed" ProgID="Equation.3" ShapeID="_x0000_i1038" DrawAspect="Content" ObjectID="_1811172226" r:id="rId33"/>
        </w:object>
      </w:r>
      <w:r w:rsidR="00EB52DF" w:rsidRPr="00E97BC8">
        <w:rPr>
          <w:rFonts w:eastAsiaTheme="minorEastAsia" w:cs="Times New Roman"/>
          <w:sz w:val="22"/>
          <w:szCs w:val="22"/>
        </w:rPr>
        <w:t xml:space="preserve"> </w:t>
      </w:r>
      <w:r w:rsidR="00EB52DF" w:rsidRPr="00E97BC8">
        <w:rPr>
          <w:rFonts w:cs="Times New Roman"/>
          <w:sz w:val="22"/>
          <w:szCs w:val="22"/>
        </w:rPr>
        <w:t xml:space="preserve">vectors </w:t>
      </w:r>
      <w:r w:rsidR="008B43AC" w:rsidRPr="00E97BC8">
        <w:rPr>
          <w:rFonts w:eastAsiaTheme="minorEastAsia" w:cs="Times New Roman"/>
          <w:position w:val="-12"/>
          <w:sz w:val="22"/>
          <w:szCs w:val="22"/>
        </w:rPr>
        <w:object w:dxaOrig="1820" w:dyaOrig="380" w14:anchorId="531A7219">
          <v:shape id="_x0000_i1039" type="#_x0000_t75" style="width:91.3pt;height:18.85pt" o:ole="" o:preferrelative="f">
            <v:imagedata r:id="rId34" o:title=""/>
            <o:lock v:ext="edit" aspectratio="f"/>
          </v:shape>
          <o:OLEObject Type="Embed" ProgID="Equation.DSMT4" ShapeID="_x0000_i1039" DrawAspect="Content" ObjectID="_1811172227" r:id="rId35"/>
        </w:object>
      </w:r>
      <w:r w:rsidR="00EB52DF" w:rsidRPr="00E97BC8">
        <w:rPr>
          <w:rFonts w:cs="Times New Roman"/>
          <w:sz w:val="22"/>
          <w:szCs w:val="22"/>
        </w:rPr>
        <w:t xml:space="preserve"> and </w:t>
      </w:r>
      <w:r w:rsidR="00B9562B" w:rsidRPr="00E97BC8">
        <w:rPr>
          <w:rFonts w:eastAsiaTheme="minorEastAsia" w:cs="Times New Roman"/>
          <w:position w:val="-12"/>
          <w:sz w:val="22"/>
          <w:szCs w:val="22"/>
        </w:rPr>
        <w:object w:dxaOrig="1800" w:dyaOrig="360" w14:anchorId="7C978DE1">
          <v:shape id="_x0000_i1040" type="#_x0000_t75" style="width:90.85pt;height:18.85pt" o:ole="" o:preferrelative="f">
            <v:imagedata r:id="rId36" o:title=""/>
            <o:lock v:ext="edit" aspectratio="f"/>
          </v:shape>
          <o:OLEObject Type="Embed" ProgID="Equation.DSMT4" ShapeID="_x0000_i1040" DrawAspect="Content" ObjectID="_1811172228" r:id="rId37"/>
        </w:object>
      </w:r>
      <w:r w:rsidR="008A4ADB" w:rsidRPr="00E97BC8">
        <w:rPr>
          <w:rFonts w:eastAsiaTheme="minorEastAsia" w:cs="Times New Roman"/>
          <w:sz w:val="22"/>
          <w:szCs w:val="22"/>
        </w:rPr>
        <w:t xml:space="preserve">. Thus, </w:t>
      </w:r>
      <w:r w:rsidR="00EB52DF" w:rsidRPr="00E97BC8">
        <w:rPr>
          <w:rFonts w:cs="Times New Roman"/>
          <w:sz w:val="22"/>
          <w:szCs w:val="22"/>
        </w:rPr>
        <w:t xml:space="preserve">we may write Equation (1) </w:t>
      </w:r>
      <w:r w:rsidR="009F1253" w:rsidRPr="00E97BC8">
        <w:rPr>
          <w:rFonts w:eastAsiaTheme="minorEastAsia" w:cs="Times New Roman"/>
          <w:sz w:val="22"/>
          <w:szCs w:val="22"/>
        </w:rPr>
        <w:t>i</w:t>
      </w:r>
      <w:r w:rsidR="009F1253" w:rsidRPr="00E97BC8">
        <w:rPr>
          <w:rFonts w:cs="Times New Roman"/>
          <w:sz w:val="22"/>
          <w:szCs w:val="22"/>
        </w:rPr>
        <w:t xml:space="preserve">n matrix form </w:t>
      </w:r>
      <w:r w:rsidR="00EB52DF" w:rsidRPr="00E97BC8">
        <w:rPr>
          <w:rFonts w:cs="Times New Roman"/>
          <w:sz w:val="22"/>
          <w:szCs w:val="22"/>
        </w:rPr>
        <w:t>as:</w:t>
      </w:r>
    </w:p>
    <w:p w14:paraId="623CD41C" w14:textId="7647D19B" w:rsidR="0010546F" w:rsidRPr="00E97BC8" w:rsidRDefault="00C55A95" w:rsidP="00E85093">
      <w:pPr>
        <w:pStyle w:val="MTDisplayEquation"/>
        <w:rPr>
          <w:rFonts w:cs="Times New Roman"/>
          <w:sz w:val="22"/>
          <w:szCs w:val="22"/>
        </w:rPr>
      </w:pPr>
      <w:r w:rsidRPr="00E97BC8">
        <w:rPr>
          <w:rFonts w:cs="Times New Roman"/>
          <w:position w:val="-10"/>
          <w:sz w:val="22"/>
          <w:szCs w:val="22"/>
        </w:rPr>
        <w:object w:dxaOrig="1180" w:dyaOrig="360" w14:anchorId="28306020">
          <v:shape id="_x0000_i1041" type="#_x0000_t75" style="width:58.7pt;height:18pt" o:ole="" o:preferrelative="f">
            <v:imagedata r:id="rId38" o:title=""/>
            <o:lock v:ext="edit" aspectratio="f"/>
          </v:shape>
          <o:OLEObject Type="Embed" ProgID="Equation.DSMT4" ShapeID="_x0000_i1041" DrawAspect="Content" ObjectID="_1811172229" r:id="rId39"/>
        </w:object>
      </w:r>
      <w:r w:rsidR="0010546F" w:rsidRPr="00E97BC8">
        <w:rPr>
          <w:rFonts w:cs="Times New Roman"/>
          <w:sz w:val="22"/>
          <w:szCs w:val="22"/>
        </w:rPr>
        <w:tab/>
      </w:r>
      <w:r w:rsidR="0010546F" w:rsidRPr="00E97BC8">
        <w:rPr>
          <w:rFonts w:cs="Times New Roman"/>
          <w:sz w:val="22"/>
          <w:szCs w:val="22"/>
        </w:rPr>
        <w:tab/>
      </w:r>
      <w:r w:rsidR="0010546F" w:rsidRPr="00E97BC8">
        <w:rPr>
          <w:rFonts w:cs="Times New Roman"/>
          <w:sz w:val="22"/>
          <w:szCs w:val="22"/>
        </w:rPr>
        <w:fldChar w:fldCharType="begin"/>
      </w:r>
      <w:r w:rsidR="0010546F" w:rsidRPr="00E97BC8">
        <w:rPr>
          <w:rFonts w:cs="Times New Roman"/>
          <w:sz w:val="22"/>
          <w:szCs w:val="22"/>
        </w:rPr>
        <w:instrText xml:space="preserve"> MACROBUTTON MTPlaceRef \* MERGEFORMAT </w:instrText>
      </w:r>
      <w:r w:rsidR="0010546F" w:rsidRPr="00E97BC8">
        <w:rPr>
          <w:rFonts w:cs="Times New Roman"/>
          <w:sz w:val="22"/>
          <w:szCs w:val="22"/>
        </w:rPr>
        <w:fldChar w:fldCharType="begin"/>
      </w:r>
      <w:r w:rsidR="0010546F" w:rsidRPr="00E97BC8">
        <w:rPr>
          <w:rFonts w:cs="Times New Roman"/>
          <w:sz w:val="22"/>
          <w:szCs w:val="22"/>
        </w:rPr>
        <w:instrText xml:space="preserve"> SEQ MTEqn \h \* MERGEFORMAT </w:instrText>
      </w:r>
      <w:r w:rsidR="0010546F" w:rsidRPr="00E97BC8">
        <w:rPr>
          <w:rFonts w:cs="Times New Roman"/>
          <w:sz w:val="22"/>
          <w:szCs w:val="22"/>
        </w:rPr>
        <w:fldChar w:fldCharType="end"/>
      </w:r>
      <w:r w:rsidR="0010546F" w:rsidRPr="00E97BC8">
        <w:rPr>
          <w:rFonts w:cs="Times New Roman"/>
          <w:sz w:val="22"/>
          <w:szCs w:val="22"/>
        </w:rPr>
        <w:instrText>(</w:instrText>
      </w:r>
      <w:r w:rsidR="008E368F" w:rsidRPr="00E97BC8">
        <w:rPr>
          <w:rFonts w:cs="Times New Roman"/>
          <w:sz w:val="22"/>
          <w:szCs w:val="22"/>
        </w:rPr>
        <w:fldChar w:fldCharType="begin"/>
      </w:r>
      <w:r w:rsidR="008E368F" w:rsidRPr="00E97BC8">
        <w:rPr>
          <w:rFonts w:cs="Times New Roman"/>
          <w:sz w:val="22"/>
          <w:szCs w:val="22"/>
        </w:rPr>
        <w:instrText xml:space="preserve"> SEQ MTEqn \c \* Arabic \* MERGEFORMAT </w:instrText>
      </w:r>
      <w:r w:rsidR="008E368F" w:rsidRPr="00E97BC8">
        <w:rPr>
          <w:rFonts w:cs="Times New Roman"/>
          <w:sz w:val="22"/>
          <w:szCs w:val="22"/>
        </w:rPr>
        <w:fldChar w:fldCharType="separate"/>
      </w:r>
      <w:r w:rsidR="00EF198F" w:rsidRPr="00E97BC8">
        <w:rPr>
          <w:rFonts w:cs="Times New Roman"/>
          <w:sz w:val="22"/>
          <w:szCs w:val="22"/>
        </w:rPr>
        <w:instrText>2</w:instrText>
      </w:r>
      <w:r w:rsidR="008E368F" w:rsidRPr="00E97BC8">
        <w:rPr>
          <w:rFonts w:cs="Times New Roman"/>
          <w:sz w:val="22"/>
          <w:szCs w:val="22"/>
        </w:rPr>
        <w:fldChar w:fldCharType="end"/>
      </w:r>
      <w:r w:rsidR="0010546F" w:rsidRPr="00E97BC8">
        <w:rPr>
          <w:rFonts w:cs="Times New Roman"/>
          <w:sz w:val="22"/>
          <w:szCs w:val="22"/>
        </w:rPr>
        <w:instrText>)</w:instrText>
      </w:r>
      <w:r w:rsidR="0010546F" w:rsidRPr="00E97BC8">
        <w:rPr>
          <w:rFonts w:cs="Times New Roman"/>
          <w:sz w:val="22"/>
          <w:szCs w:val="22"/>
        </w:rPr>
        <w:fldChar w:fldCharType="end"/>
      </w:r>
    </w:p>
    <w:p w14:paraId="78134DC0" w14:textId="7D028B7C" w:rsidR="00182254" w:rsidRPr="00E97BC8" w:rsidRDefault="009F1253" w:rsidP="00E85093">
      <w:pPr>
        <w:shd w:val="clear" w:color="auto" w:fill="FFFFFF"/>
        <w:spacing w:after="0" w:line="240" w:lineRule="auto"/>
        <w:jc w:val="both"/>
        <w:rPr>
          <w:rFonts w:cs="Times New Roman"/>
          <w:sz w:val="22"/>
          <w:szCs w:val="22"/>
        </w:rPr>
      </w:pPr>
      <w:r w:rsidRPr="00E97BC8">
        <w:rPr>
          <w:rFonts w:cs="Times New Roman"/>
          <w:sz w:val="22"/>
          <w:szCs w:val="22"/>
        </w:rPr>
        <w:t>In order to accommodate interactions among the unobserved latent variables, w</w:t>
      </w:r>
      <w:r w:rsidR="003424C6" w:rsidRPr="00E97BC8">
        <w:rPr>
          <w:rFonts w:cs="Times New Roman"/>
          <w:sz w:val="22"/>
          <w:szCs w:val="22"/>
        </w:rPr>
        <w:t xml:space="preserve">e allow a multivariate normal (MVN) correlation structure for </w:t>
      </w:r>
      <w:bookmarkStart w:id="23" w:name="_Hlk198814462"/>
      <w:r w:rsidR="00B9562B" w:rsidRPr="00E97BC8">
        <w:rPr>
          <w:rFonts w:cs="Times New Roman"/>
          <w:position w:val="-10"/>
          <w:sz w:val="22"/>
          <w:szCs w:val="22"/>
        </w:rPr>
        <w:object w:dxaOrig="200" w:dyaOrig="260" w14:anchorId="3EB5645B">
          <v:shape id="_x0000_i1042" type="#_x0000_t75" style="width:10.7pt;height:13.3pt" o:ole="" o:preferrelative="f">
            <v:imagedata r:id="rId40" o:title=""/>
            <o:lock v:ext="edit" aspectratio="f"/>
          </v:shape>
          <o:OLEObject Type="Embed" ProgID="Equation.DSMT4" ShapeID="_x0000_i1042" DrawAspect="Content" ObjectID="_1811172230" r:id="rId41"/>
        </w:object>
      </w:r>
      <w:bookmarkEnd w:id="23"/>
      <w:r w:rsidR="003424C6" w:rsidRPr="00E97BC8">
        <w:rPr>
          <w:rFonts w:cs="Times New Roman"/>
          <w:sz w:val="22"/>
          <w:szCs w:val="22"/>
        </w:rPr>
        <w:t xml:space="preserve">. </w:t>
      </w:r>
      <w:r w:rsidR="00B9562B" w:rsidRPr="00E97BC8">
        <w:rPr>
          <w:rFonts w:cs="Times New Roman"/>
          <w:position w:val="-12"/>
          <w:sz w:val="22"/>
          <w:szCs w:val="22"/>
        </w:rPr>
        <w:object w:dxaOrig="1680" w:dyaOrig="360" w14:anchorId="7F16D61E">
          <v:shape id="_x0000_i1043" type="#_x0000_t75" style="width:83.15pt;height:18.85pt" o:ole="" o:preferrelative="f">
            <v:imagedata r:id="rId42" o:title=""/>
            <o:lock v:ext="edit" aspectratio="f"/>
          </v:shape>
          <o:OLEObject Type="Embed" ProgID="Equation.DSMT4" ShapeID="_x0000_i1043" DrawAspect="Content" ObjectID="_1811172231" r:id="rId43"/>
        </w:object>
      </w:r>
      <w:r w:rsidR="003424C6" w:rsidRPr="00E97BC8">
        <w:rPr>
          <w:rFonts w:cs="Times New Roman"/>
          <w:sz w:val="22"/>
          <w:szCs w:val="22"/>
        </w:rPr>
        <w:t xml:space="preserve">, where </w:t>
      </w:r>
      <w:r w:rsidR="00B9562B" w:rsidRPr="00E97BC8">
        <w:rPr>
          <w:rFonts w:cs="Times New Roman"/>
          <w:position w:val="-12"/>
          <w:sz w:val="22"/>
          <w:szCs w:val="22"/>
        </w:rPr>
        <w:object w:dxaOrig="279" w:dyaOrig="360" w14:anchorId="513F8AE8">
          <v:shape id="_x0000_i1044" type="#_x0000_t75" style="width:13.7pt;height:18.85pt" o:ole="" o:preferrelative="f">
            <v:imagedata r:id="rId44" o:title=""/>
            <o:lock v:ext="edit" aspectratio="f"/>
          </v:shape>
          <o:OLEObject Type="Embed" ProgID="Equation.DSMT4" ShapeID="_x0000_i1044" DrawAspect="Content" ObjectID="_1811172232" r:id="rId45"/>
        </w:object>
      </w:r>
      <w:r w:rsidR="003424C6" w:rsidRPr="00E97BC8">
        <w:rPr>
          <w:rFonts w:cs="Times New Roman"/>
          <w:sz w:val="22"/>
          <w:szCs w:val="22"/>
        </w:rPr>
        <w:t xml:space="preserve"> is an </w:t>
      </w:r>
      <w:r w:rsidR="00B9562B" w:rsidRPr="00E97BC8">
        <w:rPr>
          <w:rFonts w:eastAsiaTheme="minorEastAsia" w:cs="Times New Roman"/>
          <w:position w:val="-10"/>
          <w:sz w:val="22"/>
          <w:szCs w:val="22"/>
        </w:rPr>
        <w:object w:dxaOrig="672" w:dyaOrig="312" w14:anchorId="203A0265">
          <v:shape id="_x0000_i1045" type="#_x0000_t75" style="width:33.85pt;height:15.85pt" o:ole="" o:preferrelative="f">
            <v:imagedata r:id="rId32" o:title=""/>
            <o:lock v:ext="edit" aspectratio="f"/>
          </v:shape>
          <o:OLEObject Type="Embed" ProgID="Equation.3" ShapeID="_x0000_i1045" DrawAspect="Content" ObjectID="_1811172233" r:id="rId46"/>
        </w:object>
      </w:r>
      <w:r w:rsidR="00B9562B" w:rsidRPr="00E97BC8">
        <w:rPr>
          <w:rFonts w:cs="Times New Roman"/>
          <w:sz w:val="22"/>
          <w:szCs w:val="22"/>
        </w:rPr>
        <w:t xml:space="preserve"> </w:t>
      </w:r>
      <w:r w:rsidR="003424C6" w:rsidRPr="00E97BC8">
        <w:rPr>
          <w:rFonts w:cs="Times New Roman"/>
          <w:sz w:val="22"/>
          <w:szCs w:val="22"/>
        </w:rPr>
        <w:t xml:space="preserve">column vector of zeros, and </w:t>
      </w:r>
      <w:r w:rsidR="00B9562B" w:rsidRPr="00E97BC8">
        <w:rPr>
          <w:rFonts w:cs="Times New Roman"/>
          <w:position w:val="-4"/>
          <w:sz w:val="22"/>
          <w:szCs w:val="22"/>
        </w:rPr>
        <w:object w:dxaOrig="240" w:dyaOrig="260" w14:anchorId="26E3D98F">
          <v:shape id="_x0000_i1046" type="#_x0000_t75" style="width:11.15pt;height:13.3pt" o:ole="" o:preferrelative="f">
            <v:imagedata r:id="rId47" o:title=""/>
            <o:lock v:ext="edit" aspectratio="f"/>
          </v:shape>
          <o:OLEObject Type="Embed" ProgID="Equation.DSMT4" ShapeID="_x0000_i1046" DrawAspect="Content" ObjectID="_1811172234" r:id="rId48"/>
        </w:object>
      </w:r>
      <w:r w:rsidR="003424C6" w:rsidRPr="00E97BC8">
        <w:rPr>
          <w:rFonts w:cs="Times New Roman"/>
          <w:sz w:val="22"/>
          <w:szCs w:val="22"/>
        </w:rPr>
        <w:t xml:space="preserve">is an </w:t>
      </w:r>
      <w:bookmarkStart w:id="24" w:name="_Hlk198814491"/>
      <w:r w:rsidR="00BB15C1" w:rsidRPr="00E97BC8">
        <w:rPr>
          <w:rFonts w:cs="Times New Roman"/>
          <w:position w:val="-10"/>
          <w:sz w:val="22"/>
          <w:szCs w:val="22"/>
        </w:rPr>
        <w:object w:dxaOrig="720" w:dyaOrig="320" w14:anchorId="27BFB88D">
          <v:shape id="_x0000_i1047" type="#_x0000_t75" style="width:36.85pt;height:16.3pt" o:ole="">
            <v:imagedata r:id="rId49" o:title=""/>
          </v:shape>
          <o:OLEObject Type="Embed" ProgID="Equation.DSMT4" ShapeID="_x0000_i1047" DrawAspect="Content" ObjectID="_1811172235" r:id="rId50"/>
        </w:object>
      </w:r>
      <w:r w:rsidR="00527312" w:rsidRPr="00E97BC8">
        <w:rPr>
          <w:rFonts w:cs="Times New Roman"/>
          <w:sz w:val="22"/>
          <w:szCs w:val="22"/>
        </w:rPr>
        <w:t xml:space="preserve"> </w:t>
      </w:r>
      <w:r w:rsidR="003424C6" w:rsidRPr="00E97BC8">
        <w:rPr>
          <w:rFonts w:cs="Times New Roman"/>
          <w:sz w:val="22"/>
          <w:szCs w:val="22"/>
        </w:rPr>
        <w:t>correlation matrix</w:t>
      </w:r>
      <w:r w:rsidR="001834EE" w:rsidRPr="00E97BC8">
        <w:rPr>
          <w:rFonts w:cs="Times New Roman"/>
          <w:sz w:val="22"/>
          <w:szCs w:val="22"/>
        </w:rPr>
        <w:t xml:space="preserve"> </w:t>
      </w:r>
      <w:bookmarkEnd w:id="24"/>
      <w:r w:rsidR="001834EE" w:rsidRPr="00E97BC8">
        <w:rPr>
          <w:rFonts w:cs="Times New Roman"/>
          <w:sz w:val="22"/>
          <w:szCs w:val="22"/>
        </w:rPr>
        <w:t xml:space="preserve">(see the </w:t>
      </w:r>
      <w:r w:rsidR="00A36380" w:rsidRPr="00E97BC8">
        <w:rPr>
          <w:rFonts w:cs="Times New Roman"/>
          <w:sz w:val="22"/>
          <w:szCs w:val="22"/>
        </w:rPr>
        <w:t xml:space="preserve">two-headed arrow at the top of the box containing the stochastic latent constructs in </w:t>
      </w:r>
      <w:r w:rsidR="001834EE" w:rsidRPr="00E97BC8">
        <w:rPr>
          <w:rFonts w:cs="Times New Roman"/>
          <w:sz w:val="22"/>
          <w:szCs w:val="22"/>
        </w:rPr>
        <w:t>Figure 2)</w:t>
      </w:r>
      <w:r w:rsidR="003424C6" w:rsidRPr="00E97BC8">
        <w:rPr>
          <w:rFonts w:cs="Times New Roman"/>
          <w:sz w:val="22"/>
          <w:szCs w:val="22"/>
        </w:rPr>
        <w:t>.</w:t>
      </w:r>
      <w:r w:rsidR="00527312" w:rsidRPr="00E97BC8">
        <w:rPr>
          <w:rFonts w:cs="Times New Roman"/>
          <w:sz w:val="22"/>
          <w:szCs w:val="22"/>
        </w:rPr>
        <w:t xml:space="preserve"> </w:t>
      </w:r>
    </w:p>
    <w:p w14:paraId="19093419" w14:textId="3C92B49C" w:rsidR="003E1948" w:rsidRPr="00E97BC8" w:rsidRDefault="003E1948" w:rsidP="00E85093">
      <w:pPr>
        <w:spacing w:after="0" w:line="240" w:lineRule="auto"/>
        <w:ind w:firstLine="720"/>
        <w:jc w:val="both"/>
        <w:rPr>
          <w:rFonts w:cs="Times New Roman"/>
          <w:sz w:val="22"/>
          <w:szCs w:val="22"/>
        </w:rPr>
      </w:pPr>
      <w:bookmarkStart w:id="25" w:name="_Hlk200011688"/>
      <w:r w:rsidRPr="00E97BC8">
        <w:rPr>
          <w:rFonts w:cs="Times New Roman"/>
          <w:sz w:val="22"/>
          <w:szCs w:val="22"/>
        </w:rPr>
        <w:t>N</w:t>
      </w:r>
      <w:r w:rsidR="00B01469" w:rsidRPr="00E97BC8">
        <w:rPr>
          <w:rFonts w:cs="Times New Roman"/>
          <w:sz w:val="22"/>
          <w:szCs w:val="22"/>
        </w:rPr>
        <w:t>ow</w:t>
      </w:r>
      <w:r w:rsidRPr="00E97BC8">
        <w:rPr>
          <w:rFonts w:cs="Times New Roman"/>
          <w:sz w:val="22"/>
          <w:szCs w:val="22"/>
        </w:rPr>
        <w:t xml:space="preserve">,  consider </w:t>
      </w:r>
      <w:r w:rsidR="00C55A95" w:rsidRPr="00E97BC8">
        <w:rPr>
          <w:rFonts w:cs="Times New Roman"/>
          <w:position w:val="-6"/>
          <w:sz w:val="22"/>
          <w:szCs w:val="22"/>
        </w:rPr>
        <w:object w:dxaOrig="279" w:dyaOrig="279" w14:anchorId="376760EF">
          <v:shape id="_x0000_i1048" type="#_x0000_t75" style="width:13.7pt;height:13.7pt" o:ole="">
            <v:imagedata r:id="rId51" o:title=""/>
          </v:shape>
          <o:OLEObject Type="Embed" ProgID="Equation.DSMT4" ShapeID="_x0000_i1048" DrawAspect="Content" ObjectID="_1811172236" r:id="rId52"/>
        </w:object>
      </w:r>
      <w:r w:rsidRPr="00E97BC8">
        <w:rPr>
          <w:rFonts w:cs="Times New Roman"/>
          <w:sz w:val="22"/>
          <w:szCs w:val="22"/>
        </w:rPr>
        <w:t xml:space="preserve"> ordinal outcomes (including the indicator variables for </w:t>
      </w:r>
      <w:r w:rsidR="009F1253" w:rsidRPr="00E97BC8">
        <w:rPr>
          <w:rFonts w:cs="Times New Roman"/>
          <w:sz w:val="22"/>
          <w:szCs w:val="22"/>
        </w:rPr>
        <w:t xml:space="preserve">each of </w:t>
      </w:r>
      <w:r w:rsidRPr="00E97BC8">
        <w:rPr>
          <w:rFonts w:cs="Times New Roman"/>
          <w:sz w:val="22"/>
          <w:szCs w:val="22"/>
        </w:rPr>
        <w:t>the latent constructs as well as</w:t>
      </w:r>
      <w:r w:rsidR="009F1253" w:rsidRPr="00E97BC8">
        <w:rPr>
          <w:rFonts w:cs="Times New Roman"/>
          <w:sz w:val="22"/>
          <w:szCs w:val="22"/>
        </w:rPr>
        <w:t xml:space="preserve"> ordinal</w:t>
      </w:r>
      <w:r w:rsidRPr="00E97BC8">
        <w:rPr>
          <w:rFonts w:cs="Times New Roman"/>
          <w:sz w:val="22"/>
          <w:szCs w:val="22"/>
        </w:rPr>
        <w:t xml:space="preserve"> main outcomes) and </w:t>
      </w:r>
      <w:r w:rsidR="009F1253" w:rsidRPr="00E97BC8">
        <w:rPr>
          <w:rFonts w:cs="Times New Roman"/>
          <w:sz w:val="22"/>
          <w:szCs w:val="22"/>
        </w:rPr>
        <w:t xml:space="preserve">denote </w:t>
      </w:r>
      <w:r w:rsidRPr="00E97BC8">
        <w:rPr>
          <w:rFonts w:cs="Times New Roman"/>
          <w:sz w:val="22"/>
          <w:szCs w:val="22"/>
        </w:rPr>
        <w:t>the index for the ordinal outcomes</w:t>
      </w:r>
      <w:r w:rsidR="009F1253" w:rsidRPr="00E97BC8">
        <w:rPr>
          <w:rFonts w:cs="Times New Roman"/>
          <w:sz w:val="22"/>
          <w:szCs w:val="22"/>
        </w:rPr>
        <w:t xml:space="preserve"> as </w:t>
      </w:r>
      <w:r w:rsidR="00C55A95" w:rsidRPr="00E97BC8">
        <w:rPr>
          <w:rFonts w:cs="Times New Roman"/>
          <w:position w:val="-6"/>
          <w:sz w:val="22"/>
          <w:szCs w:val="22"/>
        </w:rPr>
        <w:object w:dxaOrig="200" w:dyaOrig="220" w14:anchorId="61F9D129">
          <v:shape id="_x0000_i1049" type="#_x0000_t75" style="width:9.85pt;height:10.7pt" o:ole="" o:preferrelative="f">
            <v:imagedata r:id="rId53" o:title=""/>
            <o:lock v:ext="edit" aspectratio="f"/>
          </v:shape>
          <o:OLEObject Type="Embed" ProgID="Equation.DSMT4" ShapeID="_x0000_i1049" DrawAspect="Content" ObjectID="_1811172237" r:id="rId54"/>
        </w:object>
      </w:r>
      <w:r w:rsidRPr="00E97BC8">
        <w:rPr>
          <w:rFonts w:cs="Times New Roman"/>
          <w:sz w:val="22"/>
          <w:szCs w:val="22"/>
        </w:rPr>
        <w:t xml:space="preserve"> </w:t>
      </w:r>
      <w:r w:rsidR="00C55A95" w:rsidRPr="00E97BC8">
        <w:rPr>
          <w:rFonts w:cs="Times New Roman"/>
          <w:position w:val="-10"/>
          <w:sz w:val="22"/>
          <w:szCs w:val="22"/>
        </w:rPr>
        <w:object w:dxaOrig="1420" w:dyaOrig="320" w14:anchorId="0FB781ED">
          <v:shape id="_x0000_i1050" type="#_x0000_t75" style="width:71.15pt;height:15.85pt" o:ole="" o:preferrelative="f">
            <v:imagedata r:id="rId55" o:title=""/>
            <o:lock v:ext="edit" aspectratio="f"/>
          </v:shape>
          <o:OLEObject Type="Embed" ProgID="Equation.DSMT4" ShapeID="_x0000_i1050" DrawAspect="Content" ObjectID="_1811172238" r:id="rId56"/>
        </w:object>
      </w:r>
      <w:r w:rsidRPr="00E97BC8">
        <w:rPr>
          <w:rFonts w:cs="Times New Roman"/>
          <w:sz w:val="22"/>
          <w:szCs w:val="22"/>
        </w:rPr>
        <w:t xml:space="preserve">. In our </w:t>
      </w:r>
      <w:r w:rsidR="009F1253" w:rsidRPr="00E97BC8">
        <w:rPr>
          <w:rFonts w:cs="Times New Roman"/>
          <w:sz w:val="22"/>
          <w:szCs w:val="22"/>
        </w:rPr>
        <w:t xml:space="preserve">current </w:t>
      </w:r>
      <w:r w:rsidRPr="00E97BC8">
        <w:rPr>
          <w:rFonts w:cs="Times New Roman"/>
          <w:sz w:val="22"/>
          <w:szCs w:val="22"/>
        </w:rPr>
        <w:t xml:space="preserve">context, </w:t>
      </w:r>
      <w:r w:rsidR="0052581B" w:rsidRPr="00E97BC8">
        <w:rPr>
          <w:rFonts w:cs="Times New Roman"/>
          <w:sz w:val="22"/>
          <w:szCs w:val="22"/>
        </w:rPr>
        <w:t>we include the binary variable for EV adoption in the model as an ord</w:t>
      </w:r>
      <w:r w:rsidR="002C7958" w:rsidRPr="00E97BC8">
        <w:rPr>
          <w:rFonts w:cs="Times New Roman"/>
          <w:sz w:val="22"/>
          <w:szCs w:val="22"/>
        </w:rPr>
        <w:t>inal</w:t>
      </w:r>
      <w:r w:rsidR="0052581B" w:rsidRPr="00E97BC8">
        <w:rPr>
          <w:rFonts w:cs="Times New Roman"/>
          <w:sz w:val="22"/>
          <w:szCs w:val="22"/>
        </w:rPr>
        <w:t xml:space="preserve"> </w:t>
      </w:r>
      <w:r w:rsidR="009378A3" w:rsidRPr="00E97BC8">
        <w:rPr>
          <w:rFonts w:cs="Times New Roman"/>
          <w:sz w:val="22"/>
          <w:szCs w:val="22"/>
        </w:rPr>
        <w:t xml:space="preserve">main </w:t>
      </w:r>
      <w:r w:rsidR="0052581B" w:rsidRPr="00E97BC8">
        <w:rPr>
          <w:rFonts w:cs="Times New Roman"/>
          <w:sz w:val="22"/>
          <w:szCs w:val="22"/>
        </w:rPr>
        <w:t>outcome</w:t>
      </w:r>
      <w:r w:rsidR="002E3428" w:rsidRPr="00E97BC8">
        <w:rPr>
          <w:rFonts w:cs="Times New Roman"/>
          <w:sz w:val="22"/>
          <w:szCs w:val="22"/>
        </w:rPr>
        <w:t xml:space="preserve"> (</w:t>
      </w:r>
      <w:r w:rsidR="002C7958" w:rsidRPr="00E97BC8">
        <w:rPr>
          <w:rFonts w:cs="Times New Roman"/>
          <w:sz w:val="22"/>
          <w:szCs w:val="22"/>
        </w:rPr>
        <w:t>because</w:t>
      </w:r>
      <w:r w:rsidR="002E3428" w:rsidRPr="00E97BC8">
        <w:rPr>
          <w:rFonts w:cs="Times New Roman"/>
          <w:sz w:val="22"/>
          <w:szCs w:val="22"/>
        </w:rPr>
        <w:t xml:space="preserve"> a binary outcome can be </w:t>
      </w:r>
      <w:r w:rsidR="009F1253" w:rsidRPr="00E97BC8">
        <w:rPr>
          <w:rFonts w:cs="Times New Roman"/>
          <w:sz w:val="22"/>
          <w:szCs w:val="22"/>
        </w:rPr>
        <w:t xml:space="preserve">considered </w:t>
      </w:r>
      <w:r w:rsidR="002E3428" w:rsidRPr="00E97BC8">
        <w:rPr>
          <w:rFonts w:cs="Times New Roman"/>
          <w:sz w:val="22"/>
          <w:szCs w:val="22"/>
        </w:rPr>
        <w:t>as a special case of an ordinal outcome with two categories)</w:t>
      </w:r>
      <w:r w:rsidR="007812AC" w:rsidRPr="00E97BC8">
        <w:rPr>
          <w:rFonts w:cs="Times New Roman"/>
          <w:sz w:val="22"/>
          <w:szCs w:val="22"/>
        </w:rPr>
        <w:t xml:space="preserve">. </w:t>
      </w:r>
      <w:bookmarkStart w:id="26" w:name="_Hlk198727447"/>
      <w:r w:rsidR="002800A1" w:rsidRPr="00E97BC8">
        <w:rPr>
          <w:rFonts w:cs="Times New Roman"/>
          <w:sz w:val="22"/>
          <w:szCs w:val="22"/>
        </w:rPr>
        <w:t xml:space="preserve">This is done simply so that the formulation of the GHDM includes only ordinal variables and the ranked outcome (rather than needing an additional </w:t>
      </w:r>
      <w:r w:rsidR="001B62FC" w:rsidRPr="00E97BC8">
        <w:rPr>
          <w:rFonts w:cs="Times New Roman"/>
          <w:sz w:val="22"/>
          <w:szCs w:val="22"/>
        </w:rPr>
        <w:t>separate binary</w:t>
      </w:r>
      <w:r w:rsidR="002800A1" w:rsidRPr="00E97BC8">
        <w:rPr>
          <w:rFonts w:cs="Times New Roman"/>
          <w:sz w:val="22"/>
          <w:szCs w:val="22"/>
        </w:rPr>
        <w:t xml:space="preserve"> outcome)</w:t>
      </w:r>
      <w:r w:rsidR="003D6D90" w:rsidRPr="00E97BC8">
        <w:rPr>
          <w:rFonts w:cs="Times New Roman"/>
          <w:sz w:val="22"/>
          <w:szCs w:val="22"/>
        </w:rPr>
        <w:t>. It h</w:t>
      </w:r>
      <w:r w:rsidR="002800A1" w:rsidRPr="00E97BC8">
        <w:rPr>
          <w:rFonts w:cs="Times New Roman"/>
          <w:sz w:val="22"/>
          <w:szCs w:val="22"/>
        </w:rPr>
        <w:t>as no other implications for model specification or results.</w:t>
      </w:r>
      <w:bookmarkEnd w:id="25"/>
      <w:r w:rsidR="002800A1" w:rsidRPr="00E97BC8">
        <w:rPr>
          <w:rFonts w:cs="Times New Roman"/>
          <w:sz w:val="22"/>
          <w:szCs w:val="22"/>
        </w:rPr>
        <w:t xml:space="preserve"> </w:t>
      </w:r>
      <w:bookmarkEnd w:id="26"/>
      <w:r w:rsidR="007812AC" w:rsidRPr="00E97BC8">
        <w:rPr>
          <w:rFonts w:cs="Times New Roman"/>
          <w:sz w:val="22"/>
          <w:szCs w:val="22"/>
        </w:rPr>
        <w:t xml:space="preserve">Therefore, </w:t>
      </w:r>
      <w:r w:rsidR="00B9562B" w:rsidRPr="00E97BC8">
        <w:rPr>
          <w:rFonts w:cs="Times New Roman"/>
          <w:i/>
          <w:position w:val="-6"/>
          <w:sz w:val="22"/>
          <w:szCs w:val="22"/>
        </w:rPr>
        <w:object w:dxaOrig="720" w:dyaOrig="279" w14:anchorId="5C9FFF79">
          <v:shape id="_x0000_i1051" type="#_x0000_t75" style="width:36.85pt;height:13.7pt" o:ole="">
            <v:imagedata r:id="rId57" o:title=""/>
          </v:shape>
          <o:OLEObject Type="Embed" ProgID="Equation.DSMT4" ShapeID="_x0000_i1051" DrawAspect="Content" ObjectID="_1811172239" r:id="rId58"/>
        </w:object>
      </w:r>
      <w:r w:rsidRPr="00E97BC8">
        <w:rPr>
          <w:rFonts w:cs="Times New Roman"/>
          <w:sz w:val="22"/>
          <w:szCs w:val="22"/>
        </w:rPr>
        <w:t xml:space="preserve">, corresponding to a total of </w:t>
      </w:r>
      <w:r w:rsidR="00322E74" w:rsidRPr="00E97BC8">
        <w:rPr>
          <w:rFonts w:cs="Times New Roman"/>
          <w:sz w:val="22"/>
          <w:szCs w:val="22"/>
        </w:rPr>
        <w:t>12</w:t>
      </w:r>
      <w:r w:rsidRPr="00E97BC8">
        <w:rPr>
          <w:rFonts w:cs="Times New Roman"/>
          <w:sz w:val="22"/>
          <w:szCs w:val="22"/>
        </w:rPr>
        <w:t xml:space="preserve"> indicators of the </w:t>
      </w:r>
      <w:r w:rsidR="00322E74" w:rsidRPr="00E97BC8">
        <w:rPr>
          <w:rFonts w:cs="Times New Roman"/>
          <w:sz w:val="22"/>
          <w:szCs w:val="22"/>
        </w:rPr>
        <w:t>four</w:t>
      </w:r>
      <w:r w:rsidRPr="00E97BC8">
        <w:rPr>
          <w:rFonts w:cs="Times New Roman"/>
          <w:sz w:val="22"/>
          <w:szCs w:val="22"/>
        </w:rPr>
        <w:t xml:space="preserve"> latent constructs (three indicators for each</w:t>
      </w:r>
      <w:r w:rsidR="007812AC" w:rsidRPr="00E97BC8">
        <w:rPr>
          <w:rFonts w:cs="Times New Roman"/>
          <w:sz w:val="22"/>
          <w:szCs w:val="22"/>
        </w:rPr>
        <w:t xml:space="preserve"> </w:t>
      </w:r>
      <w:r w:rsidRPr="00E97BC8">
        <w:rPr>
          <w:rFonts w:cs="Times New Roman"/>
          <w:sz w:val="22"/>
          <w:szCs w:val="22"/>
        </w:rPr>
        <w:t xml:space="preserve">latent construct) and the </w:t>
      </w:r>
      <w:r w:rsidR="006A0646" w:rsidRPr="00E97BC8">
        <w:rPr>
          <w:rFonts w:cs="Times New Roman"/>
          <w:sz w:val="22"/>
          <w:szCs w:val="22"/>
        </w:rPr>
        <w:t>single</w:t>
      </w:r>
      <w:r w:rsidRPr="00E97BC8">
        <w:rPr>
          <w:rFonts w:cs="Times New Roman"/>
          <w:sz w:val="22"/>
          <w:szCs w:val="22"/>
        </w:rPr>
        <w:t xml:space="preserve"> ordinal main outcome</w:t>
      </w:r>
      <w:r w:rsidR="00322E74" w:rsidRPr="00E97BC8">
        <w:rPr>
          <w:rFonts w:cs="Times New Roman"/>
          <w:sz w:val="22"/>
          <w:szCs w:val="22"/>
        </w:rPr>
        <w:t xml:space="preserve">. </w:t>
      </w:r>
      <w:r w:rsidRPr="00E97BC8">
        <w:rPr>
          <w:rFonts w:cs="Times New Roman"/>
          <w:sz w:val="22"/>
          <w:szCs w:val="22"/>
        </w:rPr>
        <w:t xml:space="preserve">Also, let </w:t>
      </w:r>
      <w:r w:rsidR="00B9562B" w:rsidRPr="00E97BC8">
        <w:rPr>
          <w:rFonts w:cs="Times New Roman"/>
          <w:position w:val="-12"/>
          <w:sz w:val="22"/>
          <w:szCs w:val="22"/>
        </w:rPr>
        <w:object w:dxaOrig="279" w:dyaOrig="360" w14:anchorId="115F0070">
          <v:shape id="_x0000_i1052" type="#_x0000_t75" style="width:13.7pt;height:18.85pt" o:ole="" o:preferrelative="f">
            <v:imagedata r:id="rId59" o:title=""/>
            <o:lock v:ext="edit" aspectratio="f"/>
          </v:shape>
          <o:OLEObject Type="Embed" ProgID="Equation.DSMT4" ShapeID="_x0000_i1052" DrawAspect="Content" ObjectID="_1811172240" r:id="rId60"/>
        </w:object>
      </w:r>
      <w:r w:rsidRPr="00E97BC8">
        <w:rPr>
          <w:rFonts w:cs="Times New Roman"/>
          <w:position w:val="-12"/>
          <w:sz w:val="22"/>
          <w:szCs w:val="22"/>
        </w:rPr>
        <w:t xml:space="preserve"> </w:t>
      </w:r>
      <w:r w:rsidRPr="00E97BC8">
        <w:rPr>
          <w:rFonts w:cs="Times New Roman"/>
          <w:sz w:val="22"/>
          <w:szCs w:val="22"/>
        </w:rPr>
        <w:t xml:space="preserve">be the number of categories for the </w:t>
      </w:r>
      <w:r w:rsidRPr="00E97BC8">
        <w:rPr>
          <w:rFonts w:cs="Times New Roman"/>
          <w:i/>
          <w:sz w:val="22"/>
          <w:szCs w:val="22"/>
        </w:rPr>
        <w:t>n</w:t>
      </w:r>
      <w:r w:rsidRPr="00E97BC8">
        <w:rPr>
          <w:rFonts w:cs="Times New Roman"/>
          <w:i/>
          <w:sz w:val="22"/>
          <w:szCs w:val="22"/>
          <w:vertAlign w:val="superscript"/>
        </w:rPr>
        <w:t>th</w:t>
      </w:r>
      <w:r w:rsidRPr="00E97BC8">
        <w:rPr>
          <w:rFonts w:cs="Times New Roman"/>
          <w:sz w:val="22"/>
          <w:szCs w:val="22"/>
        </w:rPr>
        <w:t xml:space="preserve"> ordinal outcome </w:t>
      </w:r>
      <w:r w:rsidR="00B9562B" w:rsidRPr="00E97BC8">
        <w:rPr>
          <w:rFonts w:cs="Times New Roman"/>
          <w:position w:val="-12"/>
          <w:sz w:val="22"/>
          <w:szCs w:val="22"/>
        </w:rPr>
        <w:object w:dxaOrig="820" w:dyaOrig="360" w14:anchorId="6191BD9E">
          <v:shape id="_x0000_i1053" type="#_x0000_t75" style="width:41.15pt;height:18.85pt" o:ole="" o:preferrelative="f">
            <v:imagedata r:id="rId61" o:title=""/>
            <o:lock v:ext="edit" aspectratio="f"/>
          </v:shape>
          <o:OLEObject Type="Embed" ProgID="Equation.DSMT4" ShapeID="_x0000_i1053" DrawAspect="Content" ObjectID="_1811172241" r:id="rId62"/>
        </w:object>
      </w:r>
      <w:r w:rsidRPr="00E97BC8">
        <w:rPr>
          <w:rFonts w:cs="Times New Roman"/>
          <w:position w:val="-12"/>
          <w:sz w:val="22"/>
          <w:szCs w:val="22"/>
        </w:rPr>
        <w:t xml:space="preserve"> </w:t>
      </w:r>
      <w:r w:rsidRPr="00E97BC8">
        <w:rPr>
          <w:rFonts w:cs="Times New Roman"/>
          <w:sz w:val="22"/>
          <w:szCs w:val="22"/>
        </w:rPr>
        <w:t>and let</w:t>
      </w:r>
      <w:r w:rsidR="00647FD8" w:rsidRPr="00E97BC8">
        <w:rPr>
          <w:rFonts w:cs="Times New Roman"/>
          <w:sz w:val="22"/>
          <w:szCs w:val="22"/>
        </w:rPr>
        <w:t xml:space="preserve"> </w:t>
      </w:r>
      <w:r w:rsidR="00BB15C1" w:rsidRPr="00E97BC8">
        <w:rPr>
          <w:rFonts w:cs="Times New Roman"/>
          <w:position w:val="-12"/>
          <w:sz w:val="22"/>
          <w:szCs w:val="22"/>
        </w:rPr>
        <w:object w:dxaOrig="260" w:dyaOrig="360" w14:anchorId="40EB81DD">
          <v:shape id="_x0000_i1054" type="#_x0000_t75" style="width:13.3pt;height:20.15pt" o:ole="">
            <v:imagedata r:id="rId63" o:title=""/>
          </v:shape>
          <o:OLEObject Type="Embed" ProgID="Equation.DSMT4" ShapeID="_x0000_i1054" DrawAspect="Content" ObjectID="_1811172242" r:id="rId64"/>
        </w:object>
      </w:r>
      <w:r w:rsidR="00647FD8" w:rsidRPr="00E97BC8">
        <w:rPr>
          <w:rFonts w:cs="Times New Roman"/>
          <w:sz w:val="22"/>
          <w:szCs w:val="22"/>
        </w:rPr>
        <w:t xml:space="preserve"> be</w:t>
      </w:r>
      <w:r w:rsidRPr="00E97BC8">
        <w:rPr>
          <w:rFonts w:cs="Times New Roman"/>
          <w:sz w:val="22"/>
          <w:szCs w:val="22"/>
        </w:rPr>
        <w:t xml:space="preserve"> the corresponding index </w:t>
      </w:r>
      <w:r w:rsidR="00B9562B" w:rsidRPr="00E97BC8">
        <w:rPr>
          <w:rFonts w:cs="Times New Roman"/>
          <w:position w:val="-12"/>
          <w:sz w:val="22"/>
          <w:szCs w:val="22"/>
        </w:rPr>
        <w:object w:dxaOrig="1540" w:dyaOrig="360" w14:anchorId="77D9C275">
          <v:shape id="_x0000_i1055" type="#_x0000_t75" style="width:77.15pt;height:18.85pt" o:ole="" o:preferrelative="f">
            <v:imagedata r:id="rId65" o:title=""/>
            <o:lock v:ext="edit" aspectratio="f"/>
          </v:shape>
          <o:OLEObject Type="Embed" ProgID="Equation.DSMT4" ShapeID="_x0000_i1055" DrawAspect="Content" ObjectID="_1811172243" r:id="rId66"/>
        </w:object>
      </w:r>
      <w:r w:rsidRPr="00E97BC8">
        <w:rPr>
          <w:rFonts w:cs="Times New Roman"/>
          <w:sz w:val="22"/>
          <w:szCs w:val="22"/>
        </w:rPr>
        <w:t xml:space="preserve">. </w:t>
      </w:r>
      <w:r w:rsidR="009F1253" w:rsidRPr="00E97BC8">
        <w:rPr>
          <w:rFonts w:cs="Times New Roman"/>
          <w:sz w:val="22"/>
          <w:szCs w:val="22"/>
        </w:rPr>
        <w:t>Also</w:t>
      </w:r>
      <w:r w:rsidR="002E72E1" w:rsidRPr="00E97BC8">
        <w:rPr>
          <w:rFonts w:cs="Times New Roman"/>
          <w:sz w:val="22"/>
          <w:szCs w:val="22"/>
        </w:rPr>
        <w:t>,</w:t>
      </w:r>
      <w:r w:rsidR="00E07C27" w:rsidRPr="00E97BC8">
        <w:rPr>
          <w:rFonts w:cs="Times New Roman"/>
          <w:sz w:val="22"/>
          <w:szCs w:val="22"/>
        </w:rPr>
        <w:t xml:space="preserve"> for each ordinal outcome,</w:t>
      </w:r>
      <w:r w:rsidR="002E72E1" w:rsidRPr="00E97BC8">
        <w:rPr>
          <w:rFonts w:cs="Times New Roman"/>
          <w:sz w:val="22"/>
          <w:szCs w:val="22"/>
        </w:rPr>
        <w:t xml:space="preserve"> l</w:t>
      </w:r>
      <w:r w:rsidRPr="00E97BC8">
        <w:rPr>
          <w:rFonts w:cs="Times New Roman"/>
          <w:sz w:val="22"/>
          <w:szCs w:val="22"/>
        </w:rPr>
        <w:t xml:space="preserve">et </w:t>
      </w:r>
      <w:r w:rsidR="00BB15C1" w:rsidRPr="00E97BC8">
        <w:rPr>
          <w:rFonts w:cs="Times New Roman"/>
          <w:position w:val="-12"/>
          <w:sz w:val="22"/>
          <w:szCs w:val="22"/>
        </w:rPr>
        <w:object w:dxaOrig="279" w:dyaOrig="380" w14:anchorId="2806D2F9">
          <v:shape id="_x0000_i1056" type="#_x0000_t75" style="width:13.7pt;height:20.15pt" o:ole="">
            <v:imagedata r:id="rId67" o:title=""/>
          </v:shape>
          <o:OLEObject Type="Embed" ProgID="Equation.DSMT4" ShapeID="_x0000_i1056" DrawAspect="Content" ObjectID="_1811172244" r:id="rId68"/>
        </w:object>
      </w:r>
      <w:r w:rsidRPr="00E97BC8">
        <w:rPr>
          <w:rFonts w:cs="Times New Roman"/>
          <w:sz w:val="22"/>
          <w:szCs w:val="22"/>
        </w:rPr>
        <w:t xml:space="preserve"> be the </w:t>
      </w:r>
      <w:r w:rsidR="007C1DE2" w:rsidRPr="00E97BC8">
        <w:rPr>
          <w:rFonts w:cs="Times New Roman"/>
          <w:sz w:val="22"/>
          <w:szCs w:val="22"/>
        </w:rPr>
        <w:t xml:space="preserve">underlying </w:t>
      </w:r>
      <w:r w:rsidRPr="00E97BC8">
        <w:rPr>
          <w:rFonts w:cs="Times New Roman"/>
          <w:sz w:val="22"/>
          <w:szCs w:val="22"/>
        </w:rPr>
        <w:t xml:space="preserve">latent variable whose horizontal partitioning leads to the observed outcome. </w:t>
      </w:r>
      <w:r w:rsidR="009F1253" w:rsidRPr="00E97BC8">
        <w:rPr>
          <w:rFonts w:cs="Times New Roman"/>
          <w:sz w:val="22"/>
          <w:szCs w:val="22"/>
        </w:rPr>
        <w:t>Next, a</w:t>
      </w:r>
      <w:r w:rsidRPr="00E97BC8">
        <w:rPr>
          <w:rFonts w:cs="Times New Roman"/>
          <w:sz w:val="22"/>
          <w:szCs w:val="22"/>
        </w:rPr>
        <w:t xml:space="preserve">ssume that the individual chooses the </w:t>
      </w:r>
      <w:r w:rsidR="00BB15C1" w:rsidRPr="00E97BC8">
        <w:rPr>
          <w:rFonts w:cs="Times New Roman"/>
          <w:position w:val="-12"/>
          <w:sz w:val="22"/>
          <w:szCs w:val="22"/>
        </w:rPr>
        <w:object w:dxaOrig="340" w:dyaOrig="380" w14:anchorId="3E2567C5">
          <v:shape id="_x0000_i1057" type="#_x0000_t75" style="width:20.15pt;height:20.15pt" o:ole="">
            <v:imagedata r:id="rId69" o:title=""/>
          </v:shape>
          <o:OLEObject Type="Embed" ProgID="Equation.3" ShapeID="_x0000_i1057" DrawAspect="Content" ObjectID="_1811172245" r:id="rId70"/>
        </w:object>
      </w:r>
      <w:r w:rsidRPr="00E97BC8">
        <w:rPr>
          <w:rFonts w:cs="Times New Roman"/>
          <w:sz w:val="22"/>
          <w:szCs w:val="22"/>
        </w:rPr>
        <w:t xml:space="preserve"> ordinal category. </w:t>
      </w:r>
      <w:r w:rsidR="00E55467" w:rsidRPr="00E97BC8">
        <w:rPr>
          <w:rFonts w:cs="Times New Roman"/>
          <w:sz w:val="22"/>
          <w:szCs w:val="22"/>
        </w:rPr>
        <w:t>Then</w:t>
      </w:r>
      <w:r w:rsidR="009F1253" w:rsidRPr="00E97BC8">
        <w:rPr>
          <w:rFonts w:cs="Times New Roman"/>
          <w:sz w:val="22"/>
          <w:szCs w:val="22"/>
        </w:rPr>
        <w:t xml:space="preserve">, we can apply the </w:t>
      </w:r>
      <w:r w:rsidRPr="00E97BC8">
        <w:rPr>
          <w:rFonts w:cs="Times New Roman"/>
          <w:sz w:val="22"/>
          <w:szCs w:val="22"/>
        </w:rPr>
        <w:t xml:space="preserve">usual ordered response formulation, for the individual, </w:t>
      </w:r>
      <w:r w:rsidR="009F1253" w:rsidRPr="00E97BC8">
        <w:rPr>
          <w:rFonts w:cs="Times New Roman"/>
          <w:sz w:val="22"/>
          <w:szCs w:val="22"/>
        </w:rPr>
        <w:t>to</w:t>
      </w:r>
      <w:r w:rsidRPr="00E97BC8">
        <w:rPr>
          <w:rFonts w:cs="Times New Roman"/>
          <w:sz w:val="22"/>
          <w:szCs w:val="22"/>
        </w:rPr>
        <w:t xml:space="preserve"> write:</w:t>
      </w:r>
    </w:p>
    <w:p w14:paraId="0C36EAA8" w14:textId="35078E54" w:rsidR="00612C8D" w:rsidRPr="00E97BC8" w:rsidRDefault="00B9562B" w:rsidP="00E85093">
      <w:pPr>
        <w:pStyle w:val="MTDisplayEquation"/>
        <w:rPr>
          <w:rFonts w:cs="Times New Roman"/>
          <w:sz w:val="22"/>
          <w:szCs w:val="22"/>
        </w:rPr>
      </w:pPr>
      <w:r w:rsidRPr="00E97BC8">
        <w:rPr>
          <w:rFonts w:cs="Times New Roman"/>
          <w:position w:val="-12"/>
          <w:sz w:val="22"/>
          <w:szCs w:val="22"/>
        </w:rPr>
        <w:object w:dxaOrig="1920" w:dyaOrig="400" w14:anchorId="773D69F2">
          <v:shape id="_x0000_i1058" type="#_x0000_t75" style="width:95.15pt;height:20.15pt" o:ole="">
            <v:imagedata r:id="rId71" o:title=""/>
          </v:shape>
          <o:OLEObject Type="Embed" ProgID="Equation.DSMT4" ShapeID="_x0000_i1058" DrawAspect="Content" ObjectID="_1811172246" r:id="rId72"/>
        </w:object>
      </w:r>
      <w:r w:rsidR="00612C8D" w:rsidRPr="00E97BC8">
        <w:rPr>
          <w:rFonts w:cs="Times New Roman"/>
          <w:sz w:val="22"/>
          <w:szCs w:val="22"/>
        </w:rPr>
        <w:tab/>
      </w:r>
      <w:r w:rsidR="00612C8D" w:rsidRPr="00E97BC8">
        <w:rPr>
          <w:rFonts w:cs="Times New Roman"/>
          <w:sz w:val="22"/>
          <w:szCs w:val="22"/>
        </w:rPr>
        <w:tab/>
      </w:r>
      <w:r w:rsidR="00612C8D" w:rsidRPr="00E97BC8">
        <w:rPr>
          <w:rFonts w:cs="Times New Roman"/>
          <w:sz w:val="22"/>
          <w:szCs w:val="22"/>
        </w:rPr>
        <w:fldChar w:fldCharType="begin"/>
      </w:r>
      <w:r w:rsidR="00612C8D" w:rsidRPr="00E97BC8">
        <w:rPr>
          <w:rFonts w:cs="Times New Roman"/>
          <w:sz w:val="22"/>
          <w:szCs w:val="22"/>
        </w:rPr>
        <w:instrText xml:space="preserve"> MACROBUTTON MTPlaceRef \* MERGEFORMAT </w:instrText>
      </w:r>
      <w:r w:rsidR="00612C8D" w:rsidRPr="00E97BC8">
        <w:rPr>
          <w:rFonts w:cs="Times New Roman"/>
          <w:sz w:val="22"/>
          <w:szCs w:val="22"/>
        </w:rPr>
        <w:fldChar w:fldCharType="begin"/>
      </w:r>
      <w:r w:rsidR="00612C8D" w:rsidRPr="00E97BC8">
        <w:rPr>
          <w:rFonts w:cs="Times New Roman"/>
          <w:sz w:val="22"/>
          <w:szCs w:val="22"/>
        </w:rPr>
        <w:instrText xml:space="preserve"> SEQ MTEqn \h \* MERGEFORMAT </w:instrText>
      </w:r>
      <w:r w:rsidR="00612C8D" w:rsidRPr="00E97BC8">
        <w:rPr>
          <w:rFonts w:cs="Times New Roman"/>
          <w:sz w:val="22"/>
          <w:szCs w:val="22"/>
        </w:rPr>
        <w:fldChar w:fldCharType="end"/>
      </w:r>
      <w:r w:rsidR="00612C8D" w:rsidRPr="00E97BC8">
        <w:rPr>
          <w:rFonts w:cs="Times New Roman"/>
          <w:sz w:val="22"/>
          <w:szCs w:val="22"/>
        </w:rPr>
        <w:instrText>(</w:instrText>
      </w:r>
      <w:r w:rsidR="00612C8D" w:rsidRPr="00E97BC8">
        <w:rPr>
          <w:rFonts w:cs="Times New Roman"/>
          <w:sz w:val="22"/>
          <w:szCs w:val="22"/>
        </w:rPr>
        <w:fldChar w:fldCharType="begin"/>
      </w:r>
      <w:r w:rsidR="00612C8D" w:rsidRPr="00E97BC8">
        <w:rPr>
          <w:rFonts w:cs="Times New Roman"/>
          <w:sz w:val="22"/>
          <w:szCs w:val="22"/>
        </w:rPr>
        <w:instrText xml:space="preserve"> SEQ MTEqn \c \* Arabic \* MERGEFORMAT </w:instrText>
      </w:r>
      <w:r w:rsidR="00612C8D" w:rsidRPr="00E97BC8">
        <w:rPr>
          <w:rFonts w:cs="Times New Roman"/>
          <w:sz w:val="22"/>
          <w:szCs w:val="22"/>
        </w:rPr>
        <w:fldChar w:fldCharType="separate"/>
      </w:r>
      <w:r w:rsidR="00EF198F" w:rsidRPr="00E97BC8">
        <w:rPr>
          <w:rFonts w:cs="Times New Roman"/>
          <w:sz w:val="22"/>
          <w:szCs w:val="22"/>
        </w:rPr>
        <w:instrText>3</w:instrText>
      </w:r>
      <w:r w:rsidR="00612C8D" w:rsidRPr="00E97BC8">
        <w:rPr>
          <w:rFonts w:cs="Times New Roman"/>
          <w:sz w:val="22"/>
          <w:szCs w:val="22"/>
        </w:rPr>
        <w:fldChar w:fldCharType="end"/>
      </w:r>
      <w:r w:rsidR="00612C8D" w:rsidRPr="00E97BC8">
        <w:rPr>
          <w:rFonts w:cs="Times New Roman"/>
          <w:sz w:val="22"/>
          <w:szCs w:val="22"/>
        </w:rPr>
        <w:instrText>)</w:instrText>
      </w:r>
      <w:r w:rsidR="00612C8D" w:rsidRPr="00E97BC8">
        <w:rPr>
          <w:rFonts w:cs="Times New Roman"/>
          <w:sz w:val="22"/>
          <w:szCs w:val="22"/>
        </w:rPr>
        <w:fldChar w:fldCharType="end"/>
      </w:r>
    </w:p>
    <w:p w14:paraId="28A01825" w14:textId="7655B645" w:rsidR="00AA1251" w:rsidRPr="00E97BC8" w:rsidRDefault="00743154" w:rsidP="00E85093">
      <w:pPr>
        <w:tabs>
          <w:tab w:val="right" w:pos="9360"/>
        </w:tabs>
        <w:spacing w:after="0" w:line="240" w:lineRule="auto"/>
        <w:jc w:val="both"/>
        <w:rPr>
          <w:rFonts w:cs="Times New Roman"/>
          <w:sz w:val="22"/>
          <w:szCs w:val="22"/>
        </w:rPr>
      </w:pPr>
      <w:r w:rsidRPr="00E97BC8">
        <w:rPr>
          <w:rFonts w:cs="Times New Roman"/>
          <w:sz w:val="22"/>
          <w:szCs w:val="22"/>
        </w:rPr>
        <w:t>with</w:t>
      </w:r>
      <w:r w:rsidR="003665D1" w:rsidRPr="00E97BC8">
        <w:rPr>
          <w:rFonts w:cs="Times New Roman"/>
          <w:sz w:val="22"/>
          <w:szCs w:val="22"/>
        </w:rPr>
        <w:t xml:space="preserve"> </w:t>
      </w:r>
      <w:r w:rsidR="00B9562B" w:rsidRPr="00E97BC8">
        <w:rPr>
          <w:rFonts w:cs="Times New Roman"/>
          <w:position w:val="-14"/>
          <w:sz w:val="22"/>
          <w:szCs w:val="22"/>
        </w:rPr>
        <w:object w:dxaOrig="1760" w:dyaOrig="400" w14:anchorId="6C94E0D3">
          <v:shape id="_x0000_i1059" type="#_x0000_t75" style="width:88.7pt;height:20.15pt" o:ole="">
            <v:imagedata r:id="rId73" o:title=""/>
          </v:shape>
          <o:OLEObject Type="Embed" ProgID="Equation.DSMT4" ShapeID="_x0000_i1059" DrawAspect="Content" ObjectID="_1811172247" r:id="rId74"/>
        </w:object>
      </w:r>
      <w:r w:rsidR="00D53ECC" w:rsidRPr="00E97BC8">
        <w:rPr>
          <w:rFonts w:cs="Times New Roman"/>
          <w:sz w:val="22"/>
          <w:szCs w:val="22"/>
        </w:rPr>
        <w:t xml:space="preserve">, and </w:t>
      </w:r>
      <w:r w:rsidR="003E1948" w:rsidRPr="00E97BC8">
        <w:rPr>
          <w:rFonts w:cs="Times New Roman"/>
          <w:sz w:val="22"/>
          <w:szCs w:val="22"/>
        </w:rPr>
        <w:t xml:space="preserve">where </w:t>
      </w:r>
      <w:r w:rsidR="00B9562B" w:rsidRPr="00E97BC8">
        <w:rPr>
          <w:rFonts w:cs="Times New Roman"/>
          <w:b/>
          <w:bCs/>
          <w:i/>
          <w:iCs/>
          <w:sz w:val="22"/>
          <w:szCs w:val="22"/>
        </w:rPr>
        <w:t>x</w:t>
      </w:r>
      <w:r w:rsidR="003E1948" w:rsidRPr="00E97BC8">
        <w:rPr>
          <w:rFonts w:cs="Times New Roman"/>
          <w:sz w:val="22"/>
          <w:szCs w:val="22"/>
        </w:rPr>
        <w:t xml:space="preserve"> is an</w:t>
      </w:r>
      <w:r w:rsidR="00B9562B" w:rsidRPr="00E97BC8">
        <w:rPr>
          <w:rFonts w:cs="Times New Roman"/>
          <w:sz w:val="22"/>
          <w:szCs w:val="22"/>
        </w:rPr>
        <w:t xml:space="preserve"> </w:t>
      </w:r>
      <w:r w:rsidR="00BB15C1" w:rsidRPr="00E97BC8">
        <w:rPr>
          <w:rFonts w:cs="Times New Roman"/>
          <w:position w:val="-10"/>
          <w:sz w:val="22"/>
          <w:szCs w:val="22"/>
        </w:rPr>
        <w:object w:dxaOrig="660" w:dyaOrig="320" w14:anchorId="4591400A">
          <v:shape id="_x0000_i1060" type="#_x0000_t75" style="width:32.15pt;height:16.3pt" o:ole="">
            <v:imagedata r:id="rId75" o:title=""/>
          </v:shape>
          <o:OLEObject Type="Embed" ProgID="Equation.DSMT4" ShapeID="_x0000_i1060" DrawAspect="Content" ObjectID="_1811172248" r:id="rId76"/>
        </w:object>
      </w:r>
      <w:r w:rsidR="001446AA" w:rsidRPr="00E97BC8">
        <w:rPr>
          <w:rFonts w:cs="Times New Roman"/>
          <w:sz w:val="22"/>
          <w:szCs w:val="22"/>
        </w:rPr>
        <w:t xml:space="preserve"> </w:t>
      </w:r>
      <w:r w:rsidR="003E1948" w:rsidRPr="00E97BC8">
        <w:rPr>
          <w:rFonts w:cs="Times New Roman"/>
          <w:sz w:val="22"/>
          <w:szCs w:val="22"/>
        </w:rPr>
        <w:t xml:space="preserve">vector of exogenous variables </w:t>
      </w:r>
      <w:bookmarkStart w:id="27" w:name="_Hlk78693510"/>
      <w:r w:rsidR="004B3FDA" w:rsidRPr="00E97BC8">
        <w:rPr>
          <w:rFonts w:cs="Times New Roman"/>
          <w:sz w:val="22"/>
          <w:szCs w:val="22"/>
        </w:rPr>
        <w:t xml:space="preserve">(including a constant) </w:t>
      </w:r>
      <w:r w:rsidR="003E1948" w:rsidRPr="00E97BC8">
        <w:rPr>
          <w:rFonts w:cs="Times New Roman"/>
          <w:sz w:val="22"/>
          <w:szCs w:val="22"/>
        </w:rPr>
        <w:t>as well as possibly the observed values of other endogenous variables</w:t>
      </w:r>
      <w:bookmarkEnd w:id="27"/>
      <w:r w:rsidR="00742B3D" w:rsidRPr="00E97BC8">
        <w:rPr>
          <w:rFonts w:cs="Times New Roman"/>
          <w:sz w:val="22"/>
          <w:szCs w:val="22"/>
        </w:rPr>
        <w:t xml:space="preserve"> (included in a recursive fashion)</w:t>
      </w:r>
      <w:r w:rsidR="003E1948" w:rsidRPr="00E97BC8">
        <w:rPr>
          <w:rFonts w:cs="Times New Roman"/>
          <w:sz w:val="22"/>
          <w:szCs w:val="22"/>
        </w:rPr>
        <w:t xml:space="preserve">, </w:t>
      </w:r>
      <w:r w:rsidR="00B9562B" w:rsidRPr="00E97BC8">
        <w:rPr>
          <w:rFonts w:cs="Times New Roman"/>
          <w:position w:val="-12"/>
          <w:sz w:val="22"/>
          <w:szCs w:val="22"/>
        </w:rPr>
        <w:object w:dxaOrig="260" w:dyaOrig="360" w14:anchorId="607CEF61">
          <v:shape id="_x0000_i1061" type="#_x0000_t75" style="width:13.3pt;height:18.85pt" o:ole="" o:preferrelative="f">
            <v:imagedata r:id="rId77" o:title=""/>
            <o:lock v:ext="edit" aspectratio="f"/>
          </v:shape>
          <o:OLEObject Type="Embed" ProgID="Equation.DSMT4" ShapeID="_x0000_i1061" DrawAspect="Content" ObjectID="_1811172249" r:id="rId78"/>
        </w:object>
      </w:r>
      <w:r w:rsidR="003E1948" w:rsidRPr="00E97BC8">
        <w:rPr>
          <w:rFonts w:cs="Times New Roman"/>
          <w:position w:val="-12"/>
          <w:sz w:val="22"/>
          <w:szCs w:val="22"/>
        </w:rPr>
        <w:t xml:space="preserve"> </w:t>
      </w:r>
      <w:r w:rsidR="003E1948" w:rsidRPr="00E97BC8">
        <w:rPr>
          <w:rFonts w:cs="Times New Roman"/>
          <w:sz w:val="22"/>
          <w:szCs w:val="22"/>
        </w:rPr>
        <w:t xml:space="preserve">is </w:t>
      </w:r>
      <w:r w:rsidR="00BD740B" w:rsidRPr="00E97BC8">
        <w:rPr>
          <w:rFonts w:cs="Times New Roman"/>
          <w:sz w:val="22"/>
          <w:szCs w:val="22"/>
        </w:rPr>
        <w:t xml:space="preserve">a </w:t>
      </w:r>
      <w:r w:rsidR="003E1948" w:rsidRPr="00E97BC8">
        <w:rPr>
          <w:rFonts w:cs="Times New Roman"/>
          <w:sz w:val="22"/>
          <w:szCs w:val="22"/>
        </w:rPr>
        <w:t xml:space="preserve">vector of </w:t>
      </w:r>
      <w:r w:rsidR="009F1253" w:rsidRPr="00E97BC8">
        <w:rPr>
          <w:rFonts w:cs="Times New Roman"/>
          <w:sz w:val="22"/>
          <w:szCs w:val="22"/>
        </w:rPr>
        <w:t xml:space="preserve">corresponding </w:t>
      </w:r>
      <w:r w:rsidR="003E1948" w:rsidRPr="00E97BC8">
        <w:rPr>
          <w:rFonts w:cs="Times New Roman"/>
          <w:sz w:val="22"/>
          <w:szCs w:val="22"/>
        </w:rPr>
        <w:t xml:space="preserve">coefficients to be estimated, </w:t>
      </w:r>
      <w:r w:rsidR="00BB15C1" w:rsidRPr="00E97BC8">
        <w:rPr>
          <w:rFonts w:cs="Times New Roman"/>
          <w:position w:val="-12"/>
          <w:sz w:val="22"/>
          <w:szCs w:val="22"/>
        </w:rPr>
        <w:object w:dxaOrig="279" w:dyaOrig="400" w14:anchorId="74493C9E">
          <v:shape id="_x0000_i1062" type="#_x0000_t75" style="width:13.7pt;height:20.15pt" o:ole="">
            <v:imagedata r:id="rId79" o:title=""/>
          </v:shape>
          <o:OLEObject Type="Embed" ProgID="Equation.DSMT4" ShapeID="_x0000_i1062" DrawAspect="Content" ObjectID="_1811172250" r:id="rId80"/>
        </w:object>
      </w:r>
      <w:r w:rsidR="003E1948" w:rsidRPr="00E97BC8">
        <w:rPr>
          <w:rFonts w:cs="Times New Roman"/>
          <w:sz w:val="22"/>
          <w:szCs w:val="22"/>
        </w:rPr>
        <w:t xml:space="preserve"> is an</w:t>
      </w:r>
      <w:r w:rsidR="00A33650" w:rsidRPr="00E97BC8">
        <w:rPr>
          <w:rFonts w:cs="Times New Roman"/>
          <w:sz w:val="22"/>
          <w:szCs w:val="22"/>
        </w:rPr>
        <w:t xml:space="preserve"> </w:t>
      </w:r>
      <w:r w:rsidR="00BB15C1" w:rsidRPr="00E97BC8">
        <w:rPr>
          <w:rFonts w:cs="Times New Roman"/>
          <w:position w:val="-10"/>
          <w:sz w:val="22"/>
          <w:szCs w:val="22"/>
        </w:rPr>
        <w:object w:dxaOrig="639" w:dyaOrig="320" w14:anchorId="59BC86DB">
          <v:shape id="_x0000_i1063" type="#_x0000_t75" style="width:30.85pt;height:16.3pt" o:ole="">
            <v:imagedata r:id="rId81" o:title=""/>
          </v:shape>
          <o:OLEObject Type="Embed" ProgID="Equation.DSMT4" ShapeID="_x0000_i1063" DrawAspect="Content" ObjectID="_1811172251" r:id="rId82"/>
        </w:object>
      </w:r>
      <w:r w:rsidR="00A33650" w:rsidRPr="00E97BC8">
        <w:rPr>
          <w:rFonts w:cs="Times New Roman"/>
          <w:sz w:val="22"/>
          <w:szCs w:val="22"/>
        </w:rPr>
        <w:t xml:space="preserve"> </w:t>
      </w:r>
      <w:r w:rsidR="003E1948" w:rsidRPr="00E97BC8">
        <w:rPr>
          <w:rFonts w:cs="Times New Roman"/>
          <w:sz w:val="22"/>
          <w:szCs w:val="22"/>
        </w:rPr>
        <w:t xml:space="preserve">vector of loadings </w:t>
      </w:r>
      <w:r w:rsidR="009F1253" w:rsidRPr="00E97BC8">
        <w:rPr>
          <w:rFonts w:cs="Times New Roman"/>
          <w:sz w:val="22"/>
          <w:szCs w:val="22"/>
        </w:rPr>
        <w:t xml:space="preserve">of each latent construct </w:t>
      </w:r>
      <w:r w:rsidR="003E1948" w:rsidRPr="00E97BC8">
        <w:rPr>
          <w:rFonts w:cs="Times New Roman"/>
          <w:sz w:val="22"/>
          <w:szCs w:val="22"/>
        </w:rPr>
        <w:t>on th</w:t>
      </w:r>
      <w:r w:rsidR="009F1253" w:rsidRPr="00E97BC8">
        <w:rPr>
          <w:rFonts w:cs="Times New Roman"/>
          <w:sz w:val="22"/>
          <w:szCs w:val="22"/>
        </w:rPr>
        <w:t>e</w:t>
      </w:r>
      <w:r w:rsidR="003E1948" w:rsidRPr="00E97BC8">
        <w:rPr>
          <w:rFonts w:cs="Times New Roman"/>
          <w:sz w:val="22"/>
          <w:szCs w:val="22"/>
        </w:rPr>
        <w:t xml:space="preserve"> ordinal outcome, the </w:t>
      </w:r>
      <w:r w:rsidR="00C55A95" w:rsidRPr="00E97BC8">
        <w:rPr>
          <w:rFonts w:cs="Times New Roman"/>
          <w:position w:val="-10"/>
          <w:sz w:val="22"/>
          <w:szCs w:val="22"/>
        </w:rPr>
        <w:object w:dxaOrig="240" w:dyaOrig="320" w14:anchorId="22071ABB">
          <v:shape id="_x0000_i1064" type="#_x0000_t75" style="width:12.85pt;height:15.85pt" o:ole="" o:preferrelative="f">
            <v:imagedata r:id="rId83" o:title=""/>
            <o:lock v:ext="edit" aspectratio="f"/>
          </v:shape>
          <o:OLEObject Type="Embed" ProgID="Equation.3" ShapeID="_x0000_i1064" DrawAspect="Content" ObjectID="_1811172252" r:id="rId84"/>
        </w:object>
      </w:r>
      <w:r w:rsidR="003E1948" w:rsidRPr="00E97BC8">
        <w:rPr>
          <w:rFonts w:cs="Times New Roman"/>
          <w:sz w:val="22"/>
          <w:szCs w:val="22"/>
        </w:rPr>
        <w:t xml:space="preserve"> terms represent thresholds</w:t>
      </w:r>
      <w:r w:rsidR="009F1253" w:rsidRPr="00E97BC8">
        <w:rPr>
          <w:rFonts w:cs="Times New Roman"/>
          <w:sz w:val="22"/>
          <w:szCs w:val="22"/>
        </w:rPr>
        <w:t xml:space="preserve"> to be estimated</w:t>
      </w:r>
      <w:r w:rsidR="003E1948" w:rsidRPr="00E97BC8">
        <w:rPr>
          <w:rFonts w:cs="Times New Roman"/>
          <w:sz w:val="22"/>
          <w:szCs w:val="22"/>
        </w:rPr>
        <w:t xml:space="preserve">, and </w:t>
      </w:r>
      <w:r w:rsidR="00B9562B" w:rsidRPr="00E97BC8">
        <w:rPr>
          <w:rFonts w:cs="Times New Roman"/>
          <w:position w:val="-12"/>
          <w:sz w:val="22"/>
          <w:szCs w:val="22"/>
        </w:rPr>
        <w:object w:dxaOrig="279" w:dyaOrig="360" w14:anchorId="1B399902">
          <v:shape id="_x0000_i1065" type="#_x0000_t75" style="width:13.7pt;height:18.85pt" o:ole="" o:preferrelative="f">
            <v:imagedata r:id="rId85" o:title=""/>
            <o:lock v:ext="edit" aspectratio="f"/>
          </v:shape>
          <o:OLEObject Type="Embed" ProgID="Equation.3" ShapeID="_x0000_i1065" DrawAspect="Content" ObjectID="_1811172253" r:id="rId86"/>
        </w:object>
      </w:r>
      <w:r w:rsidR="003E1948" w:rsidRPr="00E97BC8">
        <w:rPr>
          <w:rFonts w:cs="Times New Roman"/>
          <w:sz w:val="22"/>
          <w:szCs w:val="22"/>
        </w:rPr>
        <w:t xml:space="preserve"> </w:t>
      </w:r>
      <w:r w:rsidR="009F1253" w:rsidRPr="00E97BC8">
        <w:rPr>
          <w:rFonts w:cs="Times New Roman"/>
          <w:sz w:val="22"/>
          <w:szCs w:val="22"/>
        </w:rPr>
        <w:t xml:space="preserve">represents </w:t>
      </w:r>
      <w:r w:rsidR="003E1948" w:rsidRPr="00E97BC8">
        <w:rPr>
          <w:rFonts w:cs="Times New Roman"/>
          <w:sz w:val="22"/>
          <w:szCs w:val="22"/>
        </w:rPr>
        <w:t>the standard normal random error for the ordinal outcome</w:t>
      </w:r>
      <w:r w:rsidR="00144544" w:rsidRPr="00E97BC8">
        <w:rPr>
          <w:rFonts w:cs="Times New Roman"/>
          <w:sz w:val="22"/>
          <w:szCs w:val="22"/>
        </w:rPr>
        <w:t xml:space="preserve">. </w:t>
      </w:r>
      <w:r w:rsidR="00F2727B" w:rsidRPr="00E97BC8">
        <w:rPr>
          <w:rFonts w:cs="Times New Roman"/>
          <w:sz w:val="22"/>
          <w:szCs w:val="22"/>
        </w:rPr>
        <w:t xml:space="preserve">For the indicators, however, the </w:t>
      </w:r>
      <w:r w:rsidR="00B9562B" w:rsidRPr="00E97BC8">
        <w:rPr>
          <w:rFonts w:cs="Times New Roman"/>
          <w:b/>
          <w:bCs/>
          <w:i/>
          <w:iCs/>
          <w:sz w:val="22"/>
          <w:szCs w:val="22"/>
        </w:rPr>
        <w:t>x</w:t>
      </w:r>
      <w:r w:rsidR="003E1948" w:rsidRPr="00E97BC8">
        <w:rPr>
          <w:rFonts w:cs="Times New Roman"/>
          <w:sz w:val="22"/>
          <w:szCs w:val="22"/>
        </w:rPr>
        <w:t xml:space="preserve"> vector will not appear on the right side of Equation (3)</w:t>
      </w:r>
      <w:r w:rsidR="00144544" w:rsidRPr="00E97BC8">
        <w:rPr>
          <w:rFonts w:cs="Times New Roman"/>
          <w:sz w:val="22"/>
          <w:szCs w:val="22"/>
        </w:rPr>
        <w:t xml:space="preserve">. </w:t>
      </w:r>
      <w:r w:rsidR="002A6D0D" w:rsidRPr="00E97BC8">
        <w:rPr>
          <w:rFonts w:cs="Times New Roman"/>
          <w:sz w:val="22"/>
          <w:szCs w:val="22"/>
        </w:rPr>
        <w:t>Additionally</w:t>
      </w:r>
      <w:r w:rsidR="003E1948" w:rsidRPr="00E97BC8">
        <w:rPr>
          <w:rFonts w:cs="Times New Roman"/>
          <w:sz w:val="22"/>
          <w:szCs w:val="22"/>
        </w:rPr>
        <w:t xml:space="preserve">, identification conditions </w:t>
      </w:r>
      <w:r w:rsidR="004B3FDA" w:rsidRPr="00E97BC8">
        <w:rPr>
          <w:rFonts w:cs="Times New Roman"/>
          <w:sz w:val="22"/>
          <w:szCs w:val="22"/>
        </w:rPr>
        <w:t xml:space="preserve">are needed </w:t>
      </w:r>
      <w:r w:rsidR="003A3D72" w:rsidRPr="00E97BC8">
        <w:rPr>
          <w:rFonts w:cs="Times New Roman"/>
          <w:sz w:val="22"/>
          <w:szCs w:val="22"/>
        </w:rPr>
        <w:t>regarding</w:t>
      </w:r>
      <w:r w:rsidR="003E1948" w:rsidRPr="00E97BC8">
        <w:rPr>
          <w:rFonts w:cs="Times New Roman"/>
          <w:sz w:val="22"/>
          <w:szCs w:val="22"/>
        </w:rPr>
        <w:t xml:space="preserve"> the number of non-zero elements of </w:t>
      </w:r>
      <w:r w:rsidR="00BB15C1" w:rsidRPr="00E97BC8">
        <w:rPr>
          <w:rFonts w:cs="Times New Roman"/>
          <w:position w:val="-12"/>
          <w:sz w:val="22"/>
          <w:szCs w:val="22"/>
        </w:rPr>
        <w:object w:dxaOrig="279" w:dyaOrig="400" w14:anchorId="177A4EAF">
          <v:shape id="_x0000_i1066" type="#_x0000_t75" style="width:13.7pt;height:20.15pt" o:ole="">
            <v:imagedata r:id="rId79" o:title=""/>
          </v:shape>
          <o:OLEObject Type="Embed" ProgID="Equation.DSMT4" ShapeID="_x0000_i1066" DrawAspect="Content" ObjectID="_1811172254" r:id="rId87"/>
        </w:object>
      </w:r>
      <w:r w:rsidR="003E1948" w:rsidRPr="00E97BC8">
        <w:rPr>
          <w:rFonts w:cs="Times New Roman"/>
          <w:sz w:val="22"/>
          <w:szCs w:val="22"/>
        </w:rPr>
        <w:t xml:space="preserve"> </w:t>
      </w:r>
      <w:r w:rsidR="003A3D72" w:rsidRPr="00E97BC8">
        <w:rPr>
          <w:rFonts w:cs="Times New Roman"/>
          <w:sz w:val="22"/>
          <w:szCs w:val="22"/>
        </w:rPr>
        <w:t>that are possible</w:t>
      </w:r>
      <w:r w:rsidR="003E1948" w:rsidRPr="00E97BC8">
        <w:rPr>
          <w:rFonts w:cs="Times New Roman"/>
          <w:sz w:val="22"/>
          <w:szCs w:val="22"/>
        </w:rPr>
        <w:t xml:space="preserve"> in each indicator equation </w:t>
      </w:r>
      <w:r w:rsidR="002A0458" w:rsidRPr="00E97BC8">
        <w:rPr>
          <w:rFonts w:cs="Times New Roman"/>
          <w:sz w:val="22"/>
          <w:szCs w:val="22"/>
        </w:rPr>
        <w:t>(</w:t>
      </w:r>
      <w:r w:rsidR="003E1948" w:rsidRPr="00E97BC8">
        <w:rPr>
          <w:rFonts w:cs="Times New Roman"/>
          <w:sz w:val="22"/>
          <w:szCs w:val="22"/>
        </w:rPr>
        <w:t>and across all indicator equations</w:t>
      </w:r>
      <w:r w:rsidR="004B3FDA" w:rsidRPr="00E97BC8">
        <w:rPr>
          <w:rFonts w:cs="Times New Roman"/>
          <w:sz w:val="22"/>
          <w:szCs w:val="22"/>
        </w:rPr>
        <w:t xml:space="preserve">; </w:t>
      </w:r>
      <w:r w:rsidR="003E1948" w:rsidRPr="00E97BC8">
        <w:rPr>
          <w:rFonts w:cs="Times New Roman"/>
          <w:sz w:val="22"/>
          <w:szCs w:val="22"/>
        </w:rPr>
        <w:t>see Bhat</w:t>
      </w:r>
      <w:r w:rsidR="00424C2D" w:rsidRPr="00E97BC8">
        <w:rPr>
          <w:rFonts w:cs="Times New Roman"/>
          <w:sz w:val="22"/>
          <w:szCs w:val="22"/>
        </w:rPr>
        <w:t xml:space="preserve"> </w:t>
      </w:r>
      <w:r w:rsidR="00424C2D" w:rsidRPr="00E97BC8">
        <w:rPr>
          <w:rFonts w:cs="Times New Roman"/>
          <w:sz w:val="22"/>
          <w:szCs w:val="22"/>
        </w:rPr>
        <w:fldChar w:fldCharType="begin"/>
      </w:r>
      <w:r w:rsidR="00B864E0" w:rsidRPr="00E97BC8">
        <w:rPr>
          <w:rFonts w:cs="Times New Roman"/>
          <w:sz w:val="22"/>
          <w:szCs w:val="22"/>
        </w:rPr>
        <w:instrText xml:space="preserve"> ADDIN ZOTERO_ITEM CSL_CITATION {"citationID":"WeAwUMOn","properties":{"formattedCitation":"(2015)","plainCitation":"(2015)","noteIndex":0},"citationItems":[{"id":675,"uris":["http://zotero.org/users/12832277/items/E2IK5TA3"],"itemData":{"id":675,"type":"article-journal","abstract":"This paper formulates a generalized heterogeneous data model (GHDM) that jointly handles mixed types of dependent variables—including multiple nominal outcomes, multiple ordinal variables, and multiple count variables, as well as multiple continuous variables—by representing the covariance relationships among them through a reduced number of latent factors. Sufficiency conditions for identification of the GHDM parameters are presented. The maximum approximate composite marginal likelihood (MACML) method is proposed to estimate this jointly mixed model system. This estimation method provides computational time advantages since the dimensionality of integration in the likelihood function is independent of the number of latent factors. The study undertakes a simulation experiment within the virtual context of integrating residential location choice and travel behavior to evaluate the ability of the MACML approach to recover parameters. The simulation results show that the MACML approach effectively recovers underlying parameters, and also that ignoring the multi-dimensional nature of the relationship among mixed types of dependent variables can lead not only to inconsistent parameter estimation, but also have important implications for policy analysis.","container-title":"Transportation Research Part B: Methodological","DOI":"10.1016/j.trb.2015.05.017","ISSN":"0191-2615","language":"en","page":"50-77","source":"ScienceDirect","title":"A New Generalized Heterogeneous Data Model (GHDM) to Jointly Model Mixed Types of Dependent Variables","volume":"79","author":[{"family":"Bhat","given":"Chandra R."}],"issued":{"date-parts":[["2015",9,1]]}},"label":"page","suppress-author":true}],"schema":"https://github.com/citation-style-language/schema/raw/master/csl-citation.json"} </w:instrText>
      </w:r>
      <w:r w:rsidR="00424C2D" w:rsidRPr="00E97BC8">
        <w:rPr>
          <w:rFonts w:cs="Times New Roman"/>
          <w:sz w:val="22"/>
          <w:szCs w:val="22"/>
        </w:rPr>
        <w:fldChar w:fldCharType="separate"/>
      </w:r>
      <w:r w:rsidR="001E6A07" w:rsidRPr="00E97BC8">
        <w:rPr>
          <w:rFonts w:cs="Times New Roman"/>
          <w:sz w:val="22"/>
          <w:szCs w:val="22"/>
        </w:rPr>
        <w:t>(2015)</w:t>
      </w:r>
      <w:r w:rsidR="00424C2D" w:rsidRPr="00E97BC8">
        <w:rPr>
          <w:rFonts w:cs="Times New Roman"/>
          <w:sz w:val="22"/>
          <w:szCs w:val="22"/>
        </w:rPr>
        <w:fldChar w:fldCharType="end"/>
      </w:r>
      <w:r w:rsidR="003E1948" w:rsidRPr="00E97BC8">
        <w:rPr>
          <w:rFonts w:cs="Times New Roman"/>
          <w:sz w:val="22"/>
          <w:szCs w:val="22"/>
        </w:rPr>
        <w:t xml:space="preserve"> for additional details</w:t>
      </w:r>
      <w:r w:rsidR="004B3FDA" w:rsidRPr="00E97BC8">
        <w:rPr>
          <w:rFonts w:cs="Times New Roman"/>
          <w:sz w:val="22"/>
          <w:szCs w:val="22"/>
        </w:rPr>
        <w:t>)</w:t>
      </w:r>
      <w:r w:rsidR="003E1948" w:rsidRPr="00E97BC8">
        <w:rPr>
          <w:rFonts w:cs="Times New Roman"/>
          <w:sz w:val="22"/>
          <w:szCs w:val="22"/>
        </w:rPr>
        <w:t xml:space="preserve">. </w:t>
      </w:r>
      <w:r w:rsidR="00AA1251" w:rsidRPr="00E97BC8">
        <w:rPr>
          <w:rFonts w:cs="Times New Roman"/>
          <w:sz w:val="22"/>
          <w:szCs w:val="22"/>
        </w:rPr>
        <w:t>For each ordinal outcome,</w:t>
      </w:r>
      <w:r w:rsidR="005E0E89" w:rsidRPr="00E97BC8">
        <w:rPr>
          <w:rFonts w:cs="Times New Roman"/>
          <w:sz w:val="22"/>
          <w:szCs w:val="22"/>
        </w:rPr>
        <w:t xml:space="preserve"> the thresholds must be ordered</w:t>
      </w:r>
      <w:r w:rsidR="00AA1251" w:rsidRPr="00E97BC8">
        <w:rPr>
          <w:rFonts w:cs="Times New Roman"/>
          <w:sz w:val="22"/>
          <w:szCs w:val="22"/>
        </w:rPr>
        <w:t xml:space="preserve"> </w:t>
      </w:r>
      <w:r w:rsidR="00C55A95" w:rsidRPr="00E97BC8">
        <w:rPr>
          <w:rFonts w:cs="Times New Roman"/>
          <w:position w:val="-14"/>
          <w:sz w:val="22"/>
          <w:szCs w:val="22"/>
        </w:rPr>
        <w:object w:dxaOrig="3280" w:dyaOrig="380" w14:anchorId="59632552">
          <v:shape id="_x0000_i1067" type="#_x0000_t75" style="width:164.15pt;height:18.85pt" o:ole="" o:preferrelative="f">
            <v:imagedata r:id="rId88" o:title=""/>
            <o:lock v:ext="edit" aspectratio="f"/>
          </v:shape>
          <o:OLEObject Type="Embed" ProgID="Equation.DSMT4" ShapeID="_x0000_i1067" DrawAspect="Content" ObjectID="_1811172255" r:id="rId89"/>
        </w:object>
      </w:r>
      <w:r w:rsidR="00100DB3" w:rsidRPr="00E97BC8">
        <w:rPr>
          <w:rFonts w:cs="Times New Roman"/>
          <w:sz w:val="22"/>
          <w:szCs w:val="22"/>
        </w:rPr>
        <w:t>, with</w:t>
      </w:r>
      <w:r w:rsidR="00AA1251" w:rsidRPr="00E97BC8">
        <w:rPr>
          <w:rFonts w:cs="Times New Roman"/>
          <w:sz w:val="22"/>
          <w:szCs w:val="22"/>
        </w:rPr>
        <w:t xml:space="preserve"> </w:t>
      </w:r>
      <w:r w:rsidR="00B9562B" w:rsidRPr="00E97BC8">
        <w:rPr>
          <w:rFonts w:cs="Times New Roman"/>
          <w:position w:val="-14"/>
          <w:sz w:val="22"/>
          <w:szCs w:val="22"/>
        </w:rPr>
        <w:object w:dxaOrig="999" w:dyaOrig="380" w14:anchorId="7F854830">
          <v:shape id="_x0000_i1068" type="#_x0000_t75" style="width:49.7pt;height:18.85pt" o:ole="" o:preferrelative="f">
            <v:imagedata r:id="rId90" o:title=""/>
            <o:lock v:ext="edit" aspectratio="f"/>
          </v:shape>
          <o:OLEObject Type="Embed" ProgID="Equation.DSMT4" ShapeID="_x0000_i1068" DrawAspect="Content" ObjectID="_1811172256" r:id="rId91"/>
        </w:object>
      </w:r>
      <w:r w:rsidR="00AA1251" w:rsidRPr="00E97BC8">
        <w:rPr>
          <w:rFonts w:cs="Times New Roman"/>
          <w:sz w:val="22"/>
          <w:szCs w:val="22"/>
        </w:rPr>
        <w:t xml:space="preserve">, </w:t>
      </w:r>
      <w:r w:rsidR="00B9562B" w:rsidRPr="00E97BC8">
        <w:rPr>
          <w:rFonts w:cs="Times New Roman"/>
          <w:position w:val="-14"/>
          <w:sz w:val="22"/>
          <w:szCs w:val="22"/>
        </w:rPr>
        <w:object w:dxaOrig="780" w:dyaOrig="380" w14:anchorId="4023BE70">
          <v:shape id="_x0000_i1069" type="#_x0000_t75" style="width:38.15pt;height:18.85pt" o:ole="" o:preferrelative="f">
            <v:imagedata r:id="rId92" o:title=""/>
            <o:lock v:ext="edit" aspectratio="f"/>
          </v:shape>
          <o:OLEObject Type="Embed" ProgID="Equation.DSMT4" ShapeID="_x0000_i1069" DrawAspect="Content" ObjectID="_1811172257" r:id="rId93"/>
        </w:object>
      </w:r>
      <w:r w:rsidR="00AA1251" w:rsidRPr="00E97BC8">
        <w:rPr>
          <w:rFonts w:cs="Times New Roman"/>
          <w:sz w:val="22"/>
          <w:szCs w:val="22"/>
        </w:rPr>
        <w:t xml:space="preserve">, and </w:t>
      </w:r>
      <w:r w:rsidR="00C55A95" w:rsidRPr="00E97BC8">
        <w:rPr>
          <w:rFonts w:cs="Times New Roman"/>
          <w:position w:val="-14"/>
          <w:sz w:val="22"/>
          <w:szCs w:val="22"/>
        </w:rPr>
        <w:object w:dxaOrig="1080" w:dyaOrig="380" w14:anchorId="67CEF176">
          <v:shape id="_x0000_i1070" type="#_x0000_t75" style="width:54pt;height:18.85pt" o:ole="" o:preferrelative="f">
            <v:imagedata r:id="rId94" o:title=""/>
            <o:lock v:ext="edit" aspectratio="f"/>
          </v:shape>
          <o:OLEObject Type="Embed" ProgID="Equation.DSMT4" ShapeID="_x0000_i1070" DrawAspect="Content" ObjectID="_1811172258" r:id="rId95"/>
        </w:object>
      </w:r>
      <w:r w:rsidR="00AA1251" w:rsidRPr="00E97BC8">
        <w:rPr>
          <w:rFonts w:cs="Times New Roman"/>
          <w:sz w:val="22"/>
          <w:szCs w:val="22"/>
        </w:rPr>
        <w:t xml:space="preserve">. </w:t>
      </w:r>
      <w:r w:rsidR="00B01469" w:rsidRPr="00E97BC8">
        <w:rPr>
          <w:rFonts w:cs="Times New Roman"/>
          <w:sz w:val="22"/>
          <w:szCs w:val="22"/>
        </w:rPr>
        <w:t>L</w:t>
      </w:r>
      <w:r w:rsidR="00AA1251" w:rsidRPr="00E97BC8">
        <w:rPr>
          <w:rFonts w:cs="Times New Roman"/>
          <w:sz w:val="22"/>
          <w:szCs w:val="22"/>
        </w:rPr>
        <w:t xml:space="preserve">et </w:t>
      </w:r>
      <w:r w:rsidR="00C55A95" w:rsidRPr="00E97BC8">
        <w:rPr>
          <w:rFonts w:cs="Times New Roman"/>
          <w:position w:val="-14"/>
          <w:sz w:val="22"/>
          <w:szCs w:val="22"/>
        </w:rPr>
        <w:object w:dxaOrig="2480" w:dyaOrig="380" w14:anchorId="2579700C">
          <v:shape id="_x0000_i1071" type="#_x0000_t75" style="width:123.85pt;height:18.85pt" o:ole="" o:preferrelative="f">
            <v:imagedata r:id="rId96" o:title=""/>
            <o:lock v:ext="edit" aspectratio="f"/>
          </v:shape>
          <o:OLEObject Type="Embed" ProgID="Equation.DSMT4" ShapeID="_x0000_i1071" DrawAspect="Content" ObjectID="_1811172259" r:id="rId97"/>
        </w:object>
      </w:r>
      <w:r w:rsidR="00AA1251" w:rsidRPr="00E97BC8">
        <w:rPr>
          <w:rFonts w:cs="Times New Roman"/>
          <w:sz w:val="22"/>
          <w:szCs w:val="22"/>
        </w:rPr>
        <w:t xml:space="preserve"> and </w:t>
      </w:r>
      <w:r w:rsidR="00C55A95" w:rsidRPr="00E97BC8">
        <w:rPr>
          <w:rFonts w:cs="Times New Roman"/>
          <w:position w:val="-12"/>
          <w:sz w:val="22"/>
          <w:szCs w:val="22"/>
        </w:rPr>
        <w:object w:dxaOrig="1920" w:dyaOrig="360" w14:anchorId="2B0FD013">
          <v:shape id="_x0000_i1072" type="#_x0000_t75" style="width:95.15pt;height:18pt" o:ole="" o:preferrelative="f">
            <v:imagedata r:id="rId98" o:title=""/>
            <o:lock v:ext="edit" aspectratio="f"/>
          </v:shape>
          <o:OLEObject Type="Embed" ProgID="Equation.DSMT4" ShapeID="_x0000_i1072" DrawAspect="Content" ObjectID="_1811172260" r:id="rId99"/>
        </w:object>
      </w:r>
      <w:r w:rsidR="00AA1251" w:rsidRPr="00E97BC8">
        <w:rPr>
          <w:rFonts w:cs="Times New Roman"/>
          <w:sz w:val="22"/>
          <w:szCs w:val="22"/>
        </w:rPr>
        <w:t xml:space="preserve"> Stack the </w:t>
      </w:r>
      <w:r w:rsidR="00AA1251" w:rsidRPr="00E97BC8">
        <w:rPr>
          <w:rFonts w:cs="Times New Roman"/>
          <w:i/>
          <w:sz w:val="22"/>
          <w:szCs w:val="22"/>
        </w:rPr>
        <w:t xml:space="preserve">N </w:t>
      </w:r>
      <w:r w:rsidR="00AA1251" w:rsidRPr="00E97BC8">
        <w:rPr>
          <w:rFonts w:cs="Times New Roman"/>
          <w:sz w:val="22"/>
          <w:szCs w:val="22"/>
        </w:rPr>
        <w:t>underlying continuous</w:t>
      </w:r>
      <w:r w:rsidR="00AA1251" w:rsidRPr="00E97BC8">
        <w:rPr>
          <w:rFonts w:cs="Times New Roman"/>
          <w:i/>
          <w:sz w:val="22"/>
          <w:szCs w:val="22"/>
        </w:rPr>
        <w:t xml:space="preserve"> </w:t>
      </w:r>
      <w:r w:rsidR="00AA1251" w:rsidRPr="00E97BC8">
        <w:rPr>
          <w:rFonts w:cs="Times New Roman"/>
          <w:sz w:val="22"/>
          <w:szCs w:val="22"/>
        </w:rPr>
        <w:t xml:space="preserve">variables </w:t>
      </w:r>
      <w:r w:rsidR="00B9562B" w:rsidRPr="00E97BC8">
        <w:rPr>
          <w:rFonts w:cs="Times New Roman"/>
          <w:position w:val="-12"/>
          <w:sz w:val="22"/>
          <w:szCs w:val="22"/>
        </w:rPr>
        <w:object w:dxaOrig="279" w:dyaOrig="380" w14:anchorId="738EA03B">
          <v:shape id="_x0000_i1073" type="#_x0000_t75" style="width:13.7pt;height:18.85pt" o:ole="" o:preferrelative="f">
            <v:imagedata r:id="rId67" o:title=""/>
            <o:lock v:ext="edit" aspectratio="f"/>
          </v:shape>
          <o:OLEObject Type="Embed" ProgID="Equation.DSMT4" ShapeID="_x0000_i1073" DrawAspect="Content" ObjectID="_1811172261" r:id="rId100"/>
        </w:object>
      </w:r>
      <w:r w:rsidR="00AA1251" w:rsidRPr="00E97BC8">
        <w:rPr>
          <w:rFonts w:cs="Times New Roman"/>
          <w:sz w:val="22"/>
          <w:szCs w:val="22"/>
        </w:rPr>
        <w:t xml:space="preserve"> into an </w:t>
      </w:r>
      <w:r w:rsidR="00BB15C1" w:rsidRPr="00E97BC8">
        <w:rPr>
          <w:rFonts w:cs="Times New Roman"/>
          <w:position w:val="-10"/>
          <w:sz w:val="22"/>
          <w:szCs w:val="22"/>
        </w:rPr>
        <w:object w:dxaOrig="700" w:dyaOrig="320" w14:anchorId="706B0F5D">
          <v:shape id="_x0000_i1074" type="#_x0000_t75" style="width:36.85pt;height:16.3pt" o:ole="">
            <v:imagedata r:id="rId101" o:title=""/>
          </v:shape>
          <o:OLEObject Type="Embed" ProgID="Equation.DSMT4" ShapeID="_x0000_i1074" DrawAspect="Content" ObjectID="_1811172262" r:id="rId102"/>
        </w:object>
      </w:r>
      <w:r w:rsidR="00AA1251" w:rsidRPr="00E97BC8">
        <w:rPr>
          <w:rFonts w:cs="Times New Roman"/>
          <w:sz w:val="22"/>
          <w:szCs w:val="22"/>
        </w:rPr>
        <w:t xml:space="preserve"> vector </w:t>
      </w:r>
      <w:r w:rsidR="00B9562B" w:rsidRPr="00E97BC8">
        <w:rPr>
          <w:rFonts w:cs="Times New Roman"/>
          <w:position w:val="-10"/>
          <w:sz w:val="22"/>
          <w:szCs w:val="22"/>
        </w:rPr>
        <w:object w:dxaOrig="300" w:dyaOrig="360" w14:anchorId="249813E2">
          <v:shape id="_x0000_i1075" type="#_x0000_t75" style="width:15pt;height:18.85pt" o:ole="" o:preferrelative="f">
            <v:imagedata r:id="rId103" o:title=""/>
            <o:lock v:ext="edit" aspectratio="f"/>
          </v:shape>
          <o:OLEObject Type="Embed" ProgID="Equation.3" ShapeID="_x0000_i1075" DrawAspect="Content" ObjectID="_1811172263" r:id="rId104"/>
        </w:object>
      </w:r>
      <w:r w:rsidR="00AA1251" w:rsidRPr="00E97BC8">
        <w:rPr>
          <w:rFonts w:cs="Times New Roman"/>
          <w:sz w:val="22"/>
          <w:szCs w:val="22"/>
        </w:rPr>
        <w:t xml:space="preserve">, and the </w:t>
      </w:r>
      <w:r w:rsidR="00AA1251" w:rsidRPr="00E97BC8">
        <w:rPr>
          <w:rFonts w:cs="Times New Roman"/>
          <w:i/>
          <w:sz w:val="22"/>
          <w:szCs w:val="22"/>
        </w:rPr>
        <w:t>N</w:t>
      </w:r>
      <w:r w:rsidR="00AA1251" w:rsidRPr="00E97BC8">
        <w:rPr>
          <w:rFonts w:cs="Times New Roman"/>
          <w:sz w:val="22"/>
          <w:szCs w:val="22"/>
        </w:rPr>
        <w:t xml:space="preserve"> error terms </w:t>
      </w:r>
      <w:r w:rsidR="00B9562B" w:rsidRPr="00E97BC8">
        <w:rPr>
          <w:rFonts w:cs="Times New Roman"/>
          <w:position w:val="-12"/>
          <w:sz w:val="22"/>
          <w:szCs w:val="22"/>
        </w:rPr>
        <w:object w:dxaOrig="279" w:dyaOrig="360" w14:anchorId="78B8EE4B">
          <v:shape id="_x0000_i1076" type="#_x0000_t75" style="width:13.7pt;height:18.85pt" o:ole="" o:preferrelative="f">
            <v:imagedata r:id="rId105" o:title=""/>
            <o:lock v:ext="edit" aspectratio="f"/>
          </v:shape>
          <o:OLEObject Type="Embed" ProgID="Equation.3" ShapeID="_x0000_i1076" DrawAspect="Content" ObjectID="_1811172264" r:id="rId106"/>
        </w:object>
      </w:r>
      <w:r w:rsidR="00AA1251" w:rsidRPr="00E97BC8">
        <w:rPr>
          <w:rFonts w:cs="Times New Roman"/>
          <w:sz w:val="22"/>
          <w:szCs w:val="22"/>
        </w:rPr>
        <w:t xml:space="preserve"> into an </w:t>
      </w:r>
      <w:r w:rsidR="00BB15C1" w:rsidRPr="00E97BC8">
        <w:rPr>
          <w:rFonts w:cs="Times New Roman"/>
          <w:position w:val="-10"/>
          <w:sz w:val="22"/>
          <w:szCs w:val="22"/>
        </w:rPr>
        <w:object w:dxaOrig="700" w:dyaOrig="320" w14:anchorId="0ED00C09">
          <v:shape id="_x0000_i1077" type="#_x0000_t75" style="width:36.85pt;height:16.3pt" o:ole="">
            <v:imagedata r:id="rId107" o:title=""/>
          </v:shape>
          <o:OLEObject Type="Embed" ProgID="Equation.DSMT4" ShapeID="_x0000_i1077" DrawAspect="Content" ObjectID="_1811172265" r:id="rId108"/>
        </w:object>
      </w:r>
      <w:r w:rsidR="00AA1251" w:rsidRPr="00E97BC8">
        <w:rPr>
          <w:rFonts w:cs="Times New Roman"/>
          <w:sz w:val="22"/>
          <w:szCs w:val="22"/>
        </w:rPr>
        <w:t xml:space="preserve"> vector </w:t>
      </w:r>
      <w:r w:rsidR="00B9562B" w:rsidRPr="00E97BC8">
        <w:rPr>
          <w:rFonts w:cs="Times New Roman"/>
          <w:position w:val="-6"/>
          <w:sz w:val="22"/>
          <w:szCs w:val="22"/>
        </w:rPr>
        <w:object w:dxaOrig="200" w:dyaOrig="279" w14:anchorId="3B058EBD">
          <v:shape id="_x0000_i1078" type="#_x0000_t75" style="width:10.7pt;height:13.7pt" o:ole="" o:preferrelative="f">
            <v:imagedata r:id="rId109" o:title=""/>
            <o:lock v:ext="edit" aspectratio="f"/>
          </v:shape>
          <o:OLEObject Type="Embed" ProgID="Equation.DSMT4" ShapeID="_x0000_i1078" DrawAspect="Content" ObjectID="_1811172266" r:id="rId110"/>
        </w:object>
      </w:r>
      <w:r w:rsidR="00AA1251" w:rsidRPr="00E97BC8">
        <w:rPr>
          <w:rFonts w:cs="Times New Roman"/>
          <w:sz w:val="22"/>
          <w:szCs w:val="22"/>
        </w:rPr>
        <w:t xml:space="preserve">. Define </w:t>
      </w:r>
      <w:r w:rsidR="001446AA" w:rsidRPr="00E97BC8">
        <w:rPr>
          <w:rFonts w:cs="Times New Roman"/>
          <w:sz w:val="22"/>
          <w:szCs w:val="22"/>
        </w:rPr>
        <w:t xml:space="preserve">the </w:t>
      </w:r>
      <w:r w:rsidR="00BB15C1" w:rsidRPr="00E97BC8">
        <w:rPr>
          <w:rFonts w:cs="Times New Roman"/>
          <w:position w:val="-10"/>
          <w:sz w:val="22"/>
          <w:szCs w:val="22"/>
        </w:rPr>
        <w:object w:dxaOrig="780" w:dyaOrig="320" w14:anchorId="23551F27">
          <v:shape id="_x0000_i1079" type="#_x0000_t75" style="width:38.15pt;height:16.3pt" o:ole="">
            <v:imagedata r:id="rId111" o:title=""/>
          </v:shape>
          <o:OLEObject Type="Embed" ProgID="Equation.DSMT4" ShapeID="_x0000_i1079" DrawAspect="Content" ObjectID="_1811172267" r:id="rId112"/>
        </w:object>
      </w:r>
      <w:r w:rsidR="001446AA" w:rsidRPr="00E97BC8">
        <w:rPr>
          <w:rFonts w:cs="Times New Roman"/>
          <w:sz w:val="22"/>
          <w:szCs w:val="22"/>
        </w:rPr>
        <w:t xml:space="preserve"> matrix </w:t>
      </w:r>
      <w:r w:rsidR="00B9562B" w:rsidRPr="00E97BC8">
        <w:rPr>
          <w:rFonts w:cs="Times New Roman"/>
          <w:position w:val="-12"/>
          <w:sz w:val="22"/>
          <w:szCs w:val="22"/>
        </w:rPr>
        <w:object w:dxaOrig="1719" w:dyaOrig="360" w14:anchorId="427BA0D6">
          <v:shape id="_x0000_i1080" type="#_x0000_t75" style="width:85.7pt;height:18.85pt" o:ole="" o:preferrelative="f">
            <v:imagedata r:id="rId113" o:title=""/>
            <o:lock v:ext="edit" aspectratio="f"/>
          </v:shape>
          <o:OLEObject Type="Embed" ProgID="Equation.DSMT4" ShapeID="_x0000_i1080" DrawAspect="Content" ObjectID="_1811172268" r:id="rId114"/>
        </w:object>
      </w:r>
      <w:r w:rsidR="00AA1251" w:rsidRPr="00E97BC8">
        <w:rPr>
          <w:rFonts w:cs="Times New Roman"/>
          <w:sz w:val="22"/>
          <w:szCs w:val="22"/>
        </w:rPr>
        <w:t xml:space="preserve"> and</w:t>
      </w:r>
      <w:r w:rsidR="00AC358B" w:rsidRPr="00E97BC8">
        <w:rPr>
          <w:rFonts w:cs="Times New Roman"/>
          <w:sz w:val="22"/>
          <w:szCs w:val="22"/>
        </w:rPr>
        <w:t xml:space="preserve"> the </w:t>
      </w:r>
      <w:r w:rsidR="00B9562B" w:rsidRPr="00E97BC8">
        <w:rPr>
          <w:rFonts w:cs="Times New Roman"/>
          <w:position w:val="-10"/>
          <w:sz w:val="22"/>
          <w:szCs w:val="22"/>
        </w:rPr>
        <w:object w:dxaOrig="780" w:dyaOrig="320" w14:anchorId="10552538">
          <v:shape id="_x0000_i1081" type="#_x0000_t75" style="width:38.15pt;height:16.3pt" o:ole="" o:preferrelative="f">
            <v:imagedata r:id="rId115" o:title=""/>
            <o:lock v:ext="edit" aspectratio="f"/>
          </v:shape>
          <o:OLEObject Type="Embed" ProgID="Equation.DSMT4" ShapeID="_x0000_i1081" DrawAspect="Content" ObjectID="_1811172269" r:id="rId116"/>
        </w:object>
      </w:r>
      <w:r w:rsidR="00AC358B" w:rsidRPr="00E97BC8">
        <w:rPr>
          <w:rFonts w:cs="Times New Roman"/>
          <w:sz w:val="22"/>
          <w:szCs w:val="22"/>
        </w:rPr>
        <w:t xml:space="preserve"> matrix</w:t>
      </w:r>
      <w:r w:rsidR="00AA1251" w:rsidRPr="00E97BC8">
        <w:rPr>
          <w:rFonts w:cs="Times New Roman"/>
          <w:sz w:val="22"/>
          <w:szCs w:val="22"/>
        </w:rPr>
        <w:t xml:space="preserve"> </w:t>
      </w:r>
      <w:r w:rsidR="00B9562B" w:rsidRPr="00E97BC8">
        <w:rPr>
          <w:rFonts w:cs="Times New Roman"/>
          <w:position w:val="-18"/>
          <w:sz w:val="22"/>
          <w:szCs w:val="22"/>
        </w:rPr>
        <w:object w:dxaOrig="1840" w:dyaOrig="480" w14:anchorId="76BA728C">
          <v:shape id="_x0000_i1082" type="#_x0000_t75" style="width:92.15pt;height:23.15pt" o:ole="" o:preferrelative="f">
            <v:imagedata r:id="rId117" o:title=""/>
            <o:lock v:ext="edit" aspectratio="f"/>
          </v:shape>
          <o:OLEObject Type="Embed" ProgID="Equation.DSMT4" ShapeID="_x0000_i1082" DrawAspect="Content" ObjectID="_1811172270" r:id="rId118"/>
        </w:object>
      </w:r>
      <w:r w:rsidR="00AA1251" w:rsidRPr="00E97BC8">
        <w:rPr>
          <w:rFonts w:cs="Times New Roman"/>
          <w:sz w:val="22"/>
          <w:szCs w:val="22"/>
        </w:rPr>
        <w:t xml:space="preserve">and let </w:t>
      </w:r>
      <w:r w:rsidR="00C55A95" w:rsidRPr="00E97BC8">
        <w:rPr>
          <w:rFonts w:cs="Times New Roman"/>
          <w:position w:val="-12"/>
          <w:sz w:val="22"/>
          <w:szCs w:val="22"/>
        </w:rPr>
        <w:object w:dxaOrig="820" w:dyaOrig="360" w14:anchorId="5AF79ECA">
          <v:shape id="_x0000_i1083" type="#_x0000_t75" style="width:41.15pt;height:18pt" o:ole="" o:preferrelative="f">
            <v:imagedata r:id="rId119" o:title=""/>
            <o:lock v:ext="edit" aspectratio="f"/>
          </v:shape>
          <o:OLEObject Type="Embed" ProgID="Equation.DSMT4" ShapeID="_x0000_i1083" DrawAspect="Content" ObjectID="_1811172271" r:id="rId120"/>
        </w:object>
      </w:r>
      <w:r w:rsidR="00E650BE" w:rsidRPr="00E97BC8">
        <w:rPr>
          <w:rFonts w:cs="Times New Roman"/>
          <w:sz w:val="22"/>
          <w:szCs w:val="22"/>
        </w:rPr>
        <w:t xml:space="preserve"> be </w:t>
      </w:r>
      <w:r w:rsidR="00633AD5" w:rsidRPr="00E97BC8">
        <w:rPr>
          <w:rFonts w:cs="Times New Roman"/>
          <w:sz w:val="22"/>
          <w:szCs w:val="22"/>
        </w:rPr>
        <w:t>an</w:t>
      </w:r>
      <w:r w:rsidR="00AA1251" w:rsidRPr="00E97BC8">
        <w:rPr>
          <w:rFonts w:cs="Times New Roman"/>
          <w:sz w:val="22"/>
          <w:szCs w:val="22"/>
        </w:rPr>
        <w:t xml:space="preserve"> identity matrix of dimension </w:t>
      </w:r>
      <w:r w:rsidR="00B9562B" w:rsidRPr="00E97BC8">
        <w:rPr>
          <w:rFonts w:cs="Times New Roman"/>
          <w:i/>
          <w:iCs/>
          <w:sz w:val="22"/>
          <w:szCs w:val="22"/>
        </w:rPr>
        <w:t>N</w:t>
      </w:r>
      <w:r w:rsidR="00AA1251" w:rsidRPr="00E97BC8">
        <w:rPr>
          <w:rFonts w:cs="Times New Roman"/>
          <w:sz w:val="22"/>
          <w:szCs w:val="22"/>
        </w:rPr>
        <w:t xml:space="preserve"> </w:t>
      </w:r>
      <w:r w:rsidR="00E650BE" w:rsidRPr="00E97BC8">
        <w:rPr>
          <w:rFonts w:cs="Times New Roman"/>
          <w:sz w:val="22"/>
          <w:szCs w:val="22"/>
        </w:rPr>
        <w:t xml:space="preserve">that </w:t>
      </w:r>
      <w:r w:rsidR="00AA1251" w:rsidRPr="00E97BC8">
        <w:rPr>
          <w:rFonts w:cs="Times New Roman"/>
          <w:sz w:val="22"/>
          <w:szCs w:val="22"/>
        </w:rPr>
        <w:t>represen</w:t>
      </w:r>
      <w:r w:rsidR="00633AD5" w:rsidRPr="00E97BC8">
        <w:rPr>
          <w:rFonts w:cs="Times New Roman"/>
          <w:sz w:val="22"/>
          <w:szCs w:val="22"/>
        </w:rPr>
        <w:t>t</w:t>
      </w:r>
      <w:r w:rsidR="00E650BE" w:rsidRPr="00E97BC8">
        <w:rPr>
          <w:rFonts w:cs="Times New Roman"/>
          <w:sz w:val="22"/>
          <w:szCs w:val="22"/>
        </w:rPr>
        <w:t>s</w:t>
      </w:r>
      <w:r w:rsidR="00AA1251" w:rsidRPr="00E97BC8">
        <w:rPr>
          <w:rFonts w:cs="Times New Roman"/>
          <w:sz w:val="22"/>
          <w:szCs w:val="22"/>
        </w:rPr>
        <w:t xml:space="preserve"> the correlation matrix of </w:t>
      </w:r>
      <w:r w:rsidR="00B9562B" w:rsidRPr="00E97BC8">
        <w:rPr>
          <w:rFonts w:cs="Times New Roman"/>
          <w:position w:val="-6"/>
          <w:sz w:val="22"/>
          <w:szCs w:val="22"/>
        </w:rPr>
        <w:object w:dxaOrig="200" w:dyaOrig="279" w14:anchorId="01CD66A0">
          <v:shape id="_x0000_i1084" type="#_x0000_t75" style="width:10.7pt;height:13.7pt" o:ole="" o:preferrelative="f">
            <v:imagedata r:id="rId109" o:title=""/>
            <o:lock v:ext="edit" aspectratio="f"/>
          </v:shape>
          <o:OLEObject Type="Embed" ProgID="Equation.DSMT4" ShapeID="_x0000_i1084" DrawAspect="Content" ObjectID="_1811172272" r:id="rId121"/>
        </w:object>
      </w:r>
      <w:r w:rsidR="00AA1251" w:rsidRPr="00E97BC8">
        <w:rPr>
          <w:rFonts w:cs="Times New Roman"/>
          <w:sz w:val="22"/>
          <w:szCs w:val="22"/>
        </w:rPr>
        <w:t xml:space="preserve">. Finally, stack the </w:t>
      </w:r>
      <w:r w:rsidR="00B9562B" w:rsidRPr="00E97BC8">
        <w:rPr>
          <w:rFonts w:cs="Times New Roman"/>
          <w:i/>
          <w:iCs/>
          <w:sz w:val="22"/>
          <w:szCs w:val="22"/>
        </w:rPr>
        <w:t>N</w:t>
      </w:r>
      <w:r w:rsidR="00875395" w:rsidRPr="00E97BC8">
        <w:rPr>
          <w:rFonts w:cs="Times New Roman"/>
          <w:sz w:val="22"/>
          <w:szCs w:val="22"/>
        </w:rPr>
        <w:t xml:space="preserve"> </w:t>
      </w:r>
      <w:r w:rsidR="00AA1251" w:rsidRPr="00E97BC8">
        <w:rPr>
          <w:rFonts w:cs="Times New Roman"/>
          <w:sz w:val="22"/>
          <w:szCs w:val="22"/>
        </w:rPr>
        <w:t xml:space="preserve">lower thresholds for the decision-maker </w:t>
      </w:r>
      <w:r w:rsidR="00B9562B" w:rsidRPr="00E97BC8">
        <w:rPr>
          <w:rFonts w:cs="Times New Roman"/>
          <w:position w:val="-14"/>
          <w:sz w:val="22"/>
          <w:szCs w:val="22"/>
        </w:rPr>
        <w:object w:dxaOrig="620" w:dyaOrig="380" w14:anchorId="515DA6BF">
          <v:shape id="_x0000_i1085" type="#_x0000_t75" style="width:30.85pt;height:18.85pt" o:ole="" o:preferrelative="f">
            <v:imagedata r:id="rId122" o:title=""/>
            <o:lock v:ext="edit" aspectratio="f"/>
          </v:shape>
          <o:OLEObject Type="Embed" ProgID="Equation.DSMT4" ShapeID="_x0000_i1085" DrawAspect="Content" ObjectID="_1811172273" r:id="rId123"/>
        </w:object>
      </w:r>
      <w:r w:rsidR="00AA1251" w:rsidRPr="00E97BC8">
        <w:rPr>
          <w:rFonts w:cs="Times New Roman"/>
          <w:position w:val="-14"/>
          <w:sz w:val="22"/>
          <w:szCs w:val="22"/>
        </w:rPr>
        <w:t xml:space="preserve"> </w:t>
      </w:r>
      <w:r w:rsidR="00AA1251" w:rsidRPr="00E97BC8">
        <w:rPr>
          <w:rFonts w:cs="Times New Roman"/>
          <w:sz w:val="22"/>
          <w:szCs w:val="22"/>
        </w:rPr>
        <w:t xml:space="preserve">into an </w:t>
      </w:r>
      <w:r w:rsidR="00B9562B" w:rsidRPr="00E97BC8">
        <w:rPr>
          <w:rFonts w:cs="Times New Roman"/>
          <w:position w:val="-10"/>
          <w:sz w:val="22"/>
          <w:szCs w:val="22"/>
        </w:rPr>
        <w:object w:dxaOrig="700" w:dyaOrig="320" w14:anchorId="0E6B430C">
          <v:shape id="_x0000_i1086" type="#_x0000_t75" style="width:35.15pt;height:16.3pt" o:ole="" o:preferrelative="f">
            <v:imagedata r:id="rId124" o:title=""/>
            <o:lock v:ext="edit" aspectratio="f"/>
          </v:shape>
          <o:OLEObject Type="Embed" ProgID="Equation.DSMT4" ShapeID="_x0000_i1086" DrawAspect="Content" ObjectID="_1811172274" r:id="rId125"/>
        </w:object>
      </w:r>
      <w:r w:rsidR="00AA1251" w:rsidRPr="00E97BC8">
        <w:rPr>
          <w:rFonts w:cs="Times New Roman"/>
          <w:position w:val="-10"/>
          <w:sz w:val="22"/>
          <w:szCs w:val="22"/>
        </w:rPr>
        <w:t xml:space="preserve"> </w:t>
      </w:r>
      <w:r w:rsidR="00AA1251" w:rsidRPr="00E97BC8">
        <w:rPr>
          <w:rFonts w:cs="Times New Roman"/>
          <w:sz w:val="22"/>
          <w:szCs w:val="22"/>
        </w:rPr>
        <w:t xml:space="preserve">vector </w:t>
      </w:r>
      <w:r w:rsidR="00B9562B" w:rsidRPr="00E97BC8">
        <w:rPr>
          <w:rFonts w:cs="Times New Roman"/>
          <w:position w:val="-12"/>
          <w:sz w:val="22"/>
          <w:szCs w:val="22"/>
        </w:rPr>
        <w:object w:dxaOrig="440" w:dyaOrig="360" w14:anchorId="29618FB2">
          <v:shape id="_x0000_i1087" type="#_x0000_t75" style="width:22.7pt;height:18.85pt" o:ole="" o:preferrelative="f">
            <v:imagedata r:id="rId126" o:title=""/>
            <o:lock v:ext="edit" aspectratio="f"/>
          </v:shape>
          <o:OLEObject Type="Embed" ProgID="Equation.DSMT4" ShapeID="_x0000_i1087" DrawAspect="Content" ObjectID="_1811172275" r:id="rId127"/>
        </w:object>
      </w:r>
      <w:r w:rsidR="00AA1251" w:rsidRPr="00E97BC8">
        <w:rPr>
          <w:rFonts w:cs="Times New Roman"/>
          <w:position w:val="-12"/>
          <w:sz w:val="22"/>
          <w:szCs w:val="22"/>
        </w:rPr>
        <w:t xml:space="preserve"> </w:t>
      </w:r>
      <w:r w:rsidR="00AA1251" w:rsidRPr="00E97BC8">
        <w:rPr>
          <w:rFonts w:cs="Times New Roman"/>
          <w:sz w:val="22"/>
          <w:szCs w:val="22"/>
        </w:rPr>
        <w:t xml:space="preserve">and the </w:t>
      </w:r>
      <w:r w:rsidR="00B9562B" w:rsidRPr="00E97BC8">
        <w:rPr>
          <w:rFonts w:cs="Times New Roman"/>
          <w:i/>
          <w:iCs/>
          <w:sz w:val="22"/>
          <w:szCs w:val="22"/>
        </w:rPr>
        <w:t>N</w:t>
      </w:r>
      <w:r w:rsidR="00875395" w:rsidRPr="00E97BC8">
        <w:rPr>
          <w:rFonts w:cs="Times New Roman"/>
          <w:sz w:val="22"/>
          <w:szCs w:val="22"/>
        </w:rPr>
        <w:t xml:space="preserve"> </w:t>
      </w:r>
      <w:r w:rsidR="00AA1251" w:rsidRPr="00E97BC8">
        <w:rPr>
          <w:rFonts w:cs="Times New Roman"/>
          <w:sz w:val="22"/>
          <w:szCs w:val="22"/>
        </w:rPr>
        <w:t xml:space="preserve">upper thresholds </w:t>
      </w:r>
      <w:r w:rsidR="00B9562B" w:rsidRPr="00E97BC8">
        <w:rPr>
          <w:rFonts w:cs="Times New Roman"/>
          <w:position w:val="-14"/>
          <w:sz w:val="22"/>
          <w:szCs w:val="22"/>
        </w:rPr>
        <w:object w:dxaOrig="499" w:dyaOrig="380" w14:anchorId="36A57765">
          <v:shape id="_x0000_i1088" type="#_x0000_t75" style="width:25.3pt;height:18.85pt" o:ole="" o:preferrelative="f">
            <v:imagedata r:id="rId128" o:title=""/>
            <o:lock v:ext="edit" aspectratio="f"/>
          </v:shape>
          <o:OLEObject Type="Embed" ProgID="Equation.DSMT4" ShapeID="_x0000_i1088" DrawAspect="Content" ObjectID="_1811172276" r:id="rId129"/>
        </w:object>
      </w:r>
      <w:r w:rsidR="00AA1251" w:rsidRPr="00E97BC8">
        <w:rPr>
          <w:rFonts w:cs="Times New Roman"/>
          <w:sz w:val="22"/>
          <w:szCs w:val="22"/>
        </w:rPr>
        <w:t xml:space="preserve"> into another vector </w:t>
      </w:r>
      <w:r w:rsidR="00B9562B" w:rsidRPr="00E97BC8">
        <w:rPr>
          <w:rFonts w:cs="Times New Roman"/>
          <w:position w:val="-14"/>
          <w:sz w:val="22"/>
          <w:szCs w:val="22"/>
        </w:rPr>
        <w:object w:dxaOrig="380" w:dyaOrig="380" w14:anchorId="5923E536">
          <v:shape id="_x0000_i1089" type="#_x0000_t75" style="width:18.85pt;height:18.85pt" o:ole="">
            <v:imagedata r:id="rId130" o:title=""/>
          </v:shape>
          <o:OLEObject Type="Embed" ProgID="Equation.DSMT4" ShapeID="_x0000_i1089" DrawAspect="Content" ObjectID="_1811172277" r:id="rId131"/>
        </w:object>
      </w:r>
      <w:r w:rsidR="00AA1251" w:rsidRPr="00E97BC8">
        <w:rPr>
          <w:rFonts w:cs="Times New Roman"/>
          <w:sz w:val="22"/>
          <w:szCs w:val="22"/>
        </w:rPr>
        <w:t xml:space="preserve">. Then, in matrix form, the measurement equation for the ordinal outcomes </w:t>
      </w:r>
      <w:r w:rsidR="004B3FDA" w:rsidRPr="00E97BC8">
        <w:rPr>
          <w:rFonts w:cs="Times New Roman"/>
          <w:sz w:val="22"/>
          <w:szCs w:val="22"/>
        </w:rPr>
        <w:t xml:space="preserve">for the individual </w:t>
      </w:r>
      <w:r w:rsidR="00AA1251" w:rsidRPr="00E97BC8">
        <w:rPr>
          <w:rFonts w:cs="Times New Roman"/>
          <w:sz w:val="22"/>
          <w:szCs w:val="22"/>
        </w:rPr>
        <w:t>may be written as:</w:t>
      </w:r>
    </w:p>
    <w:p w14:paraId="19ACA6BB" w14:textId="25941818" w:rsidR="00BC00A2" w:rsidRPr="00E97BC8" w:rsidRDefault="00C55A95" w:rsidP="00E85093">
      <w:pPr>
        <w:pStyle w:val="MTDisplayEquation"/>
        <w:rPr>
          <w:rFonts w:cs="Times New Roman"/>
          <w:sz w:val="22"/>
          <w:szCs w:val="22"/>
        </w:rPr>
      </w:pPr>
      <w:r w:rsidRPr="00E97BC8">
        <w:rPr>
          <w:rFonts w:cs="Times New Roman"/>
          <w:position w:val="-14"/>
          <w:sz w:val="22"/>
          <w:szCs w:val="22"/>
        </w:rPr>
        <w:object w:dxaOrig="3260" w:dyaOrig="420" w14:anchorId="13A6F87D">
          <v:shape id="_x0000_i1090" type="#_x0000_t75" style="width:162.85pt;height:21pt" o:ole="" o:preferrelative="f">
            <v:imagedata r:id="rId132" o:title=""/>
            <o:lock v:ext="edit" aspectratio="f"/>
          </v:shape>
          <o:OLEObject Type="Embed" ProgID="Equation.DSMT4" ShapeID="_x0000_i1090" DrawAspect="Content" ObjectID="_1811172278" r:id="rId133"/>
        </w:object>
      </w:r>
      <w:r w:rsidR="00E845AF" w:rsidRPr="00E97BC8">
        <w:rPr>
          <w:rFonts w:cs="Times New Roman"/>
          <w:sz w:val="22"/>
          <w:szCs w:val="22"/>
        </w:rPr>
        <w:tab/>
      </w:r>
      <w:r w:rsidR="00E845AF" w:rsidRPr="00E97BC8">
        <w:rPr>
          <w:rFonts w:cs="Times New Roman"/>
          <w:sz w:val="22"/>
          <w:szCs w:val="22"/>
        </w:rPr>
        <w:tab/>
      </w:r>
      <w:r w:rsidR="00E845AF" w:rsidRPr="00E97BC8">
        <w:rPr>
          <w:rFonts w:cs="Times New Roman"/>
          <w:sz w:val="22"/>
          <w:szCs w:val="22"/>
        </w:rPr>
        <w:fldChar w:fldCharType="begin"/>
      </w:r>
      <w:r w:rsidR="00E845AF" w:rsidRPr="00E97BC8">
        <w:rPr>
          <w:rFonts w:cs="Times New Roman"/>
          <w:sz w:val="22"/>
          <w:szCs w:val="22"/>
        </w:rPr>
        <w:instrText xml:space="preserve"> MACROBUTTON MTPlaceRef \* MERGEFORMAT </w:instrText>
      </w:r>
      <w:r w:rsidR="00E845AF" w:rsidRPr="00E97BC8">
        <w:rPr>
          <w:rFonts w:cs="Times New Roman"/>
          <w:sz w:val="22"/>
          <w:szCs w:val="22"/>
        </w:rPr>
        <w:fldChar w:fldCharType="begin"/>
      </w:r>
      <w:r w:rsidR="00E845AF" w:rsidRPr="00E97BC8">
        <w:rPr>
          <w:rFonts w:cs="Times New Roman"/>
          <w:sz w:val="22"/>
          <w:szCs w:val="22"/>
        </w:rPr>
        <w:instrText xml:space="preserve"> SEQ MTEqn \h \* MERGEFORMAT </w:instrText>
      </w:r>
      <w:r w:rsidR="00E845AF" w:rsidRPr="00E97BC8">
        <w:rPr>
          <w:rFonts w:cs="Times New Roman"/>
          <w:sz w:val="22"/>
          <w:szCs w:val="22"/>
        </w:rPr>
        <w:fldChar w:fldCharType="end"/>
      </w:r>
      <w:r w:rsidR="00E845AF" w:rsidRPr="00E97BC8">
        <w:rPr>
          <w:rFonts w:cs="Times New Roman"/>
          <w:sz w:val="22"/>
          <w:szCs w:val="22"/>
        </w:rPr>
        <w:instrText>(</w:instrText>
      </w:r>
      <w:r w:rsidR="008E368F" w:rsidRPr="00E97BC8">
        <w:rPr>
          <w:rFonts w:cs="Times New Roman"/>
          <w:sz w:val="22"/>
          <w:szCs w:val="22"/>
        </w:rPr>
        <w:fldChar w:fldCharType="begin"/>
      </w:r>
      <w:r w:rsidR="008E368F" w:rsidRPr="00E97BC8">
        <w:rPr>
          <w:rFonts w:cs="Times New Roman"/>
          <w:sz w:val="22"/>
          <w:szCs w:val="22"/>
        </w:rPr>
        <w:instrText xml:space="preserve"> SEQ MTEqn \c \* Arabic \* MERGEFORMAT </w:instrText>
      </w:r>
      <w:r w:rsidR="008E368F" w:rsidRPr="00E97BC8">
        <w:rPr>
          <w:rFonts w:cs="Times New Roman"/>
          <w:sz w:val="22"/>
          <w:szCs w:val="22"/>
        </w:rPr>
        <w:fldChar w:fldCharType="separate"/>
      </w:r>
      <w:r w:rsidR="00EF198F" w:rsidRPr="00E97BC8">
        <w:rPr>
          <w:rFonts w:cs="Times New Roman"/>
          <w:sz w:val="22"/>
          <w:szCs w:val="22"/>
        </w:rPr>
        <w:instrText>4</w:instrText>
      </w:r>
      <w:r w:rsidR="008E368F" w:rsidRPr="00E97BC8">
        <w:rPr>
          <w:rFonts w:cs="Times New Roman"/>
          <w:sz w:val="22"/>
          <w:szCs w:val="22"/>
        </w:rPr>
        <w:fldChar w:fldCharType="end"/>
      </w:r>
      <w:r w:rsidR="00E845AF" w:rsidRPr="00E97BC8">
        <w:rPr>
          <w:rFonts w:cs="Times New Roman"/>
          <w:sz w:val="22"/>
          <w:szCs w:val="22"/>
        </w:rPr>
        <w:instrText>)</w:instrText>
      </w:r>
      <w:r w:rsidR="00E845AF" w:rsidRPr="00E97BC8">
        <w:rPr>
          <w:rFonts w:cs="Times New Roman"/>
          <w:sz w:val="22"/>
          <w:szCs w:val="22"/>
        </w:rPr>
        <w:fldChar w:fldCharType="end"/>
      </w:r>
    </w:p>
    <w:p w14:paraId="4A635C30" w14:textId="657F8A9F" w:rsidR="002A6E30" w:rsidRPr="00E97BC8" w:rsidRDefault="00261DD6" w:rsidP="00E85093">
      <w:pPr>
        <w:spacing w:after="0" w:line="240" w:lineRule="auto"/>
        <w:ind w:firstLine="720"/>
        <w:jc w:val="both"/>
        <w:rPr>
          <w:rFonts w:cs="Times New Roman"/>
          <w:sz w:val="22"/>
          <w:szCs w:val="22"/>
        </w:rPr>
      </w:pPr>
      <w:r w:rsidRPr="00E97BC8">
        <w:rPr>
          <w:rFonts w:cs="Times New Roman"/>
          <w:sz w:val="22"/>
          <w:szCs w:val="22"/>
        </w:rPr>
        <w:lastRenderedPageBreak/>
        <w:t>Next</w:t>
      </w:r>
      <w:r w:rsidR="00610978" w:rsidRPr="00E97BC8">
        <w:rPr>
          <w:rFonts w:cs="Times New Roman"/>
          <w:sz w:val="22"/>
          <w:szCs w:val="22"/>
        </w:rPr>
        <w:t>,</w:t>
      </w:r>
      <w:r w:rsidRPr="00E97BC8">
        <w:rPr>
          <w:rFonts w:cs="Times New Roman"/>
          <w:sz w:val="22"/>
          <w:szCs w:val="22"/>
        </w:rPr>
        <w:t xml:space="preserve"> consider </w:t>
      </w:r>
      <w:r w:rsidR="00611D8C" w:rsidRPr="00E97BC8">
        <w:rPr>
          <w:rFonts w:cs="Times New Roman"/>
          <w:sz w:val="22"/>
          <w:szCs w:val="22"/>
        </w:rPr>
        <w:t>a single</w:t>
      </w:r>
      <w:r w:rsidRPr="00E97BC8">
        <w:rPr>
          <w:rFonts w:cs="Times New Roman"/>
          <w:sz w:val="22"/>
          <w:szCs w:val="22"/>
        </w:rPr>
        <w:t xml:space="preserve"> </w:t>
      </w:r>
      <w:r w:rsidR="00F9710C" w:rsidRPr="00E97BC8">
        <w:rPr>
          <w:rFonts w:cs="Times New Roman"/>
          <w:sz w:val="22"/>
          <w:szCs w:val="22"/>
        </w:rPr>
        <w:t xml:space="preserve">nominal </w:t>
      </w:r>
      <w:r w:rsidRPr="00E97BC8">
        <w:rPr>
          <w:rFonts w:cs="Times New Roman"/>
          <w:sz w:val="22"/>
          <w:szCs w:val="22"/>
        </w:rPr>
        <w:t>rank</w:t>
      </w:r>
      <w:r w:rsidR="00F7624B" w:rsidRPr="00E97BC8">
        <w:rPr>
          <w:rFonts w:cs="Times New Roman"/>
          <w:sz w:val="22"/>
          <w:szCs w:val="22"/>
        </w:rPr>
        <w:t xml:space="preserve">-ordered </w:t>
      </w:r>
      <w:r w:rsidRPr="00E97BC8">
        <w:rPr>
          <w:rFonts w:cs="Times New Roman"/>
          <w:sz w:val="22"/>
          <w:szCs w:val="22"/>
        </w:rPr>
        <w:t xml:space="preserve">outcome variable for an individual. </w:t>
      </w:r>
      <w:r w:rsidR="009F139E" w:rsidRPr="00E97BC8">
        <w:rPr>
          <w:rFonts w:cs="Times New Roman"/>
          <w:sz w:val="22"/>
          <w:szCs w:val="22"/>
        </w:rPr>
        <w:t>L</w:t>
      </w:r>
      <w:r w:rsidRPr="00E97BC8">
        <w:rPr>
          <w:rFonts w:cs="Times New Roman"/>
          <w:sz w:val="22"/>
          <w:szCs w:val="22"/>
        </w:rPr>
        <w:t xml:space="preserve">et </w:t>
      </w:r>
      <w:r w:rsidR="00C55A95" w:rsidRPr="00E97BC8">
        <w:rPr>
          <w:rFonts w:cs="Times New Roman"/>
          <w:position w:val="-4"/>
          <w:sz w:val="22"/>
          <w:szCs w:val="22"/>
        </w:rPr>
        <w:object w:dxaOrig="200" w:dyaOrig="260" w14:anchorId="0C7C042C">
          <v:shape id="_x0000_i1091" type="#_x0000_t75" style="width:10.7pt;height:13.3pt" o:ole="" o:preferrelative="f">
            <v:imagedata r:id="rId134" o:title=""/>
            <o:lock v:ext="edit" aspectratio="f"/>
          </v:shape>
          <o:OLEObject Type="Embed" ProgID="Equation.DSMT4" ShapeID="_x0000_i1091" DrawAspect="Content" ObjectID="_1811172279" r:id="rId135"/>
        </w:object>
      </w:r>
      <w:r w:rsidRPr="00E97BC8">
        <w:rPr>
          <w:rFonts w:cs="Times New Roman"/>
          <w:sz w:val="22"/>
          <w:szCs w:val="22"/>
        </w:rPr>
        <w:t xml:space="preserve"> be the number of alternatives </w:t>
      </w:r>
      <w:r w:rsidR="00CA5227" w:rsidRPr="00E97BC8">
        <w:rPr>
          <w:rFonts w:cs="Times New Roman"/>
          <w:sz w:val="22"/>
          <w:szCs w:val="22"/>
        </w:rPr>
        <w:t>available</w:t>
      </w:r>
      <w:r w:rsidR="00721632" w:rsidRPr="00E97BC8">
        <w:rPr>
          <w:rFonts w:cs="Times New Roman"/>
          <w:sz w:val="22"/>
          <w:szCs w:val="22"/>
        </w:rPr>
        <w:t xml:space="preserve"> for ranking</w:t>
      </w:r>
      <w:r w:rsidRPr="00E97BC8">
        <w:rPr>
          <w:rFonts w:cs="Times New Roman"/>
          <w:sz w:val="22"/>
          <w:szCs w:val="22"/>
        </w:rPr>
        <w:t xml:space="preserve"> and let </w:t>
      </w:r>
      <w:r w:rsidR="00B9562B" w:rsidRPr="00E97BC8">
        <w:rPr>
          <w:rFonts w:cs="Times New Roman"/>
          <w:position w:val="-6"/>
          <w:sz w:val="22"/>
          <w:szCs w:val="22"/>
        </w:rPr>
        <w:object w:dxaOrig="139" w:dyaOrig="260" w14:anchorId="303225DC">
          <v:shape id="_x0000_i1092" type="#_x0000_t75" style="width:7.3pt;height:13.3pt" o:ole="" o:preferrelative="f">
            <v:imagedata r:id="rId136" o:title=""/>
            <o:lock v:ext="edit" aspectratio="f"/>
          </v:shape>
          <o:OLEObject Type="Embed" ProgID="Equation.DSMT4" ShapeID="_x0000_i1092" DrawAspect="Content" ObjectID="_1811172280" r:id="rId137"/>
        </w:object>
      </w:r>
      <w:r w:rsidR="00CF1218" w:rsidRPr="00E97BC8">
        <w:rPr>
          <w:rFonts w:cs="Times New Roman"/>
          <w:sz w:val="22"/>
          <w:szCs w:val="22"/>
        </w:rPr>
        <w:t xml:space="preserve"> </w:t>
      </w:r>
      <w:r w:rsidRPr="00E97BC8">
        <w:rPr>
          <w:rFonts w:cs="Times New Roman"/>
          <w:sz w:val="22"/>
          <w:szCs w:val="22"/>
        </w:rPr>
        <w:t xml:space="preserve">be the corresponding index </w:t>
      </w:r>
      <w:r w:rsidR="00B9562B" w:rsidRPr="00E97BC8">
        <w:rPr>
          <w:rFonts w:cs="Times New Roman"/>
          <w:position w:val="-10"/>
          <w:sz w:val="22"/>
          <w:szCs w:val="22"/>
        </w:rPr>
        <w:object w:dxaOrig="1700" w:dyaOrig="320" w14:anchorId="09C5639B">
          <v:shape id="_x0000_i1093" type="#_x0000_t75" style="width:85.7pt;height:16.3pt" o:ole="" o:preferrelative="f">
            <v:imagedata r:id="rId138" o:title=""/>
            <o:lock v:ext="edit" aspectratio="f"/>
          </v:shape>
          <o:OLEObject Type="Embed" ProgID="Equation.DSMT4" ShapeID="_x0000_i1093" DrawAspect="Content" ObjectID="_1811172281" r:id="rId139"/>
        </w:object>
      </w:r>
      <w:r w:rsidRPr="00E97BC8">
        <w:rPr>
          <w:rFonts w:cs="Times New Roman"/>
          <w:sz w:val="22"/>
          <w:szCs w:val="22"/>
        </w:rPr>
        <w:t xml:space="preserve">. In our </w:t>
      </w:r>
      <w:r w:rsidR="00D33C99" w:rsidRPr="00E97BC8">
        <w:rPr>
          <w:rFonts w:cs="Times New Roman"/>
          <w:sz w:val="22"/>
          <w:szCs w:val="22"/>
        </w:rPr>
        <w:t>context</w:t>
      </w:r>
      <w:r w:rsidRPr="00E97BC8">
        <w:rPr>
          <w:rFonts w:cs="Times New Roman"/>
          <w:sz w:val="22"/>
          <w:szCs w:val="22"/>
        </w:rPr>
        <w:t>,</w:t>
      </w:r>
      <w:r w:rsidR="00D33C99" w:rsidRPr="00E97BC8">
        <w:rPr>
          <w:rFonts w:cs="Times New Roman"/>
          <w:sz w:val="22"/>
          <w:szCs w:val="22"/>
        </w:rPr>
        <w:t xml:space="preserve"> </w:t>
      </w:r>
      <w:r w:rsidR="00C55A95" w:rsidRPr="00E97BC8">
        <w:rPr>
          <w:rFonts w:cs="Times New Roman"/>
          <w:position w:val="-6"/>
          <w:sz w:val="22"/>
          <w:szCs w:val="22"/>
        </w:rPr>
        <w:object w:dxaOrig="540" w:dyaOrig="279" w14:anchorId="41EC500B">
          <v:shape id="_x0000_i1094" type="#_x0000_t75" style="width:27pt;height:13.7pt" o:ole="" o:preferrelative="f">
            <v:imagedata r:id="rId140" o:title=""/>
            <o:lock v:ext="edit" aspectratio="f"/>
          </v:shape>
          <o:OLEObject Type="Embed" ProgID="Equation.DSMT4" ShapeID="_x0000_i1094" DrawAspect="Content" ObjectID="_1811172282" r:id="rId141"/>
        </w:object>
      </w:r>
      <w:r w:rsidR="000D45C9" w:rsidRPr="00E97BC8">
        <w:rPr>
          <w:rFonts w:cs="Times New Roman"/>
          <w:sz w:val="22"/>
          <w:szCs w:val="22"/>
        </w:rPr>
        <w:t xml:space="preserve"> for the eight factors included in the model. </w:t>
      </w:r>
      <w:r w:rsidR="00FC3CD9" w:rsidRPr="00E97BC8">
        <w:rPr>
          <w:rFonts w:cs="Times New Roman"/>
          <w:iCs/>
          <w:sz w:val="22"/>
          <w:szCs w:val="22"/>
        </w:rPr>
        <w:t>H</w:t>
      </w:r>
      <w:r w:rsidRPr="00E97BC8">
        <w:rPr>
          <w:rFonts w:cs="Times New Roman"/>
          <w:sz w:val="22"/>
          <w:szCs w:val="22"/>
        </w:rPr>
        <w:t xml:space="preserve">owever, we present the framework for any number of ranked </w:t>
      </w:r>
      <w:r w:rsidR="00D474FB" w:rsidRPr="00E97BC8">
        <w:rPr>
          <w:rFonts w:cs="Times New Roman"/>
          <w:sz w:val="22"/>
          <w:szCs w:val="22"/>
        </w:rPr>
        <w:t>alternatives</w:t>
      </w:r>
      <w:r w:rsidR="00FC3CD9" w:rsidRPr="00E97BC8">
        <w:rPr>
          <w:rFonts w:cs="Times New Roman"/>
          <w:sz w:val="22"/>
          <w:szCs w:val="22"/>
        </w:rPr>
        <w:t xml:space="preserve"> because the presentation simplicity is not affected by using a general formulation</w:t>
      </w:r>
      <w:r w:rsidRPr="00E97BC8">
        <w:rPr>
          <w:rFonts w:cs="Times New Roman"/>
          <w:sz w:val="22"/>
          <w:szCs w:val="22"/>
        </w:rPr>
        <w:t xml:space="preserve">. Consider </w:t>
      </w:r>
      <w:r w:rsidR="00A3056E" w:rsidRPr="00E97BC8">
        <w:rPr>
          <w:rFonts w:cs="Times New Roman"/>
          <w:sz w:val="22"/>
          <w:szCs w:val="22"/>
        </w:rPr>
        <w:t>the ranked</w:t>
      </w:r>
      <w:r w:rsidRPr="00E97BC8">
        <w:rPr>
          <w:rFonts w:cs="Times New Roman"/>
          <w:sz w:val="22"/>
          <w:szCs w:val="22"/>
        </w:rPr>
        <w:t xml:space="preserve"> </w:t>
      </w:r>
      <w:r w:rsidR="00A3056E" w:rsidRPr="00E97BC8">
        <w:rPr>
          <w:rFonts w:cs="Times New Roman"/>
          <w:sz w:val="22"/>
          <w:szCs w:val="22"/>
        </w:rPr>
        <w:t>variable and</w:t>
      </w:r>
      <w:r w:rsidRPr="00E97BC8">
        <w:rPr>
          <w:rFonts w:cs="Times New Roman"/>
          <w:sz w:val="22"/>
          <w:szCs w:val="22"/>
        </w:rPr>
        <w:t xml:space="preserve"> assume the usual </w:t>
      </w:r>
      <w:r w:rsidR="00B57398" w:rsidRPr="00E97BC8">
        <w:rPr>
          <w:rFonts w:cs="Times New Roman"/>
          <w:sz w:val="22"/>
          <w:szCs w:val="22"/>
        </w:rPr>
        <w:t xml:space="preserve">underlying </w:t>
      </w:r>
      <w:r w:rsidRPr="00E97BC8">
        <w:rPr>
          <w:rFonts w:cs="Times New Roman"/>
          <w:sz w:val="22"/>
          <w:szCs w:val="22"/>
        </w:rPr>
        <w:t xml:space="preserve">random utility structure for each alternative </w:t>
      </w:r>
      <w:r w:rsidR="00B9562B" w:rsidRPr="00E97BC8">
        <w:rPr>
          <w:rFonts w:cs="Times New Roman"/>
          <w:position w:val="-6"/>
          <w:sz w:val="22"/>
          <w:szCs w:val="22"/>
        </w:rPr>
        <w:object w:dxaOrig="139" w:dyaOrig="260" w14:anchorId="0B83E83A">
          <v:shape id="_x0000_i1095" type="#_x0000_t75" style="width:7.3pt;height:13.3pt" o:ole="" o:preferrelative="f">
            <v:imagedata r:id="rId142" o:title=""/>
            <o:lock v:ext="edit" aspectratio="f"/>
          </v:shape>
          <o:OLEObject Type="Embed" ProgID="Equation.DSMT4" ShapeID="_x0000_i1095" DrawAspect="Content" ObjectID="_1811172283" r:id="rId143"/>
        </w:object>
      </w:r>
      <w:r w:rsidRPr="00E97BC8">
        <w:rPr>
          <w:rFonts w:cs="Times New Roman"/>
          <w:sz w:val="22"/>
          <w:szCs w:val="22"/>
        </w:rPr>
        <w:t>.</w:t>
      </w:r>
    </w:p>
    <w:p w14:paraId="5371DF22" w14:textId="7F0E4BFC" w:rsidR="002A6E30" w:rsidRPr="00E97BC8" w:rsidRDefault="00C55A95" w:rsidP="00E85093">
      <w:pPr>
        <w:pStyle w:val="MTDisplayEquation"/>
        <w:rPr>
          <w:rFonts w:cs="Times New Roman"/>
          <w:sz w:val="22"/>
          <w:szCs w:val="22"/>
        </w:rPr>
      </w:pPr>
      <w:r w:rsidRPr="00E97BC8">
        <w:rPr>
          <w:rFonts w:cs="Times New Roman"/>
          <w:position w:val="-12"/>
          <w:sz w:val="22"/>
          <w:szCs w:val="22"/>
        </w:rPr>
        <w:object w:dxaOrig="2200" w:dyaOrig="380" w14:anchorId="4BF8887C">
          <v:shape id="_x0000_i1096" type="#_x0000_t75" style="width:110.15pt;height:18.85pt" o:ole="" o:preferrelative="f">
            <v:imagedata r:id="rId144" o:title=""/>
            <o:lock v:ext="edit" aspectratio="f"/>
          </v:shape>
          <o:OLEObject Type="Embed" ProgID="Equation.DSMT4" ShapeID="_x0000_i1096" DrawAspect="Content" ObjectID="_1811172284" r:id="rId145"/>
        </w:object>
      </w:r>
      <w:r w:rsidR="002A6E30" w:rsidRPr="00E97BC8">
        <w:rPr>
          <w:rFonts w:cs="Times New Roman"/>
          <w:sz w:val="22"/>
          <w:szCs w:val="22"/>
        </w:rPr>
        <w:tab/>
      </w:r>
      <w:r w:rsidR="002A6E30" w:rsidRPr="00E97BC8">
        <w:rPr>
          <w:rFonts w:cs="Times New Roman"/>
          <w:sz w:val="22"/>
          <w:szCs w:val="22"/>
        </w:rPr>
        <w:tab/>
      </w:r>
      <w:r w:rsidR="002A6E30" w:rsidRPr="00E97BC8">
        <w:rPr>
          <w:rFonts w:cs="Times New Roman"/>
          <w:sz w:val="22"/>
          <w:szCs w:val="22"/>
        </w:rPr>
        <w:fldChar w:fldCharType="begin"/>
      </w:r>
      <w:r w:rsidR="002A6E30" w:rsidRPr="00E97BC8">
        <w:rPr>
          <w:rFonts w:cs="Times New Roman"/>
          <w:sz w:val="22"/>
          <w:szCs w:val="22"/>
        </w:rPr>
        <w:instrText xml:space="preserve"> MACROBUTTON MTPlaceRef \* MERGEFORMAT </w:instrText>
      </w:r>
      <w:r w:rsidR="002A6E30" w:rsidRPr="00E97BC8">
        <w:rPr>
          <w:rFonts w:cs="Times New Roman"/>
          <w:sz w:val="22"/>
          <w:szCs w:val="22"/>
        </w:rPr>
        <w:fldChar w:fldCharType="begin"/>
      </w:r>
      <w:r w:rsidR="002A6E30" w:rsidRPr="00E97BC8">
        <w:rPr>
          <w:rFonts w:cs="Times New Roman"/>
          <w:sz w:val="22"/>
          <w:szCs w:val="22"/>
        </w:rPr>
        <w:instrText xml:space="preserve"> SEQ MTEqn \h \* MERGEFORMAT </w:instrText>
      </w:r>
      <w:r w:rsidR="002A6E30" w:rsidRPr="00E97BC8">
        <w:rPr>
          <w:rFonts w:cs="Times New Roman"/>
          <w:sz w:val="22"/>
          <w:szCs w:val="22"/>
        </w:rPr>
        <w:fldChar w:fldCharType="end"/>
      </w:r>
      <w:r w:rsidR="002A6E30" w:rsidRPr="00E97BC8">
        <w:rPr>
          <w:rFonts w:cs="Times New Roman"/>
          <w:sz w:val="22"/>
          <w:szCs w:val="22"/>
        </w:rPr>
        <w:instrText>(</w:instrText>
      </w:r>
      <w:r w:rsidR="002A6E30" w:rsidRPr="00E97BC8">
        <w:rPr>
          <w:rFonts w:cs="Times New Roman"/>
          <w:sz w:val="22"/>
          <w:szCs w:val="22"/>
        </w:rPr>
        <w:fldChar w:fldCharType="begin"/>
      </w:r>
      <w:r w:rsidR="002A6E30" w:rsidRPr="00E97BC8">
        <w:rPr>
          <w:rFonts w:cs="Times New Roman"/>
          <w:sz w:val="22"/>
          <w:szCs w:val="22"/>
        </w:rPr>
        <w:instrText xml:space="preserve"> SEQ MTEqn \c \* Arabic \* MERGEFORMAT </w:instrText>
      </w:r>
      <w:r w:rsidR="002A6E30" w:rsidRPr="00E97BC8">
        <w:rPr>
          <w:rFonts w:cs="Times New Roman"/>
          <w:sz w:val="22"/>
          <w:szCs w:val="22"/>
        </w:rPr>
        <w:fldChar w:fldCharType="separate"/>
      </w:r>
      <w:r w:rsidR="00EF198F" w:rsidRPr="00E97BC8">
        <w:rPr>
          <w:rFonts w:cs="Times New Roman"/>
          <w:sz w:val="22"/>
          <w:szCs w:val="22"/>
        </w:rPr>
        <w:instrText>5</w:instrText>
      </w:r>
      <w:r w:rsidR="002A6E30" w:rsidRPr="00E97BC8">
        <w:rPr>
          <w:rFonts w:cs="Times New Roman"/>
          <w:sz w:val="22"/>
          <w:szCs w:val="22"/>
        </w:rPr>
        <w:fldChar w:fldCharType="end"/>
      </w:r>
      <w:r w:rsidR="002A6E30" w:rsidRPr="00E97BC8">
        <w:rPr>
          <w:rFonts w:cs="Times New Roman"/>
          <w:sz w:val="22"/>
          <w:szCs w:val="22"/>
        </w:rPr>
        <w:instrText>)</w:instrText>
      </w:r>
      <w:r w:rsidR="002A6E30" w:rsidRPr="00E97BC8">
        <w:rPr>
          <w:rFonts w:cs="Times New Roman"/>
          <w:sz w:val="22"/>
          <w:szCs w:val="22"/>
        </w:rPr>
        <w:fldChar w:fldCharType="end"/>
      </w:r>
    </w:p>
    <w:p w14:paraId="51F4526F" w14:textId="2FF1181D" w:rsidR="00627889" w:rsidRPr="00E97BC8" w:rsidRDefault="00261DD6" w:rsidP="00E85093">
      <w:pPr>
        <w:spacing w:after="0" w:line="240" w:lineRule="auto"/>
        <w:jc w:val="both"/>
        <w:rPr>
          <w:rFonts w:cs="Times New Roman"/>
          <w:sz w:val="22"/>
          <w:szCs w:val="22"/>
        </w:rPr>
      </w:pPr>
      <w:r w:rsidRPr="00E97BC8">
        <w:rPr>
          <w:rFonts w:cs="Times New Roman"/>
          <w:sz w:val="22"/>
          <w:szCs w:val="22"/>
        </w:rPr>
        <w:t xml:space="preserve">where </w:t>
      </w:r>
      <w:r w:rsidR="00B9562B" w:rsidRPr="00E97BC8">
        <w:rPr>
          <w:rFonts w:cs="Times New Roman"/>
          <w:b/>
          <w:bCs/>
          <w:i/>
          <w:iCs/>
          <w:sz w:val="22"/>
          <w:szCs w:val="22"/>
        </w:rPr>
        <w:t>x</w:t>
      </w:r>
      <w:r w:rsidRPr="00E97BC8">
        <w:rPr>
          <w:rFonts w:cs="Times New Roman"/>
          <w:sz w:val="22"/>
          <w:szCs w:val="22"/>
        </w:rPr>
        <w:t xml:space="preserve"> is an </w:t>
      </w:r>
      <w:r w:rsidR="00B9562B" w:rsidRPr="00E97BC8">
        <w:rPr>
          <w:rFonts w:cs="Times New Roman"/>
          <w:position w:val="-10"/>
          <w:sz w:val="22"/>
          <w:szCs w:val="22"/>
        </w:rPr>
        <w:object w:dxaOrig="660" w:dyaOrig="320" w14:anchorId="47D51C13">
          <v:shape id="_x0000_i1097" type="#_x0000_t75" style="width:32.15pt;height:16.3pt" o:ole="">
            <v:imagedata r:id="rId146" o:title=""/>
          </v:shape>
          <o:OLEObject Type="Embed" ProgID="Equation.DSMT4" ShapeID="_x0000_i1097" DrawAspect="Content" ObjectID="_1811172285" r:id="rId147"/>
        </w:object>
      </w:r>
      <w:r w:rsidRPr="00E97BC8">
        <w:rPr>
          <w:rFonts w:cs="Times New Roman"/>
          <w:sz w:val="22"/>
          <w:szCs w:val="22"/>
        </w:rPr>
        <w:t xml:space="preserve"> vector of exogenous variables </w:t>
      </w:r>
      <w:r w:rsidR="00B01469" w:rsidRPr="00E97BC8">
        <w:rPr>
          <w:rFonts w:cs="Times New Roman"/>
          <w:sz w:val="22"/>
          <w:szCs w:val="22"/>
        </w:rPr>
        <w:t>as earlier</w:t>
      </w:r>
      <w:r w:rsidRPr="00E97BC8">
        <w:rPr>
          <w:rFonts w:cs="Times New Roman"/>
          <w:sz w:val="22"/>
          <w:szCs w:val="22"/>
        </w:rPr>
        <w:t xml:space="preserve">, </w:t>
      </w:r>
      <w:r w:rsidR="00B9562B" w:rsidRPr="00E97BC8">
        <w:rPr>
          <w:rFonts w:cs="Times New Roman"/>
          <w:position w:val="-12"/>
          <w:sz w:val="22"/>
          <w:szCs w:val="22"/>
        </w:rPr>
        <w:object w:dxaOrig="220" w:dyaOrig="360" w14:anchorId="761CB39C">
          <v:shape id="_x0000_i1098" type="#_x0000_t75" style="width:10.7pt;height:18.85pt" o:ole="" o:preferrelative="f">
            <v:imagedata r:id="rId148" o:title=""/>
            <o:lock v:ext="edit" aspectratio="f"/>
          </v:shape>
          <o:OLEObject Type="Embed" ProgID="Equation.DSMT4" ShapeID="_x0000_i1098" DrawAspect="Content" ObjectID="_1811172286" r:id="rId149"/>
        </w:object>
      </w:r>
      <w:r w:rsidRPr="00E97BC8">
        <w:rPr>
          <w:rFonts w:cs="Times New Roman"/>
          <w:sz w:val="22"/>
          <w:szCs w:val="22"/>
        </w:rPr>
        <w:t xml:space="preserve"> is an </w:t>
      </w:r>
      <w:r w:rsidR="00BB15C1" w:rsidRPr="00E97BC8">
        <w:rPr>
          <w:rFonts w:cs="Times New Roman"/>
          <w:position w:val="-10"/>
          <w:sz w:val="22"/>
          <w:szCs w:val="22"/>
        </w:rPr>
        <w:object w:dxaOrig="660" w:dyaOrig="320" w14:anchorId="302A114A">
          <v:shape id="_x0000_i1099" type="#_x0000_t75" style="width:32.15pt;height:16.3pt" o:ole="" o:preferrelative="f">
            <v:imagedata r:id="rId150" o:title=""/>
            <o:lock v:ext="edit" aspectratio="f"/>
          </v:shape>
          <o:OLEObject Type="Embed" ProgID="Equation.DSMT4" ShapeID="_x0000_i1099" DrawAspect="Content" ObjectID="_1811172287" r:id="rId151"/>
        </w:object>
      </w:r>
      <w:r w:rsidRPr="00E97BC8">
        <w:rPr>
          <w:rFonts w:cs="Times New Roman"/>
          <w:sz w:val="22"/>
          <w:szCs w:val="22"/>
        </w:rPr>
        <w:t xml:space="preserve"> column vector of corresponding coefficients, and </w:t>
      </w:r>
      <w:r w:rsidR="00B9562B" w:rsidRPr="00E97BC8">
        <w:rPr>
          <w:rFonts w:cs="Times New Roman"/>
          <w:position w:val="-12"/>
          <w:sz w:val="22"/>
          <w:szCs w:val="22"/>
        </w:rPr>
        <w:object w:dxaOrig="240" w:dyaOrig="360" w14:anchorId="4BC96FC1">
          <v:shape id="_x0000_i1100" type="#_x0000_t75" style="width:11.15pt;height:18.85pt" o:ole="" o:preferrelative="f">
            <v:imagedata r:id="rId152" o:title=""/>
            <o:lock v:ext="edit" aspectratio="f"/>
          </v:shape>
          <o:OLEObject Type="Embed" ProgID="Equation.DSMT4" ShapeID="_x0000_i1100" DrawAspect="Content" ObjectID="_1811172288" r:id="rId153"/>
        </w:object>
      </w:r>
      <w:r w:rsidRPr="00E97BC8">
        <w:rPr>
          <w:rFonts w:cs="Times New Roman"/>
          <w:sz w:val="22"/>
          <w:szCs w:val="22"/>
        </w:rPr>
        <w:t xml:space="preserve"> is a </w:t>
      </w:r>
      <w:r w:rsidR="00F713B0" w:rsidRPr="00E97BC8">
        <w:rPr>
          <w:rFonts w:cs="Times New Roman"/>
          <w:sz w:val="22"/>
          <w:szCs w:val="22"/>
        </w:rPr>
        <w:t xml:space="preserve">random </w:t>
      </w:r>
      <w:r w:rsidRPr="00E97BC8">
        <w:rPr>
          <w:rFonts w:cs="Times New Roman"/>
          <w:sz w:val="22"/>
          <w:szCs w:val="22"/>
        </w:rPr>
        <w:t xml:space="preserve">normal error term. </w:t>
      </w:r>
      <w:r w:rsidR="009F1253" w:rsidRPr="00E97BC8">
        <w:rPr>
          <w:rFonts w:cs="Times New Roman"/>
          <w:sz w:val="22"/>
          <w:szCs w:val="22"/>
        </w:rPr>
        <w:t xml:space="preserve">Further, </w:t>
      </w:r>
      <w:r w:rsidR="00B9562B" w:rsidRPr="00E97BC8">
        <w:rPr>
          <w:rFonts w:cs="Times New Roman"/>
          <w:position w:val="-12"/>
          <w:sz w:val="22"/>
          <w:szCs w:val="22"/>
        </w:rPr>
        <w:object w:dxaOrig="260" w:dyaOrig="360" w14:anchorId="5D605853">
          <v:shape id="_x0000_i1101" type="#_x0000_t75" style="width:13.3pt;height:18.85pt" o:ole="" o:preferrelative="f">
            <v:imagedata r:id="rId154" o:title=""/>
            <o:lock v:ext="edit" aspectratio="f"/>
          </v:shape>
          <o:OLEObject Type="Embed" ProgID="Equation.DSMT4" ShapeID="_x0000_i1101" DrawAspect="Content" ObjectID="_1811172289" r:id="rId155"/>
        </w:object>
      </w:r>
      <w:r w:rsidR="00612A6F" w:rsidRPr="00E97BC8">
        <w:rPr>
          <w:rFonts w:cs="Times New Roman"/>
          <w:sz w:val="22"/>
          <w:szCs w:val="22"/>
        </w:rPr>
        <w:t xml:space="preserve"> </w:t>
      </w:r>
      <w:r w:rsidRPr="00E97BC8">
        <w:rPr>
          <w:rFonts w:cs="Times New Roman"/>
          <w:sz w:val="22"/>
          <w:szCs w:val="22"/>
        </w:rPr>
        <w:t xml:space="preserve">is an </w:t>
      </w:r>
      <w:r w:rsidR="00B9562B" w:rsidRPr="00E97BC8">
        <w:rPr>
          <w:rFonts w:cs="Times New Roman"/>
          <w:position w:val="-12"/>
          <w:sz w:val="22"/>
          <w:szCs w:val="22"/>
        </w:rPr>
        <w:object w:dxaOrig="820" w:dyaOrig="360" w14:anchorId="201214AC">
          <v:shape id="_x0000_i1102" type="#_x0000_t75" style="width:41.15pt;height:18.85pt" o:ole="" o:preferrelative="f">
            <v:imagedata r:id="rId156" o:title=""/>
            <o:lock v:ext="edit" aspectratio="f"/>
          </v:shape>
          <o:OLEObject Type="Embed" ProgID="Equation.DSMT4" ShapeID="_x0000_i1102" DrawAspect="Content" ObjectID="_1811172290" r:id="rId157"/>
        </w:object>
      </w:r>
      <w:r w:rsidR="009409FE" w:rsidRPr="00E97BC8">
        <w:rPr>
          <w:rFonts w:cs="Times New Roman"/>
          <w:sz w:val="22"/>
          <w:szCs w:val="22"/>
        </w:rPr>
        <w:t xml:space="preserve"> matrix of </w:t>
      </w:r>
      <w:r w:rsidR="001D28DE" w:rsidRPr="00E97BC8">
        <w:rPr>
          <w:rFonts w:cs="Times New Roman"/>
          <w:sz w:val="22"/>
          <w:szCs w:val="22"/>
        </w:rPr>
        <w:t xml:space="preserve">exogenous </w:t>
      </w:r>
      <w:r w:rsidR="009409FE" w:rsidRPr="00E97BC8">
        <w:rPr>
          <w:rFonts w:cs="Times New Roman"/>
          <w:sz w:val="22"/>
          <w:szCs w:val="22"/>
        </w:rPr>
        <w:t xml:space="preserve">variables </w:t>
      </w:r>
      <w:r w:rsidR="001D28DE" w:rsidRPr="00E97BC8">
        <w:rPr>
          <w:rFonts w:cs="Times New Roman"/>
          <w:sz w:val="22"/>
          <w:szCs w:val="22"/>
        </w:rPr>
        <w:t xml:space="preserve">that interact </w:t>
      </w:r>
      <w:r w:rsidR="00E75C03" w:rsidRPr="00E97BC8">
        <w:rPr>
          <w:rFonts w:cs="Times New Roman"/>
          <w:sz w:val="22"/>
          <w:szCs w:val="22"/>
        </w:rPr>
        <w:t xml:space="preserve">with the latent </w:t>
      </w:r>
      <w:r w:rsidR="001D28DE" w:rsidRPr="00E97BC8">
        <w:rPr>
          <w:rFonts w:cs="Times New Roman"/>
          <w:sz w:val="22"/>
          <w:szCs w:val="22"/>
        </w:rPr>
        <w:t xml:space="preserve">constructs </w:t>
      </w:r>
      <w:r w:rsidR="00E75C03" w:rsidRPr="00E97BC8">
        <w:rPr>
          <w:rFonts w:cs="Times New Roman"/>
          <w:sz w:val="22"/>
          <w:szCs w:val="22"/>
        </w:rPr>
        <w:t xml:space="preserve">to influence the utility of </w:t>
      </w:r>
      <w:r w:rsidR="001D28DE" w:rsidRPr="00E97BC8">
        <w:rPr>
          <w:rFonts w:cs="Times New Roman"/>
          <w:sz w:val="22"/>
          <w:szCs w:val="22"/>
        </w:rPr>
        <w:t xml:space="preserve">each </w:t>
      </w:r>
      <w:r w:rsidR="00E75C03" w:rsidRPr="00E97BC8">
        <w:rPr>
          <w:rFonts w:cs="Times New Roman"/>
          <w:sz w:val="22"/>
          <w:szCs w:val="22"/>
        </w:rPr>
        <w:t xml:space="preserve">alternative, </w:t>
      </w:r>
      <w:r w:rsidR="009D2399" w:rsidRPr="00E97BC8">
        <w:rPr>
          <w:rFonts w:cs="Times New Roman"/>
          <w:sz w:val="22"/>
          <w:szCs w:val="22"/>
        </w:rPr>
        <w:t xml:space="preserve">and </w:t>
      </w:r>
      <w:r w:rsidR="00B9562B" w:rsidRPr="00E97BC8">
        <w:rPr>
          <w:rFonts w:cs="Times New Roman"/>
          <w:position w:val="-12"/>
          <w:sz w:val="22"/>
          <w:szCs w:val="22"/>
        </w:rPr>
        <w:object w:dxaOrig="240" w:dyaOrig="360" w14:anchorId="3416917A">
          <v:shape id="_x0000_i1103" type="#_x0000_t75" style="width:11.15pt;height:18.85pt" o:ole="" o:preferrelative="f">
            <v:imagedata r:id="rId158" o:title=""/>
            <o:lock v:ext="edit" aspectratio="f"/>
          </v:shape>
          <o:OLEObject Type="Embed" ProgID="Equation.DSMT4" ShapeID="_x0000_i1103" DrawAspect="Content" ObjectID="_1811172291" r:id="rId159"/>
        </w:object>
      </w:r>
      <w:r w:rsidR="009D2399" w:rsidRPr="00E97BC8">
        <w:rPr>
          <w:rFonts w:cs="Times New Roman"/>
          <w:sz w:val="22"/>
          <w:szCs w:val="22"/>
        </w:rPr>
        <w:t xml:space="preserve"> is a </w:t>
      </w:r>
      <w:r w:rsidR="00B9562B" w:rsidRPr="00E97BC8">
        <w:rPr>
          <w:rFonts w:cs="Times New Roman"/>
          <w:position w:val="-12"/>
          <w:sz w:val="22"/>
          <w:szCs w:val="22"/>
        </w:rPr>
        <w:object w:dxaOrig="760" w:dyaOrig="360" w14:anchorId="7340ADEA">
          <v:shape id="_x0000_i1104" type="#_x0000_t75" style="width:38.15pt;height:18.85pt" o:ole="" o:preferrelative="f">
            <v:imagedata r:id="rId160" o:title=""/>
            <o:lock v:ext="edit" aspectratio="f"/>
          </v:shape>
          <o:OLEObject Type="Embed" ProgID="Equation.DSMT4" ShapeID="_x0000_i1104" DrawAspect="Content" ObjectID="_1811172292" r:id="rId161"/>
        </w:object>
      </w:r>
      <w:r w:rsidR="009603C5" w:rsidRPr="00E97BC8">
        <w:rPr>
          <w:rFonts w:cs="Times New Roman"/>
          <w:sz w:val="22"/>
          <w:szCs w:val="22"/>
        </w:rPr>
        <w:t xml:space="preserve"> </w:t>
      </w:r>
      <w:r w:rsidRPr="00E97BC8">
        <w:rPr>
          <w:rFonts w:cs="Times New Roman"/>
          <w:sz w:val="22"/>
          <w:szCs w:val="22"/>
        </w:rPr>
        <w:t xml:space="preserve">column vector of </w:t>
      </w:r>
      <w:r w:rsidR="001D28DE" w:rsidRPr="00E97BC8">
        <w:rPr>
          <w:rFonts w:cs="Times New Roman"/>
          <w:sz w:val="22"/>
          <w:szCs w:val="22"/>
        </w:rPr>
        <w:t xml:space="preserve">corresponding </w:t>
      </w:r>
      <w:r w:rsidRPr="00E97BC8">
        <w:rPr>
          <w:rFonts w:cs="Times New Roman"/>
          <w:sz w:val="22"/>
          <w:szCs w:val="22"/>
        </w:rPr>
        <w:t xml:space="preserve">coefficients </w:t>
      </w:r>
      <w:r w:rsidR="001D28DE" w:rsidRPr="00E97BC8">
        <w:rPr>
          <w:rFonts w:cs="Times New Roman"/>
          <w:sz w:val="22"/>
          <w:szCs w:val="22"/>
        </w:rPr>
        <w:t xml:space="preserve">which </w:t>
      </w:r>
      <w:r w:rsidRPr="00E97BC8">
        <w:rPr>
          <w:rFonts w:cs="Times New Roman"/>
          <w:sz w:val="22"/>
          <w:szCs w:val="22"/>
        </w:rPr>
        <w:t xml:space="preserve">capturing the effects of </w:t>
      </w:r>
      <w:r w:rsidR="00AC0518" w:rsidRPr="00E97BC8">
        <w:rPr>
          <w:rFonts w:cs="Times New Roman"/>
          <w:sz w:val="22"/>
          <w:szCs w:val="22"/>
        </w:rPr>
        <w:t xml:space="preserve">the </w:t>
      </w:r>
      <w:r w:rsidRPr="00E97BC8">
        <w:rPr>
          <w:rFonts w:cs="Times New Roman"/>
          <w:sz w:val="22"/>
          <w:szCs w:val="22"/>
        </w:rPr>
        <w:t xml:space="preserve">latent </w:t>
      </w:r>
      <w:r w:rsidR="001D28DE" w:rsidRPr="00E97BC8">
        <w:rPr>
          <w:rFonts w:cs="Times New Roman"/>
          <w:sz w:val="22"/>
          <w:szCs w:val="22"/>
        </w:rPr>
        <w:t xml:space="preserve">constructs </w:t>
      </w:r>
      <w:r w:rsidR="00846B09" w:rsidRPr="00E97BC8">
        <w:rPr>
          <w:rFonts w:cs="Times New Roman"/>
          <w:sz w:val="22"/>
          <w:szCs w:val="22"/>
        </w:rPr>
        <w:t>and their interaction effects</w:t>
      </w:r>
      <w:r w:rsidRPr="00E97BC8">
        <w:rPr>
          <w:rFonts w:cs="Times New Roman"/>
          <w:sz w:val="22"/>
          <w:szCs w:val="22"/>
        </w:rPr>
        <w:t xml:space="preserve">. </w:t>
      </w:r>
      <w:r w:rsidR="00F32915" w:rsidRPr="00E97BC8">
        <w:rPr>
          <w:rFonts w:cs="Times New Roman"/>
          <w:sz w:val="22"/>
          <w:szCs w:val="22"/>
        </w:rPr>
        <w:t xml:space="preserve">If each latent </w:t>
      </w:r>
      <w:r w:rsidR="001D28DE" w:rsidRPr="00E97BC8">
        <w:rPr>
          <w:rFonts w:cs="Times New Roman"/>
          <w:sz w:val="22"/>
          <w:szCs w:val="22"/>
        </w:rPr>
        <w:t xml:space="preserve">construct </w:t>
      </w:r>
      <w:r w:rsidR="00F32915" w:rsidRPr="00E97BC8">
        <w:rPr>
          <w:rFonts w:cs="Times New Roman"/>
          <w:sz w:val="22"/>
          <w:szCs w:val="22"/>
        </w:rPr>
        <w:t xml:space="preserve">impacts the utility of </w:t>
      </w:r>
      <w:r w:rsidR="001D28DE" w:rsidRPr="00E97BC8">
        <w:rPr>
          <w:rFonts w:cs="Times New Roman"/>
          <w:sz w:val="22"/>
          <w:szCs w:val="22"/>
        </w:rPr>
        <w:t>each</w:t>
      </w:r>
      <w:r w:rsidR="00F32915" w:rsidRPr="00E97BC8">
        <w:rPr>
          <w:rFonts w:cs="Times New Roman"/>
          <w:sz w:val="22"/>
          <w:szCs w:val="22"/>
        </w:rPr>
        <w:t xml:space="preserve"> alternative purely through a constant shift in the utility function</w:t>
      </w:r>
      <w:r w:rsidR="001D28DE" w:rsidRPr="00E97BC8">
        <w:rPr>
          <w:rFonts w:cs="Times New Roman"/>
          <w:sz w:val="22"/>
          <w:szCs w:val="22"/>
        </w:rPr>
        <w:t xml:space="preserve"> (with no interaction effects)</w:t>
      </w:r>
      <w:r w:rsidR="00F32915" w:rsidRPr="00E97BC8">
        <w:rPr>
          <w:rFonts w:cs="Times New Roman"/>
          <w:sz w:val="22"/>
          <w:szCs w:val="22"/>
        </w:rPr>
        <w:t xml:space="preserve">, </w:t>
      </w:r>
      <w:r w:rsidR="00DB3930" w:rsidRPr="00E97BC8">
        <w:rPr>
          <w:rFonts w:cs="Times New Roman"/>
          <w:position w:val="-12"/>
          <w:sz w:val="22"/>
          <w:szCs w:val="22"/>
        </w:rPr>
        <w:object w:dxaOrig="260" w:dyaOrig="360" w14:anchorId="526FE2D2">
          <v:shape id="_x0000_i1105" type="#_x0000_t75" style="width:13.3pt;height:18.85pt" o:ole="" o:preferrelative="f">
            <v:imagedata r:id="rId162" o:title=""/>
            <o:lock v:ext="edit" aspectratio="f"/>
          </v:shape>
          <o:OLEObject Type="Embed" ProgID="Equation.DSMT4" ShapeID="_x0000_i1105" DrawAspect="Content" ObjectID="_1811172293" r:id="rId163"/>
        </w:object>
      </w:r>
      <w:r w:rsidR="00FD20AC" w:rsidRPr="00E97BC8">
        <w:rPr>
          <w:rFonts w:cs="Times New Roman"/>
          <w:sz w:val="22"/>
          <w:szCs w:val="22"/>
        </w:rPr>
        <w:t xml:space="preserve"> </w:t>
      </w:r>
      <w:r w:rsidR="00F32915" w:rsidRPr="00E97BC8">
        <w:rPr>
          <w:rFonts w:cs="Times New Roman"/>
          <w:sz w:val="22"/>
          <w:szCs w:val="22"/>
        </w:rPr>
        <w:t xml:space="preserve">will be an identity matrix of size </w:t>
      </w:r>
      <w:r w:rsidR="00DB3930" w:rsidRPr="00E97BC8">
        <w:rPr>
          <w:rFonts w:cs="Times New Roman"/>
          <w:iCs/>
          <w:position w:val="-4"/>
          <w:sz w:val="22"/>
          <w:szCs w:val="22"/>
        </w:rPr>
        <w:object w:dxaOrig="220" w:dyaOrig="260" w14:anchorId="21AA1020">
          <v:shape id="_x0000_i1106" type="#_x0000_t75" style="width:10.7pt;height:13.3pt" o:ole="" o:preferrelative="f">
            <v:imagedata r:id="rId164" o:title=""/>
            <o:lock v:ext="edit" aspectratio="f"/>
          </v:shape>
          <o:OLEObject Type="Embed" ProgID="Equation.DSMT4" ShapeID="_x0000_i1106" DrawAspect="Content" ObjectID="_1811172294" r:id="rId165"/>
        </w:object>
      </w:r>
      <w:r w:rsidR="00F32915" w:rsidRPr="00E97BC8">
        <w:rPr>
          <w:rFonts w:cs="Times New Roman"/>
          <w:sz w:val="22"/>
          <w:szCs w:val="22"/>
        </w:rPr>
        <w:t xml:space="preserve">, and each element of </w:t>
      </w:r>
      <w:r w:rsidR="00DB3930" w:rsidRPr="00E97BC8">
        <w:rPr>
          <w:rFonts w:cs="Times New Roman"/>
          <w:position w:val="-12"/>
          <w:sz w:val="22"/>
          <w:szCs w:val="22"/>
        </w:rPr>
        <w:object w:dxaOrig="240" w:dyaOrig="360" w14:anchorId="06570983">
          <v:shape id="_x0000_i1107" type="#_x0000_t75" style="width:11.15pt;height:18.85pt" o:ole="" o:preferrelative="f">
            <v:imagedata r:id="rId166" o:title=""/>
            <o:lock v:ext="edit" aspectratio="f"/>
          </v:shape>
          <o:OLEObject Type="Embed" ProgID="Equation.DSMT4" ShapeID="_x0000_i1107" DrawAspect="Content" ObjectID="_1811172295" r:id="rId167"/>
        </w:object>
      </w:r>
      <w:r w:rsidR="00F32915" w:rsidRPr="00E97BC8">
        <w:rPr>
          <w:rFonts w:cs="Times New Roman"/>
          <w:sz w:val="22"/>
          <w:szCs w:val="22"/>
        </w:rPr>
        <w:t xml:space="preserve"> will capture the effect of </w:t>
      </w:r>
      <w:r w:rsidR="001D28DE" w:rsidRPr="00E97BC8">
        <w:rPr>
          <w:rFonts w:cs="Times New Roman"/>
          <w:sz w:val="22"/>
          <w:szCs w:val="22"/>
        </w:rPr>
        <w:t>one of the</w:t>
      </w:r>
      <w:r w:rsidR="00F32915" w:rsidRPr="00E97BC8">
        <w:rPr>
          <w:rFonts w:cs="Times New Roman"/>
          <w:sz w:val="22"/>
          <w:szCs w:val="22"/>
        </w:rPr>
        <w:t xml:space="preserve"> latent </w:t>
      </w:r>
      <w:r w:rsidR="001D28DE" w:rsidRPr="00E97BC8">
        <w:rPr>
          <w:rFonts w:cs="Times New Roman"/>
          <w:sz w:val="22"/>
          <w:szCs w:val="22"/>
        </w:rPr>
        <w:t xml:space="preserve">constructs </w:t>
      </w:r>
      <w:r w:rsidR="00F32915" w:rsidRPr="00E97BC8">
        <w:rPr>
          <w:rFonts w:cs="Times New Roman"/>
          <w:sz w:val="22"/>
          <w:szCs w:val="22"/>
        </w:rPr>
        <w:t xml:space="preserve">on the constant specific to alternative </w:t>
      </w:r>
      <w:r w:rsidR="00BB15C1" w:rsidRPr="00E97BC8">
        <w:rPr>
          <w:rFonts w:cs="Times New Roman"/>
          <w:position w:val="-6"/>
          <w:sz w:val="22"/>
          <w:szCs w:val="22"/>
        </w:rPr>
        <w:object w:dxaOrig="139" w:dyaOrig="260" w14:anchorId="71EB7EDC">
          <v:shape id="_x0000_i1108" type="#_x0000_t75" style="width:5.15pt;height:13.3pt" o:ole="" o:preferrelative="f">
            <v:imagedata r:id="rId168" o:title=""/>
            <o:lock v:ext="edit" aspectratio="f"/>
          </v:shape>
          <o:OLEObject Type="Embed" ProgID="Equation.DSMT4" ShapeID="_x0000_i1108" DrawAspect="Content" ObjectID="_1811172296" r:id="rId169"/>
        </w:object>
      </w:r>
      <w:r w:rsidR="00F32915" w:rsidRPr="00E97BC8">
        <w:rPr>
          <w:rFonts w:cs="Times New Roman"/>
          <w:sz w:val="22"/>
          <w:szCs w:val="22"/>
        </w:rPr>
        <w:t xml:space="preserve"> of </w:t>
      </w:r>
      <w:r w:rsidR="000D1A4D" w:rsidRPr="00E97BC8">
        <w:rPr>
          <w:rFonts w:cs="Times New Roman"/>
          <w:sz w:val="22"/>
          <w:szCs w:val="22"/>
        </w:rPr>
        <w:t xml:space="preserve">the </w:t>
      </w:r>
      <w:r w:rsidR="004848C2" w:rsidRPr="00E97BC8">
        <w:rPr>
          <w:rFonts w:cs="Times New Roman"/>
          <w:sz w:val="22"/>
          <w:szCs w:val="22"/>
        </w:rPr>
        <w:t>ranked</w:t>
      </w:r>
      <w:r w:rsidR="00F32915" w:rsidRPr="00E97BC8">
        <w:rPr>
          <w:rFonts w:cs="Times New Roman"/>
          <w:sz w:val="22"/>
          <w:szCs w:val="22"/>
        </w:rPr>
        <w:t xml:space="preserve"> variabl</w:t>
      </w:r>
      <w:r w:rsidR="000D1A4D" w:rsidRPr="00E97BC8">
        <w:rPr>
          <w:rFonts w:cs="Times New Roman"/>
          <w:sz w:val="22"/>
          <w:szCs w:val="22"/>
        </w:rPr>
        <w:t>e</w:t>
      </w:r>
      <w:r w:rsidR="00F32915" w:rsidRPr="00E97BC8">
        <w:rPr>
          <w:rFonts w:cs="Times New Roman"/>
          <w:sz w:val="22"/>
          <w:szCs w:val="22"/>
        </w:rPr>
        <w:t xml:space="preserve">. </w:t>
      </w:r>
      <w:r w:rsidR="00627889" w:rsidRPr="00E97BC8">
        <w:rPr>
          <w:rFonts w:cs="Times New Roman"/>
          <w:sz w:val="22"/>
          <w:szCs w:val="22"/>
        </w:rPr>
        <w:t>D</w:t>
      </w:r>
      <w:r w:rsidR="00AD065A" w:rsidRPr="00E97BC8">
        <w:rPr>
          <w:rFonts w:cs="Times New Roman"/>
          <w:sz w:val="22"/>
          <w:szCs w:val="22"/>
        </w:rPr>
        <w:t>efine the</w:t>
      </w:r>
      <w:r w:rsidRPr="00E97BC8">
        <w:rPr>
          <w:rFonts w:cs="Times New Roman"/>
          <w:sz w:val="22"/>
          <w:szCs w:val="22"/>
        </w:rPr>
        <w:t xml:space="preserve"> </w:t>
      </w:r>
      <w:r w:rsidR="00DB3930" w:rsidRPr="00E97BC8">
        <w:rPr>
          <w:rFonts w:cs="Times New Roman"/>
          <w:position w:val="-10"/>
          <w:sz w:val="22"/>
          <w:szCs w:val="22"/>
        </w:rPr>
        <w:object w:dxaOrig="620" w:dyaOrig="320" w14:anchorId="081F5947">
          <v:shape id="_x0000_i1109" type="#_x0000_t75" style="width:30.85pt;height:16.3pt" o:ole="">
            <v:imagedata r:id="rId170" o:title=""/>
          </v:shape>
          <o:OLEObject Type="Embed" ProgID="Equation.DSMT4" ShapeID="_x0000_i1109" DrawAspect="Content" ObjectID="_1811172297" r:id="rId171"/>
        </w:object>
      </w:r>
      <w:r w:rsidR="00AD065A" w:rsidRPr="00E97BC8">
        <w:rPr>
          <w:rFonts w:cs="Times New Roman"/>
          <w:sz w:val="22"/>
          <w:szCs w:val="22"/>
        </w:rPr>
        <w:t xml:space="preserve"> vector </w:t>
      </w:r>
      <w:r w:rsidR="00C55A95" w:rsidRPr="00E97BC8">
        <w:rPr>
          <w:rFonts w:cs="Times New Roman"/>
          <w:position w:val="-12"/>
          <w:sz w:val="22"/>
          <w:szCs w:val="22"/>
        </w:rPr>
        <w:object w:dxaOrig="1660" w:dyaOrig="360" w14:anchorId="7CC1046E">
          <v:shape id="_x0000_i1110" type="#_x0000_t75" style="width:82.7pt;height:18pt" o:ole="" o:preferrelative="f">
            <v:imagedata r:id="rId172" o:title=""/>
            <o:lock v:ext="edit" aspectratio="f"/>
          </v:shape>
          <o:OLEObject Type="Embed" ProgID="Equation.DSMT4" ShapeID="_x0000_i1110" DrawAspect="Content" ObjectID="_1811172298" r:id="rId173"/>
        </w:object>
      </w:r>
      <w:r w:rsidRPr="00E97BC8">
        <w:rPr>
          <w:rFonts w:cs="Times New Roman"/>
          <w:sz w:val="22"/>
          <w:szCs w:val="22"/>
        </w:rPr>
        <w:t xml:space="preserve"> </w:t>
      </w:r>
      <w:r w:rsidR="00AD065A" w:rsidRPr="00E97BC8">
        <w:rPr>
          <w:rFonts w:cs="Times New Roman"/>
          <w:sz w:val="22"/>
          <w:szCs w:val="22"/>
        </w:rPr>
        <w:t>with</w:t>
      </w:r>
      <w:r w:rsidRPr="00E97BC8">
        <w:rPr>
          <w:rFonts w:cs="Times New Roman"/>
          <w:sz w:val="22"/>
          <w:szCs w:val="22"/>
        </w:rPr>
        <w:t xml:space="preserve"> </w:t>
      </w:r>
      <w:r w:rsidR="00C55A95" w:rsidRPr="00E97BC8">
        <w:rPr>
          <w:rFonts w:cs="Times New Roman"/>
          <w:position w:val="-12"/>
          <w:sz w:val="22"/>
          <w:szCs w:val="22"/>
        </w:rPr>
        <w:object w:dxaOrig="2260" w:dyaOrig="360" w14:anchorId="1B048628">
          <v:shape id="_x0000_i1111" type="#_x0000_t75" style="width:113.15pt;height:18pt" o:ole="" o:preferrelative="f">
            <v:imagedata r:id="rId174" o:title=""/>
            <o:lock v:ext="edit" aspectratio="f"/>
          </v:shape>
          <o:OLEObject Type="Embed" ProgID="Equation.DSMT4" ShapeID="_x0000_i1111" DrawAspect="Content" ObjectID="_1811172299" r:id="rId175"/>
        </w:object>
      </w:r>
      <w:r w:rsidRPr="00E97BC8">
        <w:rPr>
          <w:rFonts w:cs="Times New Roman"/>
          <w:sz w:val="22"/>
          <w:szCs w:val="22"/>
        </w:rPr>
        <w:t xml:space="preserve">. </w:t>
      </w:r>
      <w:bookmarkStart w:id="28" w:name="_Hlk119807144"/>
      <w:bookmarkStart w:id="29" w:name="_Hlk120947685"/>
      <w:r w:rsidR="004B3FDA" w:rsidRPr="00E97BC8">
        <w:rPr>
          <w:rFonts w:cs="Times New Roman"/>
          <w:sz w:val="22"/>
          <w:szCs w:val="22"/>
        </w:rPr>
        <w:t>Note, however, that because of the stochasticity of the latent constructs that affect the utilities of alternatives, the overall utilities are both non-independent and non-</w:t>
      </w:r>
      <w:r w:rsidR="00CA5227" w:rsidRPr="00E97BC8">
        <w:rPr>
          <w:rFonts w:cs="Times New Roman"/>
          <w:sz w:val="22"/>
          <w:szCs w:val="22"/>
        </w:rPr>
        <w:t>identical</w:t>
      </w:r>
      <w:r w:rsidR="004B3FDA" w:rsidRPr="00E97BC8">
        <w:rPr>
          <w:rFonts w:cs="Times New Roman"/>
          <w:sz w:val="22"/>
          <w:szCs w:val="22"/>
        </w:rPr>
        <w:t xml:space="preserve"> across </w:t>
      </w:r>
      <w:r w:rsidR="00CA5227" w:rsidRPr="00E97BC8">
        <w:rPr>
          <w:rFonts w:cs="Times New Roman"/>
          <w:sz w:val="22"/>
          <w:szCs w:val="22"/>
        </w:rPr>
        <w:t>alternatives</w:t>
      </w:r>
      <w:r w:rsidR="004B3FDA" w:rsidRPr="00E97BC8">
        <w:rPr>
          <w:rFonts w:cs="Times New Roman"/>
          <w:sz w:val="22"/>
          <w:szCs w:val="22"/>
        </w:rPr>
        <w:t xml:space="preserve">. </w:t>
      </w:r>
      <w:bookmarkEnd w:id="28"/>
      <w:bookmarkEnd w:id="29"/>
      <w:r w:rsidR="001D28DE" w:rsidRPr="00E97BC8">
        <w:rPr>
          <w:rFonts w:cs="Times New Roman"/>
          <w:sz w:val="22"/>
          <w:szCs w:val="22"/>
        </w:rPr>
        <w:t xml:space="preserve">When introducing alternative-specific constants and </w:t>
      </w:r>
      <w:r w:rsidR="00CA5227" w:rsidRPr="00E97BC8">
        <w:rPr>
          <w:rFonts w:cs="Times New Roman"/>
          <w:sz w:val="22"/>
          <w:szCs w:val="22"/>
        </w:rPr>
        <w:t>exogenous</w:t>
      </w:r>
      <w:r w:rsidR="001D28DE" w:rsidRPr="00E97BC8">
        <w:rPr>
          <w:rFonts w:cs="Times New Roman"/>
          <w:sz w:val="22"/>
          <w:szCs w:val="22"/>
        </w:rPr>
        <w:t xml:space="preserve"> variables that do not vary across alternatives, t</w:t>
      </w:r>
      <w:r w:rsidRPr="00E97BC8">
        <w:rPr>
          <w:rFonts w:cs="Times New Roman"/>
          <w:sz w:val="22"/>
          <w:szCs w:val="22"/>
        </w:rPr>
        <w:t xml:space="preserve">he usual identification restriction is imposed such that one of the alternatives serves as the base </w:t>
      </w:r>
      <w:r w:rsidR="00090056" w:rsidRPr="00E97BC8">
        <w:rPr>
          <w:rFonts w:cs="Times New Roman"/>
          <w:sz w:val="22"/>
          <w:szCs w:val="22"/>
        </w:rPr>
        <w:t xml:space="preserve">(although this base alternative may vary for different </w:t>
      </w:r>
      <w:r w:rsidR="00F70356" w:rsidRPr="00E97BC8">
        <w:rPr>
          <w:rFonts w:cs="Times New Roman"/>
          <w:sz w:val="22"/>
          <w:szCs w:val="22"/>
        </w:rPr>
        <w:t xml:space="preserve">exogenous </w:t>
      </w:r>
      <w:r w:rsidR="00090056" w:rsidRPr="00E97BC8">
        <w:rPr>
          <w:rFonts w:cs="Times New Roman"/>
          <w:sz w:val="22"/>
          <w:szCs w:val="22"/>
        </w:rPr>
        <w:t>variables)</w:t>
      </w:r>
      <w:r w:rsidRPr="00E97BC8">
        <w:rPr>
          <w:rFonts w:cs="Times New Roman"/>
          <w:sz w:val="22"/>
          <w:szCs w:val="22"/>
        </w:rPr>
        <w:t>. To proceed</w:t>
      </w:r>
      <w:r w:rsidR="00627889" w:rsidRPr="00E97BC8">
        <w:rPr>
          <w:rFonts w:cs="Times New Roman"/>
          <w:sz w:val="22"/>
          <w:szCs w:val="22"/>
        </w:rPr>
        <w:t xml:space="preserve"> further</w:t>
      </w:r>
      <w:r w:rsidRPr="00E97BC8">
        <w:rPr>
          <w:rFonts w:cs="Times New Roman"/>
          <w:sz w:val="22"/>
          <w:szCs w:val="22"/>
        </w:rPr>
        <w:t>, define</w:t>
      </w:r>
      <w:r w:rsidR="006E77F1" w:rsidRPr="00E97BC8">
        <w:rPr>
          <w:rFonts w:cs="Times New Roman"/>
          <w:sz w:val="22"/>
          <w:szCs w:val="22"/>
        </w:rPr>
        <w:t xml:space="preserve"> the </w:t>
      </w:r>
      <w:r w:rsidR="00DB3930" w:rsidRPr="00E97BC8">
        <w:rPr>
          <w:rFonts w:cs="Times New Roman"/>
          <w:position w:val="-10"/>
          <w:sz w:val="22"/>
          <w:szCs w:val="22"/>
        </w:rPr>
        <w:object w:dxaOrig="620" w:dyaOrig="320" w14:anchorId="384DBB85">
          <v:shape id="_x0000_i1112" type="#_x0000_t75" style="width:30.85pt;height:16.3pt" o:ole="">
            <v:imagedata r:id="rId176" o:title=""/>
          </v:shape>
          <o:OLEObject Type="Embed" ProgID="Equation.DSMT4" ShapeID="_x0000_i1112" DrawAspect="Content" ObjectID="_1811172300" r:id="rId177"/>
        </w:object>
      </w:r>
      <w:r w:rsidR="005D0DAD" w:rsidRPr="00E97BC8">
        <w:rPr>
          <w:rFonts w:cs="Times New Roman"/>
          <w:sz w:val="22"/>
          <w:szCs w:val="22"/>
        </w:rPr>
        <w:t xml:space="preserve"> vector</w:t>
      </w:r>
      <w:r w:rsidRPr="00E97BC8">
        <w:rPr>
          <w:rFonts w:cs="Times New Roman"/>
          <w:sz w:val="22"/>
          <w:szCs w:val="22"/>
        </w:rPr>
        <w:t xml:space="preserve"> </w:t>
      </w:r>
      <w:r w:rsidR="00C55A95" w:rsidRPr="00E97BC8">
        <w:rPr>
          <w:rFonts w:cs="Times New Roman"/>
          <w:position w:val="-12"/>
          <w:sz w:val="22"/>
          <w:szCs w:val="22"/>
        </w:rPr>
        <w:object w:dxaOrig="1920" w:dyaOrig="360" w14:anchorId="575A4664">
          <v:shape id="_x0000_i1113" type="#_x0000_t75" style="width:95.15pt;height:18pt" o:ole="" o:preferrelative="f">
            <v:imagedata r:id="rId178" o:title=""/>
            <o:lock v:ext="edit" aspectratio="f"/>
          </v:shape>
          <o:OLEObject Type="Embed" ProgID="Equation.DSMT4" ShapeID="_x0000_i1113" DrawAspect="Content" ObjectID="_1811172301" r:id="rId179"/>
        </w:object>
      </w:r>
      <w:r w:rsidRPr="00E97BC8">
        <w:rPr>
          <w:rFonts w:cs="Times New Roman"/>
          <w:sz w:val="22"/>
          <w:szCs w:val="22"/>
        </w:rPr>
        <w:t>,</w:t>
      </w:r>
      <w:r w:rsidR="005D0DAD" w:rsidRPr="00E97BC8">
        <w:rPr>
          <w:rFonts w:cs="Times New Roman"/>
          <w:sz w:val="22"/>
          <w:szCs w:val="22"/>
        </w:rPr>
        <w:t xml:space="preserve"> the</w:t>
      </w:r>
      <w:r w:rsidRPr="00E97BC8">
        <w:rPr>
          <w:rFonts w:cs="Times New Roman"/>
          <w:sz w:val="22"/>
          <w:szCs w:val="22"/>
        </w:rPr>
        <w:t xml:space="preserve"> </w:t>
      </w:r>
      <w:r w:rsidR="00DB3930" w:rsidRPr="00E97BC8">
        <w:rPr>
          <w:rFonts w:cs="Times New Roman"/>
          <w:position w:val="-10"/>
          <w:sz w:val="22"/>
          <w:szCs w:val="22"/>
        </w:rPr>
        <w:object w:dxaOrig="700" w:dyaOrig="320" w14:anchorId="3463A77D">
          <v:shape id="_x0000_i1114" type="#_x0000_t75" style="width:35.15pt;height:16.3pt" o:ole="" o:preferrelative="f">
            <v:imagedata r:id="rId180" o:title=""/>
            <o:lock v:ext="edit" aspectratio="f"/>
          </v:shape>
          <o:OLEObject Type="Embed" ProgID="Equation.DSMT4" ShapeID="_x0000_i1114" DrawAspect="Content" ObjectID="_1811172302" r:id="rId181"/>
        </w:object>
      </w:r>
      <w:r w:rsidR="005D0DAD" w:rsidRPr="00E97BC8">
        <w:rPr>
          <w:rFonts w:cs="Times New Roman"/>
          <w:sz w:val="22"/>
          <w:szCs w:val="22"/>
        </w:rPr>
        <w:t xml:space="preserve"> matrix</w:t>
      </w:r>
      <w:r w:rsidR="00DB3930" w:rsidRPr="00E97BC8">
        <w:rPr>
          <w:rFonts w:cs="Times New Roman"/>
          <w:sz w:val="22"/>
          <w:szCs w:val="22"/>
        </w:rPr>
        <w:t xml:space="preserve"> </w:t>
      </w:r>
      <w:r w:rsidR="00C55A95" w:rsidRPr="00E97BC8">
        <w:rPr>
          <w:rFonts w:cs="Times New Roman"/>
          <w:position w:val="-14"/>
          <w:sz w:val="22"/>
          <w:szCs w:val="22"/>
        </w:rPr>
        <w:object w:dxaOrig="1719" w:dyaOrig="380" w14:anchorId="6DBC0BFC">
          <v:shape id="_x0000_i1115" type="#_x0000_t75" style="width:85.7pt;height:18.85pt" o:ole="" o:preferrelative="f">
            <v:imagedata r:id="rId182" o:title=""/>
            <o:lock v:ext="edit" aspectratio="f"/>
          </v:shape>
          <o:OLEObject Type="Embed" ProgID="Equation.DSMT4" ShapeID="_x0000_i1115" DrawAspect="Content" ObjectID="_1811172303" r:id="rId183"/>
        </w:object>
      </w:r>
      <w:r w:rsidRPr="00E97BC8">
        <w:rPr>
          <w:rFonts w:cs="Times New Roman"/>
          <w:sz w:val="22"/>
          <w:szCs w:val="22"/>
        </w:rPr>
        <w:t xml:space="preserve">, </w:t>
      </w:r>
      <w:r w:rsidR="003E54BF" w:rsidRPr="00E97BC8">
        <w:rPr>
          <w:rFonts w:cs="Times New Roman"/>
          <w:sz w:val="22"/>
          <w:szCs w:val="22"/>
        </w:rPr>
        <w:t xml:space="preserve">and </w:t>
      </w:r>
      <w:r w:rsidR="00926C33" w:rsidRPr="00E97BC8">
        <w:rPr>
          <w:rFonts w:cs="Times New Roman"/>
          <w:sz w:val="22"/>
          <w:szCs w:val="22"/>
        </w:rPr>
        <w:t xml:space="preserve">the </w:t>
      </w:r>
      <w:r w:rsidR="00C55A95" w:rsidRPr="00E97BC8">
        <w:rPr>
          <w:rFonts w:cs="Times New Roman"/>
          <w:position w:val="-32"/>
          <w:sz w:val="22"/>
          <w:szCs w:val="22"/>
        </w:rPr>
        <w:object w:dxaOrig="1420" w:dyaOrig="760" w14:anchorId="1969E587">
          <v:shape id="_x0000_i1116" type="#_x0000_t75" style="width:71.15pt;height:38.15pt" o:ole="" o:preferrelative="f">
            <v:imagedata r:id="rId184" o:title=""/>
            <o:lock v:ext="edit" aspectratio="f"/>
          </v:shape>
          <o:OLEObject Type="Embed" ProgID="Equation.DSMT4" ShapeID="_x0000_i1116" DrawAspect="Content" ObjectID="_1811172304" r:id="rId185"/>
        </w:object>
      </w:r>
      <w:r w:rsidR="00795117" w:rsidRPr="00E97BC8">
        <w:rPr>
          <w:rFonts w:cs="Times New Roman"/>
          <w:sz w:val="22"/>
          <w:szCs w:val="22"/>
        </w:rPr>
        <w:t xml:space="preserve"> matrix</w:t>
      </w:r>
      <w:r w:rsidRPr="00E97BC8">
        <w:rPr>
          <w:rFonts w:cs="Times New Roman"/>
          <w:sz w:val="22"/>
          <w:szCs w:val="22"/>
        </w:rPr>
        <w:t xml:space="preserve"> </w:t>
      </w:r>
      <w:r w:rsidR="00C55A95" w:rsidRPr="00E97BC8">
        <w:rPr>
          <w:rFonts w:cs="Times New Roman"/>
          <w:position w:val="-12"/>
          <w:sz w:val="22"/>
          <w:szCs w:val="22"/>
        </w:rPr>
        <w:object w:dxaOrig="1820" w:dyaOrig="360" w14:anchorId="3084E292">
          <v:shape id="_x0000_i1117" type="#_x0000_t75" style="width:90.85pt;height:18pt" o:ole="" o:preferrelative="f">
            <v:imagedata r:id="rId186" o:title=""/>
            <o:lock v:ext="edit" aspectratio="f"/>
          </v:shape>
          <o:OLEObject Type="Embed" ProgID="Equation.DSMT4" ShapeID="_x0000_i1117" DrawAspect="Content" ObjectID="_1811172305" r:id="rId187"/>
        </w:object>
      </w:r>
      <w:r w:rsidRPr="00E97BC8">
        <w:rPr>
          <w:rFonts w:cs="Times New Roman"/>
          <w:sz w:val="22"/>
          <w:szCs w:val="22"/>
        </w:rPr>
        <w:t>.</w:t>
      </w:r>
      <w:r w:rsidR="00795117" w:rsidRPr="00E97BC8">
        <w:rPr>
          <w:rFonts w:cs="Times New Roman"/>
          <w:sz w:val="22"/>
          <w:szCs w:val="22"/>
        </w:rPr>
        <w:t xml:space="preserve"> </w:t>
      </w:r>
      <w:r w:rsidR="006B31A6" w:rsidRPr="00E97BC8">
        <w:rPr>
          <w:rFonts w:cs="Times New Roman"/>
          <w:sz w:val="22"/>
          <w:szCs w:val="22"/>
        </w:rPr>
        <w:t xml:space="preserve">Also, define the </w:t>
      </w:r>
      <w:r w:rsidR="00C55A95" w:rsidRPr="00E97BC8">
        <w:rPr>
          <w:rFonts w:cs="Times New Roman"/>
          <w:position w:val="-32"/>
          <w:sz w:val="22"/>
          <w:szCs w:val="22"/>
        </w:rPr>
        <w:object w:dxaOrig="1380" w:dyaOrig="760" w14:anchorId="20414A3D">
          <v:shape id="_x0000_i1118" type="#_x0000_t75" style="width:69pt;height:38.15pt" o:ole="" o:preferrelative="f">
            <v:imagedata r:id="rId188" o:title=""/>
            <o:lock v:ext="edit" aspectratio="f"/>
          </v:shape>
          <o:OLEObject Type="Embed" ProgID="Equation.DSMT4" ShapeID="_x0000_i1118" DrawAspect="Content" ObjectID="_1811172306" r:id="rId189"/>
        </w:object>
      </w:r>
      <w:r w:rsidR="006B31A6" w:rsidRPr="00E97BC8">
        <w:rPr>
          <w:rFonts w:cs="Times New Roman"/>
          <w:sz w:val="22"/>
          <w:szCs w:val="22"/>
        </w:rPr>
        <w:t xml:space="preserve">matrix </w:t>
      </w:r>
      <w:r w:rsidR="00DB3930" w:rsidRPr="00E97BC8">
        <w:rPr>
          <w:rFonts w:cs="Times New Roman"/>
          <w:position w:val="-6"/>
          <w:sz w:val="22"/>
          <w:szCs w:val="22"/>
        </w:rPr>
        <w:object w:dxaOrig="220" w:dyaOrig="279" w14:anchorId="4BC44A0C">
          <v:shape id="_x0000_i1119" type="#_x0000_t75" style="width:10.7pt;height:13.7pt" o:ole="" o:preferrelative="f">
            <v:imagedata r:id="rId190" o:title=""/>
            <o:lock v:ext="edit" aspectratio="f"/>
          </v:shape>
          <o:OLEObject Type="Embed" ProgID="Equation.DSMT4" ShapeID="_x0000_i1119" DrawAspect="Content" ObjectID="_1811172307" r:id="rId191"/>
        </w:object>
      </w:r>
      <w:r w:rsidR="006B31A6" w:rsidRPr="00E97BC8">
        <w:rPr>
          <w:rFonts w:cs="Times New Roman"/>
          <w:sz w:val="22"/>
          <w:szCs w:val="22"/>
        </w:rPr>
        <w:t xml:space="preserve">, which is initially filled with all zero values. Then, position the </w:t>
      </w:r>
      <w:r w:rsidR="00DB3930" w:rsidRPr="00E97BC8">
        <w:rPr>
          <w:rFonts w:cs="Times New Roman"/>
          <w:position w:val="-12"/>
          <w:sz w:val="22"/>
          <w:szCs w:val="22"/>
        </w:rPr>
        <w:object w:dxaOrig="760" w:dyaOrig="360" w14:anchorId="28C08042">
          <v:shape id="_x0000_i1120" type="#_x0000_t75" style="width:38.15pt;height:18.85pt" o:ole="" o:preferrelative="f">
            <v:imagedata r:id="rId192" o:title=""/>
            <o:lock v:ext="edit" aspectratio="f"/>
          </v:shape>
          <o:OLEObject Type="Embed" ProgID="Equation.DSMT4" ShapeID="_x0000_i1120" DrawAspect="Content" ObjectID="_1811172308" r:id="rId193"/>
        </w:object>
      </w:r>
      <w:r w:rsidR="006B31A6" w:rsidRPr="00E97BC8">
        <w:rPr>
          <w:rFonts w:cs="Times New Roman"/>
          <w:sz w:val="22"/>
          <w:szCs w:val="22"/>
        </w:rPr>
        <w:t xml:space="preserve"> row vector </w:t>
      </w:r>
      <w:r w:rsidR="00DB3930" w:rsidRPr="00E97BC8">
        <w:rPr>
          <w:rFonts w:cs="Times New Roman"/>
          <w:position w:val="-12"/>
          <w:sz w:val="22"/>
          <w:szCs w:val="22"/>
        </w:rPr>
        <w:object w:dxaOrig="279" w:dyaOrig="360" w14:anchorId="35388815">
          <v:shape id="_x0000_i1121" type="#_x0000_t75" style="width:13.7pt;height:18.85pt" o:ole="" o:preferrelative="f">
            <v:imagedata r:id="rId194" o:title=""/>
            <o:lock v:ext="edit" aspectratio="f"/>
          </v:shape>
          <o:OLEObject Type="Embed" ProgID="Equation.DSMT4" ShapeID="_x0000_i1121" DrawAspect="Content" ObjectID="_1811172309" r:id="rId195"/>
        </w:object>
      </w:r>
      <w:r w:rsidR="006B31A6" w:rsidRPr="00E97BC8">
        <w:rPr>
          <w:rFonts w:cs="Times New Roman"/>
          <w:sz w:val="22"/>
          <w:szCs w:val="22"/>
        </w:rPr>
        <w:t xml:space="preserve"> in the first row </w:t>
      </w:r>
      <w:r w:rsidR="00D205C2" w:rsidRPr="00E97BC8">
        <w:rPr>
          <w:rFonts w:cs="Times New Roman"/>
          <w:sz w:val="22"/>
          <w:szCs w:val="22"/>
        </w:rPr>
        <w:t xml:space="preserve">of </w:t>
      </w:r>
      <w:r w:rsidR="00DB3930" w:rsidRPr="00E97BC8">
        <w:rPr>
          <w:rFonts w:cs="Times New Roman"/>
          <w:position w:val="-6"/>
          <w:sz w:val="22"/>
          <w:szCs w:val="22"/>
        </w:rPr>
        <w:object w:dxaOrig="220" w:dyaOrig="279" w14:anchorId="6AF45396">
          <v:shape id="_x0000_i1122" type="#_x0000_t75" style="width:10.7pt;height:13.7pt" o:ole="" o:preferrelative="f">
            <v:imagedata r:id="rId190" o:title=""/>
            <o:lock v:ext="edit" aspectratio="f"/>
          </v:shape>
          <o:OLEObject Type="Embed" ProgID="Equation.DSMT4" ShapeID="_x0000_i1122" DrawAspect="Content" ObjectID="_1811172310" r:id="rId196"/>
        </w:object>
      </w:r>
      <w:r w:rsidR="00D205C2" w:rsidRPr="00E97BC8">
        <w:rPr>
          <w:rFonts w:cs="Times New Roman"/>
          <w:sz w:val="22"/>
          <w:szCs w:val="22"/>
        </w:rPr>
        <w:t xml:space="preserve"> </w:t>
      </w:r>
      <w:r w:rsidR="006B31A6" w:rsidRPr="00E97BC8">
        <w:rPr>
          <w:rFonts w:cs="Times New Roman"/>
          <w:sz w:val="22"/>
          <w:szCs w:val="22"/>
        </w:rPr>
        <w:t xml:space="preserve">to occupy columns 1 to </w:t>
      </w:r>
      <w:r w:rsidR="00BB15C1" w:rsidRPr="00E97BC8">
        <w:rPr>
          <w:rFonts w:cs="Times New Roman"/>
          <w:position w:val="-12"/>
          <w:sz w:val="22"/>
          <w:szCs w:val="22"/>
        </w:rPr>
        <w:object w:dxaOrig="300" w:dyaOrig="360" w14:anchorId="1BA1ABC3">
          <v:shape id="_x0000_i1123" type="#_x0000_t75" style="width:10.7pt;height:18.85pt" o:ole="" o:preferrelative="f">
            <v:imagedata r:id="rId197" o:title=""/>
            <o:lock v:ext="edit" aspectratio="f"/>
          </v:shape>
          <o:OLEObject Type="Embed" ProgID="Equation.DSMT4" ShapeID="_x0000_i1123" DrawAspect="Content" ObjectID="_1811172311" r:id="rId198"/>
        </w:object>
      </w:r>
      <w:r w:rsidR="006B31A6" w:rsidRPr="00E97BC8">
        <w:rPr>
          <w:rFonts w:cs="Times New Roman"/>
          <w:sz w:val="22"/>
          <w:szCs w:val="22"/>
        </w:rPr>
        <w:t xml:space="preserve"> , position the </w:t>
      </w:r>
      <w:r w:rsidR="00DB3930" w:rsidRPr="00E97BC8">
        <w:rPr>
          <w:rFonts w:cs="Times New Roman"/>
          <w:position w:val="-12"/>
          <w:sz w:val="22"/>
          <w:szCs w:val="22"/>
        </w:rPr>
        <w:object w:dxaOrig="780" w:dyaOrig="360" w14:anchorId="1CE15574">
          <v:shape id="_x0000_i1124" type="#_x0000_t75" style="width:39.85pt;height:18.85pt" o:ole="" o:preferrelative="f">
            <v:imagedata r:id="rId199" o:title=""/>
            <o:lock v:ext="edit" aspectratio="f"/>
          </v:shape>
          <o:OLEObject Type="Embed" ProgID="Equation.DSMT4" ShapeID="_x0000_i1124" DrawAspect="Content" ObjectID="_1811172312" r:id="rId200"/>
        </w:object>
      </w:r>
      <w:r w:rsidR="006B31A6" w:rsidRPr="00E97BC8">
        <w:rPr>
          <w:rFonts w:cs="Times New Roman"/>
          <w:sz w:val="22"/>
          <w:szCs w:val="22"/>
        </w:rPr>
        <w:t xml:space="preserve"> row vector </w:t>
      </w:r>
      <w:r w:rsidR="00DB3930" w:rsidRPr="00E97BC8">
        <w:rPr>
          <w:rFonts w:cs="Times New Roman"/>
          <w:position w:val="-12"/>
          <w:sz w:val="22"/>
          <w:szCs w:val="22"/>
        </w:rPr>
        <w:object w:dxaOrig="279" w:dyaOrig="360" w14:anchorId="160BD604">
          <v:shape id="_x0000_i1125" type="#_x0000_t75" style="width:13.7pt;height:18.85pt" o:ole="" o:preferrelative="f">
            <v:imagedata r:id="rId201" o:title=""/>
            <o:lock v:ext="edit" aspectratio="f"/>
          </v:shape>
          <o:OLEObject Type="Embed" ProgID="Equation.DSMT4" ShapeID="_x0000_i1125" DrawAspect="Content" ObjectID="_1811172313" r:id="rId202"/>
        </w:object>
      </w:r>
      <w:r w:rsidR="006B31A6" w:rsidRPr="00E97BC8">
        <w:rPr>
          <w:rFonts w:cs="Times New Roman"/>
          <w:sz w:val="22"/>
          <w:szCs w:val="22"/>
        </w:rPr>
        <w:t xml:space="preserve"> in the second row</w:t>
      </w:r>
      <w:r w:rsidR="007446B4" w:rsidRPr="00E97BC8">
        <w:rPr>
          <w:rFonts w:cs="Times New Roman"/>
          <w:sz w:val="22"/>
          <w:szCs w:val="22"/>
        </w:rPr>
        <w:t xml:space="preserve"> of </w:t>
      </w:r>
      <w:r w:rsidR="00DB3930" w:rsidRPr="00E97BC8">
        <w:rPr>
          <w:rFonts w:cs="Times New Roman"/>
          <w:position w:val="-6"/>
          <w:sz w:val="22"/>
          <w:szCs w:val="22"/>
        </w:rPr>
        <w:object w:dxaOrig="220" w:dyaOrig="279" w14:anchorId="20F155A2">
          <v:shape id="_x0000_i1126" type="#_x0000_t75" style="width:10.7pt;height:13.7pt" o:ole="" o:preferrelative="f">
            <v:imagedata r:id="rId190" o:title=""/>
            <o:lock v:ext="edit" aspectratio="f"/>
          </v:shape>
          <o:OLEObject Type="Embed" ProgID="Equation.DSMT4" ShapeID="_x0000_i1126" DrawAspect="Content" ObjectID="_1811172314" r:id="rId203"/>
        </w:object>
      </w:r>
      <w:r w:rsidR="006B31A6" w:rsidRPr="00E97BC8">
        <w:rPr>
          <w:rFonts w:cs="Times New Roman"/>
          <w:sz w:val="22"/>
          <w:szCs w:val="22"/>
        </w:rPr>
        <w:t xml:space="preserve"> to occupy columns </w:t>
      </w:r>
      <w:r w:rsidR="00DB3930" w:rsidRPr="00E97BC8">
        <w:rPr>
          <w:rFonts w:cs="Times New Roman"/>
          <w:position w:val="-12"/>
          <w:sz w:val="22"/>
          <w:szCs w:val="22"/>
        </w:rPr>
        <w:object w:dxaOrig="780" w:dyaOrig="360" w14:anchorId="3BE7B712">
          <v:shape id="_x0000_i1127" type="#_x0000_t75" style="width:39.85pt;height:18.85pt" o:ole="" o:preferrelative="f">
            <v:imagedata r:id="rId204" o:title=""/>
            <o:lock v:ext="edit" aspectratio="f"/>
          </v:shape>
          <o:OLEObject Type="Embed" ProgID="Equation.DSMT4" ShapeID="_x0000_i1127" DrawAspect="Content" ObjectID="_1811172315" r:id="rId205"/>
        </w:object>
      </w:r>
      <w:r w:rsidR="006B31A6" w:rsidRPr="00E97BC8">
        <w:rPr>
          <w:rFonts w:cs="Times New Roman"/>
          <w:sz w:val="22"/>
          <w:szCs w:val="22"/>
        </w:rPr>
        <w:t xml:space="preserve"> to </w:t>
      </w:r>
      <w:r w:rsidR="00DB3930" w:rsidRPr="00E97BC8">
        <w:rPr>
          <w:rFonts w:cs="Times New Roman"/>
          <w:position w:val="-12"/>
          <w:sz w:val="22"/>
          <w:szCs w:val="22"/>
        </w:rPr>
        <w:object w:dxaOrig="980" w:dyaOrig="360" w14:anchorId="45966B49">
          <v:shape id="_x0000_i1128" type="#_x0000_t75" style="width:48.85pt;height:18.85pt" o:ole="" o:preferrelative="f">
            <v:imagedata r:id="rId206" o:title=""/>
            <o:lock v:ext="edit" aspectratio="f"/>
          </v:shape>
          <o:OLEObject Type="Embed" ProgID="Equation.DSMT4" ShapeID="_x0000_i1128" DrawAspect="Content" ObjectID="_1811172316" r:id="rId207"/>
        </w:object>
      </w:r>
      <w:r w:rsidR="00ED03FC" w:rsidRPr="00E97BC8">
        <w:rPr>
          <w:rFonts w:cs="Times New Roman"/>
          <w:sz w:val="22"/>
          <w:szCs w:val="22"/>
        </w:rPr>
        <w:t>,</w:t>
      </w:r>
      <w:r w:rsidR="006B31A6" w:rsidRPr="00E97BC8">
        <w:rPr>
          <w:rFonts w:cs="Times New Roman"/>
          <w:sz w:val="22"/>
          <w:szCs w:val="22"/>
        </w:rPr>
        <w:t xml:space="preserve"> and so on</w:t>
      </w:r>
      <w:r w:rsidR="00ED03FC" w:rsidRPr="00E97BC8">
        <w:rPr>
          <w:rFonts w:cs="Times New Roman"/>
          <w:sz w:val="22"/>
          <w:szCs w:val="22"/>
        </w:rPr>
        <w:t>,</w:t>
      </w:r>
      <w:r w:rsidR="006B31A6" w:rsidRPr="00E97BC8">
        <w:rPr>
          <w:rFonts w:cs="Times New Roman"/>
          <w:sz w:val="22"/>
          <w:szCs w:val="22"/>
        </w:rPr>
        <w:t xml:space="preserve"> until the </w:t>
      </w:r>
      <w:r w:rsidR="00DB3930" w:rsidRPr="00E97BC8">
        <w:rPr>
          <w:rFonts w:cs="Times New Roman"/>
          <w:position w:val="-12"/>
          <w:sz w:val="22"/>
          <w:szCs w:val="22"/>
        </w:rPr>
        <w:object w:dxaOrig="780" w:dyaOrig="360" w14:anchorId="63EAB987">
          <v:shape id="_x0000_i1129" type="#_x0000_t75" style="width:39.85pt;height:18.85pt" o:ole="" o:preferrelative="f">
            <v:imagedata r:id="rId208" o:title=""/>
            <o:lock v:ext="edit" aspectratio="f"/>
          </v:shape>
          <o:OLEObject Type="Embed" ProgID="Equation.DSMT4" ShapeID="_x0000_i1129" DrawAspect="Content" ObjectID="_1811172317" r:id="rId209"/>
        </w:object>
      </w:r>
      <w:r w:rsidR="006B31A6" w:rsidRPr="00E97BC8">
        <w:rPr>
          <w:rFonts w:cs="Times New Roman"/>
          <w:sz w:val="22"/>
          <w:szCs w:val="22"/>
        </w:rPr>
        <w:t xml:space="preserve"> row vector </w:t>
      </w:r>
      <w:r w:rsidR="00DB3930" w:rsidRPr="00E97BC8">
        <w:rPr>
          <w:rFonts w:cs="Times New Roman"/>
          <w:position w:val="-12"/>
          <w:sz w:val="22"/>
          <w:szCs w:val="22"/>
        </w:rPr>
        <w:object w:dxaOrig="279" w:dyaOrig="360" w14:anchorId="712AC471">
          <v:shape id="_x0000_i1130" type="#_x0000_t75" style="width:13.7pt;height:18.85pt" o:ole="" o:preferrelative="f">
            <v:imagedata r:id="rId210" o:title=""/>
            <o:lock v:ext="edit" aspectratio="f"/>
          </v:shape>
          <o:OLEObject Type="Embed" ProgID="Equation.DSMT4" ShapeID="_x0000_i1130" DrawAspect="Content" ObjectID="_1811172318" r:id="rId211"/>
        </w:object>
      </w:r>
      <w:r w:rsidR="006B31A6" w:rsidRPr="00E97BC8">
        <w:rPr>
          <w:rFonts w:cs="Times New Roman"/>
          <w:sz w:val="22"/>
          <w:szCs w:val="22"/>
        </w:rPr>
        <w:t xml:space="preserve"> is appropriately positioned</w:t>
      </w:r>
      <w:r w:rsidR="009E05A5" w:rsidRPr="00E97BC8">
        <w:rPr>
          <w:rFonts w:cs="Times New Roman"/>
          <w:sz w:val="22"/>
          <w:szCs w:val="22"/>
        </w:rPr>
        <w:t xml:space="preserve"> in the final row</w:t>
      </w:r>
      <w:r w:rsidR="007446B4" w:rsidRPr="00E97BC8">
        <w:rPr>
          <w:rFonts w:cs="Times New Roman"/>
          <w:sz w:val="22"/>
          <w:szCs w:val="22"/>
        </w:rPr>
        <w:t xml:space="preserve"> of </w:t>
      </w:r>
      <w:r w:rsidR="00DB3930" w:rsidRPr="00E97BC8">
        <w:rPr>
          <w:rFonts w:cs="Times New Roman"/>
          <w:position w:val="-6"/>
          <w:sz w:val="22"/>
          <w:szCs w:val="22"/>
        </w:rPr>
        <w:object w:dxaOrig="220" w:dyaOrig="279" w14:anchorId="6BC776A5">
          <v:shape id="_x0000_i1131" type="#_x0000_t75" style="width:10.7pt;height:13.7pt" o:ole="" o:preferrelative="f">
            <v:imagedata r:id="rId190" o:title=""/>
            <o:lock v:ext="edit" aspectratio="f"/>
          </v:shape>
          <o:OLEObject Type="Embed" ProgID="Equation.DSMT4" ShapeID="_x0000_i1131" DrawAspect="Content" ObjectID="_1811172319" r:id="rId212"/>
        </w:object>
      </w:r>
      <w:r w:rsidR="006B31A6" w:rsidRPr="00E97BC8">
        <w:rPr>
          <w:rFonts w:cs="Times New Roman"/>
          <w:sz w:val="22"/>
          <w:szCs w:val="22"/>
        </w:rPr>
        <w:t>. Further, define</w:t>
      </w:r>
      <w:r w:rsidR="009E05A5" w:rsidRPr="00E97BC8">
        <w:rPr>
          <w:rFonts w:cs="Times New Roman"/>
          <w:sz w:val="22"/>
          <w:szCs w:val="22"/>
        </w:rPr>
        <w:t xml:space="preserve"> the </w:t>
      </w:r>
      <w:r w:rsidR="00DB3930" w:rsidRPr="00E97BC8">
        <w:rPr>
          <w:rFonts w:cs="Times New Roman"/>
          <w:position w:val="-10"/>
          <w:sz w:val="22"/>
          <w:szCs w:val="22"/>
        </w:rPr>
        <w:object w:dxaOrig="680" w:dyaOrig="320" w14:anchorId="47965238">
          <v:shape id="_x0000_i1132" type="#_x0000_t75" style="width:33.85pt;height:16.3pt" o:ole="" o:preferrelative="f">
            <v:imagedata r:id="rId213" o:title=""/>
            <o:lock v:ext="edit" aspectratio="f"/>
          </v:shape>
          <o:OLEObject Type="Embed" ProgID="Equation.DSMT4" ShapeID="_x0000_i1132" DrawAspect="Content" ObjectID="_1811172320" r:id="rId214"/>
        </w:object>
      </w:r>
      <w:r w:rsidR="00DA4DFC" w:rsidRPr="00E97BC8">
        <w:rPr>
          <w:rFonts w:cs="Times New Roman"/>
          <w:sz w:val="22"/>
          <w:szCs w:val="22"/>
        </w:rPr>
        <w:t xml:space="preserve"> matrix</w:t>
      </w:r>
      <w:r w:rsidR="006B31A6" w:rsidRPr="00E97BC8">
        <w:rPr>
          <w:rFonts w:cs="Times New Roman"/>
          <w:sz w:val="22"/>
          <w:szCs w:val="22"/>
        </w:rPr>
        <w:t xml:space="preserve"> </w:t>
      </w:r>
      <w:r w:rsidR="00DB3930" w:rsidRPr="00E97BC8">
        <w:rPr>
          <w:rFonts w:cs="Times New Roman"/>
          <w:position w:val="-10"/>
          <w:sz w:val="22"/>
          <w:szCs w:val="22"/>
        </w:rPr>
        <w:object w:dxaOrig="980" w:dyaOrig="320" w14:anchorId="3BE51052">
          <v:shape id="_x0000_i1133" type="#_x0000_t75" style="width:48.85pt;height:16.3pt" o:ole="" o:preferrelative="f">
            <v:imagedata r:id="rId215" o:title=""/>
            <o:lock v:ext="edit" aspectratio="f"/>
          </v:shape>
          <o:OLEObject Type="Embed" ProgID="Equation.DSMT4" ShapeID="_x0000_i1133" DrawAspect="Content" ObjectID="_1811172321" r:id="rId216"/>
        </w:object>
      </w:r>
      <w:r w:rsidR="00687855" w:rsidRPr="00E97BC8">
        <w:rPr>
          <w:rFonts w:cs="Times New Roman"/>
          <w:sz w:val="22"/>
          <w:szCs w:val="22"/>
        </w:rPr>
        <w:t xml:space="preserve">. </w:t>
      </w:r>
      <w:r w:rsidRPr="00E97BC8">
        <w:rPr>
          <w:rFonts w:cs="Times New Roman"/>
          <w:sz w:val="22"/>
          <w:szCs w:val="22"/>
        </w:rPr>
        <w:t>Then, in matrix form, we may write Equation (</w:t>
      </w:r>
      <w:r w:rsidR="00EE5D61" w:rsidRPr="00E97BC8">
        <w:rPr>
          <w:rFonts w:cs="Times New Roman"/>
          <w:sz w:val="22"/>
          <w:szCs w:val="22"/>
        </w:rPr>
        <w:t>5</w:t>
      </w:r>
      <w:r w:rsidRPr="00E97BC8">
        <w:rPr>
          <w:rFonts w:cs="Times New Roman"/>
          <w:sz w:val="22"/>
          <w:szCs w:val="22"/>
        </w:rPr>
        <w:t>) as:</w:t>
      </w:r>
    </w:p>
    <w:p w14:paraId="5294BCDF" w14:textId="35F1158A" w:rsidR="00006B89" w:rsidRPr="00E97BC8" w:rsidRDefault="00C55A95" w:rsidP="00E85093">
      <w:pPr>
        <w:pStyle w:val="MTDisplayEquation"/>
        <w:rPr>
          <w:rFonts w:cs="Times New Roman"/>
          <w:sz w:val="22"/>
          <w:szCs w:val="22"/>
        </w:rPr>
      </w:pPr>
      <w:r w:rsidRPr="00E97BC8">
        <w:rPr>
          <w:rFonts w:cs="Times New Roman"/>
          <w:position w:val="-10"/>
          <w:sz w:val="22"/>
          <w:szCs w:val="22"/>
        </w:rPr>
        <w:object w:dxaOrig="1740" w:dyaOrig="360" w14:anchorId="76A0A1F9">
          <v:shape id="_x0000_i1134" type="#_x0000_t75" style="width:87pt;height:18pt" o:ole="" o:preferrelative="f">
            <v:imagedata r:id="rId217" o:title=""/>
            <o:lock v:ext="edit" aspectratio="f"/>
          </v:shape>
          <o:OLEObject Type="Embed" ProgID="Equation.DSMT4" ShapeID="_x0000_i1134" DrawAspect="Content" ObjectID="_1811172322" r:id="rId218"/>
        </w:object>
      </w:r>
      <w:r w:rsidR="0063286D" w:rsidRPr="00E97BC8">
        <w:rPr>
          <w:rFonts w:cs="Times New Roman"/>
          <w:sz w:val="22"/>
          <w:szCs w:val="22"/>
        </w:rPr>
        <w:t>.</w:t>
      </w:r>
      <w:r w:rsidR="00006B89" w:rsidRPr="00E97BC8">
        <w:rPr>
          <w:rFonts w:cs="Times New Roman"/>
          <w:sz w:val="22"/>
          <w:szCs w:val="22"/>
        </w:rPr>
        <w:tab/>
      </w:r>
      <w:r w:rsidR="003665D1" w:rsidRPr="00E97BC8">
        <w:rPr>
          <w:rFonts w:cs="Times New Roman"/>
          <w:sz w:val="22"/>
          <w:szCs w:val="22"/>
        </w:rPr>
        <w:tab/>
      </w:r>
      <w:r w:rsidR="00006B89" w:rsidRPr="00E97BC8">
        <w:rPr>
          <w:rFonts w:cs="Times New Roman"/>
          <w:sz w:val="22"/>
          <w:szCs w:val="22"/>
        </w:rPr>
        <w:fldChar w:fldCharType="begin"/>
      </w:r>
      <w:r w:rsidR="00006B89" w:rsidRPr="00E97BC8">
        <w:rPr>
          <w:rFonts w:cs="Times New Roman"/>
          <w:sz w:val="22"/>
          <w:szCs w:val="22"/>
        </w:rPr>
        <w:instrText xml:space="preserve"> MACROBUTTON MTPlaceRef \* MERGEFORMAT </w:instrText>
      </w:r>
      <w:r w:rsidR="00006B89" w:rsidRPr="00E97BC8">
        <w:rPr>
          <w:rFonts w:cs="Times New Roman"/>
          <w:sz w:val="22"/>
          <w:szCs w:val="22"/>
        </w:rPr>
        <w:fldChar w:fldCharType="begin"/>
      </w:r>
      <w:r w:rsidR="00006B89" w:rsidRPr="00E97BC8">
        <w:rPr>
          <w:rFonts w:cs="Times New Roman"/>
          <w:sz w:val="22"/>
          <w:szCs w:val="22"/>
        </w:rPr>
        <w:instrText xml:space="preserve"> SEQ MTEqn \h \* MERGEFORMAT </w:instrText>
      </w:r>
      <w:r w:rsidR="00006B89" w:rsidRPr="00E97BC8">
        <w:rPr>
          <w:rFonts w:cs="Times New Roman"/>
          <w:sz w:val="22"/>
          <w:szCs w:val="22"/>
        </w:rPr>
        <w:fldChar w:fldCharType="end"/>
      </w:r>
      <w:r w:rsidR="00006B89" w:rsidRPr="00E97BC8">
        <w:rPr>
          <w:rFonts w:cs="Times New Roman"/>
          <w:sz w:val="22"/>
          <w:szCs w:val="22"/>
        </w:rPr>
        <w:instrText>(</w:instrText>
      </w:r>
      <w:r w:rsidR="00006B89" w:rsidRPr="00E97BC8">
        <w:rPr>
          <w:rFonts w:cs="Times New Roman"/>
          <w:sz w:val="22"/>
          <w:szCs w:val="22"/>
        </w:rPr>
        <w:fldChar w:fldCharType="begin"/>
      </w:r>
      <w:r w:rsidR="00006B89" w:rsidRPr="00E97BC8">
        <w:rPr>
          <w:rFonts w:cs="Times New Roman"/>
          <w:sz w:val="22"/>
          <w:szCs w:val="22"/>
        </w:rPr>
        <w:instrText xml:space="preserve"> SEQ MTEqn \c \* Arabic \* MERGEFORMAT </w:instrText>
      </w:r>
      <w:r w:rsidR="00006B89" w:rsidRPr="00E97BC8">
        <w:rPr>
          <w:rFonts w:cs="Times New Roman"/>
          <w:sz w:val="22"/>
          <w:szCs w:val="22"/>
        </w:rPr>
        <w:fldChar w:fldCharType="separate"/>
      </w:r>
      <w:r w:rsidR="00EF198F" w:rsidRPr="00E97BC8">
        <w:rPr>
          <w:rFonts w:cs="Times New Roman"/>
          <w:sz w:val="22"/>
          <w:szCs w:val="22"/>
        </w:rPr>
        <w:instrText>6</w:instrText>
      </w:r>
      <w:r w:rsidR="00006B89" w:rsidRPr="00E97BC8">
        <w:rPr>
          <w:rFonts w:cs="Times New Roman"/>
          <w:sz w:val="22"/>
          <w:szCs w:val="22"/>
        </w:rPr>
        <w:fldChar w:fldCharType="end"/>
      </w:r>
      <w:r w:rsidR="00006B89" w:rsidRPr="00E97BC8">
        <w:rPr>
          <w:rFonts w:cs="Times New Roman"/>
          <w:sz w:val="22"/>
          <w:szCs w:val="22"/>
        </w:rPr>
        <w:instrText>)</w:instrText>
      </w:r>
      <w:r w:rsidR="00006B89" w:rsidRPr="00E97BC8">
        <w:rPr>
          <w:rFonts w:cs="Times New Roman"/>
          <w:sz w:val="22"/>
          <w:szCs w:val="22"/>
        </w:rPr>
        <w:fldChar w:fldCharType="end"/>
      </w:r>
    </w:p>
    <w:p w14:paraId="395428EE" w14:textId="74CAB3CC" w:rsidR="00E730FE" w:rsidRPr="00E97BC8" w:rsidRDefault="00C44028" w:rsidP="00E85093">
      <w:pPr>
        <w:spacing w:after="0" w:line="240" w:lineRule="auto"/>
        <w:jc w:val="both"/>
        <w:rPr>
          <w:rFonts w:cs="Times New Roman"/>
          <w:sz w:val="22"/>
          <w:szCs w:val="22"/>
        </w:rPr>
      </w:pPr>
      <w:r w:rsidRPr="00E97BC8">
        <w:rPr>
          <w:rFonts w:cs="Times New Roman"/>
          <w:sz w:val="22"/>
          <w:szCs w:val="22"/>
        </w:rPr>
        <w:t xml:space="preserve">Thus, the components of the model </w:t>
      </w:r>
      <w:r w:rsidR="009E721D" w:rsidRPr="00E97BC8">
        <w:rPr>
          <w:rFonts w:cs="Times New Roman"/>
          <w:sz w:val="22"/>
          <w:szCs w:val="22"/>
        </w:rPr>
        <w:t>framework</w:t>
      </w:r>
      <w:r w:rsidRPr="00E97BC8">
        <w:rPr>
          <w:rFonts w:cs="Times New Roman"/>
          <w:sz w:val="22"/>
          <w:szCs w:val="22"/>
        </w:rPr>
        <w:t xml:space="preserve"> may be written compactly with </w:t>
      </w:r>
      <w:r w:rsidR="00034754" w:rsidRPr="00E97BC8">
        <w:rPr>
          <w:rFonts w:cs="Times New Roman"/>
          <w:sz w:val="22"/>
          <w:szCs w:val="22"/>
        </w:rPr>
        <w:t>the vector equation for the latent constructs (Equation (2)) constitut</w:t>
      </w:r>
      <w:r w:rsidR="00E26BD1" w:rsidRPr="00E97BC8">
        <w:rPr>
          <w:rFonts w:cs="Times New Roman"/>
          <w:sz w:val="22"/>
          <w:szCs w:val="22"/>
        </w:rPr>
        <w:t>ing</w:t>
      </w:r>
      <w:r w:rsidR="00034754" w:rsidRPr="00E97BC8">
        <w:rPr>
          <w:rFonts w:cs="Times New Roman"/>
          <w:sz w:val="22"/>
          <w:szCs w:val="22"/>
        </w:rPr>
        <w:t xml:space="preserve"> the structural equation system</w:t>
      </w:r>
      <w:r w:rsidR="001D28DE" w:rsidRPr="00E97BC8">
        <w:rPr>
          <w:rFonts w:cs="Times New Roman"/>
          <w:sz w:val="22"/>
          <w:szCs w:val="22"/>
        </w:rPr>
        <w:t xml:space="preserve"> and </w:t>
      </w:r>
      <w:r w:rsidR="009E721D" w:rsidRPr="00E97BC8">
        <w:rPr>
          <w:rFonts w:cs="Times New Roman"/>
          <w:sz w:val="22"/>
          <w:szCs w:val="22"/>
        </w:rPr>
        <w:t xml:space="preserve">the </w:t>
      </w:r>
      <w:r w:rsidR="00E26BD1" w:rsidRPr="00E97BC8">
        <w:rPr>
          <w:rFonts w:cs="Times New Roman"/>
          <w:sz w:val="22"/>
          <w:szCs w:val="22"/>
        </w:rPr>
        <w:t>vector equation for the ordinal indicators and outcomes (Equation (</w:t>
      </w:r>
      <w:r w:rsidR="00941EB9" w:rsidRPr="00E97BC8">
        <w:rPr>
          <w:rFonts w:cs="Times New Roman"/>
          <w:sz w:val="22"/>
          <w:szCs w:val="22"/>
        </w:rPr>
        <w:t>4</w:t>
      </w:r>
      <w:r w:rsidR="00E26BD1" w:rsidRPr="00E97BC8">
        <w:rPr>
          <w:rFonts w:cs="Times New Roman"/>
          <w:sz w:val="22"/>
          <w:szCs w:val="22"/>
        </w:rPr>
        <w:t xml:space="preserve">)) </w:t>
      </w:r>
      <w:r w:rsidR="001D28DE" w:rsidRPr="00E97BC8">
        <w:rPr>
          <w:rFonts w:cs="Times New Roman"/>
          <w:sz w:val="22"/>
          <w:szCs w:val="22"/>
        </w:rPr>
        <w:t xml:space="preserve">along with </w:t>
      </w:r>
      <w:r w:rsidR="00E26BD1" w:rsidRPr="00E97BC8">
        <w:rPr>
          <w:rFonts w:cs="Times New Roman"/>
          <w:sz w:val="22"/>
          <w:szCs w:val="22"/>
        </w:rPr>
        <w:t>the vector equation for the ranked outcomes (Equation (</w:t>
      </w:r>
      <w:r w:rsidR="00941EB9" w:rsidRPr="00E97BC8">
        <w:rPr>
          <w:rFonts w:cs="Times New Roman"/>
          <w:sz w:val="22"/>
          <w:szCs w:val="22"/>
        </w:rPr>
        <w:t>6</w:t>
      </w:r>
      <w:r w:rsidR="00E26BD1" w:rsidRPr="00E97BC8">
        <w:rPr>
          <w:rFonts w:cs="Times New Roman"/>
          <w:sz w:val="22"/>
          <w:szCs w:val="22"/>
        </w:rPr>
        <w:t>)) constitut</w:t>
      </w:r>
      <w:r w:rsidR="009E721D" w:rsidRPr="00E97BC8">
        <w:rPr>
          <w:rFonts w:cs="Times New Roman"/>
          <w:sz w:val="22"/>
          <w:szCs w:val="22"/>
        </w:rPr>
        <w:t>ing</w:t>
      </w:r>
      <w:r w:rsidR="00E26BD1" w:rsidRPr="00E97BC8">
        <w:rPr>
          <w:rFonts w:cs="Times New Roman"/>
          <w:sz w:val="22"/>
          <w:szCs w:val="22"/>
        </w:rPr>
        <w:t xml:space="preserve"> the measurement equation system</w:t>
      </w:r>
      <w:r w:rsidR="00941EB9" w:rsidRPr="00E97BC8">
        <w:rPr>
          <w:rFonts w:cs="Times New Roman"/>
          <w:sz w:val="22"/>
          <w:szCs w:val="22"/>
        </w:rPr>
        <w:t>.</w:t>
      </w:r>
      <w:r w:rsidR="00462C96" w:rsidRPr="00E97BC8">
        <w:rPr>
          <w:rFonts w:cs="Times New Roman"/>
          <w:sz w:val="22"/>
          <w:szCs w:val="22"/>
        </w:rPr>
        <w:t xml:space="preserve"> </w:t>
      </w:r>
    </w:p>
    <w:p w14:paraId="2E64E37E" w14:textId="4F6F443C" w:rsidR="004C0F99" w:rsidRPr="00E97BC8" w:rsidRDefault="00627889" w:rsidP="00E85093">
      <w:pPr>
        <w:spacing w:after="0" w:line="240" w:lineRule="auto"/>
        <w:ind w:firstLine="720"/>
        <w:jc w:val="both"/>
        <w:rPr>
          <w:rFonts w:cs="Times New Roman"/>
          <w:color w:val="FF0000"/>
          <w:sz w:val="22"/>
          <w:szCs w:val="22"/>
        </w:rPr>
      </w:pPr>
      <w:r w:rsidRPr="00E97BC8">
        <w:rPr>
          <w:rFonts w:cs="Times New Roman"/>
          <w:sz w:val="22"/>
          <w:szCs w:val="22"/>
        </w:rPr>
        <w:t>Finally</w:t>
      </w:r>
      <w:r w:rsidR="004C0F99" w:rsidRPr="00E97BC8">
        <w:rPr>
          <w:rFonts w:cs="Times New Roman"/>
          <w:sz w:val="22"/>
          <w:szCs w:val="22"/>
        </w:rPr>
        <w:t>, we consider the correlation</w:t>
      </w:r>
      <w:r w:rsidR="00C72B35" w:rsidRPr="00E97BC8">
        <w:rPr>
          <w:rFonts w:cs="Times New Roman"/>
          <w:sz w:val="22"/>
          <w:szCs w:val="22"/>
        </w:rPr>
        <w:t>s</w:t>
      </w:r>
      <w:r w:rsidR="004C0F99" w:rsidRPr="00E97BC8">
        <w:rPr>
          <w:rFonts w:cs="Times New Roman"/>
          <w:sz w:val="22"/>
          <w:szCs w:val="22"/>
        </w:rPr>
        <w:t xml:space="preserve"> between the four latent constructs and the main outcomes. </w:t>
      </w:r>
      <w:r w:rsidR="001D28DE" w:rsidRPr="00E97BC8">
        <w:rPr>
          <w:rFonts w:cs="Times New Roman"/>
          <w:sz w:val="22"/>
          <w:szCs w:val="22"/>
        </w:rPr>
        <w:t>That is, w</w:t>
      </w:r>
      <w:r w:rsidR="00484B80" w:rsidRPr="00E97BC8">
        <w:rPr>
          <w:rFonts w:cs="Times New Roman"/>
          <w:sz w:val="22"/>
          <w:szCs w:val="22"/>
        </w:rPr>
        <w:t>e consider</w:t>
      </w:r>
      <w:r w:rsidR="004C0F99" w:rsidRPr="00E97BC8">
        <w:rPr>
          <w:rFonts w:cs="Times New Roman"/>
          <w:sz w:val="22"/>
          <w:szCs w:val="22"/>
        </w:rPr>
        <w:t xml:space="preserve"> </w:t>
      </w:r>
      <w:r w:rsidR="00DB3930" w:rsidRPr="00E97BC8">
        <w:rPr>
          <w:rFonts w:cs="Times New Roman"/>
          <w:position w:val="-10"/>
          <w:sz w:val="22"/>
          <w:szCs w:val="22"/>
        </w:rPr>
        <w:object w:dxaOrig="200" w:dyaOrig="260" w14:anchorId="4B78CEBA">
          <v:shape id="_x0000_i1135" type="#_x0000_t75" style="width:10.7pt;height:13.3pt" o:ole="" o:preferrelative="f">
            <v:imagedata r:id="rId219" o:title=""/>
            <o:lock v:ext="edit" aspectratio="f"/>
          </v:shape>
          <o:OLEObject Type="Embed" ProgID="Equation.DSMT4" ShapeID="_x0000_i1135" DrawAspect="Content" ObjectID="_1811172323" r:id="rId220"/>
        </w:object>
      </w:r>
      <w:r w:rsidR="004C0F99" w:rsidRPr="00E97BC8">
        <w:rPr>
          <w:rFonts w:cs="Times New Roman"/>
          <w:sz w:val="22"/>
          <w:szCs w:val="22"/>
        </w:rPr>
        <w:t xml:space="preserve"> to be correlated with</w:t>
      </w:r>
      <w:r w:rsidR="0000055C" w:rsidRPr="00E97BC8">
        <w:rPr>
          <w:rFonts w:cs="Times New Roman"/>
          <w:sz w:val="22"/>
          <w:szCs w:val="22"/>
        </w:rPr>
        <w:t xml:space="preserve"> both</w:t>
      </w:r>
      <w:r w:rsidR="004C0F99" w:rsidRPr="00E97BC8">
        <w:rPr>
          <w:rFonts w:cs="Times New Roman"/>
          <w:sz w:val="22"/>
          <w:szCs w:val="22"/>
        </w:rPr>
        <w:t xml:space="preserve"> </w:t>
      </w:r>
      <w:bookmarkStart w:id="30" w:name="_Hlk198815790"/>
      <w:r w:rsidR="00C55A95" w:rsidRPr="00E97BC8">
        <w:rPr>
          <w:rFonts w:cs="Times New Roman"/>
          <w:position w:val="-6"/>
          <w:sz w:val="22"/>
          <w:szCs w:val="22"/>
        </w:rPr>
        <w:object w:dxaOrig="180" w:dyaOrig="279" w14:anchorId="131E01FE">
          <v:shape id="_x0000_i1136" type="#_x0000_t75" style="width:9.85pt;height:13.7pt" o:ole="" o:preferrelative="f">
            <v:imagedata r:id="rId221" o:title=""/>
            <o:lock v:ext="edit" aspectratio="f"/>
          </v:shape>
          <o:OLEObject Type="Embed" ProgID="Equation.DSMT4" ShapeID="_x0000_i1136" DrawAspect="Content" ObjectID="_1811172324" r:id="rId222"/>
        </w:object>
      </w:r>
      <w:bookmarkEnd w:id="30"/>
      <w:r w:rsidR="004C0F99" w:rsidRPr="00E97BC8">
        <w:rPr>
          <w:rFonts w:cs="Times New Roman"/>
          <w:sz w:val="22"/>
          <w:szCs w:val="22"/>
        </w:rPr>
        <w:t xml:space="preserve"> </w:t>
      </w:r>
      <w:r w:rsidR="0000055C" w:rsidRPr="00E97BC8">
        <w:rPr>
          <w:rFonts w:cs="Times New Roman"/>
          <w:sz w:val="22"/>
          <w:szCs w:val="22"/>
        </w:rPr>
        <w:t>and</w:t>
      </w:r>
      <w:r w:rsidR="004C0F99" w:rsidRPr="00E97BC8">
        <w:rPr>
          <w:rFonts w:cs="Times New Roman"/>
          <w:sz w:val="22"/>
          <w:szCs w:val="22"/>
        </w:rPr>
        <w:t xml:space="preserve"> </w:t>
      </w:r>
      <w:bookmarkStart w:id="31" w:name="_Hlk198815795"/>
      <w:r w:rsidR="00DB3930" w:rsidRPr="00E97BC8">
        <w:rPr>
          <w:rFonts w:cs="Times New Roman"/>
          <w:position w:val="-10"/>
          <w:sz w:val="22"/>
          <w:szCs w:val="22"/>
        </w:rPr>
        <w:object w:dxaOrig="200" w:dyaOrig="260" w14:anchorId="5F2B8E93">
          <v:shape id="_x0000_i1137" type="#_x0000_t75" style="width:10.7pt;height:13.3pt" o:ole="" o:preferrelative="f">
            <v:imagedata r:id="rId223" o:title=""/>
            <o:lock v:ext="edit" aspectratio="f"/>
          </v:shape>
          <o:OLEObject Type="Embed" ProgID="Equation.DSMT4" ShapeID="_x0000_i1137" DrawAspect="Content" ObjectID="_1811172325" r:id="rId224"/>
        </w:object>
      </w:r>
      <w:bookmarkEnd w:id="31"/>
      <w:r w:rsidR="00484B80" w:rsidRPr="00E97BC8">
        <w:rPr>
          <w:rFonts w:cs="Times New Roman"/>
          <w:sz w:val="22"/>
          <w:szCs w:val="22"/>
        </w:rPr>
        <w:t xml:space="preserve">, </w:t>
      </w:r>
      <w:r w:rsidR="001D28DE" w:rsidRPr="00E97BC8">
        <w:rPr>
          <w:rFonts w:cs="Times New Roman"/>
          <w:sz w:val="22"/>
          <w:szCs w:val="22"/>
        </w:rPr>
        <w:t>but continue to</w:t>
      </w:r>
      <w:r w:rsidR="004C0F99" w:rsidRPr="00E97BC8">
        <w:rPr>
          <w:rFonts w:cs="Times New Roman"/>
          <w:sz w:val="22"/>
          <w:szCs w:val="22"/>
        </w:rPr>
        <w:t xml:space="preserve"> maintain the independence assumption between </w:t>
      </w:r>
      <w:r w:rsidR="00C55A95" w:rsidRPr="00E97BC8">
        <w:rPr>
          <w:rFonts w:cs="Times New Roman"/>
          <w:position w:val="-6"/>
          <w:sz w:val="22"/>
          <w:szCs w:val="22"/>
        </w:rPr>
        <w:object w:dxaOrig="180" w:dyaOrig="279" w14:anchorId="24EA4E09">
          <v:shape id="_x0000_i1138" type="#_x0000_t75" style="width:9.85pt;height:13.7pt" o:ole="" o:preferrelative="f">
            <v:imagedata r:id="rId221" o:title=""/>
            <o:lock v:ext="edit" aspectratio="f"/>
          </v:shape>
          <o:OLEObject Type="Embed" ProgID="Equation.DSMT4" ShapeID="_x0000_i1138" DrawAspect="Content" ObjectID="_1811172326" r:id="rId225"/>
        </w:object>
      </w:r>
      <w:r w:rsidR="004C0F99" w:rsidRPr="00E97BC8">
        <w:rPr>
          <w:rFonts w:cs="Times New Roman"/>
          <w:sz w:val="22"/>
          <w:szCs w:val="22"/>
        </w:rPr>
        <w:t xml:space="preserve"> and </w:t>
      </w:r>
      <w:r w:rsidR="00C55A95" w:rsidRPr="00E97BC8">
        <w:rPr>
          <w:rFonts w:cs="Times New Roman"/>
          <w:position w:val="-10"/>
          <w:sz w:val="22"/>
          <w:szCs w:val="22"/>
        </w:rPr>
        <w:object w:dxaOrig="200" w:dyaOrig="260" w14:anchorId="61177B1A">
          <v:shape id="_x0000_i1139" type="#_x0000_t75" style="width:10.7pt;height:13.3pt" o:ole="" o:preferrelative="f">
            <v:imagedata r:id="rId223" o:title=""/>
            <o:lock v:ext="edit" aspectratio="f"/>
          </v:shape>
          <o:OLEObject Type="Embed" ProgID="Equation.DSMT4" ShapeID="_x0000_i1139" DrawAspect="Content" ObjectID="_1811172327" r:id="rId226"/>
        </w:object>
      </w:r>
      <w:r w:rsidR="004C0F99" w:rsidRPr="00E97BC8">
        <w:rPr>
          <w:rFonts w:cs="Times New Roman"/>
          <w:sz w:val="22"/>
          <w:szCs w:val="22"/>
        </w:rPr>
        <w:t xml:space="preserve">. Let the </w:t>
      </w:r>
      <w:r w:rsidR="00DB3930" w:rsidRPr="00E97BC8">
        <w:rPr>
          <w:rFonts w:cs="Times New Roman"/>
          <w:position w:val="-10"/>
          <w:sz w:val="22"/>
          <w:szCs w:val="22"/>
        </w:rPr>
        <w:object w:dxaOrig="780" w:dyaOrig="320" w14:anchorId="30C7A0AB">
          <v:shape id="_x0000_i1140" type="#_x0000_t75" style="width:39.85pt;height:16.3pt" o:ole="" o:preferrelative="f">
            <v:imagedata r:id="rId227" o:title=""/>
            <o:lock v:ext="edit" aspectratio="f"/>
          </v:shape>
          <o:OLEObject Type="Embed" ProgID="Equation.DSMT4" ShapeID="_x0000_i1140" DrawAspect="Content" ObjectID="_1811172328" r:id="rId228"/>
        </w:object>
      </w:r>
      <w:r w:rsidR="001B1CC3" w:rsidRPr="00E97BC8">
        <w:rPr>
          <w:rFonts w:cs="Times New Roman"/>
          <w:sz w:val="22"/>
          <w:szCs w:val="22"/>
        </w:rPr>
        <w:t xml:space="preserve"> </w:t>
      </w:r>
      <w:r w:rsidR="004C0F99" w:rsidRPr="00E97BC8">
        <w:rPr>
          <w:rFonts w:cs="Times New Roman"/>
          <w:sz w:val="22"/>
          <w:szCs w:val="22"/>
        </w:rPr>
        <w:t xml:space="preserve">matrix </w:t>
      </w:r>
      <w:r w:rsidR="00C55A95" w:rsidRPr="00E97BC8">
        <w:rPr>
          <w:rFonts w:cs="Times New Roman"/>
          <w:position w:val="-12"/>
          <w:sz w:val="22"/>
          <w:szCs w:val="22"/>
        </w:rPr>
        <w:object w:dxaOrig="460" w:dyaOrig="360" w14:anchorId="3EEB3D83">
          <v:shape id="_x0000_i1141" type="#_x0000_t75" style="width:23.15pt;height:18pt" o:ole="" o:preferrelative="f">
            <v:imagedata r:id="rId229" o:title=""/>
            <o:lock v:ext="edit" aspectratio="f"/>
          </v:shape>
          <o:OLEObject Type="Embed" ProgID="Equation.DSMT4" ShapeID="_x0000_i1141" DrawAspect="Content" ObjectID="_1811172329" r:id="rId230"/>
        </w:object>
      </w:r>
      <w:r w:rsidR="004C0F99" w:rsidRPr="00E97BC8">
        <w:rPr>
          <w:rFonts w:cs="Times New Roman"/>
          <w:sz w:val="22"/>
          <w:szCs w:val="22"/>
        </w:rPr>
        <w:t xml:space="preserve"> contain the correlation elements between each of the </w:t>
      </w:r>
      <w:r w:rsidR="001D28DE" w:rsidRPr="00E97BC8">
        <w:rPr>
          <w:rFonts w:cs="Times New Roman"/>
          <w:sz w:val="22"/>
          <w:szCs w:val="22"/>
        </w:rPr>
        <w:t xml:space="preserve">stochastic </w:t>
      </w:r>
      <w:r w:rsidR="004C0F99" w:rsidRPr="00E97BC8">
        <w:rPr>
          <w:rFonts w:cs="Times New Roman"/>
          <w:sz w:val="22"/>
          <w:szCs w:val="22"/>
        </w:rPr>
        <w:t>latent constructs and ordinal outcomes, and let the</w:t>
      </w:r>
      <w:r w:rsidR="004F32E3" w:rsidRPr="00E97BC8">
        <w:rPr>
          <w:rFonts w:cs="Times New Roman"/>
          <w:sz w:val="22"/>
          <w:szCs w:val="22"/>
        </w:rPr>
        <w:t xml:space="preserve"> </w:t>
      </w:r>
      <w:r w:rsidR="00DB3930" w:rsidRPr="00E97BC8">
        <w:rPr>
          <w:rFonts w:cs="Times New Roman"/>
          <w:position w:val="-10"/>
          <w:sz w:val="22"/>
          <w:szCs w:val="22"/>
        </w:rPr>
        <w:object w:dxaOrig="700" w:dyaOrig="320" w14:anchorId="30735475">
          <v:shape id="_x0000_i1142" type="#_x0000_t75" style="width:35.15pt;height:16.3pt" o:ole="" o:preferrelative="f">
            <v:imagedata r:id="rId231" o:title=""/>
            <o:lock v:ext="edit" aspectratio="f"/>
          </v:shape>
          <o:OLEObject Type="Embed" ProgID="Equation.DSMT4" ShapeID="_x0000_i1142" DrawAspect="Content" ObjectID="_1811172330" r:id="rId232"/>
        </w:object>
      </w:r>
      <w:r w:rsidR="004C0F99" w:rsidRPr="00E97BC8">
        <w:rPr>
          <w:rFonts w:cs="Times New Roman"/>
          <w:sz w:val="22"/>
          <w:szCs w:val="22"/>
        </w:rPr>
        <w:t xml:space="preserve"> matrix </w:t>
      </w:r>
      <w:r w:rsidR="00C55A95" w:rsidRPr="00E97BC8">
        <w:rPr>
          <w:rFonts w:cs="Times New Roman"/>
          <w:position w:val="-12"/>
          <w:sz w:val="22"/>
          <w:szCs w:val="22"/>
        </w:rPr>
        <w:object w:dxaOrig="460" w:dyaOrig="360" w14:anchorId="63D554C1">
          <v:shape id="_x0000_i1143" type="#_x0000_t75" style="width:23.15pt;height:18pt" o:ole="" o:preferrelative="f">
            <v:imagedata r:id="rId233" o:title=""/>
            <o:lock v:ext="edit" aspectratio="f"/>
          </v:shape>
          <o:OLEObject Type="Embed" ProgID="Equation.DSMT4" ShapeID="_x0000_i1143" DrawAspect="Content" ObjectID="_1811172331" r:id="rId234"/>
        </w:object>
      </w:r>
      <w:r w:rsidR="00AE75C2" w:rsidRPr="00E97BC8">
        <w:rPr>
          <w:rFonts w:cs="Times New Roman"/>
          <w:sz w:val="22"/>
          <w:szCs w:val="22"/>
        </w:rPr>
        <w:t xml:space="preserve"> </w:t>
      </w:r>
      <w:r w:rsidR="004C0F99" w:rsidRPr="00E97BC8">
        <w:rPr>
          <w:rFonts w:cs="Times New Roman"/>
          <w:sz w:val="22"/>
          <w:szCs w:val="22"/>
        </w:rPr>
        <w:t xml:space="preserve">contain the correlation </w:t>
      </w:r>
      <w:r w:rsidR="001D28DE" w:rsidRPr="00E97BC8">
        <w:rPr>
          <w:rFonts w:cs="Times New Roman"/>
          <w:sz w:val="22"/>
          <w:szCs w:val="22"/>
        </w:rPr>
        <w:t xml:space="preserve">elements </w:t>
      </w:r>
      <w:r w:rsidR="004C0F99" w:rsidRPr="00E97BC8">
        <w:rPr>
          <w:rFonts w:cs="Times New Roman"/>
          <w:sz w:val="22"/>
          <w:szCs w:val="22"/>
        </w:rPr>
        <w:t xml:space="preserve">between each of the </w:t>
      </w:r>
      <w:r w:rsidR="001D28DE" w:rsidRPr="00E97BC8">
        <w:rPr>
          <w:rFonts w:cs="Times New Roman"/>
          <w:sz w:val="22"/>
          <w:szCs w:val="22"/>
        </w:rPr>
        <w:t xml:space="preserve">stochastic </w:t>
      </w:r>
      <w:r w:rsidR="004C0F99" w:rsidRPr="00E97BC8">
        <w:rPr>
          <w:rFonts w:cs="Times New Roman"/>
          <w:sz w:val="22"/>
          <w:szCs w:val="22"/>
        </w:rPr>
        <w:t>latent constructs and the alternatives of the rank-ordered outcome in differenced form</w:t>
      </w:r>
      <w:r w:rsidR="0014681F" w:rsidRPr="00E97BC8">
        <w:rPr>
          <w:rFonts w:cs="Times New Roman"/>
          <w:sz w:val="22"/>
          <w:szCs w:val="22"/>
        </w:rPr>
        <w:t xml:space="preserve"> (see the two-headed arrow</w:t>
      </w:r>
      <w:r w:rsidR="00A36380" w:rsidRPr="00E97BC8">
        <w:rPr>
          <w:rFonts w:cs="Times New Roman"/>
          <w:sz w:val="22"/>
          <w:szCs w:val="22"/>
        </w:rPr>
        <w:t>s</w:t>
      </w:r>
      <w:r w:rsidR="0014681F" w:rsidRPr="00E97BC8">
        <w:rPr>
          <w:rFonts w:cs="Times New Roman"/>
          <w:sz w:val="22"/>
          <w:szCs w:val="22"/>
        </w:rPr>
        <w:t xml:space="preserve"> </w:t>
      </w:r>
      <w:r w:rsidR="001D28DE" w:rsidRPr="00E97BC8">
        <w:rPr>
          <w:rFonts w:cs="Times New Roman"/>
          <w:sz w:val="22"/>
          <w:szCs w:val="22"/>
        </w:rPr>
        <w:t xml:space="preserve">connecting </w:t>
      </w:r>
      <w:r w:rsidR="00BC5C48" w:rsidRPr="00E97BC8">
        <w:rPr>
          <w:rFonts w:cs="Times New Roman"/>
          <w:sz w:val="22"/>
          <w:szCs w:val="22"/>
        </w:rPr>
        <w:t>the latent constructs and main outcomes in Figure 2)</w:t>
      </w:r>
      <w:r w:rsidR="004C0F99" w:rsidRPr="00E97BC8">
        <w:rPr>
          <w:rFonts w:cs="Times New Roman"/>
          <w:sz w:val="22"/>
          <w:szCs w:val="22"/>
        </w:rPr>
        <w:t xml:space="preserve">. </w:t>
      </w:r>
    </w:p>
    <w:p w14:paraId="6F781550" w14:textId="25EC6F3C" w:rsidR="004C0F99" w:rsidRPr="00E97BC8" w:rsidRDefault="004C0F99" w:rsidP="00E85093">
      <w:pPr>
        <w:spacing w:after="0" w:line="240" w:lineRule="auto"/>
        <w:ind w:firstLine="720"/>
        <w:jc w:val="both"/>
        <w:rPr>
          <w:rFonts w:cs="Times New Roman"/>
          <w:sz w:val="22"/>
          <w:szCs w:val="22"/>
        </w:rPr>
      </w:pPr>
      <w:r w:rsidRPr="00E97BC8">
        <w:rPr>
          <w:rFonts w:cs="Times New Roman"/>
          <w:sz w:val="22"/>
          <w:szCs w:val="22"/>
        </w:rPr>
        <w:t>To develop the reduced form equations</w:t>
      </w:r>
      <w:r w:rsidR="001D28DE" w:rsidRPr="00E97BC8">
        <w:rPr>
          <w:rFonts w:cs="Times New Roman"/>
          <w:sz w:val="22"/>
          <w:szCs w:val="22"/>
        </w:rPr>
        <w:t xml:space="preserve"> for the GHDM modeling system</w:t>
      </w:r>
      <w:r w:rsidRPr="00E97BC8">
        <w:rPr>
          <w:rFonts w:cs="Times New Roman"/>
          <w:sz w:val="22"/>
          <w:szCs w:val="22"/>
        </w:rPr>
        <w:t>, replace</w:t>
      </w:r>
      <w:r w:rsidR="001D28DE" w:rsidRPr="00E97BC8">
        <w:rPr>
          <w:rFonts w:cs="Times New Roman"/>
          <w:sz w:val="22"/>
          <w:szCs w:val="22"/>
        </w:rPr>
        <w:t xml:space="preserve"> </w:t>
      </w:r>
      <w:r w:rsidR="00C55A95" w:rsidRPr="00E97BC8">
        <w:rPr>
          <w:rFonts w:cs="Times New Roman"/>
          <w:position w:val="-6"/>
          <w:sz w:val="22"/>
          <w:szCs w:val="22"/>
        </w:rPr>
        <w:object w:dxaOrig="260" w:dyaOrig="320" w14:anchorId="579D792B">
          <v:shape id="_x0000_i1144" type="#_x0000_t75" style="width:13.3pt;height:15.85pt" o:ole="" o:preferrelative="f">
            <v:imagedata r:id="rId235" o:title=""/>
            <o:lock v:ext="edit" aspectratio="f"/>
          </v:shape>
          <o:OLEObject Type="Embed" ProgID="Equation.3" ShapeID="_x0000_i1144" DrawAspect="Content" ObjectID="_1811172332" r:id="rId236"/>
        </w:object>
      </w:r>
      <w:r w:rsidR="001D28DE" w:rsidRPr="00E97BC8">
        <w:rPr>
          <w:rFonts w:cs="Times New Roman"/>
          <w:sz w:val="22"/>
          <w:szCs w:val="22"/>
        </w:rPr>
        <w:t xml:space="preserve"> in Equations (4) and (6) with </w:t>
      </w:r>
      <w:r w:rsidRPr="00E97BC8">
        <w:rPr>
          <w:rFonts w:cs="Times New Roman"/>
          <w:sz w:val="22"/>
          <w:szCs w:val="22"/>
        </w:rPr>
        <w:t>the right side of Equation (</w:t>
      </w:r>
      <w:r w:rsidR="000C1BE4" w:rsidRPr="00E97BC8">
        <w:rPr>
          <w:rFonts w:cs="Times New Roman"/>
          <w:sz w:val="22"/>
          <w:szCs w:val="22"/>
        </w:rPr>
        <w:t>2</w:t>
      </w:r>
      <w:r w:rsidRPr="00E97BC8">
        <w:rPr>
          <w:rFonts w:cs="Times New Roman"/>
          <w:sz w:val="22"/>
          <w:szCs w:val="22"/>
        </w:rPr>
        <w:t>) to obtain the following system:</w:t>
      </w:r>
    </w:p>
    <w:p w14:paraId="7A5766FD" w14:textId="6F1B7841" w:rsidR="0027037F" w:rsidRPr="00E97BC8" w:rsidRDefault="00C55A95" w:rsidP="00E85093">
      <w:pPr>
        <w:pStyle w:val="MTDisplayEquation"/>
        <w:rPr>
          <w:rFonts w:cs="Times New Roman"/>
          <w:sz w:val="22"/>
          <w:szCs w:val="22"/>
        </w:rPr>
      </w:pPr>
      <w:r w:rsidRPr="00E97BC8">
        <w:rPr>
          <w:rFonts w:cs="Times New Roman"/>
          <w:position w:val="-32"/>
          <w:sz w:val="22"/>
          <w:szCs w:val="22"/>
        </w:rPr>
        <w:object w:dxaOrig="5500" w:dyaOrig="760" w14:anchorId="556B0EE8">
          <v:shape id="_x0000_i1145" type="#_x0000_t75" style="width:274.3pt;height:38.15pt" o:ole="" o:preferrelative="f">
            <v:imagedata r:id="rId237" o:title=""/>
            <o:lock v:ext="edit" aspectratio="f"/>
          </v:shape>
          <o:OLEObject Type="Embed" ProgID="Equation.DSMT4" ShapeID="_x0000_i1145" DrawAspect="Content" ObjectID="_1811172333" r:id="rId238"/>
        </w:object>
      </w:r>
      <w:r w:rsidR="0027037F" w:rsidRPr="00E97BC8">
        <w:rPr>
          <w:rFonts w:cs="Times New Roman"/>
          <w:sz w:val="22"/>
          <w:szCs w:val="22"/>
        </w:rPr>
        <w:tab/>
      </w:r>
      <w:r w:rsidR="0027037F" w:rsidRPr="00E97BC8">
        <w:rPr>
          <w:rFonts w:cs="Times New Roman"/>
          <w:sz w:val="22"/>
          <w:szCs w:val="22"/>
        </w:rPr>
        <w:fldChar w:fldCharType="begin"/>
      </w:r>
      <w:r w:rsidR="0027037F" w:rsidRPr="00E97BC8">
        <w:rPr>
          <w:rFonts w:cs="Times New Roman"/>
          <w:sz w:val="22"/>
          <w:szCs w:val="22"/>
        </w:rPr>
        <w:instrText xml:space="preserve"> MACROBUTTON MTPlaceRef \* MERGEFORMAT </w:instrText>
      </w:r>
      <w:r w:rsidR="0027037F" w:rsidRPr="00E97BC8">
        <w:rPr>
          <w:rFonts w:cs="Times New Roman"/>
          <w:sz w:val="22"/>
          <w:szCs w:val="22"/>
        </w:rPr>
        <w:fldChar w:fldCharType="begin"/>
      </w:r>
      <w:r w:rsidR="0027037F" w:rsidRPr="00E97BC8">
        <w:rPr>
          <w:rFonts w:cs="Times New Roman"/>
          <w:sz w:val="22"/>
          <w:szCs w:val="22"/>
        </w:rPr>
        <w:instrText xml:space="preserve"> SEQ MTEqn \h \* MERGEFORMAT </w:instrText>
      </w:r>
      <w:r w:rsidR="0027037F" w:rsidRPr="00E97BC8">
        <w:rPr>
          <w:rFonts w:cs="Times New Roman"/>
          <w:sz w:val="22"/>
          <w:szCs w:val="22"/>
        </w:rPr>
        <w:fldChar w:fldCharType="end"/>
      </w:r>
      <w:r w:rsidR="0027037F" w:rsidRPr="00E97BC8">
        <w:rPr>
          <w:rFonts w:cs="Times New Roman"/>
          <w:sz w:val="22"/>
          <w:szCs w:val="22"/>
        </w:rPr>
        <w:instrText>(</w:instrText>
      </w:r>
      <w:r w:rsidR="0027037F" w:rsidRPr="00E97BC8">
        <w:rPr>
          <w:rFonts w:cs="Times New Roman"/>
          <w:sz w:val="22"/>
          <w:szCs w:val="22"/>
        </w:rPr>
        <w:fldChar w:fldCharType="begin"/>
      </w:r>
      <w:r w:rsidR="0027037F" w:rsidRPr="00E97BC8">
        <w:rPr>
          <w:rFonts w:cs="Times New Roman"/>
          <w:sz w:val="22"/>
          <w:szCs w:val="22"/>
        </w:rPr>
        <w:instrText xml:space="preserve"> SEQ MTEqn \c \* Arabic \* MERGEFORMAT </w:instrText>
      </w:r>
      <w:r w:rsidR="0027037F" w:rsidRPr="00E97BC8">
        <w:rPr>
          <w:rFonts w:cs="Times New Roman"/>
          <w:sz w:val="22"/>
          <w:szCs w:val="22"/>
        </w:rPr>
        <w:fldChar w:fldCharType="separate"/>
      </w:r>
      <w:r w:rsidR="00EF198F" w:rsidRPr="00E97BC8">
        <w:rPr>
          <w:rFonts w:cs="Times New Roman"/>
          <w:sz w:val="22"/>
          <w:szCs w:val="22"/>
        </w:rPr>
        <w:instrText>7</w:instrText>
      </w:r>
      <w:r w:rsidR="0027037F" w:rsidRPr="00E97BC8">
        <w:rPr>
          <w:rFonts w:cs="Times New Roman"/>
          <w:sz w:val="22"/>
          <w:szCs w:val="22"/>
        </w:rPr>
        <w:fldChar w:fldCharType="end"/>
      </w:r>
      <w:r w:rsidR="0027037F" w:rsidRPr="00E97BC8">
        <w:rPr>
          <w:rFonts w:cs="Times New Roman"/>
          <w:sz w:val="22"/>
          <w:szCs w:val="22"/>
        </w:rPr>
        <w:instrText>)</w:instrText>
      </w:r>
      <w:r w:rsidR="0027037F" w:rsidRPr="00E97BC8">
        <w:rPr>
          <w:rFonts w:cs="Times New Roman"/>
          <w:sz w:val="22"/>
          <w:szCs w:val="22"/>
        </w:rPr>
        <w:fldChar w:fldCharType="end"/>
      </w:r>
    </w:p>
    <w:p w14:paraId="74EC4154" w14:textId="43142885" w:rsidR="004C0F99" w:rsidRPr="00E97BC8" w:rsidRDefault="004C0F99" w:rsidP="00E85093">
      <w:pPr>
        <w:spacing w:after="0" w:line="240" w:lineRule="auto"/>
        <w:jc w:val="both"/>
        <w:rPr>
          <w:rFonts w:cs="Times New Roman"/>
          <w:sz w:val="22"/>
          <w:szCs w:val="22"/>
        </w:rPr>
      </w:pPr>
      <w:r w:rsidRPr="00E97BC8">
        <w:rPr>
          <w:rFonts w:cs="Times New Roman"/>
          <w:sz w:val="22"/>
          <w:szCs w:val="22"/>
        </w:rPr>
        <w:t xml:space="preserve">Now, consider the </w:t>
      </w:r>
      <w:r w:rsidR="00DB3930" w:rsidRPr="00E97BC8">
        <w:rPr>
          <w:rFonts w:cs="Times New Roman"/>
          <w:position w:val="-10"/>
          <w:sz w:val="22"/>
          <w:szCs w:val="22"/>
        </w:rPr>
        <w:object w:dxaOrig="1200" w:dyaOrig="320" w14:anchorId="1FB9E43B">
          <v:shape id="_x0000_i1146" type="#_x0000_t75" style="width:60.85pt;height:16.3pt" o:ole="" o:preferrelative="f">
            <v:imagedata r:id="rId239" o:title=""/>
            <o:lock v:ext="edit" aspectratio="f"/>
          </v:shape>
          <o:OLEObject Type="Embed" ProgID="Equation.DSMT4" ShapeID="_x0000_i1146" DrawAspect="Content" ObjectID="_1811172334" r:id="rId240"/>
        </w:object>
      </w:r>
      <w:r w:rsidRPr="00E97BC8">
        <w:rPr>
          <w:rFonts w:cs="Times New Roman"/>
          <w:sz w:val="22"/>
          <w:szCs w:val="22"/>
        </w:rPr>
        <w:t xml:space="preserve"> vector</w:t>
      </w:r>
      <w:r w:rsidR="00E00241" w:rsidRPr="00E97BC8">
        <w:rPr>
          <w:rFonts w:cs="Times New Roman"/>
          <w:sz w:val="22"/>
          <w:szCs w:val="22"/>
        </w:rPr>
        <w:t xml:space="preserve"> of ordinal and ranked outcomes (including the indicators for </w:t>
      </w:r>
      <w:r w:rsidR="00CA5227" w:rsidRPr="00E97BC8">
        <w:rPr>
          <w:rFonts w:cs="Times New Roman"/>
          <w:sz w:val="22"/>
          <w:szCs w:val="22"/>
        </w:rPr>
        <w:t>the</w:t>
      </w:r>
      <w:r w:rsidR="00E00241" w:rsidRPr="00E97BC8">
        <w:rPr>
          <w:rFonts w:cs="Times New Roman"/>
          <w:sz w:val="22"/>
          <w:szCs w:val="22"/>
        </w:rPr>
        <w:t xml:space="preserve"> latent constructs)</w:t>
      </w:r>
      <w:r w:rsidRPr="00E97BC8">
        <w:rPr>
          <w:rFonts w:cs="Times New Roman"/>
          <w:sz w:val="22"/>
          <w:szCs w:val="22"/>
        </w:rPr>
        <w:t xml:space="preserve"> </w:t>
      </w:r>
      <w:r w:rsidR="00C55A95" w:rsidRPr="00E97BC8">
        <w:rPr>
          <w:rFonts w:cs="Times New Roman"/>
          <w:position w:val="-32"/>
          <w:sz w:val="22"/>
          <w:szCs w:val="22"/>
        </w:rPr>
        <w:object w:dxaOrig="1120" w:dyaOrig="760" w14:anchorId="361AD337">
          <v:shape id="_x0000_i1147" type="#_x0000_t75" style="width:55.3pt;height:38.15pt" o:ole="">
            <v:imagedata r:id="rId241" o:title=""/>
          </v:shape>
          <o:OLEObject Type="Embed" ProgID="Equation.DSMT4" ShapeID="_x0000_i1147" DrawAspect="Content" ObjectID="_1811172335" r:id="rId242"/>
        </w:object>
      </w:r>
      <w:r w:rsidRPr="00E97BC8">
        <w:rPr>
          <w:rFonts w:cs="Times New Roman"/>
          <w:sz w:val="22"/>
          <w:szCs w:val="22"/>
        </w:rPr>
        <w:t>. Define</w:t>
      </w:r>
    </w:p>
    <w:p w14:paraId="2693246F" w14:textId="27D70528" w:rsidR="004C0F99" w:rsidRPr="00E97BC8" w:rsidRDefault="00DB3930" w:rsidP="00E85093">
      <w:pPr>
        <w:tabs>
          <w:tab w:val="right" w:pos="9360"/>
        </w:tabs>
        <w:spacing w:after="0" w:line="240" w:lineRule="auto"/>
        <w:rPr>
          <w:rFonts w:cs="Times New Roman"/>
          <w:sz w:val="22"/>
          <w:szCs w:val="22"/>
        </w:rPr>
      </w:pPr>
      <w:r w:rsidRPr="00E97BC8">
        <w:rPr>
          <w:rFonts w:cs="Times New Roman"/>
          <w:position w:val="-32"/>
          <w:sz w:val="22"/>
          <w:szCs w:val="22"/>
        </w:rPr>
        <w:object w:dxaOrig="1680" w:dyaOrig="760" w14:anchorId="223B97C8">
          <v:shape id="_x0000_i1148" type="#_x0000_t75" style="width:83.15pt;height:38.15pt" o:ole="" o:preferrelative="f">
            <v:imagedata r:id="rId243" o:title=""/>
            <o:lock v:ext="edit" aspectratio="f"/>
          </v:shape>
          <o:OLEObject Type="Embed" ProgID="Equation.DSMT4" ShapeID="_x0000_i1148" DrawAspect="Content" ObjectID="_1811172336" r:id="rId244"/>
        </w:object>
      </w:r>
      <w:r w:rsidR="004C0F99" w:rsidRPr="00E97BC8">
        <w:rPr>
          <w:rFonts w:cs="Times New Roman"/>
          <w:sz w:val="22"/>
          <w:szCs w:val="22"/>
        </w:rPr>
        <w:t xml:space="preserve"> and </w:t>
      </w:r>
      <w:r w:rsidR="00C55A95" w:rsidRPr="00E97BC8">
        <w:rPr>
          <w:rFonts w:cs="Times New Roman"/>
          <w:position w:val="-32"/>
          <w:sz w:val="22"/>
          <w:szCs w:val="22"/>
        </w:rPr>
        <w:object w:dxaOrig="6660" w:dyaOrig="760" w14:anchorId="1FF3ED3B">
          <v:shape id="_x0000_i1149" type="#_x0000_t75" style="width:333pt;height:38.15pt" o:ole="" o:preferrelative="f">
            <v:imagedata r:id="rId245" o:title=""/>
            <o:lock v:ext="edit" aspectratio="f"/>
          </v:shape>
          <o:OLEObject Type="Embed" ProgID="Equation.DSMT4" ShapeID="_x0000_i1149" DrawAspect="Content" ObjectID="_1811172337" r:id="rId246"/>
        </w:object>
      </w:r>
      <w:r w:rsidR="001D3CEA" w:rsidRPr="00E97BC8">
        <w:rPr>
          <w:rFonts w:cs="Times New Roman"/>
          <w:sz w:val="22"/>
          <w:szCs w:val="22"/>
        </w:rPr>
        <w:t>.</w:t>
      </w:r>
    </w:p>
    <w:p w14:paraId="75E985F8" w14:textId="409D2219" w:rsidR="004C0F99" w:rsidRPr="00E97BC8" w:rsidRDefault="004C0F99" w:rsidP="00E85093">
      <w:pPr>
        <w:spacing w:after="0" w:line="240" w:lineRule="auto"/>
        <w:jc w:val="both"/>
        <w:rPr>
          <w:rFonts w:cs="Times New Roman"/>
          <w:sz w:val="22"/>
          <w:szCs w:val="22"/>
        </w:rPr>
      </w:pPr>
      <w:r w:rsidRPr="00E97BC8">
        <w:rPr>
          <w:rFonts w:cs="Times New Roman"/>
          <w:sz w:val="22"/>
          <w:szCs w:val="22"/>
        </w:rPr>
        <w:t>Then</w:t>
      </w:r>
      <w:r w:rsidR="00E00241" w:rsidRPr="00E97BC8">
        <w:rPr>
          <w:rFonts w:cs="Times New Roman"/>
          <w:sz w:val="22"/>
          <w:szCs w:val="22"/>
        </w:rPr>
        <w:t xml:space="preserve"> the multivariate joint distribution of the main outcomes and indicators of the latent constructs is</w:t>
      </w:r>
      <w:r w:rsidRPr="00E97BC8">
        <w:rPr>
          <w:rFonts w:cs="Times New Roman"/>
          <w:sz w:val="22"/>
          <w:szCs w:val="22"/>
        </w:rPr>
        <w:t xml:space="preserve"> </w:t>
      </w:r>
      <w:r w:rsidR="00C55A95" w:rsidRPr="00E97BC8">
        <w:rPr>
          <w:rFonts w:cs="Times New Roman"/>
          <w:position w:val="-14"/>
          <w:sz w:val="22"/>
          <w:szCs w:val="22"/>
        </w:rPr>
        <w:object w:dxaOrig="2180" w:dyaOrig="380" w14:anchorId="2EFB1603">
          <v:shape id="_x0000_i1150" type="#_x0000_t75" style="width:108.85pt;height:18.85pt" o:ole="" o:preferrelative="f">
            <v:imagedata r:id="rId247" o:title=""/>
            <o:lock v:ext="edit" aspectratio="f"/>
          </v:shape>
          <o:OLEObject Type="Embed" ProgID="Equation.DSMT4" ShapeID="_x0000_i1150" DrawAspect="Content" ObjectID="_1811172338" r:id="rId248"/>
        </w:object>
      </w:r>
      <w:r w:rsidR="00773ACC" w:rsidRPr="00E97BC8">
        <w:rPr>
          <w:rFonts w:cs="Times New Roman"/>
          <w:sz w:val="22"/>
          <w:szCs w:val="22"/>
        </w:rPr>
        <w:t>.</w:t>
      </w:r>
      <w:r w:rsidRPr="00E97BC8">
        <w:rPr>
          <w:rFonts w:cs="Times New Roman"/>
          <w:sz w:val="22"/>
          <w:szCs w:val="22"/>
        </w:rPr>
        <w:t xml:space="preserve"> </w:t>
      </w:r>
    </w:p>
    <w:p w14:paraId="4A55FF60" w14:textId="28868487" w:rsidR="00627889" w:rsidRPr="00E97BC8" w:rsidRDefault="00EA6991" w:rsidP="00E85093">
      <w:pPr>
        <w:spacing w:after="0" w:line="240" w:lineRule="auto"/>
        <w:ind w:firstLine="720"/>
        <w:jc w:val="both"/>
        <w:rPr>
          <w:rFonts w:cs="Times New Roman"/>
          <w:sz w:val="22"/>
          <w:szCs w:val="22"/>
        </w:rPr>
      </w:pPr>
      <w:bookmarkStart w:id="32" w:name="_Hlk199948336"/>
      <w:r w:rsidRPr="00E97BC8">
        <w:rPr>
          <w:rFonts w:cs="Times New Roman"/>
          <w:sz w:val="22"/>
          <w:szCs w:val="22"/>
        </w:rPr>
        <w:t>Sufficient conditions for identification are the same as those listed in Section 3.3 of Bhat and Mondal</w:t>
      </w:r>
      <w:r w:rsidR="006C2A31" w:rsidRPr="00E97BC8">
        <w:rPr>
          <w:rFonts w:cs="Times New Roman"/>
          <w:sz w:val="22"/>
          <w:szCs w:val="22"/>
        </w:rPr>
        <w:t xml:space="preserve"> </w:t>
      </w:r>
      <w:bookmarkStart w:id="33" w:name="_Hlk200113102"/>
      <w:r w:rsidR="006C2A31" w:rsidRPr="00E97BC8">
        <w:rPr>
          <w:rFonts w:cs="Times New Roman"/>
          <w:sz w:val="22"/>
          <w:szCs w:val="22"/>
        </w:rPr>
        <w:fldChar w:fldCharType="begin"/>
      </w:r>
      <w:r w:rsidR="006C2A31" w:rsidRPr="00E97BC8">
        <w:rPr>
          <w:rFonts w:cs="Times New Roman"/>
          <w:sz w:val="22"/>
          <w:szCs w:val="22"/>
        </w:rPr>
        <w:instrText xml:space="preserve"> ADDIN ZOTERO_ITEM CSL_CITATION {"citationID":"FZMgsw7u","properties":{"formattedCitation":"(2022)","plainCitation":"(2022)","noteIndex":0},"citationItems":[{"id":4051,"uris":["http://zotero.org/users/12832277/items/RBMKTPVN","http://zotero.org/users/12832277/items/DS2ZYJFT"],"itemData":{"id":4051,"type":"article-journal","abstract":"There is growing interest in multivariate dependent outcome models that include a mixture of different kinds of discrete and continuous variables. This may be attributed to at least two reasons. The first is the ability to generate multivariate distributions through the use of relatively flexible copula-based methods and/or effective factorization techniques for the covariance matrices. The second is the development of computationally efficient ways to estimate models based on variational methods for Bayesian inference or maximum approximate composite marginal likelihood methods for frequentist inference. However, there are two important assumptions in earlier mixed data models: (i) marginal normality of unobserved factors that generate jointness among the main outcome variables of interest, and (ii) independence between the unobserved factors and the propensity equations underlying the main outcomes of interest. In the current paper, we simultaneously relax both these assumptions and develop a flexible Generalized Heterogeneous Data Model (GHDM) for mixed data modeling. We then propose a hybrid MSL-MACML inference approach for estimation. We demonstrate an application of our proposed model in the context of individuals’ high-density residential neighborhood living choice and monthly bicycling frequency. The empirical results highlight the benefits of our proposed methodology, both from a policy standpoint as well as a predictive data fit standpoint.","container-title":"Transportation Research Part B: Methodological","DOI":"10.1016/j.trb.2022.09.004","ISSN":"0191-2615","page":"244-266","source":"ScienceDirect","title":"A New Flexible Generalized Heterogeneous Data Model (GHDM) with an Application to Examine the Effect of High Density Neighborhood Living on Bicycling Frequency","volume":"164","author":[{"family":"Bhat","given":"Chandra R."},{"family":"Mondal","given":"Aupal"}],"issued":{"date-parts":[["2022",10,1]]}},"label":"page","suppress-author":true}],"schema":"https://github.com/citation-style-language/schema/raw/master/csl-citation.json"} </w:instrText>
      </w:r>
      <w:r w:rsidR="006C2A31" w:rsidRPr="00E97BC8">
        <w:rPr>
          <w:rFonts w:cs="Times New Roman"/>
          <w:sz w:val="22"/>
          <w:szCs w:val="22"/>
        </w:rPr>
        <w:fldChar w:fldCharType="separate"/>
      </w:r>
      <w:r w:rsidR="006C2A31" w:rsidRPr="00E97BC8">
        <w:rPr>
          <w:rFonts w:cs="Times New Roman"/>
          <w:sz w:val="22"/>
          <w:szCs w:val="22"/>
        </w:rPr>
        <w:t>(2022)</w:t>
      </w:r>
      <w:r w:rsidR="006C2A31" w:rsidRPr="00E97BC8">
        <w:rPr>
          <w:rFonts w:cs="Times New Roman"/>
          <w:sz w:val="22"/>
          <w:szCs w:val="22"/>
        </w:rPr>
        <w:fldChar w:fldCharType="end"/>
      </w:r>
      <w:bookmarkEnd w:id="33"/>
      <w:r w:rsidRPr="00E97BC8">
        <w:rPr>
          <w:rFonts w:cs="Times New Roman"/>
          <w:sz w:val="22"/>
          <w:szCs w:val="22"/>
        </w:rPr>
        <w:t>. These are many and we refer t</w:t>
      </w:r>
      <w:r w:rsidR="00FB325E" w:rsidRPr="00E97BC8">
        <w:rPr>
          <w:rFonts w:cs="Times New Roman"/>
          <w:sz w:val="22"/>
          <w:szCs w:val="22"/>
        </w:rPr>
        <w:t>he</w:t>
      </w:r>
      <w:r w:rsidRPr="00E97BC8">
        <w:rPr>
          <w:rFonts w:cs="Times New Roman"/>
          <w:sz w:val="22"/>
          <w:szCs w:val="22"/>
        </w:rPr>
        <w:t xml:space="preserve"> reader to Bhat and Mondal. Basically, the way we are able to identify the correlations between the latent construct themselves and the main </w:t>
      </w:r>
      <w:r w:rsidR="00051E1E" w:rsidRPr="00E97BC8">
        <w:rPr>
          <w:rFonts w:cs="Times New Roman"/>
          <w:sz w:val="22"/>
          <w:szCs w:val="22"/>
        </w:rPr>
        <w:t xml:space="preserve">endogenous </w:t>
      </w:r>
      <w:r w:rsidRPr="00E97BC8">
        <w:rPr>
          <w:rFonts w:cs="Times New Roman"/>
          <w:sz w:val="22"/>
          <w:szCs w:val="22"/>
        </w:rPr>
        <w:t xml:space="preserve">outcomes (EV adoption and EV motivating factors) is by requiring that </w:t>
      </w:r>
      <w:r w:rsidR="00051E1E" w:rsidRPr="00E97BC8">
        <w:rPr>
          <w:rFonts w:cs="Times New Roman"/>
          <w:sz w:val="22"/>
          <w:szCs w:val="22"/>
        </w:rPr>
        <w:t>the latent constructs are identified solely</w:t>
      </w:r>
      <w:r w:rsidR="001B62FC" w:rsidRPr="00E97BC8">
        <w:rPr>
          <w:rFonts w:cs="Times New Roman"/>
          <w:sz w:val="22"/>
          <w:szCs w:val="22"/>
        </w:rPr>
        <w:t xml:space="preserve"> and entirely</w:t>
      </w:r>
      <w:r w:rsidR="00051E1E" w:rsidRPr="00E97BC8">
        <w:rPr>
          <w:rFonts w:cs="Times New Roman"/>
          <w:sz w:val="22"/>
          <w:szCs w:val="22"/>
        </w:rPr>
        <w:t xml:space="preserve"> based on the indicators without depending on the endogenous outcomes themselves as indicators. For this, given we have more than one latent construct in our model system, a sufficient condition is that, for each latent construct, there are at least two indicator variables (not considering the endogenous outcomes) that load only on that latent construct and no other latent construct (that is, there are at least two factor complexity one indicator variables for each latent construct; see</w:t>
      </w:r>
      <w:bookmarkStart w:id="34" w:name="_Hlk200113504"/>
      <w:r w:rsidR="00051E1E" w:rsidRPr="00E97BC8">
        <w:rPr>
          <w:rFonts w:cs="Times New Roman"/>
          <w:sz w:val="22"/>
          <w:szCs w:val="22"/>
        </w:rPr>
        <w:t xml:space="preserve"> </w:t>
      </w:r>
      <w:r w:rsidR="006C2A31" w:rsidRPr="00E97BC8">
        <w:rPr>
          <w:rFonts w:cs="Times New Roman"/>
          <w:sz w:val="22"/>
          <w:szCs w:val="22"/>
        </w:rPr>
        <w:fldChar w:fldCharType="begin"/>
      </w:r>
      <w:r w:rsidR="005A775A" w:rsidRPr="00E97BC8">
        <w:rPr>
          <w:rFonts w:cs="Times New Roman"/>
          <w:sz w:val="22"/>
          <w:szCs w:val="22"/>
        </w:rPr>
        <w:instrText xml:space="preserve"> ADDIN ZOTERO_ITEM CSL_CITATION {"citationID":"cjSY0Mt7","properties":{"formattedCitation":"(Reilly and O\\uc0\\u8217{}Brien, 1996)","plainCitation":"(Reilly and O’Brien, 1996)","dontUpdate":true,"noteIndex":0},"citationItems":[{"id":4603,"uris":["http://zotero.org/users/12832277/items/B2YGWJIP"],"itemData":{"id":4603,"type":"article-journal","abstract":"All statistical models must be identified if the estimates are to be meaningful. Determining the identification status of the measurement portion of a structural equation model can be difficult because the resulting system of covariance equations is nonlinear. The recent literature on identification rules for the measurement portion of a structural equation model has concentrated on models of factor complexity 1, that is, models in which each observed variable loads on one and only one factor. Building on the existing literature, the authors consider models of arbitrary complexity. A method is presented, called model decomposition, which permits factor complexity 1 identification rules to be applied to models of arbitrary factor complexity. In addition, a rule is presented, called the side-by-side rule, which determines the identification status of almost all models of higher complexity that appear in the literature (an exception being the multitrait-multimethod model). Examples from the literature are given.","container-title":"Sociological Methods &amp; Research","DOI":"10.1177/0049124196024004003","ISSN":"0049-1241","issue":"4","language":"EN","note":"publisher: SAGE Publications Inc","page":"473-491","source":"SAGE Journals","title":"Identification of Confirmatory Factor Analysis Models of Arbitrary Complexity: The Side-by-Side Rule","volume":"24","author":[{"family":"Reilly","given":"Terence"},{"family":"O'Brien","given":"Robert M."}],"issued":{"date-parts":[["1996",5,1]]}}}],"schema":"https://github.com/citation-style-language/schema/raw/master/csl-citation.json"} </w:instrText>
      </w:r>
      <w:r w:rsidR="006C2A31" w:rsidRPr="00E97BC8">
        <w:rPr>
          <w:rFonts w:cs="Times New Roman"/>
          <w:sz w:val="22"/>
          <w:szCs w:val="22"/>
        </w:rPr>
        <w:fldChar w:fldCharType="separate"/>
      </w:r>
      <w:r w:rsidR="006C2A31" w:rsidRPr="00E97BC8">
        <w:rPr>
          <w:rFonts w:cs="Times New Roman"/>
          <w:kern w:val="0"/>
          <w:sz w:val="22"/>
          <w:szCs w:val="22"/>
        </w:rPr>
        <w:t>Reilly and O’Brien, 1996</w:t>
      </w:r>
      <w:r w:rsidR="006C2A31" w:rsidRPr="00E97BC8">
        <w:rPr>
          <w:rFonts w:cs="Times New Roman"/>
          <w:sz w:val="22"/>
          <w:szCs w:val="22"/>
        </w:rPr>
        <w:fldChar w:fldCharType="end"/>
      </w:r>
      <w:bookmarkEnd w:id="34"/>
      <w:r w:rsidR="001B62FC" w:rsidRPr="00E97BC8">
        <w:rPr>
          <w:rFonts w:cs="Times New Roman"/>
          <w:sz w:val="22"/>
          <w:szCs w:val="22"/>
        </w:rPr>
        <w:t>; note also that, as indicated earlier, for the indicator variables, there are no exogenous variables on the right side of Equation (3)</w:t>
      </w:r>
      <w:r w:rsidR="00AD4DD9" w:rsidRPr="00E97BC8">
        <w:rPr>
          <w:rFonts w:cs="Times New Roman"/>
          <w:sz w:val="22"/>
          <w:szCs w:val="22"/>
        </w:rPr>
        <w:t>)</w:t>
      </w:r>
      <w:r w:rsidR="00051E1E" w:rsidRPr="00E97BC8">
        <w:rPr>
          <w:rFonts w:cs="Times New Roman"/>
          <w:sz w:val="22"/>
          <w:szCs w:val="22"/>
        </w:rPr>
        <w:fldChar w:fldCharType="begin"/>
      </w:r>
      <w:r w:rsidR="00051E1E" w:rsidRPr="00E97BC8">
        <w:rPr>
          <w:rFonts w:cs="Times New Roman"/>
          <w:sz w:val="22"/>
          <w:szCs w:val="22"/>
        </w:rPr>
        <w:instrText xml:space="preserve"> ADDIN EN.CITE &lt;EndNote&gt;&lt;Cite Hidden="1"&gt;&lt;Author&gt;REILLY&lt;/Author&gt;&lt;Year&gt;1996&lt;/Year&gt;&lt;RecNum&gt;65&lt;/RecNum&gt;&lt;Prefix&gt;see also &lt;/Prefix&gt;&lt;Suffix&gt;`, 1996&lt;/Suffix&gt;&lt;record&gt;&lt;rec-number&gt;65&lt;/rec-number&gt;&lt;foreign-keys&gt;&lt;key app="EN" db-id="pvx5r9p0tafrfne2pxqxp2x4zvae5vdepf09"&gt;65&lt;/key&gt;&lt;/foreign-keys&gt;&lt;ref-type name="Journal Article"&gt;17&lt;/ref-type&gt;&lt;contributors&gt;&lt;authors&gt;&lt;author&gt;Reilly, Terence&lt;/author&gt;&lt;author&gt;O&amp;apos;brien, Robert M&lt;/author&gt;&lt;/authors&gt;&lt;/contributors&gt;&lt;titles&gt;&lt;title&gt;Identification of Confirmatory Factor Analysis Models of Arbitrary Complexity The Side-by-Side Rule&lt;/title&gt;&lt;secondary-title&gt;Sociological methods &amp;amp; research&lt;/secondary-title&gt;&lt;/titles&gt;&lt;periodical&gt;&lt;full-title&gt;Sociological methods &amp;amp; research&lt;/full-title&gt;&lt;/periodical&gt;&lt;pages&gt;473-491&lt;/pages&gt;&lt;volume&gt;24&lt;/volume&gt;&lt;number&gt;4&lt;/number&gt;&lt;dates&gt;&lt;year&gt;1996&lt;/year&gt;&lt;/dates&gt;&lt;isbn&gt;0049-1241&lt;/isbn&gt;&lt;urls&gt;&lt;/urls&gt;&lt;/record&gt;&lt;/Cite&gt;&lt;/EndNote&gt;</w:instrText>
      </w:r>
      <w:r w:rsidR="00051E1E" w:rsidRPr="00E97BC8">
        <w:rPr>
          <w:rFonts w:cs="Times New Roman"/>
          <w:sz w:val="22"/>
          <w:szCs w:val="22"/>
        </w:rPr>
        <w:fldChar w:fldCharType="end"/>
      </w:r>
      <w:r w:rsidR="00051E1E" w:rsidRPr="00E97BC8">
        <w:rPr>
          <w:rFonts w:cs="Times New Roman"/>
          <w:sz w:val="22"/>
          <w:szCs w:val="22"/>
        </w:rPr>
        <w:t>.</w:t>
      </w:r>
      <w:r w:rsidR="001B62FC" w:rsidRPr="00E97BC8">
        <w:rPr>
          <w:rFonts w:cs="Times New Roman"/>
          <w:sz w:val="22"/>
          <w:szCs w:val="22"/>
        </w:rPr>
        <w:t xml:space="preserve"> </w:t>
      </w:r>
      <w:r w:rsidR="009378A3" w:rsidRPr="00E97BC8">
        <w:rPr>
          <w:rFonts w:cs="Times New Roman"/>
          <w:sz w:val="22"/>
          <w:szCs w:val="22"/>
        </w:rPr>
        <w:t>In our case, we have three indicator variables load</w:t>
      </w:r>
      <w:r w:rsidR="00FB325E" w:rsidRPr="00E97BC8">
        <w:rPr>
          <w:rFonts w:cs="Times New Roman"/>
          <w:sz w:val="22"/>
          <w:szCs w:val="22"/>
        </w:rPr>
        <w:t>ing</w:t>
      </w:r>
      <w:r w:rsidR="009378A3" w:rsidRPr="00E97BC8">
        <w:rPr>
          <w:rFonts w:cs="Times New Roman"/>
          <w:sz w:val="22"/>
          <w:szCs w:val="22"/>
        </w:rPr>
        <w:t xml:space="preserve"> solely on </w:t>
      </w:r>
      <w:r w:rsidR="00FB325E" w:rsidRPr="00E97BC8">
        <w:rPr>
          <w:rFonts w:cs="Times New Roman"/>
          <w:sz w:val="22"/>
          <w:szCs w:val="22"/>
        </w:rPr>
        <w:t xml:space="preserve">each latent construct, providing for additional stability. </w:t>
      </w:r>
      <w:r w:rsidR="001B62FC" w:rsidRPr="00E97BC8">
        <w:rPr>
          <w:rFonts w:cs="Times New Roman"/>
          <w:sz w:val="22"/>
          <w:szCs w:val="22"/>
        </w:rPr>
        <w:t>Further, there should not be any correlation between the error terms underlying the two indicator variables and the error term of the latent construct on which they load. Much improved stability is obtained by having all correlations between the indicator variable</w:t>
      </w:r>
      <w:r w:rsidR="009378A3" w:rsidRPr="00E97BC8">
        <w:rPr>
          <w:rFonts w:cs="Times New Roman"/>
          <w:sz w:val="22"/>
          <w:szCs w:val="22"/>
        </w:rPr>
        <w:t>s</w:t>
      </w:r>
      <w:r w:rsidR="001B62FC" w:rsidRPr="00E97BC8">
        <w:rPr>
          <w:rFonts w:cs="Times New Roman"/>
          <w:sz w:val="22"/>
          <w:szCs w:val="22"/>
        </w:rPr>
        <w:t xml:space="preserve"> and the latent co</w:t>
      </w:r>
      <w:r w:rsidR="009378A3" w:rsidRPr="00E97BC8">
        <w:rPr>
          <w:rFonts w:cs="Times New Roman"/>
          <w:sz w:val="22"/>
          <w:szCs w:val="22"/>
        </w:rPr>
        <w:t>n</w:t>
      </w:r>
      <w:r w:rsidR="001B62FC" w:rsidRPr="00E97BC8">
        <w:rPr>
          <w:rFonts w:cs="Times New Roman"/>
          <w:sz w:val="22"/>
          <w:szCs w:val="22"/>
        </w:rPr>
        <w:t xml:space="preserve">structs restrained to zero </w:t>
      </w:r>
      <w:r w:rsidR="009378A3" w:rsidRPr="00E97BC8">
        <w:rPr>
          <w:rFonts w:cs="Times New Roman"/>
          <w:sz w:val="22"/>
          <w:szCs w:val="22"/>
        </w:rPr>
        <w:t xml:space="preserve">(as we maintain in our analysis) </w:t>
      </w:r>
      <w:r w:rsidR="001B62FC" w:rsidRPr="00E97BC8">
        <w:rPr>
          <w:rFonts w:cs="Times New Roman"/>
          <w:sz w:val="22"/>
          <w:szCs w:val="22"/>
        </w:rPr>
        <w:t xml:space="preserve">as well as having variables that affect </w:t>
      </w:r>
      <w:r w:rsidR="009378A3" w:rsidRPr="00E97BC8">
        <w:rPr>
          <w:rFonts w:cs="Times New Roman"/>
          <w:sz w:val="22"/>
          <w:szCs w:val="22"/>
        </w:rPr>
        <w:t xml:space="preserve">each </w:t>
      </w:r>
      <w:r w:rsidR="001B62FC" w:rsidRPr="00E97BC8">
        <w:rPr>
          <w:rFonts w:cs="Times New Roman"/>
          <w:sz w:val="22"/>
          <w:szCs w:val="22"/>
        </w:rPr>
        <w:t xml:space="preserve">latent construct but not the </w:t>
      </w:r>
      <w:r w:rsidR="009378A3" w:rsidRPr="00E97BC8">
        <w:rPr>
          <w:rFonts w:cs="Times New Roman"/>
          <w:sz w:val="22"/>
          <w:szCs w:val="22"/>
        </w:rPr>
        <w:t>endogenous outcomes that the latent construct</w:t>
      </w:r>
      <w:r w:rsidR="00FB325E" w:rsidRPr="00E97BC8">
        <w:rPr>
          <w:rFonts w:cs="Times New Roman"/>
          <w:sz w:val="22"/>
          <w:szCs w:val="22"/>
        </w:rPr>
        <w:t xml:space="preserve"> impacts</w:t>
      </w:r>
      <w:r w:rsidR="009378A3" w:rsidRPr="00E97BC8">
        <w:rPr>
          <w:rFonts w:cs="Times New Roman"/>
          <w:sz w:val="22"/>
          <w:szCs w:val="22"/>
        </w:rPr>
        <w:t xml:space="preserve">. </w:t>
      </w:r>
    </w:p>
    <w:bookmarkEnd w:id="32"/>
    <w:p w14:paraId="38827795" w14:textId="77777777" w:rsidR="009378A3" w:rsidRPr="00E97BC8" w:rsidRDefault="009378A3" w:rsidP="00E85093">
      <w:pPr>
        <w:spacing w:after="0" w:line="240" w:lineRule="auto"/>
        <w:jc w:val="both"/>
        <w:rPr>
          <w:rFonts w:cs="Times New Roman"/>
          <w:sz w:val="22"/>
          <w:szCs w:val="22"/>
        </w:rPr>
      </w:pPr>
    </w:p>
    <w:p w14:paraId="1B109D68" w14:textId="6133561B" w:rsidR="00627889" w:rsidRPr="00E97BC8" w:rsidRDefault="00627889" w:rsidP="00E85093">
      <w:pPr>
        <w:shd w:val="clear" w:color="auto" w:fill="FFFFFF"/>
        <w:spacing w:after="0" w:line="240" w:lineRule="auto"/>
        <w:jc w:val="both"/>
        <w:rPr>
          <w:rFonts w:cs="Times New Roman"/>
          <w:b/>
          <w:bCs/>
          <w:sz w:val="22"/>
          <w:szCs w:val="22"/>
        </w:rPr>
      </w:pPr>
      <w:r w:rsidRPr="00E97BC8">
        <w:rPr>
          <w:rFonts w:cs="Times New Roman"/>
          <w:b/>
          <w:bCs/>
          <w:sz w:val="22"/>
          <w:szCs w:val="22"/>
        </w:rPr>
        <w:t>3.</w:t>
      </w:r>
      <w:r w:rsidR="00BD740B" w:rsidRPr="00E97BC8">
        <w:rPr>
          <w:rFonts w:cs="Times New Roman"/>
          <w:b/>
          <w:bCs/>
          <w:sz w:val="22"/>
          <w:szCs w:val="22"/>
        </w:rPr>
        <w:t>4</w:t>
      </w:r>
      <w:r w:rsidRPr="00E97BC8">
        <w:rPr>
          <w:rFonts w:cs="Times New Roman"/>
          <w:b/>
          <w:bCs/>
          <w:sz w:val="22"/>
          <w:szCs w:val="22"/>
        </w:rPr>
        <w:t xml:space="preserve"> Model Estimation </w:t>
      </w:r>
    </w:p>
    <w:p w14:paraId="61E1A122" w14:textId="32305045" w:rsidR="0012507D" w:rsidRPr="00E97BC8" w:rsidRDefault="00627889" w:rsidP="00E85093">
      <w:pPr>
        <w:keepNext/>
        <w:spacing w:after="0" w:line="240" w:lineRule="auto"/>
        <w:jc w:val="both"/>
        <w:rPr>
          <w:rFonts w:cs="Times New Roman"/>
          <w:sz w:val="22"/>
          <w:szCs w:val="22"/>
        </w:rPr>
      </w:pPr>
      <w:r w:rsidRPr="00E97BC8">
        <w:rPr>
          <w:rFonts w:cs="Times New Roman"/>
          <w:sz w:val="22"/>
          <w:szCs w:val="22"/>
        </w:rPr>
        <w:t>F</w:t>
      </w:r>
      <w:r w:rsidR="00CF29E2" w:rsidRPr="00E97BC8">
        <w:rPr>
          <w:rFonts w:cs="Times New Roman"/>
          <w:sz w:val="22"/>
          <w:szCs w:val="22"/>
        </w:rPr>
        <w:t xml:space="preserve">or </w:t>
      </w:r>
      <w:r w:rsidR="001776BE" w:rsidRPr="00E97BC8">
        <w:rPr>
          <w:rFonts w:cs="Times New Roman"/>
          <w:sz w:val="22"/>
          <w:szCs w:val="22"/>
        </w:rPr>
        <w:t xml:space="preserve">model </w:t>
      </w:r>
      <w:r w:rsidR="00CF29E2" w:rsidRPr="00E97BC8">
        <w:rPr>
          <w:rFonts w:cs="Times New Roman"/>
          <w:sz w:val="22"/>
          <w:szCs w:val="22"/>
        </w:rPr>
        <w:t xml:space="preserve">estimation, define a contrast matrix </w:t>
      </w:r>
      <w:r w:rsidR="00DB3930" w:rsidRPr="00E97BC8">
        <w:rPr>
          <w:rFonts w:cs="Times New Roman"/>
          <w:position w:val="-12"/>
          <w:sz w:val="22"/>
          <w:szCs w:val="22"/>
        </w:rPr>
        <w:object w:dxaOrig="380" w:dyaOrig="360" w14:anchorId="42204220">
          <v:shape id="_x0000_i1151" type="#_x0000_t75" style="width:18.85pt;height:18.85pt" o:ole="" o:preferrelative="f">
            <v:imagedata r:id="rId249" o:title=""/>
            <o:lock v:ext="edit" aspectratio="f"/>
          </v:shape>
          <o:OLEObject Type="Embed" ProgID="Equation.DSMT4" ShapeID="_x0000_i1151" DrawAspect="Content" ObjectID="_1811172339" r:id="rId250"/>
        </w:object>
      </w:r>
      <w:r w:rsidR="00CF29E2" w:rsidRPr="00E97BC8">
        <w:rPr>
          <w:rFonts w:cs="Times New Roman"/>
          <w:sz w:val="22"/>
          <w:szCs w:val="22"/>
        </w:rPr>
        <w:t xml:space="preserve"> for </w:t>
      </w:r>
      <w:r w:rsidR="006C6148" w:rsidRPr="00E97BC8">
        <w:rPr>
          <w:rFonts w:cs="Times New Roman"/>
          <w:sz w:val="22"/>
          <w:szCs w:val="22"/>
        </w:rPr>
        <w:t xml:space="preserve">the </w:t>
      </w:r>
      <w:r w:rsidR="00CF29E2" w:rsidRPr="00E97BC8">
        <w:rPr>
          <w:rFonts w:cs="Times New Roman"/>
          <w:sz w:val="22"/>
          <w:szCs w:val="22"/>
        </w:rPr>
        <w:t>ranked outcome</w:t>
      </w:r>
      <w:r w:rsidR="006C6148" w:rsidRPr="00E97BC8">
        <w:rPr>
          <w:rFonts w:cs="Times New Roman"/>
          <w:sz w:val="22"/>
          <w:szCs w:val="22"/>
        </w:rPr>
        <w:t xml:space="preserve">. </w:t>
      </w:r>
      <w:r w:rsidR="007A763C" w:rsidRPr="00E97BC8">
        <w:rPr>
          <w:rFonts w:cs="Times New Roman"/>
          <w:sz w:val="22"/>
          <w:szCs w:val="22"/>
        </w:rPr>
        <w:t>Specifically,</w:t>
      </w:r>
      <w:r w:rsidRPr="00E97BC8">
        <w:rPr>
          <w:rFonts w:cs="Times New Roman"/>
          <w:sz w:val="22"/>
          <w:szCs w:val="22"/>
        </w:rPr>
        <w:t xml:space="preserve"> </w:t>
      </w:r>
      <w:r w:rsidR="007A763C" w:rsidRPr="00E97BC8">
        <w:rPr>
          <w:rFonts w:cs="Times New Roman"/>
          <w:sz w:val="22"/>
          <w:szCs w:val="22"/>
        </w:rPr>
        <w:t xml:space="preserve">define a contrast matrix based on the </w:t>
      </w:r>
      <w:r w:rsidR="00872ACE" w:rsidRPr="00E97BC8">
        <w:rPr>
          <w:rFonts w:cs="Times New Roman"/>
          <w:sz w:val="22"/>
          <w:szCs w:val="22"/>
        </w:rPr>
        <w:t xml:space="preserve">observed </w:t>
      </w:r>
      <w:r w:rsidR="007A763C" w:rsidRPr="00E97BC8">
        <w:rPr>
          <w:rFonts w:cs="Times New Roman"/>
          <w:sz w:val="22"/>
          <w:szCs w:val="22"/>
        </w:rPr>
        <w:t xml:space="preserve">ranking </w:t>
      </w:r>
      <w:r w:rsidR="00DB3930" w:rsidRPr="00E97BC8">
        <w:rPr>
          <w:rFonts w:cs="Times New Roman"/>
          <w:position w:val="-4"/>
          <w:sz w:val="22"/>
          <w:szCs w:val="22"/>
        </w:rPr>
        <w:object w:dxaOrig="180" w:dyaOrig="200" w14:anchorId="74B05EC5">
          <v:shape id="_x0000_i1152" type="#_x0000_t75" style="width:9.85pt;height:10.7pt" o:ole="" o:preferrelative="f">
            <v:imagedata r:id="rId251" o:title=""/>
            <o:lock v:ext="edit" aspectratio="f"/>
          </v:shape>
          <o:OLEObject Type="Embed" ProgID="Equation.DSMT4" ShapeID="_x0000_i1152" DrawAspect="Content" ObjectID="_1811172340" r:id="rId252"/>
        </w:object>
      </w:r>
      <w:r w:rsidR="007A763C" w:rsidRPr="00E97BC8">
        <w:rPr>
          <w:rFonts w:cs="Times New Roman"/>
          <w:sz w:val="22"/>
          <w:szCs w:val="22"/>
        </w:rPr>
        <w:t xml:space="preserve"> of alternatives</w:t>
      </w:r>
      <w:r w:rsidRPr="00E97BC8">
        <w:rPr>
          <w:rFonts w:cs="Times New Roman"/>
          <w:sz w:val="22"/>
          <w:szCs w:val="22"/>
        </w:rPr>
        <w:t xml:space="preserve"> (the contrast matrix </w:t>
      </w:r>
      <w:r w:rsidR="00DB3930" w:rsidRPr="00E97BC8">
        <w:rPr>
          <w:rFonts w:cs="Times New Roman"/>
          <w:position w:val="-12"/>
          <w:sz w:val="22"/>
          <w:szCs w:val="22"/>
        </w:rPr>
        <w:object w:dxaOrig="380" w:dyaOrig="360" w14:anchorId="010A5A13">
          <v:shape id="_x0000_i1153" type="#_x0000_t75" style="width:18.85pt;height:18.85pt" o:ole="" o:preferrelative="f">
            <v:imagedata r:id="rId249" o:title=""/>
            <o:lock v:ext="edit" aspectratio="f"/>
          </v:shape>
          <o:OLEObject Type="Embed" ProgID="Equation.DSMT4" ShapeID="_x0000_i1153" DrawAspect="Content" ObjectID="_1811172341" r:id="rId253"/>
        </w:object>
      </w:r>
      <w:r w:rsidRPr="00E97BC8">
        <w:rPr>
          <w:rFonts w:cs="Times New Roman"/>
          <w:sz w:val="22"/>
          <w:szCs w:val="22"/>
        </w:rPr>
        <w:t xml:space="preserve"> will vary across individuals because different individuals will rank alternatives differently; however, here we again suppress the index for individuals</w:t>
      </w:r>
      <w:r w:rsidR="00062D48" w:rsidRPr="00E97BC8">
        <w:rPr>
          <w:rFonts w:cs="Times New Roman"/>
          <w:sz w:val="22"/>
          <w:szCs w:val="22"/>
        </w:rPr>
        <w:t xml:space="preserve"> and develop the construction of the contrast matrix for a </w:t>
      </w:r>
      <w:r w:rsidR="00CA5227" w:rsidRPr="00E97BC8">
        <w:rPr>
          <w:rFonts w:cs="Times New Roman"/>
          <w:sz w:val="22"/>
          <w:szCs w:val="22"/>
        </w:rPr>
        <w:t>specific</w:t>
      </w:r>
      <w:r w:rsidR="00062D48" w:rsidRPr="00E97BC8">
        <w:rPr>
          <w:rFonts w:cs="Times New Roman"/>
          <w:sz w:val="22"/>
          <w:szCs w:val="22"/>
        </w:rPr>
        <w:t xml:space="preserve"> individual with a specific ranking of the alternatives</w:t>
      </w:r>
      <w:r w:rsidRPr="00E97BC8">
        <w:rPr>
          <w:rFonts w:cs="Times New Roman"/>
          <w:sz w:val="22"/>
          <w:szCs w:val="22"/>
        </w:rPr>
        <w:t>)</w:t>
      </w:r>
      <w:r w:rsidR="007A763C" w:rsidRPr="00E97BC8">
        <w:rPr>
          <w:rFonts w:cs="Times New Roman"/>
          <w:sz w:val="22"/>
          <w:szCs w:val="22"/>
        </w:rPr>
        <w:t>.</w:t>
      </w:r>
      <w:r w:rsidR="002E53F0" w:rsidRPr="00E97BC8">
        <w:rPr>
          <w:rFonts w:cs="Times New Roman"/>
          <w:sz w:val="22"/>
          <w:szCs w:val="22"/>
        </w:rPr>
        <w:t xml:space="preserve"> L</w:t>
      </w:r>
      <w:r w:rsidR="007A763C" w:rsidRPr="00E97BC8">
        <w:rPr>
          <w:rFonts w:cs="Times New Roman"/>
          <w:sz w:val="22"/>
          <w:szCs w:val="22"/>
        </w:rPr>
        <w:t xml:space="preserve">et the first </w:t>
      </w:r>
      <w:r w:rsidR="009A09E3" w:rsidRPr="00E97BC8">
        <w:rPr>
          <w:rFonts w:cs="Times New Roman"/>
          <w:sz w:val="22"/>
          <w:szCs w:val="22"/>
        </w:rPr>
        <w:t xml:space="preserve">ranked </w:t>
      </w:r>
      <w:r w:rsidR="007A763C" w:rsidRPr="00E97BC8">
        <w:rPr>
          <w:rFonts w:cs="Times New Roman"/>
          <w:sz w:val="22"/>
          <w:szCs w:val="22"/>
        </w:rPr>
        <w:t xml:space="preserve">alternative </w:t>
      </w:r>
      <w:r w:rsidR="00865A7E" w:rsidRPr="00E97BC8">
        <w:rPr>
          <w:rFonts w:cs="Times New Roman"/>
          <w:sz w:val="22"/>
          <w:szCs w:val="22"/>
        </w:rPr>
        <w:t>of</w:t>
      </w:r>
      <w:r w:rsidR="002E53F0" w:rsidRPr="00E97BC8">
        <w:rPr>
          <w:rFonts w:cs="Times New Roman"/>
          <w:sz w:val="22"/>
          <w:szCs w:val="22"/>
        </w:rPr>
        <w:t xml:space="preserve"> the</w:t>
      </w:r>
      <w:r w:rsidR="00865A7E" w:rsidRPr="00E97BC8">
        <w:rPr>
          <w:rFonts w:cs="Times New Roman"/>
          <w:sz w:val="22"/>
          <w:szCs w:val="22"/>
        </w:rPr>
        <w:t xml:space="preserve"> ranked </w:t>
      </w:r>
      <w:r w:rsidR="009A09E3" w:rsidRPr="00E97BC8">
        <w:rPr>
          <w:rFonts w:cs="Times New Roman"/>
          <w:sz w:val="22"/>
          <w:szCs w:val="22"/>
        </w:rPr>
        <w:t>outcome</w:t>
      </w:r>
      <w:r w:rsidR="00865A7E" w:rsidRPr="00E97BC8">
        <w:rPr>
          <w:rFonts w:cs="Times New Roman"/>
          <w:sz w:val="22"/>
          <w:szCs w:val="22"/>
        </w:rPr>
        <w:t xml:space="preserve"> </w:t>
      </w:r>
      <w:r w:rsidR="007A763C" w:rsidRPr="00E97BC8">
        <w:rPr>
          <w:rFonts w:cs="Times New Roman"/>
          <w:sz w:val="22"/>
          <w:szCs w:val="22"/>
        </w:rPr>
        <w:t xml:space="preserve">be </w:t>
      </w:r>
      <w:r w:rsidR="00DB3930" w:rsidRPr="00E97BC8">
        <w:rPr>
          <w:rFonts w:cs="Times New Roman"/>
          <w:position w:val="-4"/>
          <w:sz w:val="22"/>
          <w:szCs w:val="22"/>
        </w:rPr>
        <w:object w:dxaOrig="240" w:dyaOrig="300" w14:anchorId="4330176A">
          <v:shape id="_x0000_i1154" type="#_x0000_t75" style="width:11.15pt;height:15pt" o:ole="" o:preferrelative="f">
            <v:imagedata r:id="rId254" o:title=""/>
            <o:lock v:ext="edit" aspectratio="f"/>
          </v:shape>
          <o:OLEObject Type="Embed" ProgID="Equation.DSMT4" ShapeID="_x0000_i1154" DrawAspect="Content" ObjectID="_1811172342" r:id="rId255"/>
        </w:object>
      </w:r>
      <w:r w:rsidR="007A763C" w:rsidRPr="00E97BC8">
        <w:rPr>
          <w:rFonts w:cs="Times New Roman"/>
          <w:sz w:val="22"/>
          <w:szCs w:val="22"/>
        </w:rPr>
        <w:t xml:space="preserve">, the second </w:t>
      </w:r>
      <w:r w:rsidR="00DB3930" w:rsidRPr="00E97BC8">
        <w:rPr>
          <w:rFonts w:cs="Times New Roman"/>
          <w:position w:val="-4"/>
          <w:sz w:val="22"/>
          <w:szCs w:val="22"/>
        </w:rPr>
        <w:object w:dxaOrig="260" w:dyaOrig="300" w14:anchorId="4E8E4CE4">
          <v:shape id="_x0000_i1155" type="#_x0000_t75" style="width:13.3pt;height:15pt" o:ole="" o:preferrelative="f">
            <v:imagedata r:id="rId256" o:title=""/>
            <o:lock v:ext="edit" aspectratio="f"/>
          </v:shape>
          <o:OLEObject Type="Embed" ProgID="Equation.DSMT4" ShapeID="_x0000_i1155" DrawAspect="Content" ObjectID="_1811172343" r:id="rId257"/>
        </w:object>
      </w:r>
      <w:r w:rsidR="005D008C" w:rsidRPr="00E97BC8">
        <w:rPr>
          <w:rFonts w:cs="Times New Roman"/>
          <w:sz w:val="22"/>
          <w:szCs w:val="22"/>
        </w:rPr>
        <w:t>,</w:t>
      </w:r>
      <w:r w:rsidR="007A763C" w:rsidRPr="00E97BC8">
        <w:rPr>
          <w:rFonts w:cs="Times New Roman"/>
          <w:sz w:val="22"/>
          <w:szCs w:val="22"/>
        </w:rPr>
        <w:t xml:space="preserve"> and so on until the last-ranked alternative </w:t>
      </w:r>
      <w:r w:rsidR="00DB3930" w:rsidRPr="00E97BC8">
        <w:rPr>
          <w:rFonts w:cs="Times New Roman"/>
          <w:position w:val="-4"/>
          <w:sz w:val="22"/>
          <w:szCs w:val="22"/>
        </w:rPr>
        <w:object w:dxaOrig="260" w:dyaOrig="300" w14:anchorId="29EA6780">
          <v:shape id="_x0000_i1156" type="#_x0000_t75" style="width:13.3pt;height:15pt" o:ole="" o:preferrelative="f">
            <v:imagedata r:id="rId258" o:title=""/>
            <o:lock v:ext="edit" aspectratio="f"/>
          </v:shape>
          <o:OLEObject Type="Embed" ProgID="Equation.DSMT4" ShapeID="_x0000_i1156" DrawAspect="Content" ObjectID="_1811172344" r:id="rId259"/>
        </w:object>
      </w:r>
      <w:r w:rsidR="00835B20" w:rsidRPr="00E97BC8">
        <w:rPr>
          <w:rFonts w:cs="Times New Roman"/>
          <w:sz w:val="22"/>
          <w:szCs w:val="22"/>
        </w:rPr>
        <w:t xml:space="preserve">, where </w:t>
      </w:r>
      <w:r w:rsidR="00DB3930" w:rsidRPr="00E97BC8">
        <w:rPr>
          <w:rFonts w:cs="Times New Roman"/>
          <w:position w:val="-6"/>
          <w:sz w:val="22"/>
          <w:szCs w:val="22"/>
        </w:rPr>
        <w:object w:dxaOrig="200" w:dyaOrig="279" w14:anchorId="6FA49227">
          <v:shape id="_x0000_i1157" type="#_x0000_t75" style="width:10.7pt;height:13.7pt" o:ole="" o:preferrelative="f">
            <v:imagedata r:id="rId260" o:title=""/>
            <o:lock v:ext="edit" aspectratio="f"/>
          </v:shape>
          <o:OLEObject Type="Embed" ProgID="Equation.DSMT4" ShapeID="_x0000_i1157" DrawAspect="Content" ObjectID="_1811172345" r:id="rId261"/>
        </w:object>
      </w:r>
      <w:r w:rsidR="00835B20" w:rsidRPr="00E97BC8">
        <w:rPr>
          <w:rFonts w:cs="Times New Roman"/>
          <w:sz w:val="22"/>
          <w:szCs w:val="22"/>
        </w:rPr>
        <w:t xml:space="preserve"> </w:t>
      </w:r>
      <w:r w:rsidR="00DB3930" w:rsidRPr="00E97BC8">
        <w:rPr>
          <w:rFonts w:cs="Times New Roman"/>
          <w:position w:val="-10"/>
          <w:sz w:val="22"/>
          <w:szCs w:val="22"/>
        </w:rPr>
        <w:object w:dxaOrig="720" w:dyaOrig="320" w14:anchorId="2A72FE59">
          <v:shape id="_x0000_i1158" type="#_x0000_t75" style="width:36.85pt;height:16.3pt" o:ole="" o:preferrelative="f">
            <v:imagedata r:id="rId262" o:title=""/>
            <o:lock v:ext="edit" aspectratio="f"/>
          </v:shape>
          <o:OLEObject Type="Embed" ProgID="Equation.DSMT4" ShapeID="_x0000_i1158" DrawAspect="Content" ObjectID="_1811172346" r:id="rId263"/>
        </w:object>
      </w:r>
      <w:r w:rsidR="00835B20" w:rsidRPr="00E97BC8">
        <w:rPr>
          <w:rFonts w:cs="Times New Roman"/>
          <w:sz w:val="22"/>
          <w:szCs w:val="22"/>
        </w:rPr>
        <w:t xml:space="preserve"> is the </w:t>
      </w:r>
      <w:r w:rsidR="009175C4" w:rsidRPr="00E97BC8">
        <w:rPr>
          <w:rFonts w:cs="Times New Roman"/>
          <w:sz w:val="22"/>
          <w:szCs w:val="22"/>
        </w:rPr>
        <w:t>lowest-ranked alternative selected by the participant (</w:t>
      </w:r>
      <w:r w:rsidR="00110328" w:rsidRPr="00E97BC8">
        <w:rPr>
          <w:rFonts w:cs="Times New Roman"/>
          <w:sz w:val="22"/>
          <w:szCs w:val="22"/>
        </w:rPr>
        <w:t xml:space="preserve">in our </w:t>
      </w:r>
      <w:r w:rsidR="0012507D" w:rsidRPr="00E97BC8">
        <w:rPr>
          <w:rFonts w:cs="Times New Roman"/>
          <w:sz w:val="22"/>
          <w:szCs w:val="22"/>
        </w:rPr>
        <w:t xml:space="preserve">empirical </w:t>
      </w:r>
      <w:r w:rsidR="00110328" w:rsidRPr="00E97BC8">
        <w:rPr>
          <w:rFonts w:cs="Times New Roman"/>
          <w:sz w:val="22"/>
          <w:szCs w:val="22"/>
        </w:rPr>
        <w:t xml:space="preserve">case, </w:t>
      </w:r>
      <w:r w:rsidR="00DB3930" w:rsidRPr="00E97BC8">
        <w:rPr>
          <w:rFonts w:cs="Times New Roman"/>
          <w:position w:val="-6"/>
          <w:sz w:val="22"/>
          <w:szCs w:val="22"/>
        </w:rPr>
        <w:object w:dxaOrig="540" w:dyaOrig="279" w14:anchorId="4AEA6D4E">
          <v:shape id="_x0000_i1159" type="#_x0000_t75" style="width:27pt;height:13.7pt" o:ole="" o:preferrelative="f">
            <v:imagedata r:id="rId264" o:title=""/>
            <o:lock v:ext="edit" aspectratio="f"/>
          </v:shape>
          <o:OLEObject Type="Embed" ProgID="Equation.DSMT4" ShapeID="_x0000_i1159" DrawAspect="Content" ObjectID="_1811172347" r:id="rId265"/>
        </w:object>
      </w:r>
      <w:r w:rsidR="00110328" w:rsidRPr="00E97BC8">
        <w:rPr>
          <w:rFonts w:cs="Times New Roman"/>
          <w:sz w:val="22"/>
          <w:szCs w:val="22"/>
        </w:rPr>
        <w:t xml:space="preserve"> since each participant ranked at most three alternatives)</w:t>
      </w:r>
      <w:r w:rsidR="00223DF2" w:rsidRPr="00E97BC8">
        <w:rPr>
          <w:rFonts w:cs="Times New Roman"/>
          <w:sz w:val="22"/>
          <w:szCs w:val="22"/>
        </w:rPr>
        <w:t>.</w:t>
      </w:r>
      <w:r w:rsidR="007A763C" w:rsidRPr="00E97BC8">
        <w:rPr>
          <w:rFonts w:cs="Times New Roman"/>
          <w:sz w:val="22"/>
          <w:szCs w:val="22"/>
        </w:rPr>
        <w:t xml:space="preserve"> Then, the following </w:t>
      </w:r>
      <w:r w:rsidR="00DB3930" w:rsidRPr="00E97BC8">
        <w:rPr>
          <w:rFonts w:cs="Times New Roman"/>
          <w:position w:val="-10"/>
          <w:sz w:val="22"/>
          <w:szCs w:val="22"/>
        </w:rPr>
        <w:object w:dxaOrig="660" w:dyaOrig="320" w14:anchorId="5DB0804C">
          <v:shape id="_x0000_i1160" type="#_x0000_t75" style="width:32.15pt;height:16.3pt" o:ole="" o:preferrelative="f">
            <v:imagedata r:id="rId266" o:title=""/>
            <o:lock v:ext="edit" aspectratio="f"/>
          </v:shape>
          <o:OLEObject Type="Embed" ProgID="Equation.DSMT4" ShapeID="_x0000_i1160" DrawAspect="Content" ObjectID="_1811172348" r:id="rId267"/>
        </w:object>
      </w:r>
      <w:r w:rsidR="00C90ABD" w:rsidRPr="00E97BC8">
        <w:rPr>
          <w:rFonts w:cs="Times New Roman"/>
          <w:sz w:val="22"/>
          <w:szCs w:val="22"/>
        </w:rPr>
        <w:t xml:space="preserve"> </w:t>
      </w:r>
      <w:r w:rsidR="007A763C" w:rsidRPr="00E97BC8">
        <w:rPr>
          <w:rFonts w:cs="Times New Roman"/>
          <w:sz w:val="22"/>
          <w:szCs w:val="22"/>
        </w:rPr>
        <w:t xml:space="preserve">inequalities should hold: </w:t>
      </w:r>
      <w:r w:rsidR="00C55A95" w:rsidRPr="00E97BC8">
        <w:rPr>
          <w:rFonts w:cs="Times New Roman"/>
          <w:position w:val="-14"/>
          <w:sz w:val="22"/>
          <w:szCs w:val="22"/>
        </w:rPr>
        <w:object w:dxaOrig="4140" w:dyaOrig="380" w14:anchorId="084002E0">
          <v:shape id="_x0000_i1161" type="#_x0000_t75" style="width:207.85pt;height:18.85pt" o:ole="" o:preferrelative="f">
            <v:imagedata r:id="rId268" o:title=""/>
            <o:lock v:ext="edit" aspectratio="f"/>
          </v:shape>
          <o:OLEObject Type="Embed" ProgID="Equation.DSMT4" ShapeID="_x0000_i1161" DrawAspect="Content" ObjectID="_1811172349" r:id="rId269"/>
        </w:object>
      </w:r>
      <w:r w:rsidR="00C87040" w:rsidRPr="00E97BC8">
        <w:rPr>
          <w:rFonts w:cs="Times New Roman"/>
          <w:sz w:val="22"/>
          <w:szCs w:val="22"/>
        </w:rPr>
        <w:t xml:space="preserve">, and the following </w:t>
      </w:r>
      <w:r w:rsidR="00DB3930" w:rsidRPr="00E97BC8">
        <w:rPr>
          <w:rFonts w:cs="Times New Roman"/>
          <w:position w:val="-10"/>
          <w:sz w:val="22"/>
          <w:szCs w:val="22"/>
        </w:rPr>
        <w:object w:dxaOrig="700" w:dyaOrig="320" w14:anchorId="4B52FDE6">
          <v:shape id="_x0000_i1162" type="#_x0000_t75" style="width:35.15pt;height:16.3pt" o:ole="" o:preferrelative="f">
            <v:imagedata r:id="rId270" o:title=""/>
            <o:lock v:ext="edit" aspectratio="f"/>
          </v:shape>
          <o:OLEObject Type="Embed" ProgID="Equation.DSMT4" ShapeID="_x0000_i1162" DrawAspect="Content" ObjectID="_1811172350" r:id="rId271"/>
        </w:object>
      </w:r>
      <w:r w:rsidR="00C87040" w:rsidRPr="00E97BC8">
        <w:rPr>
          <w:rFonts w:cs="Times New Roman"/>
          <w:sz w:val="22"/>
          <w:szCs w:val="22"/>
        </w:rPr>
        <w:t xml:space="preserve"> inequalities should hold: </w:t>
      </w:r>
      <w:r w:rsidR="00C55A95" w:rsidRPr="00E97BC8">
        <w:rPr>
          <w:rFonts w:cs="Times New Roman"/>
          <w:position w:val="-14"/>
          <w:sz w:val="22"/>
          <w:szCs w:val="22"/>
        </w:rPr>
        <w:object w:dxaOrig="4280" w:dyaOrig="380" w14:anchorId="60100FB3">
          <v:shape id="_x0000_i1163" type="#_x0000_t75" style="width:213.85pt;height:18.85pt" o:ole="" o:preferrelative="f">
            <v:imagedata r:id="rId272" o:title=""/>
            <o:lock v:ext="edit" aspectratio="f"/>
          </v:shape>
          <o:OLEObject Type="Embed" ProgID="Equation.DSMT4" ShapeID="_x0000_i1163" DrawAspect="Content" ObjectID="_1811172351" r:id="rId273"/>
        </w:object>
      </w:r>
      <w:r w:rsidR="00C87040" w:rsidRPr="00E97BC8">
        <w:rPr>
          <w:rFonts w:cs="Times New Roman"/>
          <w:sz w:val="22"/>
          <w:szCs w:val="22"/>
        </w:rPr>
        <w:t>.</w:t>
      </w:r>
      <w:r w:rsidR="007A763C" w:rsidRPr="00E97BC8">
        <w:rPr>
          <w:rFonts w:cs="Times New Roman"/>
          <w:sz w:val="22"/>
          <w:szCs w:val="22"/>
        </w:rPr>
        <w:t xml:space="preserve"> </w:t>
      </w:r>
      <w:r w:rsidR="0012507D" w:rsidRPr="00E97BC8">
        <w:rPr>
          <w:rFonts w:cs="Times New Roman"/>
          <w:sz w:val="22"/>
          <w:szCs w:val="22"/>
        </w:rPr>
        <w:t xml:space="preserve">Stack the </w:t>
      </w:r>
      <w:r w:rsidR="00DB3930" w:rsidRPr="00E97BC8">
        <w:rPr>
          <w:rFonts w:cs="Times New Roman"/>
          <w:position w:val="-10"/>
          <w:sz w:val="22"/>
          <w:szCs w:val="22"/>
        </w:rPr>
        <w:object w:dxaOrig="639" w:dyaOrig="320" w14:anchorId="0698607E">
          <v:shape id="_x0000_i1164" type="#_x0000_t75" style="width:31.7pt;height:16.3pt" o:ole="" o:preferrelative="f">
            <v:imagedata r:id="rId274" o:title=""/>
            <o:lock v:ext="edit" aspectratio="f"/>
          </v:shape>
          <o:OLEObject Type="Embed" ProgID="Equation.DSMT4" ShapeID="_x0000_i1164" DrawAspect="Content" ObjectID="_1811172352" r:id="rId275"/>
        </w:object>
      </w:r>
      <w:r w:rsidR="0012507D" w:rsidRPr="00E97BC8">
        <w:rPr>
          <w:rFonts w:cs="Times New Roman"/>
          <w:sz w:val="22"/>
          <w:szCs w:val="22"/>
        </w:rPr>
        <w:t xml:space="preserve"> utility differentials above, ordered as above based on the observed rank ordering, into a vector </w:t>
      </w:r>
      <w:r w:rsidR="00C55A95" w:rsidRPr="00E97BC8">
        <w:rPr>
          <w:rFonts w:cs="Times New Roman"/>
          <w:position w:val="-18"/>
          <w:sz w:val="22"/>
          <w:szCs w:val="22"/>
        </w:rPr>
        <w:object w:dxaOrig="8340" w:dyaOrig="600" w14:anchorId="36A025F9">
          <v:shape id="_x0000_i1165" type="#_x0000_t75" style="width:417pt;height:30pt" o:ole="" o:preferrelative="f">
            <v:imagedata r:id="rId276" o:title=""/>
            <o:lock v:ext="edit" aspectratio="f"/>
          </v:shape>
          <o:OLEObject Type="Embed" ProgID="Equation.DSMT4" ShapeID="_x0000_i1165" DrawAspect="Content" ObjectID="_1811172353" r:id="rId277"/>
        </w:object>
      </w:r>
      <w:r w:rsidR="0012507D" w:rsidRPr="00E97BC8">
        <w:rPr>
          <w:rFonts w:cs="Times New Roman"/>
          <w:sz w:val="22"/>
          <w:szCs w:val="22"/>
        </w:rPr>
        <w:t>.</w:t>
      </w:r>
      <w:r w:rsidR="00DB3930" w:rsidRPr="00E97BC8">
        <w:rPr>
          <w:rFonts w:cs="Times New Roman"/>
          <w:sz w:val="22"/>
          <w:szCs w:val="22"/>
        </w:rPr>
        <w:t xml:space="preserve"> </w:t>
      </w:r>
      <w:r w:rsidR="0012507D" w:rsidRPr="00E97BC8">
        <w:rPr>
          <w:rFonts w:cs="Times New Roman"/>
          <w:sz w:val="22"/>
          <w:szCs w:val="22"/>
        </w:rPr>
        <w:t xml:space="preserve">Also, define the </w:t>
      </w:r>
      <w:r w:rsidR="00DB3930" w:rsidRPr="00E97BC8">
        <w:rPr>
          <w:rFonts w:cs="Times New Roman"/>
          <w:position w:val="-10"/>
          <w:sz w:val="22"/>
          <w:szCs w:val="22"/>
        </w:rPr>
        <w:object w:dxaOrig="1480" w:dyaOrig="320" w14:anchorId="7704F054">
          <v:shape id="_x0000_i1166" type="#_x0000_t75" style="width:73.3pt;height:16.3pt" o:ole="" o:preferrelative="f">
            <v:imagedata r:id="rId278" o:title=""/>
            <o:lock v:ext="edit" aspectratio="f"/>
          </v:shape>
          <o:OLEObject Type="Embed" ProgID="Equation.DSMT4" ShapeID="_x0000_i1166" DrawAspect="Content" ObjectID="_1811172354" r:id="rId279"/>
        </w:object>
      </w:r>
      <w:r w:rsidR="0012507D" w:rsidRPr="00E97BC8">
        <w:rPr>
          <w:rFonts w:cs="Times New Roman"/>
          <w:sz w:val="22"/>
          <w:szCs w:val="22"/>
        </w:rPr>
        <w:t xml:space="preserve"> vector </w:t>
      </w:r>
      <w:r w:rsidR="00E85093" w:rsidRPr="00E97BC8">
        <w:rPr>
          <w:rFonts w:cs="Times New Roman"/>
          <w:position w:val="-32"/>
          <w:sz w:val="22"/>
          <w:szCs w:val="22"/>
        </w:rPr>
        <w:object w:dxaOrig="1040" w:dyaOrig="760" w14:anchorId="5799BD30">
          <v:shape id="_x0000_i1167" type="#_x0000_t75" style="width:51.85pt;height:38.15pt" o:ole="" o:preferrelative="f">
            <v:imagedata r:id="rId280" o:title=""/>
            <o:lock v:ext="edit" aspectratio="f"/>
          </v:shape>
          <o:OLEObject Type="Embed" ProgID="Equation.DSMT4" ShapeID="_x0000_i1167" DrawAspect="Content" ObjectID="_1811172355" r:id="rId281"/>
        </w:object>
      </w:r>
      <w:r w:rsidR="0012507D" w:rsidRPr="00E97BC8">
        <w:rPr>
          <w:rFonts w:cs="Times New Roman"/>
          <w:sz w:val="22"/>
          <w:szCs w:val="22"/>
        </w:rPr>
        <w:t>.</w:t>
      </w:r>
    </w:p>
    <w:p w14:paraId="3BCBD51D" w14:textId="6B1B76C5" w:rsidR="007A763C" w:rsidRPr="00E97BC8" w:rsidRDefault="007A763C" w:rsidP="00E85093">
      <w:pPr>
        <w:keepNext/>
        <w:spacing w:after="0" w:line="240" w:lineRule="auto"/>
        <w:ind w:firstLine="720"/>
        <w:jc w:val="both"/>
        <w:rPr>
          <w:rFonts w:cs="Times New Roman"/>
          <w:b/>
          <w:bCs/>
          <w:sz w:val="22"/>
          <w:szCs w:val="22"/>
        </w:rPr>
      </w:pPr>
      <w:r w:rsidRPr="00E97BC8">
        <w:rPr>
          <w:rFonts w:cs="Times New Roman"/>
          <w:sz w:val="22"/>
          <w:szCs w:val="22"/>
        </w:rPr>
        <w:t>In vector notation, we can write the</w:t>
      </w:r>
      <w:r w:rsidR="00771D0F" w:rsidRPr="00E97BC8">
        <w:rPr>
          <w:rFonts w:cs="Times New Roman"/>
          <w:sz w:val="22"/>
          <w:szCs w:val="22"/>
        </w:rPr>
        <w:t xml:space="preserve"> </w:t>
      </w:r>
      <w:r w:rsidRPr="00E97BC8">
        <w:rPr>
          <w:rFonts w:cs="Times New Roman"/>
          <w:sz w:val="22"/>
          <w:szCs w:val="22"/>
        </w:rPr>
        <w:t xml:space="preserve">inequalities using a contrast matrix </w:t>
      </w:r>
      <w:r w:rsidR="00DB3930" w:rsidRPr="00E97BC8">
        <w:rPr>
          <w:rFonts w:cs="Times New Roman"/>
          <w:position w:val="-12"/>
          <w:sz w:val="22"/>
          <w:szCs w:val="22"/>
        </w:rPr>
        <w:object w:dxaOrig="380" w:dyaOrig="360" w14:anchorId="21B206C6">
          <v:shape id="_x0000_i1168" type="#_x0000_t75" style="width:18.85pt;height:18.85pt" o:ole="" o:preferrelative="f">
            <v:imagedata r:id="rId249" o:title=""/>
            <o:lock v:ext="edit" aspectratio="f"/>
          </v:shape>
          <o:OLEObject Type="Embed" ProgID="Equation.DSMT4" ShapeID="_x0000_i1168" DrawAspect="Content" ObjectID="_1811172356" r:id="rId282"/>
        </w:object>
      </w:r>
      <w:r w:rsidR="002A4FB4" w:rsidRPr="00E97BC8">
        <w:rPr>
          <w:rFonts w:cs="Times New Roman"/>
          <w:sz w:val="22"/>
          <w:szCs w:val="22"/>
        </w:rPr>
        <w:t xml:space="preserve"> </w:t>
      </w:r>
      <w:r w:rsidRPr="00E97BC8">
        <w:rPr>
          <w:rFonts w:cs="Times New Roman"/>
          <w:sz w:val="22"/>
          <w:szCs w:val="22"/>
        </w:rPr>
        <w:t xml:space="preserve">with </w:t>
      </w:r>
      <w:r w:rsidR="00DB3930" w:rsidRPr="00E97BC8">
        <w:rPr>
          <w:rFonts w:cs="Times New Roman"/>
          <w:position w:val="-10"/>
          <w:sz w:val="22"/>
          <w:szCs w:val="22"/>
        </w:rPr>
        <w:object w:dxaOrig="639" w:dyaOrig="320" w14:anchorId="14C69809">
          <v:shape id="_x0000_i1169" type="#_x0000_t75" style="width:31.7pt;height:16.3pt" o:ole="" o:preferrelative="f">
            <v:imagedata r:id="rId283" o:title=""/>
            <o:lock v:ext="edit" aspectratio="f"/>
          </v:shape>
          <o:OLEObject Type="Embed" ProgID="Equation.DSMT4" ShapeID="_x0000_i1169" DrawAspect="Content" ObjectID="_1811172357" r:id="rId284"/>
        </w:object>
      </w:r>
      <w:r w:rsidRPr="00E97BC8">
        <w:rPr>
          <w:rFonts w:cs="Times New Roman"/>
          <w:sz w:val="22"/>
          <w:szCs w:val="22"/>
        </w:rPr>
        <w:t xml:space="preserve"> rows for each inequality and </w:t>
      </w:r>
      <w:r w:rsidR="00A53CD0" w:rsidRPr="00E97BC8">
        <w:rPr>
          <w:rFonts w:cs="Times New Roman"/>
          <w:i/>
          <w:iCs/>
          <w:sz w:val="22"/>
          <w:szCs w:val="22"/>
        </w:rPr>
        <w:t>I</w:t>
      </w:r>
      <w:r w:rsidR="00A53CD0" w:rsidRPr="00E97BC8">
        <w:rPr>
          <w:rFonts w:cs="Times New Roman"/>
          <w:sz w:val="22"/>
          <w:szCs w:val="22"/>
        </w:rPr>
        <w:t xml:space="preserve"> </w:t>
      </w:r>
      <w:r w:rsidRPr="00E97BC8">
        <w:rPr>
          <w:rFonts w:cs="Times New Roman"/>
          <w:sz w:val="22"/>
          <w:szCs w:val="22"/>
        </w:rPr>
        <w:t xml:space="preserve">columns for each alternative. To start, fill all the elements of the contrast matrix with zeros. Then, </w:t>
      </w:r>
      <w:r w:rsidR="00E00241" w:rsidRPr="00E97BC8">
        <w:rPr>
          <w:rFonts w:cs="Times New Roman"/>
          <w:sz w:val="22"/>
          <w:szCs w:val="22"/>
        </w:rPr>
        <w:t xml:space="preserve">starting with </w:t>
      </w:r>
      <w:r w:rsidRPr="00E97BC8">
        <w:rPr>
          <w:rFonts w:cs="Times New Roman"/>
          <w:sz w:val="22"/>
          <w:szCs w:val="22"/>
        </w:rPr>
        <w:t>the first row, place a</w:t>
      </w:r>
      <w:r w:rsidR="00E00241" w:rsidRPr="00E97BC8">
        <w:rPr>
          <w:rFonts w:cs="Times New Roman"/>
          <w:sz w:val="22"/>
          <w:szCs w:val="22"/>
        </w:rPr>
        <w:t xml:space="preserve"> value </w:t>
      </w:r>
      <w:r w:rsidRPr="00E97BC8">
        <w:rPr>
          <w:rFonts w:cs="Times New Roman"/>
          <w:sz w:val="22"/>
          <w:szCs w:val="22"/>
        </w:rPr>
        <w:t xml:space="preserve">of </w:t>
      </w:r>
      <w:r w:rsidR="00E00241" w:rsidRPr="00E97BC8">
        <w:rPr>
          <w:rFonts w:cs="Times New Roman"/>
          <w:sz w:val="22"/>
          <w:szCs w:val="22"/>
        </w:rPr>
        <w:t xml:space="preserve">negative </w:t>
      </w:r>
      <w:r w:rsidRPr="00E97BC8">
        <w:rPr>
          <w:rFonts w:cs="Times New Roman"/>
          <w:sz w:val="22"/>
          <w:szCs w:val="22"/>
        </w:rPr>
        <w:t xml:space="preserve">one in the column corresponding to the </w:t>
      </w:r>
      <w:r w:rsidR="00E00241" w:rsidRPr="00E97BC8">
        <w:rPr>
          <w:rFonts w:cs="Times New Roman"/>
          <w:sz w:val="22"/>
          <w:szCs w:val="22"/>
        </w:rPr>
        <w:t>first</w:t>
      </w:r>
      <w:r w:rsidRPr="00E97BC8">
        <w:rPr>
          <w:rFonts w:cs="Times New Roman"/>
          <w:sz w:val="22"/>
          <w:szCs w:val="22"/>
        </w:rPr>
        <w:t>-ranked alternative, and a</w:t>
      </w:r>
      <w:r w:rsidR="00E00241" w:rsidRPr="00E97BC8">
        <w:rPr>
          <w:rFonts w:cs="Times New Roman"/>
          <w:sz w:val="22"/>
          <w:szCs w:val="22"/>
        </w:rPr>
        <w:t xml:space="preserve"> value of </w:t>
      </w:r>
      <w:r w:rsidRPr="00E97BC8">
        <w:rPr>
          <w:rFonts w:cs="Times New Roman"/>
          <w:sz w:val="22"/>
          <w:szCs w:val="22"/>
        </w:rPr>
        <w:t xml:space="preserve">one in the column corresponding to the </w:t>
      </w:r>
      <w:r w:rsidR="00E00241" w:rsidRPr="00E97BC8">
        <w:rPr>
          <w:rFonts w:cs="Times New Roman"/>
          <w:sz w:val="22"/>
          <w:szCs w:val="22"/>
        </w:rPr>
        <w:t>second</w:t>
      </w:r>
      <w:r w:rsidRPr="00E97BC8">
        <w:rPr>
          <w:rFonts w:cs="Times New Roman"/>
          <w:sz w:val="22"/>
          <w:szCs w:val="22"/>
        </w:rPr>
        <w:t>-ranked alternative (</w:t>
      </w:r>
      <w:r w:rsidR="00E00241" w:rsidRPr="00E97BC8">
        <w:rPr>
          <w:rFonts w:cs="Times New Roman"/>
          <w:sz w:val="22"/>
          <w:szCs w:val="22"/>
        </w:rPr>
        <w:t xml:space="preserve">this row </w:t>
      </w:r>
      <w:r w:rsidRPr="00E97BC8">
        <w:rPr>
          <w:rFonts w:cs="Times New Roman"/>
          <w:sz w:val="22"/>
          <w:szCs w:val="22"/>
        </w:rPr>
        <w:t>correspon</w:t>
      </w:r>
      <w:r w:rsidR="00E00241" w:rsidRPr="00E97BC8">
        <w:rPr>
          <w:rFonts w:cs="Times New Roman"/>
          <w:sz w:val="22"/>
          <w:szCs w:val="22"/>
        </w:rPr>
        <w:t>ds</w:t>
      </w:r>
      <w:r w:rsidRPr="00E97BC8">
        <w:rPr>
          <w:rFonts w:cs="Times New Roman"/>
          <w:sz w:val="22"/>
          <w:szCs w:val="22"/>
        </w:rPr>
        <w:t xml:space="preserve"> to the first inequality </w:t>
      </w:r>
      <w:r w:rsidR="00E00241" w:rsidRPr="00E97BC8">
        <w:rPr>
          <w:rFonts w:cs="Times New Roman"/>
          <w:sz w:val="22"/>
          <w:szCs w:val="22"/>
        </w:rPr>
        <w:t xml:space="preserve">shown </w:t>
      </w:r>
      <w:r w:rsidRPr="00E97BC8">
        <w:rPr>
          <w:rFonts w:cs="Times New Roman"/>
          <w:sz w:val="22"/>
          <w:szCs w:val="22"/>
        </w:rPr>
        <w:t xml:space="preserve">above). </w:t>
      </w:r>
      <w:r w:rsidR="00E00241" w:rsidRPr="00E97BC8">
        <w:rPr>
          <w:rFonts w:cs="Times New Roman"/>
          <w:sz w:val="22"/>
          <w:szCs w:val="22"/>
        </w:rPr>
        <w:t xml:space="preserve">Moving to the </w:t>
      </w:r>
      <w:r w:rsidRPr="00E97BC8">
        <w:rPr>
          <w:rFonts w:cs="Times New Roman"/>
          <w:sz w:val="22"/>
          <w:szCs w:val="22"/>
        </w:rPr>
        <w:t>second row, place a</w:t>
      </w:r>
      <w:r w:rsidR="00E00241" w:rsidRPr="00E97BC8">
        <w:rPr>
          <w:rFonts w:cs="Times New Roman"/>
          <w:sz w:val="22"/>
          <w:szCs w:val="22"/>
        </w:rPr>
        <w:t xml:space="preserve"> value </w:t>
      </w:r>
      <w:r w:rsidRPr="00E97BC8">
        <w:rPr>
          <w:rFonts w:cs="Times New Roman"/>
          <w:sz w:val="22"/>
          <w:szCs w:val="22"/>
        </w:rPr>
        <w:t xml:space="preserve">of </w:t>
      </w:r>
      <w:r w:rsidR="00E00241" w:rsidRPr="00E97BC8">
        <w:rPr>
          <w:rFonts w:cs="Times New Roman"/>
          <w:sz w:val="22"/>
          <w:szCs w:val="22"/>
        </w:rPr>
        <w:t xml:space="preserve">negative </w:t>
      </w:r>
      <w:r w:rsidRPr="00E97BC8">
        <w:rPr>
          <w:rFonts w:cs="Times New Roman"/>
          <w:sz w:val="22"/>
          <w:szCs w:val="22"/>
        </w:rPr>
        <w:t xml:space="preserve">one in the column corresponding to the </w:t>
      </w:r>
      <w:r w:rsidR="00E00241" w:rsidRPr="00E97BC8">
        <w:rPr>
          <w:rFonts w:cs="Times New Roman"/>
          <w:sz w:val="22"/>
          <w:szCs w:val="22"/>
        </w:rPr>
        <w:t>second</w:t>
      </w:r>
      <w:r w:rsidRPr="00E97BC8">
        <w:rPr>
          <w:rFonts w:cs="Times New Roman"/>
          <w:sz w:val="22"/>
          <w:szCs w:val="22"/>
        </w:rPr>
        <w:t xml:space="preserve">-ranked alternative, and a </w:t>
      </w:r>
      <w:r w:rsidR="00E00241" w:rsidRPr="00E97BC8">
        <w:rPr>
          <w:rFonts w:cs="Times New Roman"/>
          <w:sz w:val="22"/>
          <w:szCs w:val="22"/>
        </w:rPr>
        <w:t xml:space="preserve">value of </w:t>
      </w:r>
      <w:r w:rsidRPr="00E97BC8">
        <w:rPr>
          <w:rFonts w:cs="Times New Roman"/>
          <w:sz w:val="22"/>
          <w:szCs w:val="22"/>
        </w:rPr>
        <w:t xml:space="preserve">one in the column corresponding to the </w:t>
      </w:r>
      <w:r w:rsidR="00E00241" w:rsidRPr="00E97BC8">
        <w:rPr>
          <w:rFonts w:cs="Times New Roman"/>
          <w:sz w:val="22"/>
          <w:szCs w:val="22"/>
        </w:rPr>
        <w:t>third</w:t>
      </w:r>
      <w:r w:rsidRPr="00E97BC8">
        <w:rPr>
          <w:rFonts w:cs="Times New Roman"/>
          <w:sz w:val="22"/>
          <w:szCs w:val="22"/>
        </w:rPr>
        <w:t>-ranked alternative (</w:t>
      </w:r>
      <w:r w:rsidR="00E00241" w:rsidRPr="00E97BC8">
        <w:rPr>
          <w:rFonts w:cs="Times New Roman"/>
          <w:sz w:val="22"/>
          <w:szCs w:val="22"/>
        </w:rPr>
        <w:t xml:space="preserve">this row </w:t>
      </w:r>
      <w:r w:rsidRPr="00E97BC8">
        <w:rPr>
          <w:rFonts w:cs="Times New Roman"/>
          <w:sz w:val="22"/>
          <w:szCs w:val="22"/>
        </w:rPr>
        <w:t>correspon</w:t>
      </w:r>
      <w:r w:rsidR="00E00241" w:rsidRPr="00E97BC8">
        <w:rPr>
          <w:rFonts w:cs="Times New Roman"/>
          <w:sz w:val="22"/>
          <w:szCs w:val="22"/>
        </w:rPr>
        <w:t>ds</w:t>
      </w:r>
      <w:r w:rsidRPr="00E97BC8">
        <w:rPr>
          <w:rFonts w:cs="Times New Roman"/>
          <w:sz w:val="22"/>
          <w:szCs w:val="22"/>
        </w:rPr>
        <w:t xml:space="preserve"> to the second inequality </w:t>
      </w:r>
      <w:r w:rsidR="00E00241" w:rsidRPr="00E97BC8">
        <w:rPr>
          <w:rFonts w:cs="Times New Roman"/>
          <w:sz w:val="22"/>
          <w:szCs w:val="22"/>
        </w:rPr>
        <w:t xml:space="preserve">shown </w:t>
      </w:r>
      <w:r w:rsidRPr="00E97BC8">
        <w:rPr>
          <w:rFonts w:cs="Times New Roman"/>
          <w:sz w:val="22"/>
          <w:szCs w:val="22"/>
        </w:rPr>
        <w:t>above)</w:t>
      </w:r>
      <w:r w:rsidR="00E00241" w:rsidRPr="00E97BC8">
        <w:rPr>
          <w:rFonts w:cs="Times New Roman"/>
          <w:sz w:val="22"/>
          <w:szCs w:val="22"/>
        </w:rPr>
        <w:t xml:space="preserve">. Continue this procedure for each row, </w:t>
      </w:r>
      <w:r w:rsidRPr="00E97BC8">
        <w:rPr>
          <w:rFonts w:cs="Times New Roman"/>
          <w:sz w:val="22"/>
          <w:szCs w:val="22"/>
        </w:rPr>
        <w:t>until placing a</w:t>
      </w:r>
      <w:r w:rsidR="00E00241" w:rsidRPr="00E97BC8">
        <w:rPr>
          <w:rFonts w:cs="Times New Roman"/>
          <w:sz w:val="22"/>
          <w:szCs w:val="22"/>
        </w:rPr>
        <w:t xml:space="preserve"> value </w:t>
      </w:r>
      <w:r w:rsidRPr="00E97BC8">
        <w:rPr>
          <w:rFonts w:cs="Times New Roman"/>
          <w:sz w:val="22"/>
          <w:szCs w:val="22"/>
        </w:rPr>
        <w:t xml:space="preserve">of negative one in the column corresponding to the </w:t>
      </w:r>
      <w:r w:rsidR="00DB3930" w:rsidRPr="00E97BC8">
        <w:rPr>
          <w:rFonts w:cs="Times New Roman"/>
          <w:position w:val="-6"/>
          <w:sz w:val="22"/>
          <w:szCs w:val="22"/>
        </w:rPr>
        <w:object w:dxaOrig="320" w:dyaOrig="320" w14:anchorId="454222D3">
          <v:shape id="_x0000_i1170" type="#_x0000_t75" style="width:16.3pt;height:16.3pt" o:ole="">
            <v:imagedata r:id="rId285" o:title=""/>
          </v:shape>
          <o:OLEObject Type="Embed" ProgID="Equation.DSMT4" ShapeID="_x0000_i1170" DrawAspect="Content" ObjectID="_1811172358" r:id="rId286"/>
        </w:object>
      </w:r>
      <w:r w:rsidRPr="00E97BC8">
        <w:rPr>
          <w:rFonts w:cs="Times New Roman"/>
          <w:sz w:val="22"/>
          <w:szCs w:val="22"/>
        </w:rPr>
        <w:t xml:space="preserve">alternative, and a </w:t>
      </w:r>
      <w:r w:rsidR="00E00241" w:rsidRPr="00E97BC8">
        <w:rPr>
          <w:rFonts w:cs="Times New Roman"/>
          <w:sz w:val="22"/>
          <w:szCs w:val="22"/>
        </w:rPr>
        <w:t xml:space="preserve">value of </w:t>
      </w:r>
      <w:r w:rsidRPr="00E97BC8">
        <w:rPr>
          <w:rFonts w:cs="Times New Roman"/>
          <w:sz w:val="22"/>
          <w:szCs w:val="22"/>
        </w:rPr>
        <w:t xml:space="preserve">one in the column corresponding to the </w:t>
      </w:r>
      <w:r w:rsidR="008F14B0" w:rsidRPr="00E97BC8">
        <w:rPr>
          <w:rFonts w:cs="Times New Roman"/>
          <w:sz w:val="22"/>
          <w:szCs w:val="22"/>
        </w:rPr>
        <w:t xml:space="preserve">final unranked </w:t>
      </w:r>
      <w:r w:rsidRPr="00E97BC8">
        <w:rPr>
          <w:rFonts w:cs="Times New Roman"/>
          <w:sz w:val="22"/>
          <w:szCs w:val="22"/>
        </w:rPr>
        <w:t xml:space="preserve">alternative (corresponding to the last inequality above). </w:t>
      </w:r>
    </w:p>
    <w:p w14:paraId="2BABF270" w14:textId="3556037E" w:rsidR="00AB6BBB" w:rsidRPr="00E97BC8" w:rsidRDefault="0011490C" w:rsidP="00E85093">
      <w:pPr>
        <w:spacing w:after="0" w:line="240" w:lineRule="auto"/>
        <w:jc w:val="both"/>
        <w:rPr>
          <w:rFonts w:cs="Times New Roman"/>
          <w:sz w:val="22"/>
          <w:szCs w:val="22"/>
        </w:rPr>
      </w:pPr>
      <w:r w:rsidRPr="00E97BC8">
        <w:rPr>
          <w:rFonts w:cs="Times New Roman"/>
          <w:sz w:val="22"/>
          <w:szCs w:val="22"/>
        </w:rPr>
        <w:tab/>
        <w:t xml:space="preserve">Then, </w:t>
      </w:r>
      <w:r w:rsidR="001A29B9" w:rsidRPr="00E97BC8">
        <w:rPr>
          <w:rFonts w:cs="Times New Roman"/>
          <w:sz w:val="22"/>
          <w:szCs w:val="22"/>
        </w:rPr>
        <w:t xml:space="preserve">define </w:t>
      </w:r>
      <w:r w:rsidR="002C38A8" w:rsidRPr="00E97BC8">
        <w:rPr>
          <w:rFonts w:cs="Times New Roman"/>
          <w:sz w:val="22"/>
          <w:szCs w:val="22"/>
        </w:rPr>
        <w:t>a</w:t>
      </w:r>
      <w:r w:rsidR="00E04A61" w:rsidRPr="00E97BC8">
        <w:rPr>
          <w:rFonts w:cs="Times New Roman"/>
          <w:sz w:val="22"/>
          <w:szCs w:val="22"/>
        </w:rPr>
        <w:t xml:space="preserve"> </w:t>
      </w:r>
      <w:r w:rsidR="00062D48" w:rsidRPr="00E97BC8">
        <w:rPr>
          <w:rFonts w:cs="Times New Roman"/>
          <w:sz w:val="22"/>
          <w:szCs w:val="22"/>
        </w:rPr>
        <w:t xml:space="preserve">larger </w:t>
      </w:r>
      <w:r w:rsidR="00E04A61" w:rsidRPr="00E97BC8">
        <w:rPr>
          <w:rFonts w:cs="Times New Roman"/>
          <w:sz w:val="22"/>
          <w:szCs w:val="22"/>
        </w:rPr>
        <w:t xml:space="preserve">matrix </w:t>
      </w:r>
      <w:r w:rsidR="00DB3930" w:rsidRPr="00E97BC8">
        <w:rPr>
          <w:rFonts w:cs="Times New Roman"/>
          <w:b/>
          <w:sz w:val="22"/>
          <w:szCs w:val="22"/>
        </w:rPr>
        <w:t>M</w:t>
      </w:r>
      <w:r w:rsidR="003435C6" w:rsidRPr="00E97BC8">
        <w:rPr>
          <w:rFonts w:cs="Times New Roman"/>
          <w:sz w:val="22"/>
          <w:szCs w:val="22"/>
        </w:rPr>
        <w:t xml:space="preserve"> of size </w:t>
      </w:r>
      <w:r w:rsidR="00DB3930" w:rsidRPr="00E97BC8">
        <w:rPr>
          <w:rFonts w:cs="Times New Roman"/>
          <w:position w:val="-14"/>
          <w:sz w:val="22"/>
          <w:szCs w:val="22"/>
        </w:rPr>
        <w:object w:dxaOrig="2120" w:dyaOrig="400" w14:anchorId="2363D660">
          <v:shape id="_x0000_i1171" type="#_x0000_t75" style="width:105.85pt;height:20.15pt" o:ole="" o:preferrelative="f">
            <v:imagedata r:id="rId287" o:title=""/>
            <o:lock v:ext="edit" aspectratio="f"/>
          </v:shape>
          <o:OLEObject Type="Embed" ProgID="Equation.DSMT4" ShapeID="_x0000_i1171" DrawAspect="Content" ObjectID="_1811172359" r:id="rId288"/>
        </w:object>
      </w:r>
      <w:r w:rsidR="002023B0" w:rsidRPr="00E97BC8">
        <w:rPr>
          <w:rFonts w:cs="Times New Roman"/>
          <w:sz w:val="22"/>
          <w:szCs w:val="22"/>
        </w:rPr>
        <w:t>, initially filled with zeros.</w:t>
      </w:r>
      <w:r w:rsidR="002C38A8" w:rsidRPr="00E97BC8">
        <w:rPr>
          <w:rFonts w:cs="Times New Roman"/>
          <w:sz w:val="22"/>
          <w:szCs w:val="22"/>
        </w:rPr>
        <w:t xml:space="preserve"> </w:t>
      </w:r>
      <w:r w:rsidR="00E00241" w:rsidRPr="00E97BC8">
        <w:rPr>
          <w:rFonts w:cs="Times New Roman"/>
          <w:sz w:val="22"/>
          <w:szCs w:val="22"/>
        </w:rPr>
        <w:t xml:space="preserve">For the ordinal outcomes, place </w:t>
      </w:r>
      <w:r w:rsidR="002023B0" w:rsidRPr="00E97BC8">
        <w:rPr>
          <w:rFonts w:cs="Times New Roman"/>
          <w:sz w:val="22"/>
          <w:szCs w:val="22"/>
        </w:rPr>
        <w:t>a</w:t>
      </w:r>
      <w:r w:rsidR="00E00241" w:rsidRPr="00E97BC8">
        <w:rPr>
          <w:rFonts w:cs="Times New Roman"/>
          <w:sz w:val="22"/>
          <w:szCs w:val="22"/>
        </w:rPr>
        <w:t>n</w:t>
      </w:r>
      <w:r w:rsidR="002023B0" w:rsidRPr="00E97BC8">
        <w:rPr>
          <w:rFonts w:cs="Times New Roman"/>
          <w:sz w:val="22"/>
          <w:szCs w:val="22"/>
        </w:rPr>
        <w:t xml:space="preserve"> identity matrix of size </w:t>
      </w:r>
      <w:r w:rsidR="00DB3930" w:rsidRPr="00E97BC8">
        <w:rPr>
          <w:rFonts w:cs="Times New Roman"/>
          <w:position w:val="-10"/>
          <w:sz w:val="22"/>
          <w:szCs w:val="22"/>
        </w:rPr>
        <w:object w:dxaOrig="820" w:dyaOrig="320" w14:anchorId="6ACF05EC">
          <v:shape id="_x0000_i1172" type="#_x0000_t75" style="width:41.15pt;height:16.3pt" o:ole="" o:preferrelative="f">
            <v:imagedata r:id="rId289" o:title=""/>
            <o:lock v:ext="edit" aspectratio="f"/>
          </v:shape>
          <o:OLEObject Type="Embed" ProgID="Equation.DSMT4" ShapeID="_x0000_i1172" DrawAspect="Content" ObjectID="_1811172360" r:id="rId290"/>
        </w:object>
      </w:r>
      <w:r w:rsidR="00EA3086" w:rsidRPr="00E97BC8">
        <w:rPr>
          <w:rFonts w:cs="Times New Roman"/>
          <w:sz w:val="22"/>
          <w:szCs w:val="22"/>
        </w:rPr>
        <w:t xml:space="preserve"> into the first </w:t>
      </w:r>
      <w:r w:rsidR="00DB3930" w:rsidRPr="00E97BC8">
        <w:rPr>
          <w:rFonts w:cs="Times New Roman"/>
          <w:i/>
          <w:iCs/>
          <w:sz w:val="22"/>
          <w:szCs w:val="22"/>
        </w:rPr>
        <w:t>N</w:t>
      </w:r>
      <w:r w:rsidR="00EA3086" w:rsidRPr="00E97BC8">
        <w:rPr>
          <w:rFonts w:cs="Times New Roman"/>
          <w:sz w:val="22"/>
          <w:szCs w:val="22"/>
        </w:rPr>
        <w:t xml:space="preserve"> rows and </w:t>
      </w:r>
      <w:r w:rsidR="00DB3930" w:rsidRPr="00E97BC8">
        <w:rPr>
          <w:rFonts w:cs="Times New Roman"/>
          <w:i/>
          <w:iCs/>
          <w:sz w:val="22"/>
          <w:szCs w:val="22"/>
        </w:rPr>
        <w:t>N</w:t>
      </w:r>
      <w:r w:rsidR="00EA3086" w:rsidRPr="00E97BC8">
        <w:rPr>
          <w:rFonts w:cs="Times New Roman"/>
          <w:sz w:val="22"/>
          <w:szCs w:val="22"/>
        </w:rPr>
        <w:t xml:space="preserve"> columns of matrix </w:t>
      </w:r>
      <w:r w:rsidR="00DB3930" w:rsidRPr="00E97BC8">
        <w:rPr>
          <w:rFonts w:cs="Times New Roman"/>
          <w:b/>
          <w:sz w:val="22"/>
          <w:szCs w:val="22"/>
        </w:rPr>
        <w:t>M</w:t>
      </w:r>
      <w:r w:rsidR="00EA3086" w:rsidRPr="00E97BC8">
        <w:rPr>
          <w:rFonts w:cs="Times New Roman"/>
          <w:sz w:val="22"/>
          <w:szCs w:val="22"/>
        </w:rPr>
        <w:t xml:space="preserve">. </w:t>
      </w:r>
      <w:r w:rsidR="003C63B5" w:rsidRPr="00E97BC8">
        <w:rPr>
          <w:rFonts w:cs="Times New Roman"/>
          <w:sz w:val="22"/>
          <w:szCs w:val="22"/>
        </w:rPr>
        <w:t xml:space="preserve">Then for the ranked </w:t>
      </w:r>
      <w:r w:rsidR="00062D48" w:rsidRPr="00E97BC8">
        <w:rPr>
          <w:rFonts w:cs="Times New Roman"/>
          <w:sz w:val="22"/>
          <w:szCs w:val="22"/>
        </w:rPr>
        <w:t>outcome</w:t>
      </w:r>
      <w:r w:rsidR="003C63B5" w:rsidRPr="00E97BC8">
        <w:rPr>
          <w:rFonts w:cs="Times New Roman"/>
          <w:sz w:val="22"/>
          <w:szCs w:val="22"/>
        </w:rPr>
        <w:t>,</w:t>
      </w:r>
      <w:r w:rsidR="006F2B0D" w:rsidRPr="00E97BC8">
        <w:rPr>
          <w:rFonts w:cs="Times New Roman"/>
          <w:sz w:val="22"/>
          <w:szCs w:val="22"/>
        </w:rPr>
        <w:t xml:space="preserve"> place the contrast matrix </w:t>
      </w:r>
      <w:r w:rsidR="00DB3930" w:rsidRPr="00E97BC8">
        <w:rPr>
          <w:rFonts w:cs="Times New Roman"/>
          <w:position w:val="-12"/>
          <w:sz w:val="22"/>
          <w:szCs w:val="22"/>
        </w:rPr>
        <w:object w:dxaOrig="380" w:dyaOrig="360" w14:anchorId="48598C61">
          <v:shape id="_x0000_i1173" type="#_x0000_t75" style="width:18.85pt;height:18.85pt" o:ole="" o:preferrelative="f">
            <v:imagedata r:id="rId249" o:title=""/>
            <o:lock v:ext="edit" aspectratio="f"/>
          </v:shape>
          <o:OLEObject Type="Embed" ProgID="Equation.DSMT4" ShapeID="_x0000_i1173" DrawAspect="Content" ObjectID="_1811172361" r:id="rId291"/>
        </w:object>
      </w:r>
      <w:r w:rsidR="003C63B5" w:rsidRPr="00E97BC8">
        <w:rPr>
          <w:rFonts w:cs="Times New Roman"/>
          <w:sz w:val="22"/>
          <w:szCs w:val="22"/>
        </w:rPr>
        <w:t xml:space="preserve"> </w:t>
      </w:r>
      <w:r w:rsidR="007F1573" w:rsidRPr="00E97BC8">
        <w:rPr>
          <w:rFonts w:cs="Times New Roman"/>
          <w:sz w:val="22"/>
          <w:szCs w:val="22"/>
        </w:rPr>
        <w:t xml:space="preserve">in </w:t>
      </w:r>
      <w:r w:rsidR="003C63B5" w:rsidRPr="00E97BC8">
        <w:rPr>
          <w:rFonts w:cs="Times New Roman"/>
          <w:sz w:val="22"/>
          <w:szCs w:val="22"/>
        </w:rPr>
        <w:t xml:space="preserve">rows </w:t>
      </w:r>
      <w:r w:rsidR="00DB3930" w:rsidRPr="00E97BC8">
        <w:rPr>
          <w:rFonts w:cs="Times New Roman"/>
          <w:position w:val="-6"/>
          <w:sz w:val="22"/>
          <w:szCs w:val="22"/>
        </w:rPr>
        <w:object w:dxaOrig="560" w:dyaOrig="279" w14:anchorId="7CBD0196">
          <v:shape id="_x0000_i1174" type="#_x0000_t75" style="width:28.7pt;height:13.7pt" o:ole="" o:preferrelative="f">
            <v:imagedata r:id="rId292" o:title=""/>
            <o:lock v:ext="edit" aspectratio="f"/>
          </v:shape>
          <o:OLEObject Type="Embed" ProgID="Equation.DSMT4" ShapeID="_x0000_i1174" DrawAspect="Content" ObjectID="_1811172362" r:id="rId293"/>
        </w:object>
      </w:r>
      <w:r w:rsidR="003C63B5" w:rsidRPr="00E97BC8">
        <w:rPr>
          <w:rFonts w:cs="Times New Roman"/>
          <w:sz w:val="22"/>
          <w:szCs w:val="22"/>
        </w:rPr>
        <w:t xml:space="preserve"> to </w:t>
      </w:r>
      <w:r w:rsidR="00DB3930" w:rsidRPr="00E97BC8">
        <w:rPr>
          <w:rFonts w:cs="Times New Roman"/>
          <w:position w:val="-6"/>
          <w:sz w:val="22"/>
          <w:szCs w:val="22"/>
        </w:rPr>
        <w:object w:dxaOrig="880" w:dyaOrig="279" w14:anchorId="7147F5FD">
          <v:shape id="_x0000_i1175" type="#_x0000_t75" style="width:43.7pt;height:13.7pt" o:ole="" o:preferrelative="f">
            <v:imagedata r:id="rId294" o:title=""/>
            <o:lock v:ext="edit" aspectratio="f"/>
          </v:shape>
          <o:OLEObject Type="Embed" ProgID="Equation.DSMT4" ShapeID="_x0000_i1175" DrawAspect="Content" ObjectID="_1811172363" r:id="rId295"/>
        </w:object>
      </w:r>
      <w:r w:rsidR="003C63B5" w:rsidRPr="00E97BC8">
        <w:rPr>
          <w:rFonts w:cs="Times New Roman"/>
          <w:sz w:val="22"/>
          <w:szCs w:val="22"/>
        </w:rPr>
        <w:t xml:space="preserve"> and columns </w:t>
      </w:r>
      <w:r w:rsidR="006000EF" w:rsidRPr="00E97BC8">
        <w:rPr>
          <w:rFonts w:cs="Times New Roman"/>
          <w:position w:val="-6"/>
          <w:sz w:val="22"/>
          <w:szCs w:val="22"/>
        </w:rPr>
        <w:object w:dxaOrig="560" w:dyaOrig="279" w14:anchorId="6136D7E5">
          <v:shape id="_x0000_i1176" type="#_x0000_t75" style="width:28.7pt;height:13.7pt" o:ole="" o:preferrelative="f">
            <v:imagedata r:id="rId292" o:title=""/>
            <o:lock v:ext="edit" aspectratio="f"/>
          </v:shape>
          <o:OLEObject Type="Embed" ProgID="Equation.DSMT4" ShapeID="_x0000_i1176" DrawAspect="Content" ObjectID="_1811172364" r:id="rId296"/>
        </w:object>
      </w:r>
      <w:r w:rsidR="003C63B5" w:rsidRPr="00E97BC8">
        <w:rPr>
          <w:rFonts w:cs="Times New Roman"/>
          <w:sz w:val="22"/>
          <w:szCs w:val="22"/>
        </w:rPr>
        <w:t xml:space="preserve"> to </w:t>
      </w:r>
      <w:r w:rsidR="006000EF" w:rsidRPr="00E97BC8">
        <w:rPr>
          <w:rFonts w:cs="Times New Roman"/>
          <w:position w:val="-6"/>
          <w:sz w:val="22"/>
          <w:szCs w:val="22"/>
        </w:rPr>
        <w:object w:dxaOrig="600" w:dyaOrig="279" w14:anchorId="11D9FCAC">
          <v:shape id="_x0000_i1177" type="#_x0000_t75" style="width:30pt;height:13.7pt" o:ole="" o:preferrelative="f">
            <v:imagedata r:id="rId297" o:title=""/>
            <o:lock v:ext="edit" aspectratio="f"/>
          </v:shape>
          <o:OLEObject Type="Embed" ProgID="Equation.DSMT4" ShapeID="_x0000_i1177" DrawAspect="Content" ObjectID="_1811172365" r:id="rId298"/>
        </w:object>
      </w:r>
      <w:r w:rsidR="00AB2569" w:rsidRPr="00E97BC8">
        <w:rPr>
          <w:rFonts w:cs="Times New Roman"/>
          <w:sz w:val="22"/>
          <w:szCs w:val="22"/>
        </w:rPr>
        <w:t xml:space="preserve">. </w:t>
      </w:r>
      <w:r w:rsidR="00AB6BBB" w:rsidRPr="00E97BC8">
        <w:rPr>
          <w:rFonts w:cs="Times New Roman"/>
          <w:sz w:val="22"/>
          <w:szCs w:val="22"/>
        </w:rPr>
        <w:t xml:space="preserve">Thus, in the case of </w:t>
      </w:r>
      <w:r w:rsidR="006000EF" w:rsidRPr="00E97BC8">
        <w:rPr>
          <w:rFonts w:cs="Times New Roman"/>
          <w:position w:val="-6"/>
          <w:sz w:val="22"/>
          <w:szCs w:val="22"/>
        </w:rPr>
        <w:object w:dxaOrig="639" w:dyaOrig="279" w14:anchorId="647BBFE8">
          <v:shape id="_x0000_i1178" type="#_x0000_t75" style="width:31.7pt;height:13.7pt" o:ole="" o:preferrelative="f">
            <v:imagedata r:id="rId299" o:title=""/>
            <o:lock v:ext="edit" aspectratio="f"/>
          </v:shape>
          <o:OLEObject Type="Embed" ProgID="Equation.DSMT4" ShapeID="_x0000_i1178" DrawAspect="Content" ObjectID="_1811172366" r:id="rId300"/>
        </w:object>
      </w:r>
      <w:r w:rsidR="00664CBB" w:rsidRPr="00E97BC8">
        <w:rPr>
          <w:rFonts w:cs="Times New Roman"/>
          <w:sz w:val="22"/>
          <w:szCs w:val="22"/>
        </w:rPr>
        <w:t xml:space="preserve"> and</w:t>
      </w:r>
      <w:r w:rsidR="00AB6BBB" w:rsidRPr="00E97BC8">
        <w:rPr>
          <w:rFonts w:cs="Times New Roman"/>
          <w:sz w:val="22"/>
          <w:szCs w:val="22"/>
        </w:rPr>
        <w:t xml:space="preserve"> </w:t>
      </w:r>
      <w:r w:rsidR="006000EF" w:rsidRPr="00E97BC8">
        <w:rPr>
          <w:rFonts w:cs="Times New Roman"/>
          <w:position w:val="-4"/>
          <w:sz w:val="22"/>
          <w:szCs w:val="22"/>
        </w:rPr>
        <w:object w:dxaOrig="560" w:dyaOrig="260" w14:anchorId="157717C1">
          <v:shape id="_x0000_i1179" type="#_x0000_t75" style="width:28.7pt;height:13.3pt" o:ole="" o:preferrelative="f">
            <v:imagedata r:id="rId301" o:title=""/>
            <o:lock v:ext="edit" aspectratio="f"/>
          </v:shape>
          <o:OLEObject Type="Embed" ProgID="Equation.DSMT4" ShapeID="_x0000_i1179" DrawAspect="Content" ObjectID="_1811172367" r:id="rId302"/>
        </w:object>
      </w:r>
      <w:r w:rsidR="00AB6BBB" w:rsidRPr="00E97BC8">
        <w:rPr>
          <w:rFonts w:cs="Times New Roman"/>
          <w:sz w:val="22"/>
          <w:szCs w:val="22"/>
        </w:rPr>
        <w:t xml:space="preserve">, if the individual’s ranking </w:t>
      </w:r>
      <w:r w:rsidR="00760F14" w:rsidRPr="00E97BC8">
        <w:rPr>
          <w:rFonts w:cs="Times New Roman"/>
          <w:sz w:val="22"/>
          <w:szCs w:val="22"/>
        </w:rPr>
        <w:t>fo</w:t>
      </w:r>
      <w:r w:rsidR="00062D48" w:rsidRPr="00E97BC8">
        <w:rPr>
          <w:rFonts w:cs="Times New Roman"/>
          <w:sz w:val="22"/>
          <w:szCs w:val="22"/>
        </w:rPr>
        <w:t xml:space="preserve">r two </w:t>
      </w:r>
      <w:r w:rsidR="00760F14" w:rsidRPr="00E97BC8">
        <w:rPr>
          <w:rFonts w:cs="Times New Roman"/>
          <w:sz w:val="22"/>
          <w:szCs w:val="22"/>
        </w:rPr>
        <w:t xml:space="preserve">ranked outcomes </w:t>
      </w:r>
      <w:r w:rsidR="00AB6BBB" w:rsidRPr="00E97BC8">
        <w:rPr>
          <w:rFonts w:cs="Times New Roman"/>
          <w:sz w:val="22"/>
          <w:szCs w:val="22"/>
        </w:rPr>
        <w:t xml:space="preserve">(from the top choice to the last choice) is </w:t>
      </w:r>
      <w:r w:rsidR="006000EF" w:rsidRPr="00E97BC8">
        <w:rPr>
          <w:rFonts w:cs="Times New Roman"/>
          <w:position w:val="-4"/>
          <w:sz w:val="22"/>
          <w:szCs w:val="22"/>
        </w:rPr>
        <w:object w:dxaOrig="499" w:dyaOrig="260" w14:anchorId="18376112">
          <v:shape id="_x0000_i1180" type="#_x0000_t75" style="width:25.3pt;height:13.3pt" o:ole="" o:preferrelative="f">
            <v:imagedata r:id="rId303" o:title=""/>
            <o:lock v:ext="edit" aspectratio="f"/>
          </v:shape>
          <o:OLEObject Type="Embed" ProgID="Equation.DSMT4" ShapeID="_x0000_i1180" DrawAspect="Content" ObjectID="_1811172368" r:id="rId304"/>
        </w:object>
      </w:r>
      <w:r w:rsidR="00801770" w:rsidRPr="00E97BC8">
        <w:rPr>
          <w:rFonts w:cs="Times New Roman"/>
          <w:sz w:val="22"/>
          <w:szCs w:val="22"/>
        </w:rPr>
        <w:t xml:space="preserve"> (with alternatives 2 and 3 unranked)</w:t>
      </w:r>
      <w:r w:rsidR="00AB6BBB" w:rsidRPr="00E97BC8">
        <w:rPr>
          <w:rFonts w:cs="Times New Roman"/>
          <w:sz w:val="22"/>
          <w:szCs w:val="22"/>
        </w:rPr>
        <w:t xml:space="preserve">, then the </w:t>
      </w:r>
      <w:r w:rsidR="00AB6BBB" w:rsidRPr="00E97BC8">
        <w:rPr>
          <w:rFonts w:cs="Times New Roman"/>
          <w:b/>
          <w:sz w:val="22"/>
          <w:szCs w:val="22"/>
        </w:rPr>
        <w:t>M</w:t>
      </w:r>
      <w:r w:rsidR="00AB6BBB" w:rsidRPr="00E97BC8">
        <w:rPr>
          <w:rFonts w:cs="Times New Roman"/>
          <w:sz w:val="22"/>
          <w:szCs w:val="22"/>
        </w:rPr>
        <w:t xml:space="preserve"> matrix for this individual is as below:</w:t>
      </w:r>
    </w:p>
    <w:p w14:paraId="303593E1" w14:textId="50DDE508" w:rsidR="00AB6BBB" w:rsidRPr="00E97BC8" w:rsidRDefault="00C55A95" w:rsidP="00E85093">
      <w:pPr>
        <w:spacing w:after="0" w:line="240" w:lineRule="auto"/>
        <w:jc w:val="both"/>
        <w:rPr>
          <w:rFonts w:cs="Times New Roman"/>
          <w:sz w:val="22"/>
          <w:szCs w:val="22"/>
        </w:rPr>
      </w:pPr>
      <w:r w:rsidRPr="00E97BC8">
        <w:rPr>
          <w:rFonts w:cs="Times New Roman"/>
          <w:position w:val="-84"/>
          <w:sz w:val="22"/>
          <w:szCs w:val="22"/>
        </w:rPr>
        <w:object w:dxaOrig="3500" w:dyaOrig="1800" w14:anchorId="7F51C371">
          <v:shape id="_x0000_i1181" type="#_x0000_t75" style="width:174.85pt;height:90pt" o:ole="" o:preferrelative="f">
            <v:imagedata r:id="rId305" o:title=""/>
            <o:lock v:ext="edit" aspectratio="f"/>
          </v:shape>
          <o:OLEObject Type="Embed" ProgID="Equation.DSMT4" ShapeID="_x0000_i1181" DrawAspect="Content" ObjectID="_1811172369" r:id="rId306"/>
        </w:object>
      </w:r>
      <w:r w:rsidR="00265F4C" w:rsidRPr="00E97BC8">
        <w:rPr>
          <w:rFonts w:cs="Times New Roman"/>
          <w:sz w:val="22"/>
          <w:szCs w:val="22"/>
        </w:rPr>
        <w:t>.</w:t>
      </w:r>
    </w:p>
    <w:p w14:paraId="1AC57E85" w14:textId="5602695D" w:rsidR="004C0F99" w:rsidRPr="00E97BC8" w:rsidRDefault="00771D0F" w:rsidP="00E85093">
      <w:pPr>
        <w:spacing w:after="0" w:line="240" w:lineRule="auto"/>
        <w:ind w:firstLine="720"/>
        <w:jc w:val="both"/>
        <w:rPr>
          <w:rFonts w:cs="Times New Roman"/>
          <w:sz w:val="22"/>
          <w:szCs w:val="22"/>
        </w:rPr>
      </w:pPr>
      <w:r w:rsidRPr="00E97BC8">
        <w:rPr>
          <w:rFonts w:cs="Times New Roman"/>
          <w:sz w:val="22"/>
          <w:szCs w:val="22"/>
        </w:rPr>
        <w:t>U</w:t>
      </w:r>
      <w:r w:rsidR="00E86F6A" w:rsidRPr="00E97BC8">
        <w:rPr>
          <w:rFonts w:cs="Times New Roman"/>
          <w:sz w:val="22"/>
          <w:szCs w:val="22"/>
        </w:rPr>
        <w:t xml:space="preserve">sing the contrast matrix </w:t>
      </w:r>
      <w:r w:rsidR="004C0F99" w:rsidRPr="00E97BC8">
        <w:rPr>
          <w:rFonts w:cs="Times New Roman"/>
          <w:b/>
          <w:sz w:val="22"/>
          <w:szCs w:val="22"/>
        </w:rPr>
        <w:t>M</w:t>
      </w:r>
      <w:r w:rsidR="004C0F99" w:rsidRPr="00E97BC8">
        <w:rPr>
          <w:rFonts w:cs="Times New Roman"/>
          <w:sz w:val="22"/>
          <w:szCs w:val="22"/>
        </w:rPr>
        <w:t xml:space="preserve">, we can </w:t>
      </w:r>
      <w:r w:rsidR="00A41648" w:rsidRPr="00E97BC8">
        <w:rPr>
          <w:rFonts w:cs="Times New Roman"/>
          <w:sz w:val="22"/>
          <w:szCs w:val="22"/>
        </w:rPr>
        <w:t xml:space="preserve">develop the distribution of the vector </w:t>
      </w:r>
      <w:r w:rsidR="006000EF" w:rsidRPr="00E97BC8">
        <w:rPr>
          <w:rFonts w:cs="Times New Roman"/>
          <w:position w:val="-10"/>
          <w:sz w:val="22"/>
          <w:szCs w:val="22"/>
        </w:rPr>
        <w:object w:dxaOrig="340" w:dyaOrig="260" w14:anchorId="2B7D0D75">
          <v:shape id="_x0000_i1182" type="#_x0000_t75" style="width:16.7pt;height:13.3pt" o:ole="" o:preferrelative="f">
            <v:imagedata r:id="rId307" o:title=""/>
            <o:lock v:ext="edit" aspectratio="f"/>
          </v:shape>
          <o:OLEObject Type="Embed" ProgID="Equation.DSMT4" ShapeID="_x0000_i1182" DrawAspect="Content" ObjectID="_1811172370" r:id="rId308"/>
        </w:object>
      </w:r>
      <w:r w:rsidR="00A41648" w:rsidRPr="00E97BC8">
        <w:rPr>
          <w:rFonts w:cs="Times New Roman"/>
          <w:sz w:val="22"/>
          <w:szCs w:val="22"/>
        </w:rPr>
        <w:t xml:space="preserve"> </w:t>
      </w:r>
      <w:r w:rsidR="00835C9E" w:rsidRPr="00E97BC8">
        <w:rPr>
          <w:rFonts w:cs="Times New Roman"/>
          <w:sz w:val="22"/>
          <w:szCs w:val="22"/>
        </w:rPr>
        <w:t xml:space="preserve">from that of </w:t>
      </w:r>
      <w:r w:rsidR="006000EF" w:rsidRPr="00E97BC8">
        <w:rPr>
          <w:rFonts w:cs="Times New Roman"/>
          <w:position w:val="-10"/>
          <w:sz w:val="22"/>
          <w:szCs w:val="22"/>
        </w:rPr>
        <w:object w:dxaOrig="420" w:dyaOrig="320" w14:anchorId="11607216">
          <v:shape id="_x0000_i1183" type="#_x0000_t75" style="width:20.15pt;height:16.3pt" o:ole="" o:preferrelative="f">
            <v:imagedata r:id="rId309" o:title=""/>
            <o:lock v:ext="edit" aspectratio="f"/>
          </v:shape>
          <o:OLEObject Type="Embed" ProgID="Equation.DSMT4" ShapeID="_x0000_i1183" DrawAspect="Content" ObjectID="_1811172371" r:id="rId310"/>
        </w:object>
      </w:r>
      <w:r w:rsidRPr="00E97BC8">
        <w:rPr>
          <w:rFonts w:cs="Times New Roman"/>
          <w:sz w:val="22"/>
          <w:szCs w:val="22"/>
        </w:rPr>
        <w:t xml:space="preserve"> because </w:t>
      </w:r>
      <w:r w:rsidR="006000EF" w:rsidRPr="00E97BC8">
        <w:rPr>
          <w:rFonts w:cs="Times New Roman"/>
          <w:position w:val="-10"/>
          <w:sz w:val="22"/>
          <w:szCs w:val="22"/>
        </w:rPr>
        <w:object w:dxaOrig="1320" w:dyaOrig="320" w14:anchorId="25BE8A2D">
          <v:shape id="_x0000_i1184" type="#_x0000_t75" style="width:66.85pt;height:16.3pt" o:ole="" o:preferrelative="f">
            <v:imagedata r:id="rId311" o:title=""/>
            <o:lock v:ext="edit" aspectratio="f"/>
          </v:shape>
          <o:OLEObject Type="Embed" ProgID="Equation.DSMT4" ShapeID="_x0000_i1184" DrawAspect="Content" ObjectID="_1811172372" r:id="rId312"/>
        </w:object>
      </w:r>
      <w:r w:rsidR="00A90779" w:rsidRPr="00E97BC8">
        <w:rPr>
          <w:rFonts w:cs="Times New Roman"/>
          <w:sz w:val="22"/>
          <w:szCs w:val="22"/>
        </w:rPr>
        <w:t xml:space="preserve">. </w:t>
      </w:r>
      <w:r w:rsidRPr="00E97BC8">
        <w:rPr>
          <w:rFonts w:cs="Times New Roman"/>
          <w:sz w:val="22"/>
          <w:szCs w:val="22"/>
        </w:rPr>
        <w:t xml:space="preserve">Specifically, </w:t>
      </w:r>
      <w:r w:rsidR="006000EF" w:rsidRPr="00E97BC8">
        <w:rPr>
          <w:rFonts w:cs="Times New Roman"/>
          <w:position w:val="-12"/>
          <w:sz w:val="22"/>
          <w:szCs w:val="22"/>
        </w:rPr>
        <w:object w:dxaOrig="2320" w:dyaOrig="400" w14:anchorId="167AF25E">
          <v:shape id="_x0000_i1185" type="#_x0000_t75" style="width:115.7pt;height:20.15pt" o:ole="" o:preferrelative="f">
            <v:imagedata r:id="rId313" o:title=""/>
            <o:lock v:ext="edit" aspectratio="f"/>
          </v:shape>
          <o:OLEObject Type="Embed" ProgID="Equation.DSMT4" ShapeID="_x0000_i1185" DrawAspect="Content" ObjectID="_1811172373" r:id="rId314"/>
        </w:object>
      </w:r>
      <w:r w:rsidR="004C0F99" w:rsidRPr="00E97BC8">
        <w:rPr>
          <w:rFonts w:cs="Times New Roman"/>
          <w:sz w:val="22"/>
          <w:szCs w:val="22"/>
        </w:rPr>
        <w:t xml:space="preserve"> where </w:t>
      </w:r>
      <w:r w:rsidR="006000EF" w:rsidRPr="00E97BC8">
        <w:rPr>
          <w:rFonts w:cs="Times New Roman"/>
          <w:position w:val="-4"/>
          <w:sz w:val="22"/>
          <w:szCs w:val="22"/>
        </w:rPr>
        <w:object w:dxaOrig="880" w:dyaOrig="300" w14:anchorId="62B32E57">
          <v:shape id="_x0000_i1186" type="#_x0000_t75" style="width:43.7pt;height:15pt" o:ole="" o:preferrelative="f">
            <v:imagedata r:id="rId315" o:title=""/>
            <o:lock v:ext="edit" aspectratio="f"/>
          </v:shape>
          <o:OLEObject Type="Embed" ProgID="Equation.DSMT4" ShapeID="_x0000_i1186" DrawAspect="Content" ObjectID="_1811172374" r:id="rId316"/>
        </w:object>
      </w:r>
      <w:r w:rsidR="000F02B5" w:rsidRPr="00E97BC8">
        <w:rPr>
          <w:rFonts w:cs="Times New Roman"/>
          <w:sz w:val="22"/>
          <w:szCs w:val="22"/>
        </w:rPr>
        <w:t>,</w:t>
      </w:r>
      <w:r w:rsidR="004C0F99" w:rsidRPr="00E97BC8">
        <w:rPr>
          <w:rFonts w:cs="Times New Roman"/>
          <w:sz w:val="22"/>
          <w:szCs w:val="22"/>
        </w:rPr>
        <w:t xml:space="preserve"> </w:t>
      </w:r>
      <w:r w:rsidR="006000EF" w:rsidRPr="00E97BC8">
        <w:rPr>
          <w:rFonts w:cs="Times New Roman"/>
          <w:position w:val="-4"/>
          <w:sz w:val="22"/>
          <w:szCs w:val="22"/>
        </w:rPr>
        <w:object w:dxaOrig="1219" w:dyaOrig="320" w14:anchorId="4C1184CC">
          <v:shape id="_x0000_i1187" type="#_x0000_t75" style="width:61.3pt;height:16.3pt" o:ole="" o:preferrelative="f">
            <v:imagedata r:id="rId317" o:title=""/>
            <o:lock v:ext="edit" aspectratio="f"/>
          </v:shape>
          <o:OLEObject Type="Embed" ProgID="Equation.DSMT4" ShapeID="_x0000_i1187" DrawAspect="Content" ObjectID="_1811172375" r:id="rId318"/>
        </w:object>
      </w:r>
      <w:r w:rsidR="004C0F99" w:rsidRPr="00E97BC8">
        <w:rPr>
          <w:rFonts w:cs="Times New Roman"/>
          <w:sz w:val="22"/>
          <w:szCs w:val="22"/>
        </w:rPr>
        <w:t>.</w:t>
      </w:r>
    </w:p>
    <w:p w14:paraId="1A3A5459" w14:textId="2F8B5D9B" w:rsidR="00F70DF1" w:rsidRPr="00E97BC8" w:rsidRDefault="004C0F99" w:rsidP="00E85093">
      <w:pPr>
        <w:tabs>
          <w:tab w:val="right" w:pos="9360"/>
        </w:tabs>
        <w:spacing w:after="0" w:line="240" w:lineRule="auto"/>
        <w:ind w:firstLine="720"/>
        <w:jc w:val="both"/>
        <w:rPr>
          <w:rFonts w:cs="Times New Roman"/>
          <w:sz w:val="22"/>
          <w:szCs w:val="22"/>
        </w:rPr>
      </w:pPr>
      <w:r w:rsidRPr="00E97BC8">
        <w:rPr>
          <w:rFonts w:cs="Times New Roman"/>
          <w:sz w:val="22"/>
          <w:szCs w:val="22"/>
        </w:rPr>
        <w:t>Next, define</w:t>
      </w:r>
      <w:r w:rsidR="00291E6B" w:rsidRPr="00E97BC8">
        <w:rPr>
          <w:rFonts w:cs="Times New Roman"/>
          <w:sz w:val="22"/>
          <w:szCs w:val="22"/>
        </w:rPr>
        <w:t xml:space="preserve"> the two </w:t>
      </w:r>
      <w:r w:rsidR="006000EF" w:rsidRPr="00E97BC8">
        <w:rPr>
          <w:rFonts w:cs="Times New Roman"/>
          <w:position w:val="-14"/>
          <w:sz w:val="22"/>
          <w:szCs w:val="22"/>
        </w:rPr>
        <w:object w:dxaOrig="1500" w:dyaOrig="400" w14:anchorId="0364D85A">
          <v:shape id="_x0000_i1188" type="#_x0000_t75" style="width:75.85pt;height:20.15pt" o:ole="" o:preferrelative="f">
            <v:imagedata r:id="rId319" o:title=""/>
            <o:lock v:ext="edit" aspectratio="f"/>
          </v:shape>
          <o:OLEObject Type="Embed" ProgID="Equation.DSMT4" ShapeID="_x0000_i1188" DrawAspect="Content" ObjectID="_1811172376" r:id="rId320"/>
        </w:object>
      </w:r>
      <w:r w:rsidRPr="00E97BC8">
        <w:rPr>
          <w:rFonts w:cs="Times New Roman"/>
          <w:sz w:val="22"/>
          <w:szCs w:val="22"/>
        </w:rPr>
        <w:t xml:space="preserve"> threshold vectors</w:t>
      </w:r>
      <w:r w:rsidR="000E1777" w:rsidRPr="00E97BC8">
        <w:rPr>
          <w:rFonts w:cs="Times New Roman"/>
          <w:sz w:val="22"/>
          <w:szCs w:val="22"/>
        </w:rPr>
        <w:t xml:space="preserve"> </w:t>
      </w:r>
      <w:r w:rsidR="006000EF" w:rsidRPr="00E97BC8">
        <w:rPr>
          <w:rFonts w:cs="Times New Roman"/>
          <w:position w:val="-32"/>
          <w:sz w:val="22"/>
          <w:szCs w:val="22"/>
        </w:rPr>
        <w:object w:dxaOrig="1480" w:dyaOrig="760" w14:anchorId="5775931C">
          <v:shape id="_x0000_i1189" type="#_x0000_t75" style="width:73.3pt;height:38.15pt" o:ole="" o:preferrelative="f">
            <v:imagedata r:id="rId321" o:title=""/>
            <o:lock v:ext="edit" aspectratio="f"/>
          </v:shape>
          <o:OLEObject Type="Embed" ProgID="Equation.DSMT4" ShapeID="_x0000_i1189" DrawAspect="Content" ObjectID="_1811172377" r:id="rId322"/>
        </w:object>
      </w:r>
      <w:r w:rsidRPr="00E97BC8">
        <w:rPr>
          <w:rFonts w:cs="Times New Roman"/>
          <w:sz w:val="22"/>
          <w:szCs w:val="22"/>
        </w:rPr>
        <w:t xml:space="preserve"> and </w:t>
      </w:r>
      <w:r w:rsidR="006000EF" w:rsidRPr="00E97BC8">
        <w:rPr>
          <w:rFonts w:cs="Times New Roman"/>
          <w:position w:val="-32"/>
          <w:sz w:val="22"/>
          <w:szCs w:val="22"/>
        </w:rPr>
        <w:object w:dxaOrig="1219" w:dyaOrig="760" w14:anchorId="798AB83A">
          <v:shape id="_x0000_i1190" type="#_x0000_t75" style="width:61.3pt;height:38.15pt" o:ole="" o:preferrelative="f">
            <v:imagedata r:id="rId323" o:title=""/>
            <o:lock v:ext="edit" aspectratio="f"/>
          </v:shape>
          <o:OLEObject Type="Embed" ProgID="Equation.DSMT4" ShapeID="_x0000_i1190" DrawAspect="Content" ObjectID="_1811172378" r:id="rId324"/>
        </w:object>
      </w:r>
      <w:r w:rsidRPr="00E97BC8">
        <w:rPr>
          <w:rFonts w:cs="Times New Roman"/>
          <w:sz w:val="22"/>
          <w:szCs w:val="22"/>
        </w:rPr>
        <w:t xml:space="preserve">, where </w:t>
      </w:r>
      <w:r w:rsidR="00BB15C1" w:rsidRPr="00E97BC8">
        <w:rPr>
          <w:rFonts w:cs="Times New Roman"/>
          <w:position w:val="-12"/>
          <w:sz w:val="22"/>
          <w:szCs w:val="22"/>
        </w:rPr>
        <w:object w:dxaOrig="600" w:dyaOrig="360" w14:anchorId="5CCEE9AC">
          <v:shape id="_x0000_i1191" type="#_x0000_t75" style="width:30pt;height:18.85pt" o:ole="">
            <v:imagedata r:id="rId325" o:title=""/>
          </v:shape>
          <o:OLEObject Type="Embed" ProgID="Equation.DSMT4" ShapeID="_x0000_i1191" DrawAspect="Content" ObjectID="_1811172379" r:id="rId326"/>
        </w:object>
      </w:r>
      <w:r w:rsidR="00F74657" w:rsidRPr="00E97BC8">
        <w:rPr>
          <w:rFonts w:cs="Times New Roman"/>
          <w:sz w:val="22"/>
          <w:szCs w:val="22"/>
        </w:rPr>
        <w:t xml:space="preserve"> </w:t>
      </w:r>
      <w:r w:rsidR="00E00241" w:rsidRPr="00E97BC8">
        <w:rPr>
          <w:rFonts w:cs="Times New Roman"/>
          <w:sz w:val="22"/>
          <w:szCs w:val="22"/>
        </w:rPr>
        <w:t xml:space="preserve">represents </w:t>
      </w:r>
      <w:r w:rsidRPr="00E97BC8">
        <w:rPr>
          <w:rFonts w:cs="Times New Roman"/>
          <w:sz w:val="22"/>
          <w:szCs w:val="22"/>
        </w:rPr>
        <w:t xml:space="preserve">a </w:t>
      </w:r>
      <w:r w:rsidR="006000EF" w:rsidRPr="00E97BC8">
        <w:rPr>
          <w:rFonts w:cs="Times New Roman"/>
          <w:position w:val="-14"/>
          <w:sz w:val="22"/>
          <w:szCs w:val="22"/>
        </w:rPr>
        <w:object w:dxaOrig="1080" w:dyaOrig="400" w14:anchorId="06F12068">
          <v:shape id="_x0000_i1192" type="#_x0000_t75" style="width:54.85pt;height:20.15pt" o:ole="" o:preferrelative="f">
            <v:imagedata r:id="rId327" o:title=""/>
            <o:lock v:ext="edit" aspectratio="f"/>
          </v:shape>
          <o:OLEObject Type="Embed" ProgID="Equation.DSMT4" ShapeID="_x0000_i1192" DrawAspect="Content" ObjectID="_1811172380" r:id="rId328"/>
        </w:object>
      </w:r>
      <w:r w:rsidR="00F74657" w:rsidRPr="00E97BC8">
        <w:rPr>
          <w:rFonts w:cs="Times New Roman"/>
          <w:sz w:val="22"/>
          <w:szCs w:val="22"/>
        </w:rPr>
        <w:t xml:space="preserve"> </w:t>
      </w:r>
      <w:r w:rsidRPr="00E97BC8">
        <w:rPr>
          <w:rFonts w:cs="Times New Roman"/>
          <w:sz w:val="22"/>
          <w:szCs w:val="22"/>
        </w:rPr>
        <w:t>column vector of negative infinities, and</w:t>
      </w:r>
      <w:r w:rsidR="00A071B8" w:rsidRPr="00E97BC8">
        <w:rPr>
          <w:rFonts w:cs="Times New Roman"/>
          <w:sz w:val="22"/>
          <w:szCs w:val="22"/>
        </w:rPr>
        <w:t xml:space="preserve"> </w:t>
      </w:r>
      <w:r w:rsidR="006000EF" w:rsidRPr="00E97BC8">
        <w:rPr>
          <w:rFonts w:cs="Times New Roman"/>
          <w:position w:val="-12"/>
          <w:sz w:val="22"/>
          <w:szCs w:val="22"/>
        </w:rPr>
        <w:object w:dxaOrig="400" w:dyaOrig="360" w14:anchorId="40526953">
          <v:shape id="_x0000_i1193" type="#_x0000_t75" style="width:20.15pt;height:18.85pt" o:ole="" o:preferrelative="f">
            <v:imagedata r:id="rId329" o:title=""/>
            <o:lock v:ext="edit" aspectratio="f"/>
          </v:shape>
          <o:OLEObject Type="Embed" ProgID="Equation.DSMT4" ShapeID="_x0000_i1193" DrawAspect="Content" ObjectID="_1811172381" r:id="rId330"/>
        </w:object>
      </w:r>
      <w:r w:rsidRPr="00E97BC8">
        <w:rPr>
          <w:rFonts w:cs="Times New Roman"/>
          <w:position w:val="-10"/>
          <w:sz w:val="22"/>
          <w:szCs w:val="22"/>
        </w:rPr>
        <w:t xml:space="preserve"> </w:t>
      </w:r>
      <w:r w:rsidR="00E00241" w:rsidRPr="00E97BC8">
        <w:rPr>
          <w:rFonts w:cs="Times New Roman"/>
          <w:sz w:val="22"/>
          <w:szCs w:val="22"/>
        </w:rPr>
        <w:t xml:space="preserve">represents </w:t>
      </w:r>
      <w:r w:rsidRPr="00E97BC8">
        <w:rPr>
          <w:rFonts w:cs="Times New Roman"/>
          <w:sz w:val="22"/>
          <w:szCs w:val="22"/>
        </w:rPr>
        <w:t>a</w:t>
      </w:r>
      <w:r w:rsidR="004D58C8" w:rsidRPr="00E97BC8">
        <w:rPr>
          <w:rFonts w:cs="Times New Roman"/>
          <w:sz w:val="22"/>
          <w:szCs w:val="22"/>
        </w:rPr>
        <w:t xml:space="preserve"> </w:t>
      </w:r>
      <w:r w:rsidR="006000EF" w:rsidRPr="00E97BC8">
        <w:rPr>
          <w:rFonts w:cs="Times New Roman"/>
          <w:position w:val="-14"/>
          <w:sz w:val="22"/>
          <w:szCs w:val="22"/>
        </w:rPr>
        <w:object w:dxaOrig="1080" w:dyaOrig="400" w14:anchorId="4557BD2C">
          <v:shape id="_x0000_i1194" type="#_x0000_t75" style="width:54.85pt;height:20.15pt" o:ole="" o:preferrelative="f">
            <v:imagedata r:id="rId327" o:title=""/>
            <o:lock v:ext="edit" aspectratio="f"/>
          </v:shape>
          <o:OLEObject Type="Embed" ProgID="Equation.DSMT4" ShapeID="_x0000_i1194" DrawAspect="Content" ObjectID="_1811172382" r:id="rId331"/>
        </w:object>
      </w:r>
      <w:r w:rsidR="004D58C8" w:rsidRPr="00E97BC8">
        <w:rPr>
          <w:rFonts w:cs="Times New Roman"/>
          <w:sz w:val="22"/>
          <w:szCs w:val="22"/>
        </w:rPr>
        <w:t xml:space="preserve"> c</w:t>
      </w:r>
      <w:r w:rsidRPr="00E97BC8">
        <w:rPr>
          <w:rFonts w:cs="Times New Roman"/>
          <w:sz w:val="22"/>
          <w:szCs w:val="22"/>
        </w:rPr>
        <w:t xml:space="preserve">olumn vector of zeros. </w:t>
      </w:r>
      <w:r w:rsidR="00E00241" w:rsidRPr="00E97BC8">
        <w:rPr>
          <w:rFonts w:cs="Times New Roman"/>
          <w:sz w:val="22"/>
          <w:szCs w:val="22"/>
        </w:rPr>
        <w:t>Collect the set of p</w:t>
      </w:r>
      <w:r w:rsidR="00906BDC" w:rsidRPr="00E97BC8">
        <w:rPr>
          <w:rFonts w:cs="Times New Roman"/>
          <w:sz w:val="22"/>
          <w:szCs w:val="22"/>
        </w:rPr>
        <w:t xml:space="preserve">arameters to be estimated </w:t>
      </w:r>
      <w:r w:rsidR="00E00241" w:rsidRPr="00E97BC8">
        <w:rPr>
          <w:rFonts w:cs="Times New Roman"/>
          <w:sz w:val="22"/>
          <w:szCs w:val="22"/>
        </w:rPr>
        <w:t xml:space="preserve">into the vector </w:t>
      </w:r>
      <w:r w:rsidR="006000EF" w:rsidRPr="00E97BC8">
        <w:rPr>
          <w:rFonts w:cs="Times New Roman"/>
          <w:position w:val="-12"/>
          <w:sz w:val="22"/>
          <w:szCs w:val="22"/>
        </w:rPr>
        <w:object w:dxaOrig="8559" w:dyaOrig="400" w14:anchorId="46813928">
          <v:shape id="_x0000_i1195" type="#_x0000_t75" style="width:426.85pt;height:20.15pt" o:ole="" o:preferrelative="f">
            <v:imagedata r:id="rId332" o:title=""/>
            <o:lock v:ext="edit" aspectratio="f"/>
          </v:shape>
          <o:OLEObject Type="Embed" ProgID="Equation.DSMT4" ShapeID="_x0000_i1195" DrawAspect="Content" ObjectID="_1811172383" r:id="rId333"/>
        </w:object>
      </w:r>
      <w:r w:rsidR="00906BDC" w:rsidRPr="00E97BC8">
        <w:rPr>
          <w:rFonts w:cs="Times New Roman"/>
          <w:sz w:val="22"/>
          <w:szCs w:val="22"/>
        </w:rPr>
        <w:t xml:space="preserve"> where the operator </w:t>
      </w:r>
      <w:r w:rsidR="006000EF" w:rsidRPr="00E97BC8">
        <w:rPr>
          <w:rFonts w:cs="Times New Roman"/>
          <w:position w:val="-10"/>
          <w:sz w:val="22"/>
          <w:szCs w:val="22"/>
        </w:rPr>
        <w:object w:dxaOrig="800" w:dyaOrig="320" w14:anchorId="2CAB06B6">
          <v:shape id="_x0000_i1196" type="#_x0000_t75" style="width:40.7pt;height:16.3pt" o:ole="" o:preferrelative="f">
            <v:imagedata r:id="rId334" o:title=""/>
            <o:lock v:ext="edit" aspectratio="f"/>
          </v:shape>
          <o:OLEObject Type="Embed" ProgID="Equation.DSMT4" ShapeID="_x0000_i1196" DrawAspect="Content" ObjectID="_1811172384" r:id="rId335"/>
        </w:object>
      </w:r>
      <w:r w:rsidR="00E00241" w:rsidRPr="00E97BC8">
        <w:rPr>
          <w:rFonts w:cs="Times New Roman"/>
          <w:sz w:val="22"/>
          <w:szCs w:val="22"/>
        </w:rPr>
        <w:t xml:space="preserve"> </w:t>
      </w:r>
      <w:r w:rsidR="00906BDC" w:rsidRPr="00E97BC8">
        <w:rPr>
          <w:rFonts w:cs="Times New Roman"/>
          <w:sz w:val="22"/>
          <w:szCs w:val="22"/>
        </w:rPr>
        <w:t xml:space="preserve">vectorizes all the non-zero elements of the matrix/vector on which it operates and </w:t>
      </w:r>
      <w:r w:rsidR="006000EF" w:rsidRPr="00E97BC8">
        <w:rPr>
          <w:rFonts w:cs="Times New Roman"/>
          <w:position w:val="-10"/>
          <w:sz w:val="22"/>
          <w:szCs w:val="22"/>
        </w:rPr>
        <w:object w:dxaOrig="1040" w:dyaOrig="320" w14:anchorId="0BEB49B5">
          <v:shape id="_x0000_i1197" type="#_x0000_t75" style="width:51.85pt;height:16.3pt" o:ole="" o:preferrelative="f">
            <v:imagedata r:id="rId336" o:title=""/>
            <o:lock v:ext="edit" aspectratio="f"/>
          </v:shape>
          <o:OLEObject Type="Embed" ProgID="Equation.DSMT4" ShapeID="_x0000_i1197" DrawAspect="Content" ObjectID="_1811172385" r:id="rId337"/>
        </w:object>
      </w:r>
      <w:r w:rsidR="00906BDC" w:rsidRPr="00E97BC8">
        <w:rPr>
          <w:rFonts w:cs="Times New Roman"/>
          <w:sz w:val="22"/>
          <w:szCs w:val="22"/>
        </w:rPr>
        <w:t xml:space="preserve"> </w:t>
      </w:r>
      <w:r w:rsidR="00E00241" w:rsidRPr="00E97BC8">
        <w:rPr>
          <w:rFonts w:cs="Times New Roman"/>
          <w:sz w:val="22"/>
          <w:szCs w:val="22"/>
        </w:rPr>
        <w:t xml:space="preserve">vectorizes all the non-zero </w:t>
      </w:r>
      <w:r w:rsidR="00906BDC" w:rsidRPr="00E97BC8">
        <w:rPr>
          <w:rFonts w:cs="Times New Roman"/>
          <w:sz w:val="22"/>
          <w:szCs w:val="22"/>
        </w:rPr>
        <w:t>upper diagonal elements.</w:t>
      </w:r>
      <w:r w:rsidR="00400549" w:rsidRPr="00E97BC8">
        <w:rPr>
          <w:rFonts w:cs="Times New Roman"/>
          <w:sz w:val="22"/>
          <w:szCs w:val="22"/>
        </w:rPr>
        <w:t xml:space="preserve"> </w:t>
      </w:r>
      <w:r w:rsidRPr="00E97BC8">
        <w:rPr>
          <w:rFonts w:cs="Times New Roman"/>
          <w:sz w:val="22"/>
          <w:szCs w:val="22"/>
        </w:rPr>
        <w:t xml:space="preserve">Then the </w:t>
      </w:r>
      <w:r w:rsidR="00EF198F" w:rsidRPr="00E97BC8">
        <w:rPr>
          <w:rFonts w:cs="Times New Roman"/>
          <w:sz w:val="22"/>
          <w:szCs w:val="22"/>
        </w:rPr>
        <w:t xml:space="preserve">individual-level </w:t>
      </w:r>
      <w:r w:rsidRPr="00E97BC8">
        <w:rPr>
          <w:rFonts w:cs="Times New Roman"/>
          <w:sz w:val="22"/>
          <w:szCs w:val="22"/>
        </w:rPr>
        <w:t>likelihood function may be written as:</w:t>
      </w:r>
    </w:p>
    <w:p w14:paraId="40A12754" w14:textId="41F1B980" w:rsidR="00A06276" w:rsidRPr="00E97BC8" w:rsidRDefault="006000EF" w:rsidP="00E85093">
      <w:pPr>
        <w:tabs>
          <w:tab w:val="right" w:pos="9360"/>
        </w:tabs>
        <w:spacing w:after="0" w:line="240" w:lineRule="auto"/>
        <w:jc w:val="both"/>
        <w:rPr>
          <w:rFonts w:cs="Times New Roman"/>
          <w:sz w:val="22"/>
          <w:szCs w:val="22"/>
        </w:rPr>
      </w:pPr>
      <w:r w:rsidRPr="00E97BC8">
        <w:rPr>
          <w:rFonts w:cs="Times New Roman"/>
          <w:position w:val="-34"/>
          <w:sz w:val="22"/>
          <w:szCs w:val="22"/>
        </w:rPr>
        <w:object w:dxaOrig="4940" w:dyaOrig="620" w14:anchorId="349EA895">
          <v:shape id="_x0000_i1198" type="#_x0000_t75" style="width:246.85pt;height:30.85pt" o:ole="" o:preferrelative="f">
            <v:imagedata r:id="rId338" o:title=""/>
            <o:lock v:ext="edit" aspectratio="f"/>
          </v:shape>
          <o:OLEObject Type="Embed" ProgID="Equation.DSMT4" ShapeID="_x0000_i1198" DrawAspect="Content" ObjectID="_1811172386" r:id="rId339"/>
        </w:object>
      </w:r>
      <w:r w:rsidR="00A06276" w:rsidRPr="00E97BC8">
        <w:rPr>
          <w:rFonts w:cs="Times New Roman"/>
          <w:sz w:val="22"/>
          <w:szCs w:val="22"/>
        </w:rPr>
        <w:tab/>
      </w:r>
      <w:r w:rsidR="00A06276" w:rsidRPr="00E97BC8">
        <w:rPr>
          <w:rFonts w:cs="Times New Roman"/>
          <w:sz w:val="22"/>
          <w:szCs w:val="22"/>
        </w:rPr>
        <w:fldChar w:fldCharType="begin"/>
      </w:r>
      <w:r w:rsidR="00A06276" w:rsidRPr="00E97BC8">
        <w:rPr>
          <w:rFonts w:cs="Times New Roman"/>
          <w:sz w:val="22"/>
          <w:szCs w:val="22"/>
        </w:rPr>
        <w:instrText xml:space="preserve"> MACROBUTTON MTPlaceRef \* MERGEFORMAT </w:instrText>
      </w:r>
      <w:r w:rsidR="00A06276" w:rsidRPr="00E97BC8">
        <w:rPr>
          <w:rFonts w:cs="Times New Roman"/>
          <w:sz w:val="22"/>
          <w:szCs w:val="22"/>
        </w:rPr>
        <w:fldChar w:fldCharType="begin"/>
      </w:r>
      <w:r w:rsidR="00A06276" w:rsidRPr="00E97BC8">
        <w:rPr>
          <w:rFonts w:cs="Times New Roman"/>
          <w:sz w:val="22"/>
          <w:szCs w:val="22"/>
        </w:rPr>
        <w:instrText xml:space="preserve"> SEQ MTEqn \h \* MERGEFORMAT </w:instrText>
      </w:r>
      <w:r w:rsidR="00A06276" w:rsidRPr="00E97BC8">
        <w:rPr>
          <w:rFonts w:cs="Times New Roman"/>
          <w:sz w:val="22"/>
          <w:szCs w:val="22"/>
        </w:rPr>
        <w:fldChar w:fldCharType="end"/>
      </w:r>
      <w:bookmarkStart w:id="35" w:name="ZEqnNum466830"/>
      <w:r w:rsidR="00A06276" w:rsidRPr="00E97BC8">
        <w:rPr>
          <w:rFonts w:cs="Times New Roman"/>
          <w:sz w:val="22"/>
          <w:szCs w:val="22"/>
        </w:rPr>
        <w:instrText>(</w:instrText>
      </w:r>
      <w:r w:rsidR="00A06276" w:rsidRPr="00E97BC8">
        <w:rPr>
          <w:rFonts w:cs="Times New Roman"/>
          <w:sz w:val="22"/>
          <w:szCs w:val="22"/>
        </w:rPr>
        <w:fldChar w:fldCharType="begin"/>
      </w:r>
      <w:r w:rsidR="00A06276" w:rsidRPr="00E97BC8">
        <w:rPr>
          <w:rFonts w:cs="Times New Roman"/>
          <w:sz w:val="22"/>
          <w:szCs w:val="22"/>
        </w:rPr>
        <w:instrText xml:space="preserve"> SEQ MTEqn \c \* Arabic \* MERGEFORMAT </w:instrText>
      </w:r>
      <w:r w:rsidR="00A06276" w:rsidRPr="00E97BC8">
        <w:rPr>
          <w:rFonts w:cs="Times New Roman"/>
          <w:sz w:val="22"/>
          <w:szCs w:val="22"/>
        </w:rPr>
        <w:fldChar w:fldCharType="separate"/>
      </w:r>
      <w:r w:rsidR="00EF198F" w:rsidRPr="00E97BC8">
        <w:rPr>
          <w:rFonts w:cs="Times New Roman"/>
          <w:sz w:val="22"/>
          <w:szCs w:val="22"/>
        </w:rPr>
        <w:instrText>8</w:instrText>
      </w:r>
      <w:r w:rsidR="00A06276" w:rsidRPr="00E97BC8">
        <w:rPr>
          <w:rFonts w:cs="Times New Roman"/>
          <w:sz w:val="22"/>
          <w:szCs w:val="22"/>
        </w:rPr>
        <w:fldChar w:fldCharType="end"/>
      </w:r>
      <w:r w:rsidR="00A06276" w:rsidRPr="00E97BC8">
        <w:rPr>
          <w:rFonts w:cs="Times New Roman"/>
          <w:sz w:val="22"/>
          <w:szCs w:val="22"/>
        </w:rPr>
        <w:instrText>)</w:instrText>
      </w:r>
      <w:bookmarkEnd w:id="35"/>
      <w:r w:rsidR="00A06276" w:rsidRPr="00E97BC8">
        <w:rPr>
          <w:rFonts w:cs="Times New Roman"/>
          <w:sz w:val="22"/>
          <w:szCs w:val="22"/>
        </w:rPr>
        <w:fldChar w:fldCharType="end"/>
      </w:r>
    </w:p>
    <w:p w14:paraId="5E36AE48" w14:textId="7B5CBF23" w:rsidR="00F07F1F" w:rsidRPr="00E97BC8" w:rsidRDefault="004C0F99" w:rsidP="00E85093">
      <w:pPr>
        <w:spacing w:after="0" w:line="240" w:lineRule="auto"/>
        <w:jc w:val="both"/>
        <w:rPr>
          <w:rFonts w:cs="Times New Roman"/>
          <w:sz w:val="22"/>
          <w:szCs w:val="22"/>
        </w:rPr>
      </w:pPr>
      <w:r w:rsidRPr="00E97BC8">
        <w:rPr>
          <w:rFonts w:cs="Times New Roman"/>
          <w:sz w:val="22"/>
          <w:szCs w:val="22"/>
        </w:rPr>
        <w:t xml:space="preserve">where the integration domain </w:t>
      </w:r>
      <w:r w:rsidR="006000EF" w:rsidRPr="00E97BC8">
        <w:rPr>
          <w:rFonts w:cs="Times New Roman"/>
          <w:position w:val="-14"/>
          <w:sz w:val="22"/>
          <w:szCs w:val="22"/>
        </w:rPr>
        <w:object w:dxaOrig="2280" w:dyaOrig="380" w14:anchorId="2ACCFD1D">
          <v:shape id="_x0000_i1199" type="#_x0000_t75" style="width:114pt;height:18.85pt" o:ole="" o:preferrelative="f">
            <v:imagedata r:id="rId340" o:title=""/>
            <o:lock v:ext="edit" aspectratio="f"/>
          </v:shape>
          <o:OLEObject Type="Embed" ProgID="Equation.DSMT4" ShapeID="_x0000_i1199" DrawAspect="Content" ObjectID="_1811172387" r:id="rId341"/>
        </w:object>
      </w:r>
      <w:r w:rsidRPr="00E97BC8">
        <w:rPr>
          <w:rFonts w:cs="Times New Roman"/>
          <w:sz w:val="22"/>
          <w:szCs w:val="22"/>
        </w:rPr>
        <w:t xml:space="preserve"> is the multivariate region of the elements of the </w:t>
      </w:r>
      <w:r w:rsidR="006000EF" w:rsidRPr="00E97BC8">
        <w:rPr>
          <w:rFonts w:cs="Times New Roman"/>
          <w:position w:val="-10"/>
          <w:sz w:val="22"/>
          <w:szCs w:val="22"/>
        </w:rPr>
        <w:object w:dxaOrig="340" w:dyaOrig="260" w14:anchorId="4578E331">
          <v:shape id="_x0000_i1200" type="#_x0000_t75" style="width:16.7pt;height:13.3pt" o:ole="" o:preferrelative="f">
            <v:imagedata r:id="rId342" o:title=""/>
            <o:lock v:ext="edit" aspectratio="f"/>
          </v:shape>
          <o:OLEObject Type="Embed" ProgID="Equation.DSMT4" ShapeID="_x0000_i1200" DrawAspect="Content" ObjectID="_1811172388" r:id="rId343"/>
        </w:object>
      </w:r>
      <w:r w:rsidRPr="00E97BC8">
        <w:rPr>
          <w:rFonts w:cs="Times New Roman"/>
          <w:sz w:val="22"/>
          <w:szCs w:val="22"/>
        </w:rPr>
        <w:t xml:space="preserve"> vector determined by the observed ordinal outcomes, and the range </w:t>
      </w:r>
      <w:r w:rsidR="006000EF" w:rsidRPr="00E97BC8">
        <w:rPr>
          <w:rFonts w:cs="Times New Roman"/>
          <w:position w:val="-12"/>
          <w:sz w:val="22"/>
          <w:szCs w:val="22"/>
        </w:rPr>
        <w:object w:dxaOrig="1219" w:dyaOrig="360" w14:anchorId="29CAD1DB">
          <v:shape id="_x0000_i1201" type="#_x0000_t75" style="width:61.3pt;height:18.85pt" o:ole="" o:preferrelative="f">
            <v:imagedata r:id="rId344" o:title=""/>
            <o:lock v:ext="edit" aspectratio="f"/>
          </v:shape>
          <o:OLEObject Type="Embed" ProgID="Equation.DSMT4" ShapeID="_x0000_i1201" DrawAspect="Content" ObjectID="_1811172389" r:id="rId345"/>
        </w:object>
      </w:r>
      <w:r w:rsidRPr="00E97BC8">
        <w:rPr>
          <w:rFonts w:cs="Times New Roman"/>
          <w:sz w:val="22"/>
          <w:szCs w:val="22"/>
        </w:rPr>
        <w:t xml:space="preserve"> for the utility differences taken with respect to the utility of the ranked preference for the rank-ordered outcome. The </w:t>
      </w:r>
      <w:r w:rsidRPr="00E97BC8">
        <w:rPr>
          <w:rFonts w:cs="Times New Roman"/>
          <w:sz w:val="22"/>
          <w:szCs w:val="22"/>
        </w:rPr>
        <w:lastRenderedPageBreak/>
        <w:t xml:space="preserve">likelihood function for </w:t>
      </w:r>
      <w:r w:rsidR="00785F50" w:rsidRPr="00E97BC8">
        <w:rPr>
          <w:rFonts w:cs="Times New Roman"/>
          <w:sz w:val="22"/>
          <w:szCs w:val="22"/>
        </w:rPr>
        <w:t>the entire</w:t>
      </w:r>
      <w:r w:rsidRPr="00E97BC8">
        <w:rPr>
          <w:rFonts w:cs="Times New Roman"/>
          <w:sz w:val="22"/>
          <w:szCs w:val="22"/>
        </w:rPr>
        <w:t xml:space="preserve"> sample of decision-makers is obtained as the product of the individual-level likelihood functions. </w:t>
      </w:r>
      <w:r w:rsidRPr="00E97BC8">
        <w:rPr>
          <w:rFonts w:cs="Times New Roman"/>
          <w:sz w:val="22"/>
          <w:szCs w:val="22"/>
        </w:rPr>
        <w:tab/>
      </w:r>
    </w:p>
    <w:p w14:paraId="7CD1D613" w14:textId="20B22854" w:rsidR="004C0F99" w:rsidRPr="00E97BC8" w:rsidRDefault="00E64871" w:rsidP="00E85093">
      <w:pPr>
        <w:spacing w:after="0" w:line="240" w:lineRule="auto"/>
        <w:ind w:firstLine="720"/>
        <w:jc w:val="both"/>
        <w:rPr>
          <w:rFonts w:cs="Times New Roman"/>
          <w:sz w:val="22"/>
          <w:szCs w:val="22"/>
        </w:rPr>
      </w:pPr>
      <w:r w:rsidRPr="00E97BC8">
        <w:rPr>
          <w:rFonts w:cs="Times New Roman"/>
          <w:sz w:val="22"/>
          <w:szCs w:val="22"/>
        </w:rPr>
        <w:t xml:space="preserve">The likelihood function </w:t>
      </w:r>
      <w:r w:rsidR="00EF198F" w:rsidRPr="00E97BC8">
        <w:rPr>
          <w:rFonts w:cs="Times New Roman"/>
          <w:sz w:val="22"/>
          <w:szCs w:val="22"/>
        </w:rPr>
        <w:t xml:space="preserve">shown in </w:t>
      </w:r>
      <w:r w:rsidR="00C55A95">
        <w:rPr>
          <w:rFonts w:cs="Times New Roman"/>
          <w:sz w:val="22"/>
          <w:szCs w:val="22"/>
        </w:rPr>
        <w:t>E</w:t>
      </w:r>
      <w:r w:rsidR="00CA5227" w:rsidRPr="00E97BC8">
        <w:rPr>
          <w:rFonts w:cs="Times New Roman"/>
          <w:sz w:val="22"/>
          <w:szCs w:val="22"/>
        </w:rPr>
        <w:t>quation</w:t>
      </w:r>
      <w:r w:rsidR="00EF198F" w:rsidRPr="00E97BC8">
        <w:rPr>
          <w:rFonts w:cs="Times New Roman"/>
          <w:sz w:val="22"/>
          <w:szCs w:val="22"/>
        </w:rPr>
        <w:t xml:space="preserve"> </w:t>
      </w:r>
      <w:r w:rsidR="00EF198F" w:rsidRPr="00E97BC8">
        <w:rPr>
          <w:rFonts w:cs="Times New Roman"/>
          <w:iCs/>
          <w:sz w:val="22"/>
          <w:szCs w:val="22"/>
        </w:rPr>
        <w:fldChar w:fldCharType="begin"/>
      </w:r>
      <w:r w:rsidR="00EF198F" w:rsidRPr="00E97BC8">
        <w:rPr>
          <w:rFonts w:cs="Times New Roman"/>
          <w:iCs/>
          <w:sz w:val="22"/>
          <w:szCs w:val="22"/>
        </w:rPr>
        <w:instrText xml:space="preserve"> GOTOBUTTON ZEqnNum466830  \* MERGEFORMAT </w:instrText>
      </w:r>
      <w:r w:rsidR="00EF198F" w:rsidRPr="00E97BC8">
        <w:rPr>
          <w:rFonts w:cs="Times New Roman"/>
          <w:iCs/>
          <w:sz w:val="22"/>
          <w:szCs w:val="22"/>
        </w:rPr>
        <w:fldChar w:fldCharType="begin"/>
      </w:r>
      <w:r w:rsidR="00EF198F" w:rsidRPr="00E97BC8">
        <w:rPr>
          <w:rFonts w:cs="Times New Roman"/>
          <w:iCs/>
          <w:sz w:val="22"/>
          <w:szCs w:val="22"/>
        </w:rPr>
        <w:instrText xml:space="preserve"> REF ZEqnNum466830 \* Charformat \! \* MERGEFORMAT </w:instrText>
      </w:r>
      <w:r w:rsidR="00EF198F" w:rsidRPr="00E97BC8">
        <w:rPr>
          <w:rFonts w:cs="Times New Roman"/>
          <w:iCs/>
          <w:sz w:val="22"/>
          <w:szCs w:val="22"/>
        </w:rPr>
        <w:fldChar w:fldCharType="separate"/>
      </w:r>
      <w:r w:rsidR="00EF198F" w:rsidRPr="00E97BC8">
        <w:rPr>
          <w:rFonts w:cs="Times New Roman"/>
          <w:iCs/>
          <w:sz w:val="22"/>
          <w:szCs w:val="22"/>
        </w:rPr>
        <w:instrText>(8)</w:instrText>
      </w:r>
      <w:r w:rsidR="00EF198F" w:rsidRPr="00E97BC8">
        <w:rPr>
          <w:rFonts w:cs="Times New Roman"/>
          <w:iCs/>
          <w:sz w:val="22"/>
          <w:szCs w:val="22"/>
        </w:rPr>
        <w:fldChar w:fldCharType="end"/>
      </w:r>
      <w:r w:rsidR="00EF198F" w:rsidRPr="00E97BC8">
        <w:rPr>
          <w:rFonts w:cs="Times New Roman"/>
          <w:iCs/>
          <w:sz w:val="22"/>
          <w:szCs w:val="22"/>
        </w:rPr>
        <w:fldChar w:fldCharType="end"/>
      </w:r>
      <w:r w:rsidR="00EF198F" w:rsidRPr="00E97BC8">
        <w:rPr>
          <w:rFonts w:cs="Times New Roman"/>
          <w:iCs/>
          <w:sz w:val="22"/>
          <w:szCs w:val="22"/>
        </w:rPr>
        <w:t xml:space="preserve"> </w:t>
      </w:r>
      <w:r w:rsidRPr="00E97BC8">
        <w:rPr>
          <w:rFonts w:cs="Times New Roman"/>
          <w:sz w:val="22"/>
          <w:szCs w:val="22"/>
        </w:rPr>
        <w:t>involves the evaluation of a</w:t>
      </w:r>
      <w:r w:rsidR="000F6FE7" w:rsidRPr="00E97BC8">
        <w:rPr>
          <w:rFonts w:cs="Times New Roman"/>
          <w:sz w:val="22"/>
          <w:szCs w:val="22"/>
        </w:rPr>
        <w:t>n</w:t>
      </w:r>
      <w:r w:rsidRPr="00E97BC8">
        <w:rPr>
          <w:rFonts w:cs="Times New Roman"/>
          <w:sz w:val="22"/>
          <w:szCs w:val="22"/>
        </w:rPr>
        <w:t xml:space="preserve"> </w:t>
      </w:r>
      <w:r w:rsidR="00C55A95" w:rsidRPr="00E97BC8">
        <w:rPr>
          <w:rFonts w:cs="Times New Roman"/>
          <w:position w:val="-10"/>
          <w:sz w:val="22"/>
          <w:szCs w:val="22"/>
        </w:rPr>
        <w:object w:dxaOrig="1060" w:dyaOrig="320" w14:anchorId="03A9FC7B">
          <v:shape id="_x0000_i1202" type="#_x0000_t75" style="width:53.15pt;height:15.85pt" o:ole="" o:preferrelative="f">
            <v:imagedata r:id="rId346" o:title=""/>
            <o:lock v:ext="edit" aspectratio="f"/>
          </v:shape>
          <o:OLEObject Type="Embed" ProgID="Equation.DSMT4" ShapeID="_x0000_i1202" DrawAspect="Content" ObjectID="_1811172390" r:id="rId347"/>
        </w:object>
      </w:r>
      <w:r w:rsidR="00785F50" w:rsidRPr="00E97BC8">
        <w:rPr>
          <w:rFonts w:cs="Times New Roman"/>
          <w:sz w:val="22"/>
          <w:szCs w:val="22"/>
        </w:rPr>
        <w:t xml:space="preserve"> </w:t>
      </w:r>
      <w:r w:rsidRPr="00E97BC8">
        <w:rPr>
          <w:rFonts w:cs="Times New Roman"/>
          <w:sz w:val="22"/>
          <w:szCs w:val="22"/>
        </w:rPr>
        <w:t xml:space="preserve">dimensional integral for each decision-maker. </w:t>
      </w:r>
      <w:r w:rsidR="00EF198F" w:rsidRPr="00E97BC8">
        <w:rPr>
          <w:rFonts w:cs="Times New Roman"/>
          <w:sz w:val="22"/>
          <w:szCs w:val="22"/>
        </w:rPr>
        <w:t>Given that this calculation is computationally expensive</w:t>
      </w:r>
      <w:r w:rsidR="00F8156B" w:rsidRPr="00E97BC8">
        <w:rPr>
          <w:rFonts w:cs="Times New Roman"/>
          <w:sz w:val="22"/>
          <w:szCs w:val="22"/>
        </w:rPr>
        <w:t xml:space="preserve">, we </w:t>
      </w:r>
      <w:r w:rsidR="00EF198F" w:rsidRPr="00E97BC8">
        <w:rPr>
          <w:rFonts w:cs="Times New Roman"/>
          <w:sz w:val="22"/>
          <w:szCs w:val="22"/>
        </w:rPr>
        <w:t xml:space="preserve">evaluate this integral </w:t>
      </w:r>
      <w:r w:rsidR="00F8156B" w:rsidRPr="00E97BC8">
        <w:rPr>
          <w:rFonts w:cs="Times New Roman"/>
          <w:sz w:val="22"/>
          <w:szCs w:val="22"/>
        </w:rPr>
        <w:t>us</w:t>
      </w:r>
      <w:r w:rsidR="00EF198F" w:rsidRPr="00E97BC8">
        <w:rPr>
          <w:rFonts w:cs="Times New Roman"/>
          <w:sz w:val="22"/>
          <w:szCs w:val="22"/>
        </w:rPr>
        <w:t>ing</w:t>
      </w:r>
      <w:r w:rsidR="00F8156B" w:rsidRPr="00E97BC8">
        <w:rPr>
          <w:rFonts w:cs="Times New Roman"/>
          <w:sz w:val="22"/>
          <w:szCs w:val="22"/>
        </w:rPr>
        <w:t xml:space="preserve"> </w:t>
      </w:r>
      <w:r w:rsidRPr="00E97BC8">
        <w:rPr>
          <w:rFonts w:cs="Times New Roman"/>
          <w:sz w:val="22"/>
          <w:szCs w:val="22"/>
        </w:rPr>
        <w:t xml:space="preserve">Bhat’s </w:t>
      </w:r>
      <w:r w:rsidR="00F8156B" w:rsidRPr="00E97BC8">
        <w:rPr>
          <w:rFonts w:cs="Times New Roman"/>
          <w:sz w:val="22"/>
          <w:szCs w:val="22"/>
        </w:rPr>
        <w:fldChar w:fldCharType="begin"/>
      </w:r>
      <w:r w:rsidR="00EC0E1D" w:rsidRPr="00E97BC8">
        <w:rPr>
          <w:rFonts w:cs="Times New Roman"/>
          <w:sz w:val="22"/>
          <w:szCs w:val="22"/>
        </w:rPr>
        <w:instrText xml:space="preserve"> ADDIN ZOTERO_ITEM CSL_CITATION {"citationID":"oUA1qbJE","properties":{"formattedCitation":"(2018)","plainCitation":"(2018)","noteIndex":0},"citationItems":[{"id":2026,"uris":["http://zotero.org/users/12832277/items/SHBDR4NL"],"itemData":{"id":2026,"type":"article-journal","abstract":"In this paper, we develop a new matrix-based implementation of the Mendell and Elston (ME) analytic approximation to evaluate the multivariate normal cumulative distribution (MVNCD) function, using an LDLT decomposition method followed by a rank 1 update of the LDLT factorization. Our implementation is easy to code for individuals familiar with matrix-based coding. Further, our new matrix-based implementation for the ME algorithm allows us to efficiently write the analytic matrix-based gradients of the approximated MVNCD function with respect to the abscissae and correlation parameters, an issue that is important in econometric model estimation. In addition, we propose four new analytic methods for approximating the MVNCD function. The paper then evaluates the ability of the multiple approximations for individual MVNCD evaluations as well as multinomial probit model estimation. As expected, in our tests for evaluating individual MVNCD functions, we found that the traditional GHK approach degrades rapidly as the dimensionality of integration increases. Concomitant with this degradation in accuracy is a rapid increase in computational time. The analytic approximation methods are also much more stable across different numbers of dimensions of integration, and even the simplest of these methods is superior to the GHK-500 beyond seven dimensions of integration. Based on all the evaluation results in this paper, we recommend the new Two-Variate Bivariate Screening (TVBS) method proposed in this paper as the evaluation approach for MVNCD function evaluation.","container-title":"Transportation Research Part B: Methodological","DOI":"10.1016/j.trb.2018.01.011","ISSN":"0191-2615","page":"238-256","source":"ScienceDirect","title":"New Matrix-Based Methods for the Analytic Evaluation of the Multivariate Cumulative Normal Distribution Function","volume":"109","author":[{"family":"Bhat","given":"Chandra R."}],"issued":{"date-parts":[["2018",3,1]]}},"label":"page","suppress-author":true}],"schema":"https://github.com/citation-style-language/schema/raw/master/csl-citation.json"} </w:instrText>
      </w:r>
      <w:r w:rsidR="00F8156B" w:rsidRPr="00E97BC8">
        <w:rPr>
          <w:rFonts w:cs="Times New Roman"/>
          <w:sz w:val="22"/>
          <w:szCs w:val="22"/>
        </w:rPr>
        <w:fldChar w:fldCharType="separate"/>
      </w:r>
      <w:r w:rsidR="001E6A07" w:rsidRPr="00E97BC8">
        <w:rPr>
          <w:rFonts w:cs="Times New Roman"/>
          <w:sz w:val="22"/>
          <w:szCs w:val="22"/>
        </w:rPr>
        <w:t>(2018)</w:t>
      </w:r>
      <w:r w:rsidR="00F8156B" w:rsidRPr="00E97BC8">
        <w:rPr>
          <w:rFonts w:cs="Times New Roman"/>
          <w:sz w:val="22"/>
          <w:szCs w:val="22"/>
        </w:rPr>
        <w:fldChar w:fldCharType="end"/>
      </w:r>
      <w:r w:rsidRPr="00E97BC8">
        <w:rPr>
          <w:rFonts w:cs="Times New Roman"/>
          <w:sz w:val="22"/>
          <w:szCs w:val="22"/>
        </w:rPr>
        <w:t xml:space="preserve"> matrix-based approximation method for evaluating </w:t>
      </w:r>
      <w:r w:rsidR="00F8156B" w:rsidRPr="00E97BC8">
        <w:rPr>
          <w:rFonts w:cs="Times New Roman"/>
          <w:sz w:val="22"/>
          <w:szCs w:val="22"/>
        </w:rPr>
        <w:t xml:space="preserve">the </w:t>
      </w:r>
      <w:r w:rsidRPr="00E97BC8">
        <w:rPr>
          <w:rFonts w:cs="Times New Roman"/>
          <w:sz w:val="22"/>
          <w:szCs w:val="22"/>
        </w:rPr>
        <w:t>multivariate normal cumulative distribution function.</w:t>
      </w:r>
    </w:p>
    <w:p w14:paraId="513978F4" w14:textId="77777777" w:rsidR="009A09E3" w:rsidRPr="00E97BC8" w:rsidRDefault="009A09E3" w:rsidP="00E85093">
      <w:pPr>
        <w:shd w:val="clear" w:color="auto" w:fill="FFFFFF"/>
        <w:spacing w:after="0" w:line="240" w:lineRule="auto"/>
        <w:jc w:val="both"/>
        <w:rPr>
          <w:rFonts w:cs="Times New Roman"/>
          <w:sz w:val="22"/>
          <w:szCs w:val="22"/>
        </w:rPr>
      </w:pPr>
    </w:p>
    <w:p w14:paraId="283DED54" w14:textId="3DB552D0" w:rsidR="00A45521" w:rsidRPr="00E97BC8" w:rsidRDefault="00A45521" w:rsidP="00E85093">
      <w:pPr>
        <w:spacing w:after="0" w:line="240" w:lineRule="auto"/>
        <w:jc w:val="both"/>
        <w:rPr>
          <w:rFonts w:cs="Times New Roman"/>
          <w:b/>
          <w:bCs/>
          <w:sz w:val="22"/>
          <w:szCs w:val="22"/>
        </w:rPr>
      </w:pPr>
      <w:r w:rsidRPr="00E97BC8">
        <w:rPr>
          <w:rFonts w:cs="Times New Roman"/>
          <w:b/>
          <w:bCs/>
          <w:sz w:val="22"/>
          <w:szCs w:val="22"/>
        </w:rPr>
        <w:t>4. RESULTS</w:t>
      </w:r>
      <w:r w:rsidR="00DC522C" w:rsidRPr="00E97BC8">
        <w:rPr>
          <w:rFonts w:cs="Times New Roman"/>
          <w:b/>
          <w:bCs/>
          <w:sz w:val="22"/>
          <w:szCs w:val="22"/>
        </w:rPr>
        <w:t xml:space="preserve"> AND DISCUSSION</w:t>
      </w:r>
    </w:p>
    <w:p w14:paraId="2AD23C48" w14:textId="074D6F8B" w:rsidR="000B4E18" w:rsidRPr="00E97BC8" w:rsidRDefault="000B4E18" w:rsidP="00E85093">
      <w:pPr>
        <w:spacing w:after="0" w:line="240" w:lineRule="auto"/>
        <w:jc w:val="both"/>
        <w:rPr>
          <w:rFonts w:cs="Times New Roman"/>
          <w:sz w:val="22"/>
          <w:szCs w:val="22"/>
        </w:rPr>
      </w:pPr>
      <w:r w:rsidRPr="00E97BC8">
        <w:rPr>
          <w:rFonts w:cs="Times New Roman"/>
          <w:sz w:val="22"/>
          <w:szCs w:val="22"/>
        </w:rPr>
        <w:t xml:space="preserve">The final </w:t>
      </w:r>
      <w:r w:rsidR="001F738B" w:rsidRPr="00E97BC8">
        <w:rPr>
          <w:rFonts w:cs="Times New Roman"/>
          <w:sz w:val="22"/>
          <w:szCs w:val="22"/>
        </w:rPr>
        <w:t xml:space="preserve">model </w:t>
      </w:r>
      <w:r w:rsidRPr="00E97BC8">
        <w:rPr>
          <w:rFonts w:cs="Times New Roman"/>
          <w:sz w:val="22"/>
          <w:szCs w:val="22"/>
        </w:rPr>
        <w:t xml:space="preserve">specification is based on an iterative process of including exogenous variables in </w:t>
      </w:r>
      <w:r w:rsidR="00EF198F" w:rsidRPr="00E97BC8">
        <w:rPr>
          <w:rFonts w:cs="Times New Roman"/>
          <w:sz w:val="22"/>
          <w:szCs w:val="22"/>
        </w:rPr>
        <w:t xml:space="preserve">various </w:t>
      </w:r>
      <w:r w:rsidRPr="00E97BC8">
        <w:rPr>
          <w:rFonts w:cs="Times New Roman"/>
          <w:sz w:val="22"/>
          <w:szCs w:val="22"/>
        </w:rPr>
        <w:t xml:space="preserve">forms and testing alternative combinations of </w:t>
      </w:r>
      <w:r w:rsidR="00EF198F" w:rsidRPr="00E97BC8">
        <w:rPr>
          <w:rFonts w:cs="Times New Roman"/>
          <w:sz w:val="22"/>
          <w:szCs w:val="22"/>
        </w:rPr>
        <w:t xml:space="preserve">exogenous </w:t>
      </w:r>
      <w:r w:rsidRPr="00E97BC8">
        <w:rPr>
          <w:rFonts w:cs="Times New Roman"/>
          <w:sz w:val="22"/>
          <w:szCs w:val="22"/>
        </w:rPr>
        <w:t xml:space="preserve">variables based on statistical fit. </w:t>
      </w:r>
      <w:r w:rsidR="00EF198F" w:rsidRPr="00E97BC8">
        <w:rPr>
          <w:rFonts w:cs="Times New Roman"/>
          <w:sz w:val="22"/>
          <w:szCs w:val="22"/>
        </w:rPr>
        <w:t>C</w:t>
      </w:r>
      <w:r w:rsidRPr="00E97BC8">
        <w:rPr>
          <w:rFonts w:cs="Times New Roman"/>
          <w:sz w:val="22"/>
          <w:szCs w:val="22"/>
        </w:rPr>
        <w:t>ategorical variables</w:t>
      </w:r>
      <w:r w:rsidR="00EF198F" w:rsidRPr="00E97BC8">
        <w:rPr>
          <w:rFonts w:cs="Times New Roman"/>
          <w:sz w:val="22"/>
          <w:szCs w:val="22"/>
        </w:rPr>
        <w:t xml:space="preserve"> included in the model</w:t>
      </w:r>
      <w:r w:rsidRPr="00E97BC8">
        <w:rPr>
          <w:rFonts w:cs="Times New Roman"/>
          <w:sz w:val="22"/>
          <w:szCs w:val="22"/>
        </w:rPr>
        <w:t xml:space="preserve"> were considered in the most disaggregate form available and </w:t>
      </w:r>
      <w:r w:rsidR="00EF198F" w:rsidRPr="00E97BC8">
        <w:rPr>
          <w:rFonts w:cs="Times New Roman"/>
          <w:sz w:val="22"/>
          <w:szCs w:val="22"/>
        </w:rPr>
        <w:t xml:space="preserve">iteratively </w:t>
      </w:r>
      <w:r w:rsidRPr="00E97BC8">
        <w:rPr>
          <w:rFonts w:cs="Times New Roman"/>
          <w:sz w:val="22"/>
          <w:szCs w:val="22"/>
        </w:rPr>
        <w:t>combined to yield parsimonious specifications</w:t>
      </w:r>
      <w:r w:rsidR="00EF198F" w:rsidRPr="00E97BC8">
        <w:rPr>
          <w:rFonts w:cs="Times New Roman"/>
          <w:sz w:val="22"/>
          <w:szCs w:val="22"/>
        </w:rPr>
        <w:t xml:space="preserve"> based on statistical tests</w:t>
      </w:r>
      <w:r w:rsidRPr="00E97BC8">
        <w:rPr>
          <w:rFonts w:cs="Times New Roman"/>
          <w:sz w:val="22"/>
          <w:szCs w:val="22"/>
        </w:rPr>
        <w:t>.</w:t>
      </w:r>
      <w:r w:rsidR="00C91E5E" w:rsidRPr="00E97BC8">
        <w:rPr>
          <w:rFonts w:cs="Times New Roman"/>
          <w:sz w:val="22"/>
          <w:szCs w:val="22"/>
        </w:rPr>
        <w:t xml:space="preserve"> Additionally, </w:t>
      </w:r>
      <w:r w:rsidR="006345C2" w:rsidRPr="00E97BC8">
        <w:rPr>
          <w:rFonts w:cs="Times New Roman"/>
          <w:sz w:val="22"/>
          <w:szCs w:val="22"/>
        </w:rPr>
        <w:t>several continuous variables were tested in various forms</w:t>
      </w:r>
      <w:r w:rsidR="005C3069" w:rsidRPr="00E97BC8">
        <w:rPr>
          <w:rFonts w:cs="Times New Roman"/>
          <w:sz w:val="22"/>
          <w:szCs w:val="22"/>
        </w:rPr>
        <w:t>, but the best representation in each case was in the form of dummy variables (for instance, population density was best captured as a single dummy variable indicating whether the</w:t>
      </w:r>
      <w:r w:rsidR="00AE083A" w:rsidRPr="00E97BC8">
        <w:rPr>
          <w:rFonts w:cs="Times New Roman"/>
          <w:sz w:val="22"/>
          <w:szCs w:val="22"/>
        </w:rPr>
        <w:t xml:space="preserve"> respondent lived in an area with a density above</w:t>
      </w:r>
      <w:r w:rsidR="0020651C" w:rsidRPr="00E97BC8">
        <w:rPr>
          <w:rFonts w:cs="Times New Roman"/>
          <w:sz w:val="22"/>
          <w:szCs w:val="22"/>
        </w:rPr>
        <w:t xml:space="preserve"> the population weighted averag</w:t>
      </w:r>
      <w:r w:rsidR="0001150C" w:rsidRPr="00E97BC8">
        <w:rPr>
          <w:rFonts w:cs="Times New Roman"/>
          <w:sz w:val="22"/>
          <w:szCs w:val="22"/>
        </w:rPr>
        <w:t>e density of all zip codes in the state).</w:t>
      </w:r>
      <w:r w:rsidR="005C3069" w:rsidRPr="00E97BC8">
        <w:rPr>
          <w:rFonts w:cs="Times New Roman"/>
          <w:sz w:val="22"/>
          <w:szCs w:val="22"/>
        </w:rPr>
        <w:t xml:space="preserve"> </w:t>
      </w:r>
      <w:r w:rsidRPr="00E97BC8">
        <w:rPr>
          <w:rFonts w:cs="Times New Roman"/>
          <w:sz w:val="22"/>
          <w:szCs w:val="22"/>
        </w:rPr>
        <w:t xml:space="preserve"> In the model estimation process, we used a t-statistic threshold of 1.</w:t>
      </w:r>
      <w:r w:rsidR="001204FC" w:rsidRPr="00E97BC8">
        <w:rPr>
          <w:rFonts w:cs="Times New Roman"/>
          <w:sz w:val="22"/>
          <w:szCs w:val="22"/>
        </w:rPr>
        <w:t>65</w:t>
      </w:r>
      <w:r w:rsidRPr="00E97BC8">
        <w:rPr>
          <w:rFonts w:cs="Times New Roman"/>
          <w:sz w:val="22"/>
          <w:szCs w:val="22"/>
        </w:rPr>
        <w:t xml:space="preserve"> </w:t>
      </w:r>
      <w:r w:rsidR="00FB4966" w:rsidRPr="00E97BC8">
        <w:rPr>
          <w:rFonts w:cs="Times New Roman"/>
          <w:sz w:val="22"/>
          <w:szCs w:val="22"/>
        </w:rPr>
        <w:t xml:space="preserve">(corresponding to a 0.1 level of significance or 90% confidence level) </w:t>
      </w:r>
      <w:r w:rsidRPr="00E97BC8">
        <w:rPr>
          <w:rFonts w:cs="Times New Roman"/>
          <w:sz w:val="22"/>
          <w:szCs w:val="22"/>
        </w:rPr>
        <w:t xml:space="preserve">to retain variables </w:t>
      </w:r>
      <w:r w:rsidR="00FA06DC" w:rsidRPr="00E97BC8">
        <w:rPr>
          <w:rFonts w:cs="Times New Roman"/>
          <w:sz w:val="22"/>
          <w:szCs w:val="22"/>
        </w:rPr>
        <w:t>for the EV ownership dimension</w:t>
      </w:r>
      <w:r w:rsidR="000C5CF3" w:rsidRPr="00E97BC8">
        <w:rPr>
          <w:rFonts w:cs="Times New Roman"/>
          <w:sz w:val="22"/>
          <w:szCs w:val="22"/>
        </w:rPr>
        <w:t xml:space="preserve"> and SEM model component</w:t>
      </w:r>
      <w:r w:rsidR="00FA06DC" w:rsidRPr="00E97BC8">
        <w:rPr>
          <w:rFonts w:cs="Times New Roman"/>
          <w:sz w:val="22"/>
          <w:szCs w:val="22"/>
        </w:rPr>
        <w:t xml:space="preserve">. </w:t>
      </w:r>
      <w:r w:rsidR="000350A1" w:rsidRPr="00E97BC8">
        <w:rPr>
          <w:rFonts w:cs="Times New Roman"/>
          <w:sz w:val="22"/>
          <w:szCs w:val="22"/>
        </w:rPr>
        <w:t xml:space="preserve">Due to the </w:t>
      </w:r>
      <w:r w:rsidR="002E0B02" w:rsidRPr="00E97BC8">
        <w:rPr>
          <w:rFonts w:cs="Times New Roman"/>
          <w:sz w:val="22"/>
          <w:szCs w:val="22"/>
        </w:rPr>
        <w:t xml:space="preserve">limited number of EV owners with a </w:t>
      </w:r>
      <w:r w:rsidR="000350A1" w:rsidRPr="00E97BC8">
        <w:rPr>
          <w:rFonts w:cs="Times New Roman"/>
          <w:sz w:val="22"/>
          <w:szCs w:val="22"/>
        </w:rPr>
        <w:t>ranked set of factors motivating adoption</w:t>
      </w:r>
      <w:r w:rsidR="0098491B" w:rsidRPr="00E97BC8">
        <w:rPr>
          <w:rFonts w:cs="Times New Roman"/>
          <w:sz w:val="22"/>
          <w:szCs w:val="22"/>
        </w:rPr>
        <w:t>,</w:t>
      </w:r>
      <w:r w:rsidR="000350A1" w:rsidRPr="00E97BC8">
        <w:rPr>
          <w:rFonts w:cs="Times New Roman"/>
          <w:sz w:val="22"/>
          <w:szCs w:val="22"/>
        </w:rPr>
        <w:t xml:space="preserve"> </w:t>
      </w:r>
      <w:r w:rsidR="0098491B" w:rsidRPr="00E97BC8">
        <w:rPr>
          <w:rFonts w:cs="Times New Roman"/>
          <w:sz w:val="22"/>
          <w:szCs w:val="22"/>
        </w:rPr>
        <w:t>a lower t-statistic threshold of 1.28</w:t>
      </w:r>
      <w:r w:rsidR="002E0B02" w:rsidRPr="00E97BC8">
        <w:rPr>
          <w:rFonts w:cs="Times New Roman"/>
          <w:sz w:val="22"/>
          <w:szCs w:val="22"/>
        </w:rPr>
        <w:t xml:space="preserve"> (corresponding to </w:t>
      </w:r>
      <w:r w:rsidR="00932573" w:rsidRPr="00E97BC8">
        <w:rPr>
          <w:rFonts w:cs="Times New Roman"/>
          <w:sz w:val="22"/>
          <w:szCs w:val="22"/>
        </w:rPr>
        <w:t>a</w:t>
      </w:r>
      <w:r w:rsidR="002E0B02" w:rsidRPr="00E97BC8">
        <w:rPr>
          <w:rFonts w:cs="Times New Roman"/>
          <w:sz w:val="22"/>
          <w:szCs w:val="22"/>
        </w:rPr>
        <w:t xml:space="preserve"> 0.2 level of significan</w:t>
      </w:r>
      <w:r w:rsidR="009E5F10" w:rsidRPr="00E97BC8">
        <w:rPr>
          <w:rFonts w:cs="Times New Roman"/>
          <w:sz w:val="22"/>
          <w:szCs w:val="22"/>
        </w:rPr>
        <w:t>ce</w:t>
      </w:r>
      <w:r w:rsidR="002E0B02" w:rsidRPr="00E97BC8">
        <w:rPr>
          <w:rFonts w:cs="Times New Roman"/>
          <w:sz w:val="22"/>
          <w:szCs w:val="22"/>
        </w:rPr>
        <w:t xml:space="preserve"> or 80% confidence level) </w:t>
      </w:r>
      <w:r w:rsidR="0098491B" w:rsidRPr="00E97BC8">
        <w:rPr>
          <w:rFonts w:cs="Times New Roman"/>
          <w:sz w:val="22"/>
          <w:szCs w:val="22"/>
        </w:rPr>
        <w:t>was used to retain variables</w:t>
      </w:r>
      <w:r w:rsidR="002E0B02" w:rsidRPr="00E97BC8">
        <w:rPr>
          <w:rFonts w:cs="Times New Roman"/>
          <w:sz w:val="22"/>
          <w:szCs w:val="22"/>
        </w:rPr>
        <w:t xml:space="preserve"> impacting these ranked outcomes</w:t>
      </w:r>
      <w:r w:rsidR="0098491B" w:rsidRPr="00E97BC8">
        <w:rPr>
          <w:rFonts w:cs="Times New Roman"/>
          <w:sz w:val="22"/>
          <w:szCs w:val="22"/>
        </w:rPr>
        <w:t>.</w:t>
      </w:r>
      <w:r w:rsidR="006C6A50" w:rsidRPr="00E97BC8">
        <w:rPr>
          <w:rStyle w:val="FootnoteReference"/>
          <w:rFonts w:cs="Times New Roman"/>
          <w:sz w:val="22"/>
          <w:szCs w:val="22"/>
        </w:rPr>
        <w:footnoteReference w:id="6"/>
      </w:r>
      <w:r w:rsidR="00B72C84" w:rsidRPr="00E97BC8">
        <w:rPr>
          <w:rFonts w:cs="Times New Roman"/>
          <w:sz w:val="22"/>
          <w:szCs w:val="22"/>
        </w:rPr>
        <w:t xml:space="preserve"> The final estimation results are shown in T</w:t>
      </w:r>
      <w:r w:rsidR="001E4BA9" w:rsidRPr="00E97BC8">
        <w:rPr>
          <w:rFonts w:cs="Times New Roman"/>
          <w:sz w:val="22"/>
          <w:szCs w:val="22"/>
        </w:rPr>
        <w:t xml:space="preserve">able 3 and Table 4. </w:t>
      </w:r>
      <w:r w:rsidRPr="00E97BC8">
        <w:rPr>
          <w:rFonts w:cs="Times New Roman"/>
          <w:sz w:val="22"/>
          <w:szCs w:val="22"/>
        </w:rPr>
        <w:t>A “—” entry in the results tables indicates that the row exogenous variabl</w:t>
      </w:r>
      <w:r w:rsidR="0060515C" w:rsidRPr="00E97BC8">
        <w:rPr>
          <w:rFonts w:cs="Times New Roman"/>
          <w:sz w:val="22"/>
          <w:szCs w:val="22"/>
        </w:rPr>
        <w:t xml:space="preserve">e </w:t>
      </w:r>
      <w:r w:rsidRPr="00E97BC8">
        <w:rPr>
          <w:rFonts w:cs="Times New Roman"/>
          <w:sz w:val="22"/>
          <w:szCs w:val="22"/>
        </w:rPr>
        <w:t xml:space="preserve">does not have any statistically significant impact on the column latent construct (for Table 3) and endogenous outcome (for Table 4). </w:t>
      </w:r>
    </w:p>
    <w:p w14:paraId="77B3158F" w14:textId="66233A86" w:rsidR="000B4E18" w:rsidRPr="00E97BC8" w:rsidRDefault="000B4E18" w:rsidP="00E85093">
      <w:pPr>
        <w:spacing w:after="0" w:line="240" w:lineRule="auto"/>
        <w:jc w:val="both"/>
        <w:rPr>
          <w:rFonts w:cs="Times New Roman"/>
          <w:sz w:val="22"/>
          <w:szCs w:val="22"/>
        </w:rPr>
      </w:pPr>
      <w:r w:rsidRPr="00E97BC8">
        <w:rPr>
          <w:rFonts w:cs="Times New Roman"/>
          <w:sz w:val="22"/>
          <w:szCs w:val="22"/>
        </w:rPr>
        <w:tab/>
        <w:t xml:space="preserve">The results are organized </w:t>
      </w:r>
      <w:r w:rsidR="00011786" w:rsidRPr="00E97BC8">
        <w:rPr>
          <w:rFonts w:cs="Times New Roman"/>
          <w:sz w:val="22"/>
          <w:szCs w:val="22"/>
        </w:rPr>
        <w:t>into</w:t>
      </w:r>
      <w:r w:rsidRPr="00E97BC8">
        <w:rPr>
          <w:rFonts w:cs="Times New Roman"/>
          <w:sz w:val="22"/>
          <w:szCs w:val="22"/>
        </w:rPr>
        <w:t xml:space="preserve"> several sections. Section 4.1 presents the </w:t>
      </w:r>
      <w:r w:rsidR="00EF198F" w:rsidRPr="00E97BC8">
        <w:rPr>
          <w:rFonts w:cs="Times New Roman"/>
          <w:sz w:val="22"/>
          <w:szCs w:val="22"/>
        </w:rPr>
        <w:t xml:space="preserve">results of the </w:t>
      </w:r>
      <w:r w:rsidRPr="00E97BC8">
        <w:rPr>
          <w:rFonts w:cs="Times New Roman"/>
          <w:sz w:val="22"/>
          <w:szCs w:val="22"/>
        </w:rPr>
        <w:t>effects of exogenous variables on the</w:t>
      </w:r>
      <w:r w:rsidR="00EF198F" w:rsidRPr="00E97BC8">
        <w:rPr>
          <w:rFonts w:cs="Times New Roman"/>
          <w:sz w:val="22"/>
          <w:szCs w:val="22"/>
        </w:rPr>
        <w:t xml:space="preserve"> four</w:t>
      </w:r>
      <w:r w:rsidRPr="00E97BC8">
        <w:rPr>
          <w:rFonts w:cs="Times New Roman"/>
          <w:sz w:val="22"/>
          <w:szCs w:val="22"/>
        </w:rPr>
        <w:t xml:space="preserve"> latent constructs (constituting the SEM component of the model) </w:t>
      </w:r>
      <w:r w:rsidR="00EF198F" w:rsidRPr="00E97BC8">
        <w:rPr>
          <w:rFonts w:cs="Times New Roman"/>
          <w:sz w:val="22"/>
          <w:szCs w:val="22"/>
        </w:rPr>
        <w:t xml:space="preserve">as well as </w:t>
      </w:r>
      <w:r w:rsidRPr="00E97BC8">
        <w:rPr>
          <w:rFonts w:cs="Times New Roman"/>
          <w:sz w:val="22"/>
          <w:szCs w:val="22"/>
        </w:rPr>
        <w:t xml:space="preserve">the </w:t>
      </w:r>
      <w:r w:rsidR="00EF198F" w:rsidRPr="00E97BC8">
        <w:rPr>
          <w:rFonts w:cs="Times New Roman"/>
          <w:sz w:val="22"/>
          <w:szCs w:val="22"/>
        </w:rPr>
        <w:t>loadings of</w:t>
      </w:r>
      <w:r w:rsidRPr="00E97BC8">
        <w:rPr>
          <w:rFonts w:cs="Times New Roman"/>
          <w:sz w:val="22"/>
          <w:szCs w:val="22"/>
        </w:rPr>
        <w:t xml:space="preserve"> the latent constructs </w:t>
      </w:r>
      <w:r w:rsidR="00EF198F" w:rsidRPr="00E97BC8">
        <w:rPr>
          <w:rFonts w:cs="Times New Roman"/>
          <w:sz w:val="22"/>
          <w:szCs w:val="22"/>
        </w:rPr>
        <w:t xml:space="preserve">on </w:t>
      </w:r>
      <w:r w:rsidRPr="00E97BC8">
        <w:rPr>
          <w:rFonts w:cs="Times New Roman"/>
          <w:sz w:val="22"/>
          <w:szCs w:val="22"/>
        </w:rPr>
        <w:t xml:space="preserve">the </w:t>
      </w:r>
      <w:r w:rsidR="00EF198F" w:rsidRPr="00E97BC8">
        <w:rPr>
          <w:rFonts w:cs="Times New Roman"/>
          <w:sz w:val="22"/>
          <w:szCs w:val="22"/>
        </w:rPr>
        <w:t xml:space="preserve">set of </w:t>
      </w:r>
      <w:r w:rsidRPr="00E97BC8">
        <w:rPr>
          <w:rFonts w:cs="Times New Roman"/>
          <w:sz w:val="22"/>
          <w:szCs w:val="22"/>
        </w:rPr>
        <w:t xml:space="preserve">indicators (constituting part of the MEM component of the model). </w:t>
      </w:r>
      <w:r w:rsidR="00EF198F" w:rsidRPr="00E97BC8">
        <w:rPr>
          <w:rFonts w:cs="Times New Roman"/>
          <w:sz w:val="22"/>
          <w:szCs w:val="22"/>
        </w:rPr>
        <w:t>T</w:t>
      </w:r>
      <w:r w:rsidRPr="00E97BC8">
        <w:rPr>
          <w:rFonts w:cs="Times New Roman"/>
          <w:sz w:val="22"/>
          <w:szCs w:val="22"/>
        </w:rPr>
        <w:t xml:space="preserve">he </w:t>
      </w:r>
      <w:r w:rsidR="00EF198F" w:rsidRPr="00E97BC8">
        <w:rPr>
          <w:rFonts w:cs="Times New Roman"/>
          <w:sz w:val="22"/>
          <w:szCs w:val="22"/>
        </w:rPr>
        <w:t xml:space="preserve">results of the </w:t>
      </w:r>
      <w:r w:rsidRPr="00E97BC8">
        <w:rPr>
          <w:rFonts w:cs="Times New Roman"/>
          <w:sz w:val="22"/>
          <w:szCs w:val="22"/>
        </w:rPr>
        <w:t xml:space="preserve">MEM model component corresponding to the effects </w:t>
      </w:r>
      <w:r w:rsidR="00EF198F" w:rsidRPr="00E97BC8">
        <w:rPr>
          <w:rFonts w:cs="Times New Roman"/>
          <w:sz w:val="22"/>
          <w:szCs w:val="22"/>
        </w:rPr>
        <w:t xml:space="preserve">of exogenous variables and latent constructs </w:t>
      </w:r>
      <w:r w:rsidRPr="00E97BC8">
        <w:rPr>
          <w:rFonts w:cs="Times New Roman"/>
          <w:sz w:val="22"/>
          <w:szCs w:val="22"/>
        </w:rPr>
        <w:t>on the main endogenous outcomes</w:t>
      </w:r>
      <w:r w:rsidR="00EF198F" w:rsidRPr="00E97BC8">
        <w:rPr>
          <w:rFonts w:cs="Times New Roman"/>
          <w:sz w:val="22"/>
          <w:szCs w:val="22"/>
        </w:rPr>
        <w:t xml:space="preserve"> are presented in Section 4.2</w:t>
      </w:r>
      <w:r w:rsidRPr="00E97BC8">
        <w:rPr>
          <w:rFonts w:cs="Times New Roman"/>
          <w:sz w:val="22"/>
          <w:szCs w:val="22"/>
        </w:rPr>
        <w:t xml:space="preserve">. </w:t>
      </w:r>
      <w:r w:rsidR="00EF198F" w:rsidRPr="00E97BC8">
        <w:rPr>
          <w:rFonts w:cs="Times New Roman"/>
          <w:sz w:val="22"/>
          <w:szCs w:val="22"/>
        </w:rPr>
        <w:t xml:space="preserve">Then, </w:t>
      </w:r>
      <w:r w:rsidRPr="00E97BC8">
        <w:rPr>
          <w:rFonts w:cs="Times New Roman"/>
          <w:sz w:val="22"/>
          <w:szCs w:val="22"/>
        </w:rPr>
        <w:t xml:space="preserve">Section 4.3 discusses the model fit in relation to </w:t>
      </w:r>
      <w:r w:rsidR="00EF198F" w:rsidRPr="00E97BC8">
        <w:rPr>
          <w:rFonts w:cs="Times New Roman"/>
          <w:sz w:val="22"/>
          <w:szCs w:val="22"/>
        </w:rPr>
        <w:t xml:space="preserve">a restricted GHDM model that does not consider the correlations between the stochastic latent constructs and the main outcomes </w:t>
      </w:r>
      <w:r w:rsidR="00BD740B" w:rsidRPr="00E97BC8">
        <w:rPr>
          <w:rFonts w:cs="Times New Roman"/>
          <w:sz w:val="22"/>
          <w:szCs w:val="22"/>
        </w:rPr>
        <w:t>and</w:t>
      </w:r>
      <w:r w:rsidR="00EF198F" w:rsidRPr="00E97BC8">
        <w:rPr>
          <w:rFonts w:cs="Times New Roman"/>
          <w:sz w:val="22"/>
          <w:szCs w:val="22"/>
        </w:rPr>
        <w:t xml:space="preserve"> </w:t>
      </w:r>
      <w:r w:rsidRPr="00E97BC8">
        <w:rPr>
          <w:rFonts w:cs="Times New Roman"/>
          <w:sz w:val="22"/>
          <w:szCs w:val="22"/>
        </w:rPr>
        <w:t xml:space="preserve">an independent model that ignores </w:t>
      </w:r>
      <w:r w:rsidR="00EF198F" w:rsidRPr="00E97BC8">
        <w:rPr>
          <w:rFonts w:cs="Times New Roman"/>
          <w:sz w:val="22"/>
          <w:szCs w:val="22"/>
        </w:rPr>
        <w:t xml:space="preserve">all </w:t>
      </w:r>
      <w:r w:rsidRPr="00E97BC8">
        <w:rPr>
          <w:rFonts w:cs="Times New Roman"/>
          <w:sz w:val="22"/>
          <w:szCs w:val="22"/>
        </w:rPr>
        <w:t>jointness among the outcomes.</w:t>
      </w:r>
      <w:r w:rsidR="00EC3CCF" w:rsidRPr="00E97BC8">
        <w:rPr>
          <w:rFonts w:cs="Times New Roman"/>
          <w:sz w:val="22"/>
          <w:szCs w:val="22"/>
        </w:rPr>
        <w:t xml:space="preserve"> Finally, </w:t>
      </w:r>
      <w:r w:rsidR="006000EF" w:rsidRPr="00E97BC8">
        <w:rPr>
          <w:rFonts w:cs="Times New Roman"/>
          <w:sz w:val="22"/>
          <w:szCs w:val="22"/>
        </w:rPr>
        <w:t>S</w:t>
      </w:r>
      <w:r w:rsidR="00EC3CCF" w:rsidRPr="00E97BC8">
        <w:rPr>
          <w:rFonts w:cs="Times New Roman"/>
          <w:sz w:val="22"/>
          <w:szCs w:val="22"/>
        </w:rPr>
        <w:t xml:space="preserve">ection 4.4 presents the </w:t>
      </w:r>
      <w:r w:rsidR="00EC3CCF" w:rsidRPr="00E97BC8">
        <w:rPr>
          <w:rFonts w:cs="Times New Roman"/>
          <w:bCs/>
          <w:sz w:val="22"/>
          <w:szCs w:val="22"/>
        </w:rPr>
        <w:t>approach used to compute the effect-sizes of each exogenous variable on EV adoption.</w:t>
      </w:r>
      <w:r w:rsidRPr="00E97BC8">
        <w:rPr>
          <w:rFonts w:cs="Times New Roman"/>
          <w:sz w:val="22"/>
          <w:szCs w:val="22"/>
        </w:rPr>
        <w:t xml:space="preserve"> </w:t>
      </w:r>
    </w:p>
    <w:p w14:paraId="62BA5A61" w14:textId="77777777" w:rsidR="001A7740" w:rsidRPr="00E97BC8" w:rsidRDefault="001A7740" w:rsidP="00E85093">
      <w:pPr>
        <w:spacing w:after="0" w:line="240" w:lineRule="auto"/>
        <w:jc w:val="both"/>
        <w:rPr>
          <w:rFonts w:cs="Times New Roman"/>
          <w:sz w:val="22"/>
          <w:szCs w:val="22"/>
        </w:rPr>
      </w:pPr>
    </w:p>
    <w:p w14:paraId="48F232D4" w14:textId="3587F282" w:rsidR="001A7740" w:rsidRPr="00E97BC8" w:rsidRDefault="001A7740" w:rsidP="00E85093">
      <w:pPr>
        <w:spacing w:after="0" w:line="240" w:lineRule="auto"/>
        <w:jc w:val="both"/>
        <w:rPr>
          <w:rFonts w:cs="Times New Roman"/>
          <w:b/>
          <w:bCs/>
          <w:sz w:val="22"/>
          <w:szCs w:val="22"/>
        </w:rPr>
      </w:pPr>
      <w:r w:rsidRPr="00E97BC8">
        <w:rPr>
          <w:rFonts w:cs="Times New Roman"/>
          <w:b/>
          <w:bCs/>
          <w:sz w:val="22"/>
          <w:szCs w:val="22"/>
        </w:rPr>
        <w:t xml:space="preserve">4.1 </w:t>
      </w:r>
      <w:r w:rsidR="00601292" w:rsidRPr="00E97BC8">
        <w:rPr>
          <w:rFonts w:cs="Times New Roman"/>
          <w:b/>
          <w:bCs/>
          <w:sz w:val="22"/>
          <w:szCs w:val="22"/>
        </w:rPr>
        <w:t>Latent Constructs</w:t>
      </w:r>
    </w:p>
    <w:p w14:paraId="4E96FA45" w14:textId="77777777" w:rsidR="00745284" w:rsidRPr="00E97BC8" w:rsidRDefault="0040572D" w:rsidP="00E85093">
      <w:pPr>
        <w:spacing w:after="0" w:line="240" w:lineRule="auto"/>
        <w:jc w:val="both"/>
        <w:rPr>
          <w:rFonts w:cs="Times New Roman"/>
          <w:sz w:val="22"/>
          <w:szCs w:val="22"/>
        </w:rPr>
      </w:pPr>
      <w:r w:rsidRPr="00E97BC8">
        <w:rPr>
          <w:rFonts w:cs="Times New Roman"/>
          <w:sz w:val="22"/>
          <w:szCs w:val="22"/>
        </w:rPr>
        <w:t xml:space="preserve">Table 3 displays the results for the determinants of the four latent constructs. </w:t>
      </w:r>
      <w:bookmarkStart w:id="36" w:name="_Hlk198822978"/>
      <w:r w:rsidR="000311CD" w:rsidRPr="00E97BC8">
        <w:rPr>
          <w:rFonts w:cs="Times New Roman"/>
          <w:sz w:val="22"/>
          <w:szCs w:val="22"/>
        </w:rPr>
        <w:t xml:space="preserve">All the explanations of the results in this section and beyond refer to general tendencies, rather than </w:t>
      </w:r>
      <w:r w:rsidR="00745284" w:rsidRPr="00E97BC8">
        <w:rPr>
          <w:rFonts w:cs="Times New Roman"/>
          <w:sz w:val="22"/>
          <w:szCs w:val="22"/>
        </w:rPr>
        <w:t>absolute statements</w:t>
      </w:r>
      <w:r w:rsidR="000311CD" w:rsidRPr="00E97BC8">
        <w:rPr>
          <w:rFonts w:cs="Times New Roman"/>
          <w:sz w:val="22"/>
          <w:szCs w:val="22"/>
        </w:rPr>
        <w:t xml:space="preserve">. </w:t>
      </w:r>
      <w:bookmarkEnd w:id="36"/>
    </w:p>
    <w:p w14:paraId="34ED4B32" w14:textId="60265210" w:rsidR="00601292" w:rsidRPr="00E97BC8" w:rsidRDefault="0040630D" w:rsidP="00E85093">
      <w:pPr>
        <w:spacing w:after="0" w:line="240" w:lineRule="auto"/>
        <w:ind w:firstLine="720"/>
        <w:jc w:val="both"/>
        <w:rPr>
          <w:rFonts w:cs="Times New Roman"/>
          <w:b/>
          <w:bCs/>
          <w:sz w:val="22"/>
          <w:szCs w:val="22"/>
        </w:rPr>
      </w:pPr>
      <w:r w:rsidRPr="00E97BC8">
        <w:rPr>
          <w:rFonts w:cs="Times New Roman"/>
          <w:sz w:val="22"/>
          <w:szCs w:val="22"/>
        </w:rPr>
        <w:t xml:space="preserve">The results of the SEM model component </w:t>
      </w:r>
      <w:r w:rsidR="009D121B" w:rsidRPr="00E97BC8">
        <w:rPr>
          <w:rFonts w:cs="Times New Roman"/>
          <w:sz w:val="22"/>
          <w:szCs w:val="22"/>
        </w:rPr>
        <w:t xml:space="preserve">(shown in the upper panel of Table 3) </w:t>
      </w:r>
      <w:r w:rsidRPr="00E97BC8">
        <w:rPr>
          <w:rFonts w:cs="Times New Roman"/>
          <w:sz w:val="22"/>
          <w:szCs w:val="22"/>
        </w:rPr>
        <w:t xml:space="preserve">reveal that </w:t>
      </w:r>
      <w:r w:rsidR="00765777" w:rsidRPr="00E97BC8">
        <w:rPr>
          <w:rFonts w:cs="Times New Roman"/>
          <w:sz w:val="22"/>
          <w:szCs w:val="22"/>
        </w:rPr>
        <w:t xml:space="preserve">gender impacts </w:t>
      </w:r>
      <w:r w:rsidR="007A09E1" w:rsidRPr="00E97BC8">
        <w:rPr>
          <w:rFonts w:cs="Times New Roman"/>
          <w:sz w:val="22"/>
          <w:szCs w:val="22"/>
        </w:rPr>
        <w:t>green lifestyle propensity (</w:t>
      </w:r>
      <w:r w:rsidR="00C20270" w:rsidRPr="00E97BC8">
        <w:rPr>
          <w:rFonts w:cs="Times New Roman"/>
          <w:sz w:val="22"/>
          <w:szCs w:val="22"/>
        </w:rPr>
        <w:t>GLP</w:t>
      </w:r>
      <w:r w:rsidR="007A09E1" w:rsidRPr="00E97BC8">
        <w:rPr>
          <w:rFonts w:cs="Times New Roman"/>
          <w:sz w:val="22"/>
          <w:szCs w:val="22"/>
        </w:rPr>
        <w:t>)</w:t>
      </w:r>
      <w:r w:rsidR="00765777" w:rsidRPr="00E97BC8">
        <w:rPr>
          <w:rFonts w:cs="Times New Roman"/>
          <w:sz w:val="22"/>
          <w:szCs w:val="22"/>
        </w:rPr>
        <w:t xml:space="preserve">, </w:t>
      </w:r>
      <w:r w:rsidR="007A09E1" w:rsidRPr="00E97BC8">
        <w:rPr>
          <w:rFonts w:cs="Times New Roman"/>
          <w:sz w:val="22"/>
          <w:szCs w:val="22"/>
        </w:rPr>
        <w:t>vehicle functionality preference (</w:t>
      </w:r>
      <w:r w:rsidR="00B74421" w:rsidRPr="00E97BC8">
        <w:rPr>
          <w:rFonts w:cs="Times New Roman"/>
          <w:sz w:val="22"/>
          <w:szCs w:val="22"/>
        </w:rPr>
        <w:t>VFP</w:t>
      </w:r>
      <w:r w:rsidR="007A09E1" w:rsidRPr="00E97BC8">
        <w:rPr>
          <w:rFonts w:cs="Times New Roman"/>
          <w:sz w:val="22"/>
          <w:szCs w:val="22"/>
        </w:rPr>
        <w:t>)</w:t>
      </w:r>
      <w:r w:rsidR="00765777" w:rsidRPr="00E97BC8">
        <w:rPr>
          <w:rFonts w:cs="Times New Roman"/>
          <w:sz w:val="22"/>
          <w:szCs w:val="22"/>
        </w:rPr>
        <w:t xml:space="preserve">, and </w:t>
      </w:r>
      <w:r w:rsidR="007A09E1" w:rsidRPr="00E97BC8">
        <w:rPr>
          <w:rFonts w:cs="Times New Roman"/>
          <w:sz w:val="22"/>
          <w:szCs w:val="22"/>
        </w:rPr>
        <w:t xml:space="preserve">cost and maintenance </w:t>
      </w:r>
      <w:r w:rsidR="007A09E1" w:rsidRPr="00E97BC8">
        <w:rPr>
          <w:rFonts w:cs="Times New Roman"/>
          <w:sz w:val="22"/>
          <w:szCs w:val="22"/>
        </w:rPr>
        <w:lastRenderedPageBreak/>
        <w:t>perception (</w:t>
      </w:r>
      <w:r w:rsidR="00B74421" w:rsidRPr="00E97BC8">
        <w:rPr>
          <w:rFonts w:cs="Times New Roman"/>
          <w:sz w:val="22"/>
          <w:szCs w:val="22"/>
        </w:rPr>
        <w:t>CMP</w:t>
      </w:r>
      <w:r w:rsidR="007A09E1" w:rsidRPr="00E97BC8">
        <w:rPr>
          <w:rFonts w:cs="Times New Roman"/>
          <w:sz w:val="22"/>
          <w:szCs w:val="22"/>
        </w:rPr>
        <w:t>)</w:t>
      </w:r>
      <w:r w:rsidR="00765777" w:rsidRPr="00E97BC8">
        <w:rPr>
          <w:rFonts w:cs="Times New Roman"/>
          <w:sz w:val="22"/>
          <w:szCs w:val="22"/>
        </w:rPr>
        <w:t>.</w:t>
      </w:r>
      <w:r w:rsidR="00B74421" w:rsidRPr="00E97BC8">
        <w:rPr>
          <w:rFonts w:cs="Times New Roman"/>
          <w:sz w:val="22"/>
          <w:szCs w:val="22"/>
        </w:rPr>
        <w:t xml:space="preserve"> </w:t>
      </w:r>
      <w:r w:rsidR="00F35F53" w:rsidRPr="00E97BC8">
        <w:rPr>
          <w:rFonts w:cs="Times New Roman"/>
          <w:sz w:val="22"/>
          <w:szCs w:val="22"/>
        </w:rPr>
        <w:t>Th</w:t>
      </w:r>
      <w:r w:rsidR="007A09E1" w:rsidRPr="00E97BC8">
        <w:rPr>
          <w:rFonts w:cs="Times New Roman"/>
          <w:sz w:val="22"/>
          <w:szCs w:val="22"/>
        </w:rPr>
        <w:t xml:space="preserve">e </w:t>
      </w:r>
      <w:r w:rsidR="00240907" w:rsidRPr="00E97BC8">
        <w:rPr>
          <w:rFonts w:cs="Times New Roman"/>
          <w:sz w:val="22"/>
          <w:szCs w:val="22"/>
        </w:rPr>
        <w:t>gender influence on GLP is</w:t>
      </w:r>
      <w:r w:rsidR="00F35F53" w:rsidRPr="00E97BC8">
        <w:rPr>
          <w:rFonts w:cs="Times New Roman"/>
          <w:sz w:val="22"/>
          <w:szCs w:val="22"/>
        </w:rPr>
        <w:t xml:space="preserve"> well documented in existing literature, as women exhibit a greater overall inclination toward environmental awareness and sustainable behaviors </w:t>
      </w:r>
      <w:r w:rsidR="008333FB" w:rsidRPr="00E97BC8">
        <w:rPr>
          <w:rFonts w:cs="Times New Roman"/>
          <w:sz w:val="22"/>
          <w:szCs w:val="22"/>
        </w:rPr>
        <w:fldChar w:fldCharType="begin"/>
      </w:r>
      <w:r w:rsidR="00207B16" w:rsidRPr="00E97BC8">
        <w:rPr>
          <w:rFonts w:cs="Times New Roman"/>
          <w:sz w:val="22"/>
          <w:szCs w:val="22"/>
        </w:rPr>
        <w:instrText xml:space="preserve"> ADDIN ZOTERO_ITEM CSL_CITATION {"citationID":"iKQQzel7","properties":{"formattedCitation":"(Anfinsen et al., 2019; Bloodhart and Swim, 2020)","plainCitation":"(Anfinsen et al., 2019; Bloodhart and Swim, 2020)","dontUpdate":true,"noteIndex":0},"citationItems":[{"id":2632,"uris":["http://zotero.org/users/12832277/items/A45NXK6B"],"itemData":{"id":2632,"type":"article-journal","abstract":"With Norway currently representing one of the few successful electric car markets in the world, our study provides early insights into the emerging electric vehicle culture. In this article, we argue that this culture challenges and modifies previous gendered constructions of cars as well as actual driving practices. When interviewing electric vehicle (EV) owners about the process of buying and owning an EV, we found stereotypical claims of feminine environmentalism and masculine fascination with technology. However, we also observed counter-narratives that destabilise such accounts, reframing the car in more hybrid terms. As a hybrid construction, the EV seems to appeal equally to both women and men, framing their enthusiasm within differently gendered narratives. We also found that owning and using EVs influenced driver identities and actual driving practices. Factors attracting EV users in Norway are many, extending beyond environmental concerns and financial savings. These insights bring crucial nuance to EV user representations and illustrate the significance of cultural inquiries in mobility transitions.","collection-title":"The Roles of Users in Low-Carbon Transport Innovations: Electrified, Automated, and Shared Mobility","container-title":"Transportation Research Part D: Transport and Environment","DOI":"10.1016/j.trd.2018.12.003","ISSN":"1361-9209","page":"37-46","source":"ScienceDirect","title":"Green and Gendered? Cultural Perspectives on the Road Towards Electric Vehicles in Norway","title-short":"Green and Gendered?","volume":"71","author":[{"family":"Anfinsen","given":"Martin"},{"family":"Lagesen","given":"Vivian Anette"},{"family":"Ryghaug","given":"Marianne"}],"issued":{"date-parts":[["2019",6,1]]}}},{"id":3614,"uris":["http://zotero.org/users/12832277/items/G4MUSB4L"],"itemData":{"id":3614,"type":"article-journal","abstract":"Gender plays an important role in considerations of sustainable consumption. Not only are there gender differences in the amount and type of sustainable consumption among women and men, but gender stereotypes and norms shape the way women and men think about the topic, respond to its necessity, and choose to act. Further, differences are embedded in larger lifestyle practices and intersect with other social identities, which can alter the occurrence or manifestations of gender differences in environmentally relevant actions. Finally, efforts to make consumption more sustainable are both influenced by and influence people differently based on gender as well as other marginalized group statuses. We highlight major psychological and social science research on the gendered aspects of sustainable consumption. Our goal is to illuminate social influences on gender differences in behaviors, motivations, and solutions and to emphasize the need for future policies and practices related to sustainable consumption to address and improve issues of gender equality.","container-title":"Journal of Social Issues","DOI":"10.1111/josi.12370","ISSN":"1540-4560","issue":"1","language":"en","license":"© 2020 The Society for the Psychological Study of Social Issues","note":"_eprint: https://onlinelibrary.wiley.com/doi/pdf/10.1111/josi.12370","page":"101-113","source":"Wiley Online Library","title":"Sustainability and Consumption: What's Gender Got to Do with It?","volume":"76","author":[{"family":"Bloodhart","given":"Brittany"},{"family":"Swim","given":"Janet K."}],"issued":{"date-parts":[["2020"]]}}}],"schema":"https://github.com/citation-style-language/schema/raw/master/csl-citation.json"} </w:instrText>
      </w:r>
      <w:r w:rsidR="008333FB" w:rsidRPr="00E97BC8">
        <w:rPr>
          <w:rFonts w:cs="Times New Roman"/>
          <w:sz w:val="22"/>
          <w:szCs w:val="22"/>
        </w:rPr>
        <w:fldChar w:fldCharType="separate"/>
      </w:r>
      <w:r w:rsidR="0048521E" w:rsidRPr="00E97BC8">
        <w:rPr>
          <w:rFonts w:cs="Times New Roman"/>
          <w:sz w:val="22"/>
          <w:szCs w:val="22"/>
        </w:rPr>
        <w:t>(see Anfinsen et al., 2019; Bloodhart and Swim, 2020)</w:t>
      </w:r>
      <w:r w:rsidR="008333FB" w:rsidRPr="00E97BC8">
        <w:rPr>
          <w:rFonts w:cs="Times New Roman"/>
          <w:sz w:val="22"/>
          <w:szCs w:val="22"/>
        </w:rPr>
        <w:fldChar w:fldCharType="end"/>
      </w:r>
      <w:r w:rsidR="00745575" w:rsidRPr="00E97BC8">
        <w:rPr>
          <w:rFonts w:cs="Times New Roman"/>
          <w:sz w:val="22"/>
          <w:szCs w:val="22"/>
        </w:rPr>
        <w:t xml:space="preserve">. </w:t>
      </w:r>
      <w:r w:rsidR="00DD088B" w:rsidRPr="00E97BC8">
        <w:rPr>
          <w:rFonts w:cs="Times New Roman"/>
          <w:sz w:val="22"/>
          <w:szCs w:val="22"/>
        </w:rPr>
        <w:t xml:space="preserve">Women also tend to view </w:t>
      </w:r>
      <w:r w:rsidR="00745575" w:rsidRPr="00E97BC8">
        <w:rPr>
          <w:rFonts w:cs="Times New Roman"/>
          <w:sz w:val="22"/>
          <w:szCs w:val="22"/>
        </w:rPr>
        <w:t xml:space="preserve">vehicles </w:t>
      </w:r>
      <w:r w:rsidR="0042265D" w:rsidRPr="00E97BC8">
        <w:rPr>
          <w:rFonts w:cs="Times New Roman"/>
          <w:sz w:val="22"/>
          <w:szCs w:val="22"/>
        </w:rPr>
        <w:t xml:space="preserve">more in terms of </w:t>
      </w:r>
      <w:r w:rsidR="00745575" w:rsidRPr="00E97BC8">
        <w:rPr>
          <w:rFonts w:cs="Times New Roman"/>
          <w:sz w:val="22"/>
          <w:szCs w:val="22"/>
        </w:rPr>
        <w:t>functional</w:t>
      </w:r>
      <w:r w:rsidR="0042265D" w:rsidRPr="00E97BC8">
        <w:rPr>
          <w:rFonts w:cs="Times New Roman"/>
          <w:sz w:val="22"/>
          <w:szCs w:val="22"/>
        </w:rPr>
        <w:t>ity</w:t>
      </w:r>
      <w:r w:rsidR="00DD088B" w:rsidRPr="00E97BC8">
        <w:rPr>
          <w:rFonts w:cs="Times New Roman"/>
          <w:sz w:val="22"/>
          <w:szCs w:val="22"/>
        </w:rPr>
        <w:t>,</w:t>
      </w:r>
      <w:r w:rsidR="00745575" w:rsidRPr="00E97BC8">
        <w:rPr>
          <w:rFonts w:cs="Times New Roman"/>
          <w:sz w:val="22"/>
          <w:szCs w:val="22"/>
        </w:rPr>
        <w:t xml:space="preserve"> while men are more likely to </w:t>
      </w:r>
      <w:r w:rsidR="00CE057B" w:rsidRPr="00E97BC8">
        <w:rPr>
          <w:rFonts w:cs="Times New Roman"/>
          <w:sz w:val="22"/>
          <w:szCs w:val="22"/>
        </w:rPr>
        <w:t>see them as status symbols</w:t>
      </w:r>
      <w:r w:rsidR="00DD088B" w:rsidRPr="00E97BC8">
        <w:rPr>
          <w:rFonts w:cs="Times New Roman"/>
          <w:sz w:val="22"/>
          <w:szCs w:val="22"/>
        </w:rPr>
        <w:t>, which would explain the positive impact of identifying as female on VFP.</w:t>
      </w:r>
      <w:r w:rsidR="00CE057B" w:rsidRPr="00E97BC8">
        <w:rPr>
          <w:rFonts w:cs="Times New Roman"/>
          <w:sz w:val="22"/>
          <w:szCs w:val="22"/>
        </w:rPr>
        <w:t xml:space="preserve"> </w:t>
      </w:r>
      <w:r w:rsidR="00DD088B" w:rsidRPr="00E97BC8">
        <w:rPr>
          <w:rFonts w:cs="Times New Roman"/>
          <w:sz w:val="22"/>
          <w:szCs w:val="22"/>
        </w:rPr>
        <w:t xml:space="preserve">Indeed, earlier literature indicates </w:t>
      </w:r>
      <w:r w:rsidR="00CE057B" w:rsidRPr="00E97BC8">
        <w:rPr>
          <w:rFonts w:cs="Times New Roman"/>
          <w:sz w:val="22"/>
          <w:szCs w:val="22"/>
        </w:rPr>
        <w:t xml:space="preserve">that women </w:t>
      </w:r>
      <w:r w:rsidR="00F4277C" w:rsidRPr="00E97BC8">
        <w:rPr>
          <w:rFonts w:cs="Times New Roman"/>
          <w:sz w:val="22"/>
          <w:szCs w:val="22"/>
        </w:rPr>
        <w:t xml:space="preserve">are more interested in the </w:t>
      </w:r>
      <w:r w:rsidR="00964375" w:rsidRPr="00E97BC8">
        <w:rPr>
          <w:rFonts w:cs="Times New Roman"/>
          <w:sz w:val="22"/>
          <w:szCs w:val="22"/>
        </w:rPr>
        <w:t>mobility control provided by vehicle ownership</w:t>
      </w:r>
      <w:r w:rsidR="00DD088B" w:rsidRPr="00E97BC8">
        <w:rPr>
          <w:rFonts w:cs="Times New Roman"/>
          <w:sz w:val="22"/>
          <w:szCs w:val="22"/>
        </w:rPr>
        <w:t>,</w:t>
      </w:r>
      <w:r w:rsidR="00964375" w:rsidRPr="00E97BC8">
        <w:rPr>
          <w:rFonts w:cs="Times New Roman"/>
          <w:sz w:val="22"/>
          <w:szCs w:val="22"/>
        </w:rPr>
        <w:t xml:space="preserve"> </w:t>
      </w:r>
      <w:r w:rsidR="00464FA4" w:rsidRPr="00E97BC8">
        <w:rPr>
          <w:rFonts w:cs="Times New Roman"/>
          <w:sz w:val="22"/>
          <w:szCs w:val="22"/>
        </w:rPr>
        <w:t xml:space="preserve">while men </w:t>
      </w:r>
      <w:r w:rsidR="00E03792" w:rsidRPr="00E97BC8">
        <w:rPr>
          <w:rFonts w:cs="Times New Roman"/>
          <w:sz w:val="22"/>
          <w:szCs w:val="22"/>
        </w:rPr>
        <w:t xml:space="preserve">associate vehicle ownership </w:t>
      </w:r>
      <w:r w:rsidR="00D707F6" w:rsidRPr="00E97BC8">
        <w:rPr>
          <w:rFonts w:cs="Times New Roman"/>
          <w:sz w:val="22"/>
          <w:szCs w:val="22"/>
        </w:rPr>
        <w:t xml:space="preserve">with </w:t>
      </w:r>
      <w:r w:rsidR="0066501C" w:rsidRPr="00E97BC8">
        <w:rPr>
          <w:rFonts w:cs="Times New Roman"/>
          <w:sz w:val="22"/>
          <w:szCs w:val="22"/>
        </w:rPr>
        <w:t xml:space="preserve">technological interest, </w:t>
      </w:r>
      <w:r w:rsidR="00D707F6" w:rsidRPr="00E97BC8">
        <w:rPr>
          <w:rFonts w:cs="Times New Roman"/>
          <w:sz w:val="22"/>
          <w:szCs w:val="22"/>
        </w:rPr>
        <w:t>self-identity considerations</w:t>
      </w:r>
      <w:r w:rsidR="0066501C" w:rsidRPr="00E97BC8">
        <w:rPr>
          <w:rFonts w:cs="Times New Roman"/>
          <w:sz w:val="22"/>
          <w:szCs w:val="22"/>
        </w:rPr>
        <w:t>,</w:t>
      </w:r>
      <w:r w:rsidR="00D707F6" w:rsidRPr="00E97BC8">
        <w:rPr>
          <w:rFonts w:cs="Times New Roman"/>
          <w:sz w:val="22"/>
          <w:szCs w:val="22"/>
        </w:rPr>
        <w:t xml:space="preserve"> and </w:t>
      </w:r>
      <w:r w:rsidR="007455F6" w:rsidRPr="00E97BC8">
        <w:rPr>
          <w:rFonts w:cs="Times New Roman"/>
          <w:sz w:val="22"/>
          <w:szCs w:val="22"/>
        </w:rPr>
        <w:t xml:space="preserve">driving enjoyment. </w:t>
      </w:r>
      <w:r w:rsidR="00DD088B" w:rsidRPr="00E97BC8">
        <w:rPr>
          <w:rFonts w:cs="Times New Roman"/>
          <w:sz w:val="22"/>
          <w:szCs w:val="22"/>
        </w:rPr>
        <w:t>This</w:t>
      </w:r>
      <w:r w:rsidR="000311CD" w:rsidRPr="00E97BC8">
        <w:rPr>
          <w:rFonts w:cs="Times New Roman"/>
          <w:sz w:val="22"/>
          <w:szCs w:val="22"/>
        </w:rPr>
        <w:t xml:space="preserve"> difference itself </w:t>
      </w:r>
      <w:r w:rsidR="00DD088B" w:rsidRPr="00E97BC8">
        <w:rPr>
          <w:rFonts w:cs="Times New Roman"/>
          <w:sz w:val="22"/>
          <w:szCs w:val="22"/>
        </w:rPr>
        <w:t>has been associated with</w:t>
      </w:r>
      <w:r w:rsidR="00ED4987" w:rsidRPr="00E97BC8">
        <w:rPr>
          <w:rFonts w:cs="Times New Roman"/>
          <w:sz w:val="22"/>
          <w:szCs w:val="22"/>
        </w:rPr>
        <w:t xml:space="preserve"> </w:t>
      </w:r>
      <w:r w:rsidR="00BD4C82" w:rsidRPr="00E97BC8">
        <w:rPr>
          <w:rFonts w:cs="Times New Roman"/>
          <w:sz w:val="22"/>
          <w:szCs w:val="22"/>
        </w:rPr>
        <w:t xml:space="preserve">financial disparities and </w:t>
      </w:r>
      <w:r w:rsidR="00ED4987" w:rsidRPr="00E97BC8">
        <w:rPr>
          <w:rFonts w:cs="Times New Roman"/>
          <w:sz w:val="22"/>
          <w:szCs w:val="22"/>
        </w:rPr>
        <w:t xml:space="preserve">gendered mobility roles </w:t>
      </w:r>
      <w:r w:rsidR="00DD088B" w:rsidRPr="00E97BC8">
        <w:rPr>
          <w:rFonts w:cs="Times New Roman"/>
          <w:sz w:val="22"/>
          <w:szCs w:val="22"/>
        </w:rPr>
        <w:t>that historically have led to</w:t>
      </w:r>
      <w:r w:rsidR="006C0F00" w:rsidRPr="00E97BC8">
        <w:rPr>
          <w:rFonts w:cs="Times New Roman"/>
          <w:sz w:val="22"/>
          <w:szCs w:val="22"/>
        </w:rPr>
        <w:t xml:space="preserve"> </w:t>
      </w:r>
      <w:r w:rsidR="00EA2912" w:rsidRPr="00E97BC8">
        <w:rPr>
          <w:rFonts w:cs="Times New Roman"/>
          <w:sz w:val="22"/>
          <w:szCs w:val="22"/>
        </w:rPr>
        <w:t>lower</w:t>
      </w:r>
      <w:r w:rsidR="006C0F00" w:rsidRPr="00E97BC8">
        <w:rPr>
          <w:rFonts w:cs="Times New Roman"/>
          <w:sz w:val="22"/>
          <w:szCs w:val="22"/>
        </w:rPr>
        <w:t xml:space="preserve"> level of mobility among </w:t>
      </w:r>
      <w:r w:rsidR="00EA2912" w:rsidRPr="00E97BC8">
        <w:rPr>
          <w:rFonts w:cs="Times New Roman"/>
          <w:sz w:val="22"/>
          <w:szCs w:val="22"/>
        </w:rPr>
        <w:t>women</w:t>
      </w:r>
      <w:r w:rsidR="006C0F00" w:rsidRPr="00E97BC8">
        <w:rPr>
          <w:rFonts w:cs="Times New Roman"/>
          <w:sz w:val="22"/>
          <w:szCs w:val="22"/>
        </w:rPr>
        <w:t xml:space="preserve"> compared </w:t>
      </w:r>
      <w:r w:rsidR="00E04996" w:rsidRPr="00E97BC8">
        <w:rPr>
          <w:rFonts w:cs="Times New Roman"/>
          <w:sz w:val="22"/>
          <w:szCs w:val="22"/>
        </w:rPr>
        <w:t>with</w:t>
      </w:r>
      <w:r w:rsidR="006C0F00" w:rsidRPr="00E97BC8">
        <w:rPr>
          <w:rFonts w:cs="Times New Roman"/>
          <w:sz w:val="22"/>
          <w:szCs w:val="22"/>
        </w:rPr>
        <w:t xml:space="preserve"> </w:t>
      </w:r>
      <w:r w:rsidR="00EA2912" w:rsidRPr="00E97BC8">
        <w:rPr>
          <w:rFonts w:cs="Times New Roman"/>
          <w:sz w:val="22"/>
          <w:szCs w:val="22"/>
        </w:rPr>
        <w:t>men</w:t>
      </w:r>
      <w:r w:rsidR="000C71FC" w:rsidRPr="00E97BC8">
        <w:rPr>
          <w:rFonts w:cs="Times New Roman"/>
          <w:sz w:val="22"/>
          <w:szCs w:val="22"/>
        </w:rPr>
        <w:t xml:space="preserve"> </w:t>
      </w:r>
      <w:r w:rsidR="000C71FC" w:rsidRPr="00E97BC8">
        <w:rPr>
          <w:rFonts w:cs="Times New Roman"/>
          <w:sz w:val="22"/>
          <w:szCs w:val="22"/>
        </w:rPr>
        <w:fldChar w:fldCharType="begin"/>
      </w:r>
      <w:r w:rsidR="000C71FC" w:rsidRPr="00E97BC8">
        <w:rPr>
          <w:rFonts w:cs="Times New Roman"/>
          <w:sz w:val="22"/>
          <w:szCs w:val="22"/>
        </w:rPr>
        <w:instrText xml:space="preserve"> ADDIN ZOTERO_ITEM CSL_CITATION {"citationID":"7XeJ7upS","properties":{"formattedCitation":"(Kawgan-Kagan, 2020)","plainCitation":"(Kawgan-Kagan, 2020)","noteIndex":0},"citationItems":[{"id":3606,"uris":["http://zotero.org/users/12832277/items/GPTIJRAX"],"itemData":{"id":3606,"type":"article-journal","abstract":"Travel patterns in daily life differ greatly between women and men, and differences in socialisation substantially impact travel mode choice. The literature has demonstrated a higher affinity towards local public transportation and sustainability for women. Men, by contrast, show a higher affinity towards cars, technology, and innovation. However, sex and gender factors have not been considered when examining innovative, sustainable urban mobility so far. A gender-sensitive perspective, therefore, is necessary to increase the possibility of using sustainable modes of transportation, including carsharing with battery-powered electric vehicles and, therefore, improve the quality of life in larger cities. This article closes this research gap with an analysis of a representative sample of 2400 respondents from four major cities in Germany based on Robin Law's theoretical framework of gendered daily mobility from 1999. In addition to socio-demographic, economic, and mobility-related factors, attitudes towards transport modes and the preferences for e-carsharing services are analysed to provide deeper insights into gender differences of urban dwellers. Grouped by age and gender, the presence of a child in the household is associated with different changes in preferences for specific modes of transport for women and men. Although the results indicate that urban women are more concerned about environmentally-friendly mobility in general and use cars less often than men, more women than men prefer going by car if there is a child under the age of 14 years in the household. There is unequal access to resources in mobility, which is in line with financial aspects being the main reason against car ownership for urban women. Parenthood has a positive effect on the acceptance of carsharing with battery-powered electric vehicles for women and men. In conclusion, gender differences result from different daily tasks, but there are also significant differences beyond this aspect that show a socially constructed gendered meaning of sustainable urban mobility. This research improves the understanding of sustainable urban mobility regarding gender differences, that is, the increase of car use of women with children, and the rejection of women of new mobility services. Only when gender differences are considered in planning processes, it will be possible to improve the quality of living in urban areas by reducing urban space scarcity, local and global emissions, and noise exposure.","container-title":"Transportation Research Interdisciplinary Perspectives","DOI":"10.1016/j.trip.2020.100236","ISSN":"2590-1982","page":"100236","source":"ScienceDirect","title":"Are Women Greener Than Men? A Preference Analysis of Women and Men from Major German Cities Over Sustainable Urban Mobility","volume":"8","author":[{"family":"Kawgan-Kagan","given":"Ines"}],"issued":{"date-parts":[["2020",11,1]]}}}],"schema":"https://github.com/citation-style-language/schema/raw/master/csl-citation.json"} </w:instrText>
      </w:r>
      <w:r w:rsidR="000C71FC" w:rsidRPr="00E97BC8">
        <w:rPr>
          <w:rFonts w:cs="Times New Roman"/>
          <w:sz w:val="22"/>
          <w:szCs w:val="22"/>
        </w:rPr>
        <w:fldChar w:fldCharType="separate"/>
      </w:r>
      <w:r w:rsidR="001E6A07" w:rsidRPr="00E97BC8">
        <w:rPr>
          <w:rFonts w:cs="Times New Roman"/>
          <w:sz w:val="22"/>
          <w:szCs w:val="22"/>
        </w:rPr>
        <w:t>(Kawgan-Kagan, 2020)</w:t>
      </w:r>
      <w:r w:rsidR="000C71FC" w:rsidRPr="00E97BC8">
        <w:rPr>
          <w:rFonts w:cs="Times New Roman"/>
          <w:sz w:val="22"/>
          <w:szCs w:val="22"/>
        </w:rPr>
        <w:fldChar w:fldCharType="end"/>
      </w:r>
      <w:r w:rsidR="002F4C0B" w:rsidRPr="00E97BC8">
        <w:rPr>
          <w:rFonts w:cs="Times New Roman"/>
          <w:sz w:val="22"/>
          <w:szCs w:val="22"/>
        </w:rPr>
        <w:t xml:space="preserve">, leading to </w:t>
      </w:r>
      <w:r w:rsidR="00E02792" w:rsidRPr="00E97BC8">
        <w:rPr>
          <w:rFonts w:cs="Times New Roman"/>
          <w:sz w:val="22"/>
          <w:szCs w:val="22"/>
        </w:rPr>
        <w:t>a greater interest in mobility control and vehicle functionality among women</w:t>
      </w:r>
      <w:r w:rsidR="008669CF" w:rsidRPr="00E97BC8">
        <w:rPr>
          <w:rFonts w:cs="Times New Roman"/>
          <w:sz w:val="22"/>
          <w:szCs w:val="22"/>
        </w:rPr>
        <w:t xml:space="preserve"> </w:t>
      </w:r>
      <w:r w:rsidR="008669CF" w:rsidRPr="00E97BC8">
        <w:rPr>
          <w:rFonts w:cs="Times New Roman"/>
          <w:sz w:val="22"/>
          <w:szCs w:val="22"/>
        </w:rPr>
        <w:fldChar w:fldCharType="begin"/>
      </w:r>
      <w:r w:rsidR="00493A40" w:rsidRPr="00E97BC8">
        <w:rPr>
          <w:rFonts w:cs="Times New Roman"/>
          <w:sz w:val="22"/>
          <w:szCs w:val="22"/>
        </w:rPr>
        <w:instrText xml:space="preserve"> ADDIN ZOTERO_ITEM CSL_CITATION {"citationID":"XxbcOs1C","properties":{"unsorted":true,"formattedCitation":"(Hjorthol, 2008)","plainCitation":"(Hjorthol, 2008)","noteIndex":0},"citationItems":[{"id":3609,"uris":["http://zotero.org/users/12832277/items/B9VBY926"],"itemData":{"id":3609,"type":"chapter","abstract":"Sweden is currently putting a great deal of effort into discussions regarding how gender equality can be achieved in the transport sector. This is due to a political strategy that began in 2001, with the addition of a gender equality subsidiary goal to Swedish transport policy. This chapter describes and analyses the current position of gender mainstreaming in the transport sector in Sweden. It provides a history of legislation in Sweden on gender mainstreaming in transport policy. The chapter presents an analysis of why gender equality has not had more success, through the identification of a number of barriers to gender mainstreaming that currently exist in the sector. It analyses the consequences of the new legislation in light of these barriers and applied to a discussion regarding the research that is needed to overcome obstacles to change. Gender mainstreaming involves an increased responsibility for gender equality politics for all governmental agencies.","container-title":"Gendered Mobilities","ISBN":"978-1-315-58420-1","note":"number-of-pages: 18","publisher":"Routledge","title":"Daily Mobility of Men and Women – A Barometer of Gender Equality?","author":[{"family":"Hjorthol","given":"Randi"}],"issued":{"date-parts":[["2008"]]}}}],"schema":"https://github.com/citation-style-language/schema/raw/master/csl-citation.json"} </w:instrText>
      </w:r>
      <w:r w:rsidR="008669CF" w:rsidRPr="00E97BC8">
        <w:rPr>
          <w:rFonts w:cs="Times New Roman"/>
          <w:sz w:val="22"/>
          <w:szCs w:val="22"/>
        </w:rPr>
        <w:fldChar w:fldCharType="separate"/>
      </w:r>
      <w:r w:rsidR="001E6A07" w:rsidRPr="00E97BC8">
        <w:rPr>
          <w:rFonts w:cs="Times New Roman"/>
          <w:sz w:val="22"/>
          <w:szCs w:val="22"/>
        </w:rPr>
        <w:t>(Hjorthol, 2008)</w:t>
      </w:r>
      <w:r w:rsidR="008669CF" w:rsidRPr="00E97BC8">
        <w:rPr>
          <w:rFonts w:cs="Times New Roman"/>
          <w:sz w:val="22"/>
          <w:szCs w:val="22"/>
        </w:rPr>
        <w:fldChar w:fldCharType="end"/>
      </w:r>
      <w:r w:rsidR="006C0F00" w:rsidRPr="00E97BC8">
        <w:rPr>
          <w:rFonts w:cs="Times New Roman"/>
          <w:sz w:val="22"/>
          <w:szCs w:val="22"/>
        </w:rPr>
        <w:t>.</w:t>
      </w:r>
      <w:r w:rsidR="006C0F00" w:rsidRPr="00E97BC8">
        <w:rPr>
          <w:rFonts w:cs="Times New Roman"/>
          <w:b/>
          <w:bCs/>
          <w:sz w:val="22"/>
          <w:szCs w:val="22"/>
        </w:rPr>
        <w:t xml:space="preserve"> </w:t>
      </w:r>
      <w:r w:rsidR="00A2723B" w:rsidRPr="00E97BC8">
        <w:rPr>
          <w:rFonts w:cs="Times New Roman"/>
          <w:sz w:val="22"/>
          <w:szCs w:val="22"/>
        </w:rPr>
        <w:t xml:space="preserve">In contrast, men are more likely </w:t>
      </w:r>
      <w:r w:rsidR="002872F5" w:rsidRPr="00E97BC8">
        <w:rPr>
          <w:rFonts w:cs="Times New Roman"/>
          <w:sz w:val="22"/>
          <w:szCs w:val="22"/>
        </w:rPr>
        <w:t xml:space="preserve">to take vehicle ownership for </w:t>
      </w:r>
      <w:r w:rsidR="0025423C" w:rsidRPr="00E97BC8">
        <w:rPr>
          <w:rFonts w:cs="Times New Roman"/>
          <w:sz w:val="22"/>
          <w:szCs w:val="22"/>
        </w:rPr>
        <w:t>granted and</w:t>
      </w:r>
      <w:r w:rsidR="002872F5" w:rsidRPr="00E97BC8">
        <w:rPr>
          <w:rFonts w:cs="Times New Roman"/>
          <w:sz w:val="22"/>
          <w:szCs w:val="22"/>
        </w:rPr>
        <w:t xml:space="preserve"> focus on the </w:t>
      </w:r>
      <w:r w:rsidR="00D914B0" w:rsidRPr="00E97BC8">
        <w:rPr>
          <w:rFonts w:cs="Times New Roman"/>
          <w:sz w:val="22"/>
          <w:szCs w:val="22"/>
        </w:rPr>
        <w:t>specific interests in technology innovation and public image when considering vehicles</w:t>
      </w:r>
      <w:r w:rsidR="0025423C" w:rsidRPr="00E97BC8">
        <w:rPr>
          <w:rFonts w:cs="Times New Roman"/>
          <w:sz w:val="22"/>
          <w:szCs w:val="22"/>
        </w:rPr>
        <w:t xml:space="preserve">, associating vehicles with </w:t>
      </w:r>
      <w:r w:rsidR="00D707F6" w:rsidRPr="00E97BC8">
        <w:rPr>
          <w:rFonts w:cs="Times New Roman"/>
          <w:sz w:val="22"/>
          <w:szCs w:val="22"/>
        </w:rPr>
        <w:t>societal expectations</w:t>
      </w:r>
      <w:r w:rsidR="004E2FDC" w:rsidRPr="00E97BC8">
        <w:rPr>
          <w:rFonts w:cs="Times New Roman"/>
          <w:sz w:val="22"/>
          <w:szCs w:val="22"/>
        </w:rPr>
        <w:t xml:space="preserve"> of </w:t>
      </w:r>
      <w:r w:rsidR="0025423C" w:rsidRPr="00E97BC8">
        <w:rPr>
          <w:rFonts w:cs="Times New Roman"/>
          <w:sz w:val="22"/>
          <w:szCs w:val="22"/>
        </w:rPr>
        <w:t xml:space="preserve">masculinity </w:t>
      </w:r>
      <w:r w:rsidR="00493A40" w:rsidRPr="00E97BC8">
        <w:rPr>
          <w:rFonts w:cs="Times New Roman"/>
          <w:sz w:val="22"/>
          <w:szCs w:val="22"/>
        </w:rPr>
        <w:fldChar w:fldCharType="begin"/>
      </w:r>
      <w:r w:rsidR="00493A40" w:rsidRPr="00E97BC8">
        <w:rPr>
          <w:rFonts w:cs="Times New Roman"/>
          <w:sz w:val="22"/>
          <w:szCs w:val="22"/>
        </w:rPr>
        <w:instrText xml:space="preserve"> ADDIN ZOTERO_ITEM CSL_CITATION {"citationID":"H8oU8iTS","properties":{"formattedCitation":"(Sovacool et al., 2019)","plainCitation":"(Sovacool et al., 2019)","noteIndex":0},"citationItems":[{"id":3611,"uris":["http://zotero.org/users/12832277/items/X6XDMTYA"],"itemData":{"id":3611,"type":"article-journal","abstract":"In this paper, we provide a comparative and mixed methods assessment of the gendered dimensions of electric mobility and stated preferences for electric vehicles in the Nordic region. This includes the potential for such vehicles to be configured in a vehicle-to-grid (V2G) manner, where they can store energy and offer services to the grid, generating revenue and accelerating decarbonisation. Based primarily on a survey distributed to a mix of more than 5000 respondents across five countries, research interviews, and focus groups, and supplemented with a comprehensive literature review, we examine how perceptions, attitudes, values and identities towards electric mobility differ by gender. We use this data to test, and largely confirm, with some exceptions, three hypotheses: H1: Men use cars (conventional and electric) more than women, more often own a car or EV, drive further than women, and use less public transport. H2: Women have stronger preferences for the environmentally friendly or safety attributes of vehicles (such as EVs and V2G), reflecting higher levels of environmental awareness. H3: Women attach less importance to acceleration, power, or sound, whereas men will emphasize range, sex appeal, and acceleration. In examining these hypotheses about gender, we reveal the more complex social dynamics behind how potential adopters in Denmark, Finland, Iceland, Norway, and Sweden consider and calculate various aspects of conventional mobility, electric mobility, and V2G.","container-title":"Transportation Research Part D: Transport and Environment","DOI":"10.1016/j.trd.2019.04.013","ISSN":"1361-9209","page":"187-202","source":"ScienceDirect","title":"Are Electric Vehicles Masculinized? Gender, Identity, and Environmental Values in Nordic Transport Practices and Vehicle-to-Grid (V2G) Preferences","volume":"72","author":[{"family":"Sovacool","given":"Benjamin K."},{"family":"Kester","given":"Johannes"},{"family":"Noel","given":"Lance"},{"family":"Zarazua de Rubens","given":"Gerardo"}],"issued":{"date-parts":[["2019",7,1]]}}}],"schema":"https://github.com/citation-style-language/schema/raw/master/csl-citation.json"} </w:instrText>
      </w:r>
      <w:r w:rsidR="00493A40" w:rsidRPr="00E97BC8">
        <w:rPr>
          <w:rFonts w:cs="Times New Roman"/>
          <w:sz w:val="22"/>
          <w:szCs w:val="22"/>
        </w:rPr>
        <w:fldChar w:fldCharType="separate"/>
      </w:r>
      <w:r w:rsidR="001E6A07" w:rsidRPr="00E97BC8">
        <w:rPr>
          <w:rFonts w:cs="Times New Roman"/>
          <w:sz w:val="22"/>
          <w:szCs w:val="22"/>
        </w:rPr>
        <w:t>(Sovacool et al., 2019)</w:t>
      </w:r>
      <w:r w:rsidR="00493A40" w:rsidRPr="00E97BC8">
        <w:rPr>
          <w:rFonts w:cs="Times New Roman"/>
          <w:sz w:val="22"/>
          <w:szCs w:val="22"/>
        </w:rPr>
        <w:fldChar w:fldCharType="end"/>
      </w:r>
      <w:r w:rsidR="0025423C" w:rsidRPr="00E97BC8">
        <w:rPr>
          <w:rFonts w:cs="Times New Roman"/>
          <w:sz w:val="22"/>
          <w:szCs w:val="22"/>
        </w:rPr>
        <w:t xml:space="preserve">. </w:t>
      </w:r>
      <w:r w:rsidR="00A36541" w:rsidRPr="00E97BC8">
        <w:rPr>
          <w:rFonts w:cs="Times New Roman"/>
          <w:sz w:val="22"/>
          <w:szCs w:val="22"/>
        </w:rPr>
        <w:t xml:space="preserve">The </w:t>
      </w:r>
      <w:r w:rsidR="00DD088B" w:rsidRPr="00E97BC8">
        <w:rPr>
          <w:rFonts w:cs="Times New Roman"/>
          <w:sz w:val="22"/>
          <w:szCs w:val="22"/>
        </w:rPr>
        <w:t xml:space="preserve">gender effect on CMP, which suggests that </w:t>
      </w:r>
      <w:r w:rsidR="00A36541" w:rsidRPr="00E97BC8">
        <w:rPr>
          <w:rFonts w:cs="Times New Roman"/>
          <w:sz w:val="22"/>
          <w:szCs w:val="22"/>
        </w:rPr>
        <w:t xml:space="preserve">men are more likely to perceive EVs to be </w:t>
      </w:r>
      <w:r w:rsidR="002456F6" w:rsidRPr="00E97BC8">
        <w:rPr>
          <w:rFonts w:cs="Times New Roman"/>
          <w:sz w:val="22"/>
          <w:szCs w:val="22"/>
        </w:rPr>
        <w:t>cost effective and easy to maintain</w:t>
      </w:r>
      <w:r w:rsidR="00DD088B" w:rsidRPr="00E97BC8">
        <w:rPr>
          <w:rFonts w:cs="Times New Roman"/>
          <w:sz w:val="22"/>
          <w:szCs w:val="22"/>
        </w:rPr>
        <w:t xml:space="preserve">, </w:t>
      </w:r>
      <w:r w:rsidR="008D478C" w:rsidRPr="00E97BC8">
        <w:rPr>
          <w:rFonts w:cs="Times New Roman"/>
          <w:sz w:val="22"/>
          <w:szCs w:val="22"/>
        </w:rPr>
        <w:t xml:space="preserve">may again relate to the greater </w:t>
      </w:r>
      <w:r w:rsidR="00E07CDD" w:rsidRPr="00E97BC8">
        <w:rPr>
          <w:rFonts w:cs="Times New Roman"/>
          <w:sz w:val="22"/>
          <w:szCs w:val="22"/>
        </w:rPr>
        <w:t xml:space="preserve">feelings of </w:t>
      </w:r>
      <w:r w:rsidR="008D478C" w:rsidRPr="00E97BC8">
        <w:rPr>
          <w:rFonts w:cs="Times New Roman"/>
          <w:sz w:val="22"/>
          <w:szCs w:val="22"/>
        </w:rPr>
        <w:t xml:space="preserve">financial autonomy </w:t>
      </w:r>
      <w:r w:rsidR="00E07CDD" w:rsidRPr="00E97BC8">
        <w:rPr>
          <w:rFonts w:cs="Times New Roman"/>
          <w:sz w:val="22"/>
          <w:szCs w:val="22"/>
        </w:rPr>
        <w:t xml:space="preserve">among men, as they exhibit less concern with initial purchase price </w:t>
      </w:r>
      <w:r w:rsidR="00D6159D" w:rsidRPr="00E97BC8">
        <w:rPr>
          <w:rFonts w:cs="Times New Roman"/>
          <w:sz w:val="22"/>
          <w:szCs w:val="22"/>
        </w:rPr>
        <w:fldChar w:fldCharType="begin"/>
      </w:r>
      <w:r w:rsidR="00D6159D" w:rsidRPr="00E97BC8">
        <w:rPr>
          <w:rFonts w:cs="Times New Roman"/>
          <w:sz w:val="22"/>
          <w:szCs w:val="22"/>
        </w:rPr>
        <w:instrText xml:space="preserve"> ADDIN ZOTERO_ITEM CSL_CITATION {"citationID":"PMfLoW5I","properties":{"formattedCitation":"(Egbue and Long, 2012)","plainCitation":"(Egbue and Long, 2012)","noteIndex":0},"citationItems":[{"id":3617,"uris":["http://zotero.org/users/12832277/items/D54ZD4QI"],"itemData":{"id":3617,"type":"article-journal","abstract":"Electric Vehicles (EVs) are promoted as a viable near-term vehicle technology to reduce dependence on fossil fuels and resulting greenhouse gas (GHG) emissions associated with conventional vehicles (CVs). In spite of the benefits of EVs, several obstacles need to be overcome before EVs will be widely adopted. A major barrier is that consumers tend to resist new technologies that are considered alien or unproved, thus, policy decisions that consider their critical concerns will have a higher level of success. This research identifies potential socio-technical barriers to consumer adoption of EVs and determines if sustainability issues influence consumer decision to purchase an EV. This study provides valuable insights into preferences and perceptions of technology enthusiasts; individuals highly connected to technology development and better equipped to sort out the many differences between EVs and CVs. This group of individuals will likely be early adopters of EVs only if they perceive them to be superior in performance compared to CVs. These results can guide policymakers in crafting energy and transportation policy. It can also provide guidance to EV engineers' decision in incorporating consumer preference into EV engineering design.","collection-title":"Special Section: Frontiers of Sustainability","container-title":"Energy Policy","DOI":"10.1016/j.enpol.2012.06.009","ISSN":"0301-4215","page":"717-729","source":"ScienceDirect","title":"Barriers to Widespread Adoption of Electric Vehicles: An Analysis of Consumer Attitudes and Perceptions","volume":"48","author":[{"family":"Egbue","given":"Ona"},{"family":"Long","given":"Suzanna"}],"issued":{"date-parts":[["2012",9,1]]}}}],"schema":"https://github.com/citation-style-language/schema/raw/master/csl-citation.json"} </w:instrText>
      </w:r>
      <w:r w:rsidR="00D6159D" w:rsidRPr="00E97BC8">
        <w:rPr>
          <w:rFonts w:cs="Times New Roman"/>
          <w:sz w:val="22"/>
          <w:szCs w:val="22"/>
        </w:rPr>
        <w:fldChar w:fldCharType="separate"/>
      </w:r>
      <w:r w:rsidR="001E6A07" w:rsidRPr="00E97BC8">
        <w:rPr>
          <w:rFonts w:cs="Times New Roman"/>
          <w:sz w:val="22"/>
          <w:szCs w:val="22"/>
        </w:rPr>
        <w:t>(Egbue and Long, 2012)</w:t>
      </w:r>
      <w:r w:rsidR="00D6159D" w:rsidRPr="00E97BC8">
        <w:rPr>
          <w:rFonts w:cs="Times New Roman"/>
          <w:sz w:val="22"/>
          <w:szCs w:val="22"/>
        </w:rPr>
        <w:fldChar w:fldCharType="end"/>
      </w:r>
      <w:r w:rsidR="00E07CDD" w:rsidRPr="00E97BC8">
        <w:rPr>
          <w:rFonts w:cs="Times New Roman"/>
          <w:sz w:val="22"/>
          <w:szCs w:val="22"/>
        </w:rPr>
        <w:t xml:space="preserve">, as well as </w:t>
      </w:r>
      <w:r w:rsidR="00FC6F84" w:rsidRPr="00E97BC8">
        <w:rPr>
          <w:rFonts w:cs="Times New Roman"/>
          <w:sz w:val="22"/>
          <w:szCs w:val="22"/>
        </w:rPr>
        <w:t>a greater</w:t>
      </w:r>
      <w:r w:rsidR="00E07CDD" w:rsidRPr="00E97BC8">
        <w:rPr>
          <w:rFonts w:cs="Times New Roman"/>
          <w:sz w:val="22"/>
          <w:szCs w:val="22"/>
        </w:rPr>
        <w:t xml:space="preserve"> interest in</w:t>
      </w:r>
      <w:r w:rsidR="00DD088B" w:rsidRPr="00E97BC8">
        <w:rPr>
          <w:rFonts w:cs="Times New Roman"/>
          <w:sz w:val="22"/>
          <w:szCs w:val="22"/>
        </w:rPr>
        <w:t>,</w:t>
      </w:r>
      <w:r w:rsidR="00E07CDD" w:rsidRPr="00E97BC8">
        <w:rPr>
          <w:rFonts w:cs="Times New Roman"/>
          <w:sz w:val="22"/>
          <w:szCs w:val="22"/>
        </w:rPr>
        <w:t xml:space="preserve"> </w:t>
      </w:r>
      <w:r w:rsidR="00FC6F84" w:rsidRPr="00E97BC8">
        <w:rPr>
          <w:rFonts w:cs="Times New Roman"/>
          <w:sz w:val="22"/>
          <w:szCs w:val="22"/>
        </w:rPr>
        <w:t xml:space="preserve">and </w:t>
      </w:r>
      <w:r w:rsidR="00C86926" w:rsidRPr="00E97BC8">
        <w:rPr>
          <w:rFonts w:cs="Times New Roman"/>
          <w:sz w:val="22"/>
          <w:szCs w:val="22"/>
        </w:rPr>
        <w:t>greater awareness of the relative maintenance requirements of</w:t>
      </w:r>
      <w:r w:rsidR="00DD088B" w:rsidRPr="00E97BC8">
        <w:rPr>
          <w:rFonts w:cs="Times New Roman"/>
          <w:sz w:val="22"/>
          <w:szCs w:val="22"/>
        </w:rPr>
        <w:t>,</w:t>
      </w:r>
      <w:r w:rsidR="00C86926" w:rsidRPr="00E97BC8">
        <w:rPr>
          <w:rFonts w:cs="Times New Roman"/>
          <w:sz w:val="22"/>
          <w:szCs w:val="22"/>
        </w:rPr>
        <w:t xml:space="preserve"> EVs and ICEVs </w:t>
      </w:r>
      <w:r w:rsidR="00FC6F84" w:rsidRPr="00E97BC8">
        <w:rPr>
          <w:rFonts w:cs="Times New Roman"/>
          <w:sz w:val="22"/>
          <w:szCs w:val="22"/>
        </w:rPr>
        <w:fldChar w:fldCharType="begin"/>
      </w:r>
      <w:r w:rsidR="004A54E5" w:rsidRPr="00E97BC8">
        <w:rPr>
          <w:rFonts w:cs="Times New Roman"/>
          <w:sz w:val="22"/>
          <w:szCs w:val="22"/>
        </w:rPr>
        <w:instrText xml:space="preserve"> ADDIN ZOTERO_ITEM CSL_CITATION {"citationID":"5kHl9CME","properties":{"unsorted":true,"formattedCitation":"(Sovacool et al., 2019; Jia and Chen, 2021)","plainCitation":"(Sovacool et al., 2019; Jia and Chen, 2021)","noteIndex":0},"citationItems":[{"id":3611,"uris":["http://zotero.org/users/12832277/items/X6XDMTYA"],"itemData":{"id":3611,"type":"article-journal","abstract":"In this paper, we provide a comparative and mixed methods assessment of the gendered dimensions of electric mobility and stated preferences for electric vehicles in the Nordic region. This includes the potential for such vehicles to be configured in a vehicle-to-grid (V2G) manner, where they can store energy and offer services to the grid, generating revenue and accelerating decarbonisation. Based primarily on a survey distributed to a mix of more than 5000 respondents across five countries, research interviews, and focus groups, and supplemented with a comprehensive literature review, we examine how perceptions, attitudes, values and identities towards electric mobility differ by gender. We use this data to test, and largely confirm, with some exceptions, three hypotheses: H1: Men use cars (conventional and electric) more than women, more often own a car or EV, drive further than women, and use less public transport. H2: Women have stronger preferences for the environmentally friendly or safety attributes of vehicles (such as EVs and V2G), reflecting higher levels of environmental awareness. H3: Women attach less importance to acceleration, power, or sound, whereas men will emphasize range, sex appeal, and acceleration. In examining these hypotheses about gender, we reveal the more complex social dynamics behind how potential adopters in Denmark, Finland, Iceland, Norway, and Sweden consider and calculate various aspects of conventional mobility, electric mobility, and V2G.","container-title":"Transportation Research Part D: Transport and Environment","DOI":"10.1016/j.trd.2019.04.013","ISSN":"1361-9209","page":"187-202","source":"ScienceDirect","title":"Are Electric Vehicles Masculinized? Gender, Identity, and Environmental Values in Nordic Transport Practices and Vehicle-to-Grid (V2G) Preferences","volume":"72","author":[{"family":"Sovacool","given":"Benjamin K."},{"family":"Kester","given":"Johannes"},{"family":"Noel","given":"Lance"},{"family":"Zarazua de Rubens","given":"Gerardo"}],"issued":{"date-parts":[["2019",7,1]]}}},{"id":1457,"uris":["http://zotero.org/users/12832277/items/24ELGDQC"],"itemData":{"id":1457,"type":"article-journal","abstract":"Previous studies on factors affecting electric vehicle (EV) adoption mainly rely on individual stated preference surveys or aggregate market share analyses. This paper applies both approaches to study EV adoption patterns in the state of Virginia to compare and contrast findings from the two methods. An individual-level vehicle fuel type choice model is developed based on a 2018 stated preference survey of 837 Virginia drivers. A county-level EV ownership model is developed using Department of Motor Vehicles’ 2012–2016 vehicle registration data. Results show several consistent findings: 1) being male and having higher educational attainment have positive effects on EV adoption; 2) availability of DC fast charging stations is positively associated with EV adoption, particularly for battery electric vehicles (BEVs). However, the age effects are found to be inconsistent between the two study approaches: older individuals state negative preferences for EVs whereas counties with greater share of older populations are associated with more EV registrations. Additionally, the individual vehicle choice model complements the county-level EV ownership analysis by examining the effects of various vehicle-related attributes: 1) model results show positive effects of EV purchase incentives but negligible effects of EV annual use fees on EV preferences; 2) battery range is found to be significant for the utility of BEVs, but not for plug-in hybrid EVs; and 3) EV owners place greater importance on battery range and DC fast charging stations than non-EV owners. The combined analysis confirms several influential factors of EV adoption, and identifies instances when stated preference/interest are not consistent with realworld ownership patterns, which should be explicitly considered in EV policy making.","container-title":"Transportation Research Part D: Transport and Environment","DOI":"10.1016/j.trd.2021.102728","ISSN":"13619209","language":"en","source":"DOI.org (Crossref)","title":"Are Individuals’ Stated Preferences for Electric Vehicles (EVs) Consistent with Real-World EV Ownership Patterns?","URL":"https://linkinghub.elsevier.com/retrieve/pii/S1361920921000328","volume":"93","author":[{"family":"Jia","given":"Wenjian"},{"family":"Chen","given":"T. Donna"}],"accessed":{"date-parts":[["2023",12,1]]},"issued":{"date-parts":[["2021",4]]}}}],"schema":"https://github.com/citation-style-language/schema/raw/master/csl-citation.json"} </w:instrText>
      </w:r>
      <w:r w:rsidR="00FC6F84" w:rsidRPr="00E97BC8">
        <w:rPr>
          <w:rFonts w:cs="Times New Roman"/>
          <w:sz w:val="22"/>
          <w:szCs w:val="22"/>
        </w:rPr>
        <w:fldChar w:fldCharType="separate"/>
      </w:r>
      <w:r w:rsidR="001E6A07" w:rsidRPr="00E97BC8">
        <w:rPr>
          <w:rFonts w:cs="Times New Roman"/>
          <w:sz w:val="22"/>
          <w:szCs w:val="22"/>
        </w:rPr>
        <w:t>(Sovacool et al., 2019; Jia and Chen, 2021)</w:t>
      </w:r>
      <w:r w:rsidR="00FC6F84" w:rsidRPr="00E97BC8">
        <w:rPr>
          <w:rFonts w:cs="Times New Roman"/>
          <w:sz w:val="22"/>
          <w:szCs w:val="22"/>
        </w:rPr>
        <w:fldChar w:fldCharType="end"/>
      </w:r>
      <w:r w:rsidR="00C86926" w:rsidRPr="00E97BC8">
        <w:rPr>
          <w:rFonts w:cs="Times New Roman"/>
          <w:sz w:val="22"/>
          <w:szCs w:val="22"/>
        </w:rPr>
        <w:t xml:space="preserve">. </w:t>
      </w:r>
    </w:p>
    <w:p w14:paraId="2E766B75" w14:textId="39271438" w:rsidR="00AC55A0" w:rsidRPr="00E97BC8" w:rsidRDefault="00FD140E" w:rsidP="00E85093">
      <w:pPr>
        <w:spacing w:after="0" w:line="240" w:lineRule="auto"/>
        <w:ind w:firstLine="720"/>
        <w:jc w:val="both"/>
        <w:rPr>
          <w:rFonts w:cs="Times New Roman"/>
          <w:color w:val="FF0000"/>
          <w:sz w:val="22"/>
          <w:szCs w:val="22"/>
        </w:rPr>
      </w:pPr>
      <w:r w:rsidRPr="00E97BC8">
        <w:rPr>
          <w:rFonts w:cs="Times New Roman"/>
          <w:sz w:val="22"/>
          <w:szCs w:val="22"/>
        </w:rPr>
        <w:t xml:space="preserve">Age </w:t>
      </w:r>
      <w:r w:rsidR="00A65C0A" w:rsidRPr="00E97BC8">
        <w:rPr>
          <w:rFonts w:cs="Times New Roman"/>
          <w:sz w:val="22"/>
          <w:szCs w:val="22"/>
        </w:rPr>
        <w:t xml:space="preserve">impacts VFP and </w:t>
      </w:r>
      <w:r w:rsidR="007A09E1" w:rsidRPr="00E97BC8">
        <w:rPr>
          <w:rFonts w:cs="Times New Roman"/>
          <w:sz w:val="22"/>
          <w:szCs w:val="22"/>
        </w:rPr>
        <w:t>battery range and charging perception (</w:t>
      </w:r>
      <w:r w:rsidR="00A65C0A" w:rsidRPr="00E97BC8">
        <w:rPr>
          <w:rFonts w:cs="Times New Roman"/>
          <w:sz w:val="22"/>
          <w:szCs w:val="22"/>
        </w:rPr>
        <w:t>BRP</w:t>
      </w:r>
      <w:r w:rsidR="007A09E1" w:rsidRPr="00E97BC8">
        <w:rPr>
          <w:rFonts w:cs="Times New Roman"/>
          <w:sz w:val="22"/>
          <w:szCs w:val="22"/>
        </w:rPr>
        <w:t>)</w:t>
      </w:r>
      <w:r w:rsidR="00A65C0A" w:rsidRPr="00E97BC8">
        <w:rPr>
          <w:rFonts w:cs="Times New Roman"/>
          <w:sz w:val="22"/>
          <w:szCs w:val="22"/>
        </w:rPr>
        <w:t>, with older adults view</w:t>
      </w:r>
      <w:r w:rsidR="000311CD" w:rsidRPr="00E97BC8">
        <w:rPr>
          <w:rFonts w:cs="Times New Roman"/>
          <w:sz w:val="22"/>
          <w:szCs w:val="22"/>
        </w:rPr>
        <w:t>ing</w:t>
      </w:r>
      <w:r w:rsidR="00A65C0A" w:rsidRPr="00E97BC8">
        <w:rPr>
          <w:rFonts w:cs="Times New Roman"/>
          <w:sz w:val="22"/>
          <w:szCs w:val="22"/>
        </w:rPr>
        <w:t xml:space="preserve"> vehicle</w:t>
      </w:r>
      <w:r w:rsidR="00BA6A65" w:rsidRPr="00E97BC8">
        <w:rPr>
          <w:rFonts w:cs="Times New Roman"/>
          <w:sz w:val="22"/>
          <w:szCs w:val="22"/>
        </w:rPr>
        <w:t>s</w:t>
      </w:r>
      <w:r w:rsidR="00A65C0A" w:rsidRPr="00E97BC8">
        <w:rPr>
          <w:rFonts w:cs="Times New Roman"/>
          <w:sz w:val="22"/>
          <w:szCs w:val="22"/>
        </w:rPr>
        <w:t xml:space="preserve"> as </w:t>
      </w:r>
      <w:r w:rsidR="006F4161" w:rsidRPr="00E97BC8">
        <w:rPr>
          <w:rFonts w:cs="Times New Roman"/>
          <w:sz w:val="22"/>
          <w:szCs w:val="22"/>
        </w:rPr>
        <w:t>primarily functional</w:t>
      </w:r>
      <w:r w:rsidR="00DD088B" w:rsidRPr="00E97BC8">
        <w:rPr>
          <w:rFonts w:cs="Times New Roman"/>
          <w:sz w:val="22"/>
          <w:szCs w:val="22"/>
        </w:rPr>
        <w:t>,</w:t>
      </w:r>
      <w:r w:rsidR="00A65C0A" w:rsidRPr="00E97BC8">
        <w:rPr>
          <w:rFonts w:cs="Times New Roman"/>
          <w:sz w:val="22"/>
          <w:szCs w:val="22"/>
        </w:rPr>
        <w:t xml:space="preserve"> while also being less convinced </w:t>
      </w:r>
      <w:r w:rsidR="00BA6A65" w:rsidRPr="00E97BC8">
        <w:rPr>
          <w:rFonts w:cs="Times New Roman"/>
          <w:sz w:val="22"/>
          <w:szCs w:val="22"/>
        </w:rPr>
        <w:t xml:space="preserve">than younger adults </w:t>
      </w:r>
      <w:r w:rsidR="00A65C0A" w:rsidRPr="00E97BC8">
        <w:rPr>
          <w:rFonts w:cs="Times New Roman"/>
          <w:sz w:val="22"/>
          <w:szCs w:val="22"/>
        </w:rPr>
        <w:t>about the</w:t>
      </w:r>
      <w:r w:rsidR="00CD35DA" w:rsidRPr="00E97BC8">
        <w:rPr>
          <w:rFonts w:cs="Times New Roman"/>
          <w:sz w:val="22"/>
          <w:szCs w:val="22"/>
        </w:rPr>
        <w:t xml:space="preserve"> </w:t>
      </w:r>
      <w:r w:rsidR="00E8017D" w:rsidRPr="00E97BC8">
        <w:rPr>
          <w:rFonts w:cs="Times New Roman"/>
          <w:sz w:val="22"/>
          <w:szCs w:val="22"/>
        </w:rPr>
        <w:t>suitability</w:t>
      </w:r>
      <w:r w:rsidR="00CD35DA" w:rsidRPr="00E97BC8">
        <w:rPr>
          <w:rFonts w:cs="Times New Roman"/>
          <w:sz w:val="22"/>
          <w:szCs w:val="22"/>
        </w:rPr>
        <w:t xml:space="preserve"> of EVs for long-distance trips.</w:t>
      </w:r>
      <w:r w:rsidR="000E4B80" w:rsidRPr="00E97BC8">
        <w:rPr>
          <w:rFonts w:cs="Times New Roman"/>
          <w:sz w:val="22"/>
          <w:szCs w:val="22"/>
        </w:rPr>
        <w:t xml:space="preserve"> </w:t>
      </w:r>
      <w:r w:rsidR="00E752CA" w:rsidRPr="00E97BC8">
        <w:rPr>
          <w:rFonts w:cs="Times New Roman"/>
          <w:sz w:val="22"/>
          <w:szCs w:val="22"/>
        </w:rPr>
        <w:t>The first result is consistent with literature suggesting that younger adults enjoy driving more</w:t>
      </w:r>
      <w:r w:rsidR="000311CD" w:rsidRPr="00E97BC8">
        <w:rPr>
          <w:rFonts w:cs="Times New Roman"/>
          <w:sz w:val="22"/>
          <w:szCs w:val="22"/>
        </w:rPr>
        <w:t xml:space="preserve"> </w:t>
      </w:r>
      <w:r w:rsidR="00AB0B20" w:rsidRPr="00E97BC8">
        <w:rPr>
          <w:rFonts w:cs="Times New Roman"/>
          <w:sz w:val="22"/>
          <w:szCs w:val="22"/>
        </w:rPr>
        <w:t xml:space="preserve">and </w:t>
      </w:r>
      <w:r w:rsidR="000311CD" w:rsidRPr="00E97BC8">
        <w:rPr>
          <w:rFonts w:cs="Times New Roman"/>
          <w:sz w:val="22"/>
          <w:szCs w:val="22"/>
        </w:rPr>
        <w:t xml:space="preserve">are </w:t>
      </w:r>
      <w:r w:rsidR="00AB0B20" w:rsidRPr="00E97BC8">
        <w:rPr>
          <w:rFonts w:cs="Times New Roman"/>
          <w:sz w:val="22"/>
          <w:szCs w:val="22"/>
        </w:rPr>
        <w:t>strongly motivated by symbolic and affective concerns</w:t>
      </w:r>
      <w:r w:rsidR="000311CD" w:rsidRPr="00E97BC8">
        <w:rPr>
          <w:rFonts w:cs="Times New Roman"/>
          <w:sz w:val="22"/>
          <w:szCs w:val="22"/>
        </w:rPr>
        <w:t>,</w:t>
      </w:r>
      <w:r w:rsidR="00AB0B20" w:rsidRPr="00E97BC8">
        <w:rPr>
          <w:rFonts w:cs="Times New Roman"/>
          <w:sz w:val="22"/>
          <w:szCs w:val="22"/>
        </w:rPr>
        <w:t xml:space="preserve"> while older adults focus more directly on the mobility provided by vehicle ownership </w:t>
      </w:r>
      <w:r w:rsidR="00C858CE" w:rsidRPr="00E97BC8">
        <w:rPr>
          <w:rFonts w:cs="Times New Roman"/>
          <w:sz w:val="22"/>
          <w:szCs w:val="22"/>
        </w:rPr>
        <w:t xml:space="preserve">and </w:t>
      </w:r>
      <w:r w:rsidR="000311CD" w:rsidRPr="00E97BC8">
        <w:rPr>
          <w:rFonts w:cs="Times New Roman"/>
          <w:sz w:val="22"/>
          <w:szCs w:val="22"/>
        </w:rPr>
        <w:t xml:space="preserve">the </w:t>
      </w:r>
      <w:r w:rsidR="00C858CE" w:rsidRPr="00E97BC8">
        <w:rPr>
          <w:rFonts w:cs="Times New Roman"/>
          <w:sz w:val="22"/>
          <w:szCs w:val="22"/>
        </w:rPr>
        <w:t xml:space="preserve">functional aspects of the vehicle such as safety and </w:t>
      </w:r>
      <w:r w:rsidR="001C5278" w:rsidRPr="00E97BC8">
        <w:rPr>
          <w:rFonts w:cs="Times New Roman"/>
          <w:sz w:val="22"/>
          <w:szCs w:val="22"/>
        </w:rPr>
        <w:t>fuel efficiency</w:t>
      </w:r>
      <w:r w:rsidR="00F535F6" w:rsidRPr="00E97BC8">
        <w:rPr>
          <w:rFonts w:cs="Times New Roman"/>
          <w:sz w:val="22"/>
          <w:szCs w:val="22"/>
        </w:rPr>
        <w:t xml:space="preserve"> </w:t>
      </w:r>
      <w:r w:rsidR="00795CE9" w:rsidRPr="00E97BC8">
        <w:rPr>
          <w:rFonts w:cs="Times New Roman"/>
          <w:sz w:val="22"/>
          <w:szCs w:val="22"/>
        </w:rPr>
        <w:fldChar w:fldCharType="begin"/>
      </w:r>
      <w:r w:rsidR="00795CE9" w:rsidRPr="00E97BC8">
        <w:rPr>
          <w:rFonts w:cs="Times New Roman"/>
          <w:sz w:val="22"/>
          <w:szCs w:val="22"/>
        </w:rPr>
        <w:instrText xml:space="preserve"> ADDIN ZOTERO_ITEM CSL_CITATION {"citationID":"J4sOn1Un","properties":{"unsorted":true,"formattedCitation":"(Steg, 2005; Koppel et al., 2013)","plainCitation":"(Steg, 2005; Koppel et al., 2013)","noteIndex":0},"citationItems":[{"id":3718,"uris":["http://zotero.org/users/12832277/items/8JQSVEHU"],"itemData":{"id":3718,"type":"article-journal","abstract":"This paper reports results of two questionnaire studies aimed at examining various motives for car use. In the first study, a random selection of 185 respondents who possess a driving licence were interviewed. Respondents were recruited from the cities of Groningen and Rotterdam, The Netherlands. The sample of the second study comprised a random selection of 113 commuters who regularly travelled during rush hours in and around Rotterdam, a region in the west of the Netherlands. First, it was examined which categories of car use motives may be distinguished. As proposed by Dittmar’s (1992) [The social psychology of material possessions: to have is to be. Havester Wheatsheaf, Hemel Hempstead, UK; St. Martin’s Press, New York] model on the meaning of material possessions, results from both studies revealed that car use not only fulfils instrumental functions, but also important symbolic and affective functions. Second, it was studied to what extent these different motives are related to the level of car use. From the results of study 2, it appeared that commuter car use was most strongly related to symbolic and affective motives, and not to instrumental motives. Third, individual differences in the relative importance of the three categories of motives were investigated. In both studies, most group differences were found in the evaluation of the symbolic and affective motives (and not the instrumental ones). Especially frequent drivers, respondents with a positive car attitude, male and younger respondents valued these non-instrumental motives for car use. These results suggest that policy makers should not exclusively focus on instrumental motives for car use, but they should consider the many social and affective motives as well.","collection-title":"Positive Utility of Travel","container-title":"Transportation Research Part A: Policy and Practice","DOI":"10.1016/j.tra.2004.07.001","ISSN":"0965-8564","issue":"2","journalAbbreviation":"Transportation Research Part A: Policy and Practice","page":"147-162","source":"ScienceDirect","title":"Car Use: Lust and Must. Instrumental, Symbolic and Affective Motives for Car Use","volume":"39","author":[{"family":"Steg","given":"Linda"}],"issued":{"date-parts":[["2005",2,1]]}}},{"id":3716,"uris":["http://zotero.org/users/12832277/items/7HBQD7JH"],"itemData":{"id":3716,"type":"article-journal","abstract":"Objective: This study aimed to investigate the importance of vehicle safety to older consumers in the vehicle purchase process. Methods: Older (n = 102), middle-aged (n = 791), and younger (n = 109) participants throughout the eastern Australian states of Victoria, New South Wales, and Queensland who had recently purchased a new or used vehicle completed an online questionnaire about their vehicle purchase process. Results: When asked to list the 3 most important considerations in the vehicle purchase process (in an open-ended format), older consumers were mostly likely to list price as their most important consideration (43%). Similarly, when presented with a list of vehicle factors (such as price, design, Australasian New Car Assessment Program [ANCAP] rating), older consumers were most likely to identify price as the most important vehicle factor (36%). When presented with a list of vehicle features (such as automatic transmission, braking, air bags), older consumers in the current study were most likely to identify an antilock braking system (41%) as the most important vehicle feature, and 50 percent of older consumers identified a safety-related vehicle feature as the highest priority vehicle feature (50%). When asked to list up to 3 factors that make a vehicle safe, older consumers in the current study were most likely to list braking systems (35%), air bags (22%), and the driver's behavior or skill (11%). When asked about the influence of safety in the new vehicle purchase process, one third of older consumers reported that all new vehicles are safe (33%) and almost half of the older consumers rated their vehicle as safer than average (49%). A logistic regression model was developed to predict the profile of older consumers more likely to assign a higher priority to safety features in the vehicle purchasing process. The model predicted that the importance of safety-related features was influenced by several variables, including older consumers’ beliefs that they could protect themselves and their family from a crash, their traffic infringement history, and whether they had children. Conclusions: These findings are consistent with previous research that suggests that, though older consumers highlight the importance of safety features (i.e., seat belts, air bags, braking), they often downplay the role of safety in their vehicle purchasing process and are more likely to equate vehicle safety with the presence of specific vehicle safety features or technologies rather than the vehicle's crash safety/test results or crashworthiness. The findings from this study provide a foundation to support further research in this area that can be used by policy makers, manufacturers, and other stakeholders to better target the promotion and publicity of vehicle safety features to particular consumer groups (such as older consumers). Better targeted campaigns may help to emphasize the value of safety features and their role in reducing the risk of injury/death. If older consumers are better informed of the benefits of safety features when purchasing a vehicle, a further reduction in injuries and deaths related to motor vehicle crashes may be realized.","container-title":"Traffic Injury Prevention","DOI":"10.1080/15389588.2012.740642","ISSN":"1538-9588","issue":"6","note":"publisher: Taylor &amp; Francis\n_eprint: https://doi.org/10.1080/15389588.2012.740642\nPMID: 23859023","page":"592-601","source":"Taylor and Francis+NEJM","title":"How Important Is Vehicle Safety for Older Consumers in the Vehicle Purchase Process?","volume":"14","author":[{"family":"Koppel","given":"Sjaan"},{"family":"Clark","given":"Belinda"},{"family":"Hoareau","given":"Effie"},{"family":"Charlton","given":"Judith L."},{"family":"Newstead","given":"Stuart V."}],"issued":{"date-parts":[["2013",8,18]]}}}],"schema":"https://github.com/citation-style-language/schema/raw/master/csl-citation.json"} </w:instrText>
      </w:r>
      <w:r w:rsidR="00795CE9" w:rsidRPr="00E97BC8">
        <w:rPr>
          <w:rFonts w:cs="Times New Roman"/>
          <w:sz w:val="22"/>
          <w:szCs w:val="22"/>
        </w:rPr>
        <w:fldChar w:fldCharType="separate"/>
      </w:r>
      <w:r w:rsidR="001E6A07" w:rsidRPr="00E97BC8">
        <w:rPr>
          <w:rFonts w:cs="Times New Roman"/>
          <w:sz w:val="22"/>
          <w:szCs w:val="22"/>
        </w:rPr>
        <w:t>(Steg, 2005; Koppel et al., 2013)</w:t>
      </w:r>
      <w:r w:rsidR="00795CE9" w:rsidRPr="00E97BC8">
        <w:rPr>
          <w:rFonts w:cs="Times New Roman"/>
          <w:sz w:val="22"/>
          <w:szCs w:val="22"/>
        </w:rPr>
        <w:fldChar w:fldCharType="end"/>
      </w:r>
      <w:r w:rsidR="00C858CE" w:rsidRPr="00E97BC8">
        <w:rPr>
          <w:rFonts w:cs="Times New Roman"/>
          <w:sz w:val="22"/>
          <w:szCs w:val="22"/>
        </w:rPr>
        <w:t xml:space="preserve">. </w:t>
      </w:r>
      <w:r w:rsidR="0093791B" w:rsidRPr="00E97BC8">
        <w:rPr>
          <w:rFonts w:cs="Times New Roman"/>
          <w:sz w:val="22"/>
          <w:szCs w:val="22"/>
        </w:rPr>
        <w:t xml:space="preserve">The second finding relates to a lower level of </w:t>
      </w:r>
      <w:r w:rsidR="00006BC3" w:rsidRPr="00E97BC8">
        <w:rPr>
          <w:rFonts w:cs="Times New Roman"/>
          <w:sz w:val="22"/>
          <w:szCs w:val="22"/>
        </w:rPr>
        <w:t>trust for new technologies among older adults</w:t>
      </w:r>
      <w:r w:rsidR="00283310" w:rsidRPr="00E97BC8">
        <w:rPr>
          <w:rFonts w:cs="Times New Roman"/>
          <w:sz w:val="22"/>
          <w:szCs w:val="22"/>
        </w:rPr>
        <w:t xml:space="preserve">. </w:t>
      </w:r>
      <w:r w:rsidR="001836DE" w:rsidRPr="00E97BC8">
        <w:rPr>
          <w:rFonts w:cs="Times New Roman"/>
          <w:sz w:val="22"/>
          <w:szCs w:val="22"/>
        </w:rPr>
        <w:t>While o</w:t>
      </w:r>
      <w:r w:rsidR="00283310" w:rsidRPr="00E97BC8">
        <w:rPr>
          <w:rFonts w:cs="Times New Roman"/>
          <w:sz w:val="22"/>
          <w:szCs w:val="22"/>
        </w:rPr>
        <w:t>lder individuals tend to be slower to adopt new technologies because of a lower overall level of technology savviness</w:t>
      </w:r>
      <w:r w:rsidR="0090665E" w:rsidRPr="00E97BC8">
        <w:rPr>
          <w:rFonts w:cs="Times New Roman"/>
          <w:sz w:val="22"/>
          <w:szCs w:val="22"/>
        </w:rPr>
        <w:t xml:space="preserve"> </w:t>
      </w:r>
      <w:r w:rsidR="00C8598F" w:rsidRPr="00E97BC8">
        <w:rPr>
          <w:rFonts w:cs="Times New Roman"/>
          <w:sz w:val="22"/>
          <w:szCs w:val="22"/>
        </w:rPr>
        <w:fldChar w:fldCharType="begin"/>
      </w:r>
      <w:r w:rsidR="00C8598F" w:rsidRPr="00E97BC8">
        <w:rPr>
          <w:rFonts w:cs="Times New Roman"/>
          <w:sz w:val="22"/>
          <w:szCs w:val="22"/>
        </w:rPr>
        <w:instrText xml:space="preserve"> ADDIN ZOTERO_ITEM CSL_CITATION {"citationID":"nEBIC5gx","properties":{"formattedCitation":"(Berkowsky et al., 2017; Pang et al., 2021)","plainCitation":"(Berkowsky et al., 2017; Pang et al., 2021)","noteIndex":0},"citationItems":[{"id":3627,"uris":["http://zotero.org/users/12832277/items/W284UQVV"],"itemData":{"id":3627,"type":"article-journal","abstract":"Numerous technology applications are available that have the potential to improve the quality of life (QoL) of older adults. However, older adults are less likely to adopt new and emerging technologies and reap the potential benefits. This study examines factors that influence older adults’ decisions about the adoption of new technology.Fifty-two older adults participated in a mixed-method procedure, which entailed: (1) observing presentations detailing nine differing technologies, (2) assessing the technologies using tailored questionnaires, and (3) participating in focus group discussions. Participants were assigned into one of seven groups separated by age (65–74, 75+) and language (English, Spanish). The outcome was willingness to adopt technology. Predictors included self-assessed abilities (e.g., numeric ability), computer/Internet skills and knowledge, technology readiness, age, language, and technology ratings (e.g., perceived value). Analyses included Spearman’s ρ, t-tests, and regression analysis. Focus group discussions were examined for supportive examples.Self-assessed abilities and computer/Internet skills were predictive of willingness to adopt technologies although the relationship varied according to the technology examined. Technology readiness, age, and language group showed weak associations with the outcome. Of the technology ratings, perceived value, confidence in ability to learn the technology, and the perceived impact on QoL were the most robust predictors of willingness to adopt technology.Findings indicate that various stakeholders in technology adoption among older adults must be cognizant of a technology’s functionality and complexity as well as the characteristics and abilities of older adults. However, certain factors such as perceptions about the value of the technology and potential impact on QoL are also critically important to decisions regarding technology adoption among older people.","container-title":"Innovation in Aging","DOI":"10.1093/geroni/igy002","ISSN":"2399-5300","issue":"3","journalAbbreviation":"Innovation in Aging","page":"igy002","source":"Silverchair","title":"Factors Predicting Decisions About Technology Adoption Among Older Adults","volume":"1","author":[{"family":"Berkowsky","given":"Ronald W"},{"family":"Sharit","given":"Joseph"},{"family":"Czaja","given":"Sara J"}],"issued":{"date-parts":[["2017",11,1]]}}},{"id":3630,"uris":["http://zotero.org/users/12832277/items/ZP4LC8VN"],"itemData":{"id":3630,"type":"paper-conference","abstract":"Technology adoption among older adults has increased significantly in recent years. Yet, as new technologies proliferate and the demographics of aging shift, continued attention to older adults’ adoption priorities and learning preferences is required. Through semi-structured interviews, we examine the factors adults 65+ prioritize in choosing new technologies, the challenges they encounter in learning to use them, and the human and material resources they employ to support these efforts. Using a video prototype as a design probe, we present scenarios to explore older adults’ perceptions of adoption and learning new technologies within the lens of health management support, a relevant and beneficial context for older adults. Our results reveal that participants appreciated self-paced learning, remote support, and flexible learning methods, and were less reliant on instruction manuals than in the past. This work provides insight into older adults’ evolving challenges, learning needs, and design opportunities for next generation learning support.","collection-title":"CHI '21","container-title":"Proceedings of the 2021 CHI Conference on Human Factors in Computing Systems","DOI":"10.1145/3411764.3445702","event-place":"New York, NY, USA","ISBN":"978-1-4503-8096-6","page":"1–13","publisher":"Association for Computing Machinery","publisher-place":"New York, NY, USA","source":"ACM Digital Library","title":"Technology Adoption and Learning Preferences for Older Adults: Evolving Perceptions, Ongoing Challenges, and Emerging Design Opportunities","URL":"https://dl.acm.org/doi/10.1145/3411764.3445702","author":[{"family":"Pang","given":"Carolyn"},{"family":"Collin Wang","given":"Zhiqin"},{"family":"McGrenere","given":"Joanna"},{"family":"Leung","given":"Rock"},{"family":"Dai","given":"Jiamin"},{"family":"Moffatt","given":"Karyn"}],"accessed":{"date-parts":[["2024",9,25]]},"issued":{"date-parts":[["2021",5,7]]}}}],"schema":"https://github.com/citation-style-language/schema/raw/master/csl-citation.json"} </w:instrText>
      </w:r>
      <w:r w:rsidR="00C8598F" w:rsidRPr="00E97BC8">
        <w:rPr>
          <w:rFonts w:cs="Times New Roman"/>
          <w:sz w:val="22"/>
          <w:szCs w:val="22"/>
        </w:rPr>
        <w:fldChar w:fldCharType="separate"/>
      </w:r>
      <w:r w:rsidR="001E6A07" w:rsidRPr="00E97BC8">
        <w:rPr>
          <w:rFonts w:cs="Times New Roman"/>
          <w:sz w:val="22"/>
          <w:szCs w:val="22"/>
        </w:rPr>
        <w:t>(Berkowsky et al., 2017; Pang et al., 2021)</w:t>
      </w:r>
      <w:r w:rsidR="00C8598F" w:rsidRPr="00E97BC8">
        <w:rPr>
          <w:rFonts w:cs="Times New Roman"/>
          <w:sz w:val="22"/>
          <w:szCs w:val="22"/>
        </w:rPr>
        <w:fldChar w:fldCharType="end"/>
      </w:r>
      <w:r w:rsidR="00283310" w:rsidRPr="00E97BC8">
        <w:rPr>
          <w:rFonts w:cs="Times New Roman"/>
          <w:sz w:val="22"/>
          <w:szCs w:val="22"/>
        </w:rPr>
        <w:t xml:space="preserve">, </w:t>
      </w:r>
      <w:r w:rsidR="0090665E" w:rsidRPr="00E97BC8">
        <w:rPr>
          <w:rFonts w:cs="Times New Roman"/>
          <w:sz w:val="22"/>
          <w:szCs w:val="22"/>
        </w:rPr>
        <w:t xml:space="preserve">this finding may also reflect </w:t>
      </w:r>
      <w:r w:rsidR="000311CD" w:rsidRPr="00E97BC8">
        <w:rPr>
          <w:rFonts w:cs="Times New Roman"/>
          <w:sz w:val="22"/>
          <w:szCs w:val="22"/>
        </w:rPr>
        <w:t xml:space="preserve">the higher </w:t>
      </w:r>
      <w:r w:rsidR="00283310" w:rsidRPr="00E97BC8">
        <w:rPr>
          <w:rFonts w:cs="Times New Roman"/>
          <w:sz w:val="22"/>
          <w:szCs w:val="22"/>
        </w:rPr>
        <w:t>risk avers</w:t>
      </w:r>
      <w:r w:rsidR="0090665E" w:rsidRPr="00E97BC8">
        <w:rPr>
          <w:rFonts w:cs="Times New Roman"/>
          <w:sz w:val="22"/>
          <w:szCs w:val="22"/>
        </w:rPr>
        <w:t>ion</w:t>
      </w:r>
      <w:r w:rsidR="00283310" w:rsidRPr="00E97BC8">
        <w:rPr>
          <w:rFonts w:cs="Times New Roman"/>
          <w:sz w:val="22"/>
          <w:szCs w:val="22"/>
        </w:rPr>
        <w:t xml:space="preserve"> </w:t>
      </w:r>
      <w:r w:rsidR="000311CD" w:rsidRPr="00E97BC8">
        <w:rPr>
          <w:rFonts w:cs="Times New Roman"/>
          <w:sz w:val="22"/>
          <w:szCs w:val="22"/>
        </w:rPr>
        <w:t xml:space="preserve">among older adults, which </w:t>
      </w:r>
      <w:r w:rsidR="006C3D34" w:rsidRPr="00E97BC8">
        <w:rPr>
          <w:rFonts w:cs="Times New Roman"/>
          <w:sz w:val="22"/>
          <w:szCs w:val="22"/>
        </w:rPr>
        <w:t xml:space="preserve">has been shown in the case of EVs to </w:t>
      </w:r>
      <w:r w:rsidR="0090665E" w:rsidRPr="00E97BC8">
        <w:rPr>
          <w:rFonts w:cs="Times New Roman"/>
          <w:sz w:val="22"/>
          <w:szCs w:val="22"/>
        </w:rPr>
        <w:t>cause them to perceive range and charging concerns</w:t>
      </w:r>
      <w:r w:rsidR="00283310" w:rsidRPr="00E97BC8">
        <w:rPr>
          <w:rFonts w:cs="Times New Roman"/>
          <w:sz w:val="22"/>
          <w:szCs w:val="22"/>
        </w:rPr>
        <w:t xml:space="preserve"> to be a bigger barrier than </w:t>
      </w:r>
      <w:r w:rsidR="0090665E" w:rsidRPr="00E97BC8">
        <w:rPr>
          <w:rFonts w:cs="Times New Roman"/>
          <w:sz w:val="22"/>
          <w:szCs w:val="22"/>
        </w:rPr>
        <w:t xml:space="preserve">it is for </w:t>
      </w:r>
      <w:r w:rsidR="00283310" w:rsidRPr="00E97BC8">
        <w:rPr>
          <w:rFonts w:cs="Times New Roman"/>
          <w:sz w:val="22"/>
          <w:szCs w:val="22"/>
        </w:rPr>
        <w:t>younger individuals</w:t>
      </w:r>
      <w:r w:rsidR="00D7257A" w:rsidRPr="00E97BC8">
        <w:rPr>
          <w:rFonts w:cs="Times New Roman"/>
          <w:sz w:val="22"/>
          <w:szCs w:val="22"/>
        </w:rPr>
        <w:t xml:space="preserve"> </w:t>
      </w:r>
      <w:r w:rsidR="006C3D34" w:rsidRPr="00E97BC8">
        <w:rPr>
          <w:rFonts w:cs="Times New Roman"/>
          <w:b/>
          <w:bCs/>
          <w:sz w:val="22"/>
          <w:szCs w:val="22"/>
        </w:rPr>
        <w:fldChar w:fldCharType="begin"/>
      </w:r>
      <w:r w:rsidR="006C3D34" w:rsidRPr="00E97BC8">
        <w:rPr>
          <w:rFonts w:cs="Times New Roman"/>
          <w:b/>
          <w:bCs/>
          <w:sz w:val="22"/>
          <w:szCs w:val="22"/>
        </w:rPr>
        <w:instrText xml:space="preserve"> ADDIN ZOTERO_ITEM CSL_CITATION {"citationID":"GqTYJ6Mz","properties":{"formattedCitation":"(Jin et al., 2024)","plainCitation":"(Jin et al., 2024)","noteIndex":0},"citationItems":[{"id":3632,"uris":["http://zotero.org/users/12832277/items/LA4AFCIS"],"itemData":{"id":3632,"type":"article-journal","abstract":"This paper innovatively explores BEV (battery electric vehicle) users’ risk attitudes and charging inertia, examining their effects on en route charging and charging route choice behavior. An attitudinal survey was conducted to explore the two latent variables of risk attitudes and charging inertia in relation to socioeconomic and travel-related characteristics. ICLV (Integrated choice and latent variable) models are adopted to estimate the latent variables and the charging choice behavior simultaneously. Specifically, uncertainty in energy consumption is first considered in the ICLV model, which is represented by the available range (AR) uncertainty. Multinomial logit (MNL) models directly incorporating socioeconomic attributes are employed as a reference for comparison with ICLV models. Results illustrate that risk attitudes and charging inertia both play significant roles in modeling en route charging choice behavior. Risk-averse users and users having charging inertia value AR uncertainty more. Battery range, charging frequency, and income emerge as the most crucial factors influencing users’ intention to charge en route. The results show significant heterogeneity of BEV users in attitudes and charging choice behavior, underscoring the importance of accounting for the heterogeneity in en route charging demand estimation and deployment optimization of public charging stations, particularly for medium-to long-distance trips.","container-title":"Journal of Advanced Transportation","DOI":"10.1155/2024/9926334","ISSN":"2042-3195","issue":"1","language":"en","license":"Copyright © 2024 Zhicheng Jin et al.","note":"_eprint: https://onlinelibrary.wiley.com/doi/pdf/10.1155/2024/9926334","page":"9926334","source":"Wiley Online Library","title":"Accounting for BEV Users’ Risk Attitudes and Charging Inertia in En Route Charging Choice Behavior","volume":"2024","author":[{"family":"Jin","given":"Zhicheng"},{"family":"Li","given":"Hao"},{"family":"Chen","given":"Di"},{"family":"Yu","given":"Lu"},{"family":"Tu","given":"Huizhao"}],"issued":{"date-parts":[["2024"]]}}}],"schema":"https://github.com/citation-style-language/schema/raw/master/csl-citation.json"} </w:instrText>
      </w:r>
      <w:r w:rsidR="006C3D34" w:rsidRPr="00E97BC8">
        <w:rPr>
          <w:rFonts w:cs="Times New Roman"/>
          <w:b/>
          <w:bCs/>
          <w:sz w:val="22"/>
          <w:szCs w:val="22"/>
        </w:rPr>
        <w:fldChar w:fldCharType="separate"/>
      </w:r>
      <w:r w:rsidR="001E6A07" w:rsidRPr="00E97BC8">
        <w:rPr>
          <w:rFonts w:cs="Times New Roman"/>
          <w:sz w:val="22"/>
          <w:szCs w:val="22"/>
        </w:rPr>
        <w:t>(Jin et al., 2024)</w:t>
      </w:r>
      <w:r w:rsidR="006C3D34" w:rsidRPr="00E97BC8">
        <w:rPr>
          <w:rFonts w:cs="Times New Roman"/>
          <w:b/>
          <w:bCs/>
          <w:sz w:val="22"/>
          <w:szCs w:val="22"/>
        </w:rPr>
        <w:fldChar w:fldCharType="end"/>
      </w:r>
      <w:r w:rsidR="00283310" w:rsidRPr="00E97BC8">
        <w:rPr>
          <w:rFonts w:cs="Times New Roman"/>
          <w:sz w:val="22"/>
          <w:szCs w:val="22"/>
        </w:rPr>
        <w:t xml:space="preserve">. </w:t>
      </w:r>
      <w:r w:rsidR="00AC55A0" w:rsidRPr="00E97BC8">
        <w:rPr>
          <w:rFonts w:cs="Times New Roman"/>
          <w:sz w:val="22"/>
          <w:szCs w:val="22"/>
        </w:rPr>
        <w:t>Relatedly, retired individuals, compared with employed individuals als</w:t>
      </w:r>
      <w:r w:rsidR="000311CD" w:rsidRPr="00E97BC8">
        <w:rPr>
          <w:rFonts w:cs="Times New Roman"/>
          <w:sz w:val="22"/>
          <w:szCs w:val="22"/>
        </w:rPr>
        <w:t xml:space="preserve">o </w:t>
      </w:r>
      <w:r w:rsidR="00AC55A0" w:rsidRPr="00E97BC8">
        <w:rPr>
          <w:rFonts w:cs="Times New Roman"/>
          <w:sz w:val="22"/>
          <w:szCs w:val="22"/>
        </w:rPr>
        <w:t xml:space="preserve">have a </w:t>
      </w:r>
      <w:r w:rsidR="001A7C76" w:rsidRPr="00E97BC8">
        <w:rPr>
          <w:rFonts w:cs="Times New Roman"/>
          <w:sz w:val="22"/>
          <w:szCs w:val="22"/>
        </w:rPr>
        <w:t>higher CMP</w:t>
      </w:r>
      <w:r w:rsidR="00AC55A0" w:rsidRPr="00E97BC8">
        <w:rPr>
          <w:rFonts w:cs="Times New Roman"/>
          <w:sz w:val="22"/>
          <w:szCs w:val="22"/>
        </w:rPr>
        <w:t xml:space="preserve">, likely because they </w:t>
      </w:r>
      <w:r w:rsidR="0029722F" w:rsidRPr="00E97BC8">
        <w:rPr>
          <w:rFonts w:cs="Times New Roman"/>
          <w:sz w:val="22"/>
          <w:szCs w:val="22"/>
        </w:rPr>
        <w:t xml:space="preserve">generally </w:t>
      </w:r>
      <w:r w:rsidR="004F0398" w:rsidRPr="00E97BC8">
        <w:rPr>
          <w:rFonts w:cs="Times New Roman"/>
          <w:sz w:val="22"/>
          <w:szCs w:val="22"/>
        </w:rPr>
        <w:t>feel</w:t>
      </w:r>
      <w:r w:rsidR="00AC55A0" w:rsidRPr="00E97BC8">
        <w:rPr>
          <w:rFonts w:cs="Times New Roman"/>
          <w:sz w:val="22"/>
          <w:szCs w:val="22"/>
        </w:rPr>
        <w:t xml:space="preserve"> </w:t>
      </w:r>
      <w:r w:rsidR="00E077F8" w:rsidRPr="00E97BC8">
        <w:rPr>
          <w:rFonts w:cs="Times New Roman"/>
          <w:sz w:val="22"/>
          <w:szCs w:val="22"/>
        </w:rPr>
        <w:t xml:space="preserve">a greater sense of financial freedom (particularly in early retirement), have more financial literacy that younger adults, </w:t>
      </w:r>
      <w:r w:rsidR="00001763" w:rsidRPr="00E97BC8">
        <w:rPr>
          <w:rFonts w:cs="Times New Roman"/>
          <w:sz w:val="22"/>
          <w:szCs w:val="22"/>
        </w:rPr>
        <w:t xml:space="preserve">and have the resources to make large up-front investments for purchases like vehicles </w:t>
      </w:r>
      <w:r w:rsidR="00DB2C36" w:rsidRPr="00E97BC8">
        <w:rPr>
          <w:rFonts w:cs="Times New Roman"/>
          <w:sz w:val="22"/>
          <w:szCs w:val="22"/>
        </w:rPr>
        <w:fldChar w:fldCharType="begin"/>
      </w:r>
      <w:r w:rsidR="003C399C" w:rsidRPr="00E97BC8">
        <w:rPr>
          <w:rFonts w:cs="Times New Roman"/>
          <w:sz w:val="22"/>
          <w:szCs w:val="22"/>
        </w:rPr>
        <w:instrText xml:space="preserve"> ADDIN ZOTERO_ITEM CSL_CITATION {"citationID":"8lkwvJBH","properties":{"formattedCitation":"(Collins and Urban, 2020)","plainCitation":"(Collins and Urban, 2020)","noteIndex":0},"citationItems":[{"id":3711,"uris":["http://zotero.org/users/12832277/items/M8WECVAV"],"itemData":{"id":3711,"type":"article-journal","abstract":"Financial well-being is a relatively new construct that attempts to measure subjective financial status and perceived future financial trajectory. Using a large public cross-sectional dataset, we find that a standardized financial well-being score generally tracks income, wealth, and participation in investment markets, as well as markers of positive and negative financial behavior. However, financial well-being measures attributes that are distinct from general subjective well-being and financial literacy measures, especially over the life course. Financial well-being can be a useful construct to include in new surveys but can also be proxied in existing public datasets, as we demonstrate using separate survey data.","container-title":"The European Journal of Finance","DOI":"10.1080/1351847X.2019.1682631","ISSN":"1351-847X","issue":"4-5","note":"publisher: Routledge\n_eprint: https://doi.org/10.1080/1351847X.2019.1682631","page":"341-359","source":"Taylor and Francis+NEJM","title":"Measuring Financial Well-Being Over the Lifecourse","volume":"26","author":[{"family":"Collins","given":"Michael J."},{"family":"Urban","given":"Carly"}],"issued":{"date-parts":[["2020",3,23]]}}}],"schema":"https://github.com/citation-style-language/schema/raw/master/csl-citation.json"} </w:instrText>
      </w:r>
      <w:r w:rsidR="00DB2C36" w:rsidRPr="00E97BC8">
        <w:rPr>
          <w:rFonts w:cs="Times New Roman"/>
          <w:sz w:val="22"/>
          <w:szCs w:val="22"/>
        </w:rPr>
        <w:fldChar w:fldCharType="separate"/>
      </w:r>
      <w:r w:rsidR="001E6A07" w:rsidRPr="00E97BC8">
        <w:rPr>
          <w:rFonts w:cs="Times New Roman"/>
          <w:sz w:val="22"/>
          <w:szCs w:val="22"/>
        </w:rPr>
        <w:t>(Collins and Urban, 2020)</w:t>
      </w:r>
      <w:r w:rsidR="00DB2C36" w:rsidRPr="00E97BC8">
        <w:rPr>
          <w:rFonts w:cs="Times New Roman"/>
          <w:sz w:val="22"/>
          <w:szCs w:val="22"/>
        </w:rPr>
        <w:fldChar w:fldCharType="end"/>
      </w:r>
      <w:r w:rsidR="00AC55A0" w:rsidRPr="00E97BC8">
        <w:rPr>
          <w:rFonts w:cs="Times New Roman"/>
          <w:sz w:val="22"/>
          <w:szCs w:val="22"/>
        </w:rPr>
        <w:t xml:space="preserve">. </w:t>
      </w:r>
    </w:p>
    <w:p w14:paraId="2FA7BD23" w14:textId="4AC48194" w:rsidR="001A3A27" w:rsidRPr="00E97BC8" w:rsidRDefault="00D7257A" w:rsidP="00E85093">
      <w:pPr>
        <w:spacing w:after="0" w:line="240" w:lineRule="auto"/>
        <w:jc w:val="both"/>
        <w:rPr>
          <w:rFonts w:cs="Times New Roman"/>
          <w:b/>
          <w:bCs/>
          <w:sz w:val="22"/>
          <w:szCs w:val="22"/>
        </w:rPr>
      </w:pPr>
      <w:r w:rsidRPr="00E97BC8">
        <w:rPr>
          <w:rFonts w:cs="Times New Roman"/>
          <w:sz w:val="22"/>
          <w:szCs w:val="22"/>
        </w:rPr>
        <w:tab/>
      </w:r>
      <w:r w:rsidR="00514FF6" w:rsidRPr="00E97BC8">
        <w:rPr>
          <w:rFonts w:cs="Times New Roman"/>
          <w:sz w:val="22"/>
          <w:szCs w:val="22"/>
        </w:rPr>
        <w:t xml:space="preserve">In contrast </w:t>
      </w:r>
      <w:r w:rsidR="001F738B" w:rsidRPr="00E97BC8">
        <w:rPr>
          <w:rFonts w:cs="Times New Roman"/>
          <w:sz w:val="22"/>
          <w:szCs w:val="22"/>
        </w:rPr>
        <w:t xml:space="preserve">to </w:t>
      </w:r>
      <w:r w:rsidR="00514FF6" w:rsidRPr="00E97BC8">
        <w:rPr>
          <w:rFonts w:cs="Times New Roman"/>
          <w:sz w:val="22"/>
          <w:szCs w:val="22"/>
        </w:rPr>
        <w:t>the findings of several recent studies</w:t>
      </w:r>
      <w:r w:rsidR="008A7675" w:rsidRPr="00E97BC8">
        <w:rPr>
          <w:rFonts w:cs="Times New Roman"/>
          <w:sz w:val="22"/>
          <w:szCs w:val="22"/>
        </w:rPr>
        <w:t xml:space="preserve"> suggesting that Hispanic individuals </w:t>
      </w:r>
      <w:r w:rsidR="004D7AC3" w:rsidRPr="00E97BC8">
        <w:rPr>
          <w:rFonts w:cs="Times New Roman"/>
          <w:sz w:val="22"/>
          <w:szCs w:val="22"/>
        </w:rPr>
        <w:t>exhibit higher levels of pro-environmental behaviors</w:t>
      </w:r>
      <w:r w:rsidR="001802DA" w:rsidRPr="00E97BC8">
        <w:rPr>
          <w:rFonts w:cs="Times New Roman"/>
          <w:sz w:val="22"/>
          <w:szCs w:val="22"/>
        </w:rPr>
        <w:t xml:space="preserve"> </w:t>
      </w:r>
      <w:r w:rsidR="001802DA" w:rsidRPr="00E97BC8">
        <w:rPr>
          <w:rFonts w:cs="Times New Roman"/>
          <w:sz w:val="22"/>
          <w:szCs w:val="22"/>
        </w:rPr>
        <w:fldChar w:fldCharType="begin"/>
      </w:r>
      <w:r w:rsidR="00F73BDE" w:rsidRPr="00E97BC8">
        <w:rPr>
          <w:rFonts w:cs="Times New Roman"/>
          <w:sz w:val="22"/>
          <w:szCs w:val="22"/>
        </w:rPr>
        <w:instrText xml:space="preserve"> ADDIN ZOTERO_ITEM CSL_CITATION {"citationID":"jbzXbA8u","properties":{"unsorted":true,"formattedCitation":"(Macias, 2016; Pearson et al., 2018; Naiman et al., 2023)","plainCitation":"(Macias, 2016; Pearson et al., 2018; Naiman et al., 2023)","dontUpdate":true,"noteIndex":0},"citationItems":[{"id":3641,"uris":["http://zotero.org/users/12832277/items/JRZDYKR3"],"itemData":{"id":3641,"type":"article-journal","abstract":"We examine varying levels of perceived environmental risks among nine U.S. race and ethnic group categories using the 2010 General Social Survey. Three interrelated questions motivate our analysis. First, how does the environmental risk perception of air pollution, water pollution, agricultural chemicals, climate change and nuclear power generation vary among specific categories of race and ethnicity? Second, to what degree are higher levels of perceived risk among immigrant-origin groups subject to change as a result of cultural assimilation over generations? And third, to what degree are race and ethnic differences in environmental risk perception a reflection of other possibly more significant factors such as education, income, gender and conservative political views? Though we find some evidence for attitude assimilation among generations of Mexican-origin people, the dominant pattern is greater perceived risks among non-whites than whites across generations in the U.S. Additionally, not only did race and ethnic groups show greater concern for the threats posed by climate change and nuclear power generation than whites, they also expressed more concern about these two topics than they did for more localized issues such as air pollution emanating from industry and transportation. Despite our statistical controls for socioeconomic status, race and ethnic categories remained strong independent predictors of perceived environmental threats.","container-title":"Ethnicities","DOI":"10.1177/1468796815575382","ISSN":"1468-7968","issue":"1","language":"en","note":"publisher: SAGE Publications","page":"111-129","source":"SAGE Journals","title":"Environmental Risk Perception Among Race and Ethnic Groups in the United States","volume":"16","author":[{"family":"Macias","given":"Thomas"}],"issued":{"date-parts":[["2016",2,1]]}}},{"id":3639,"uris":["http://zotero.org/users/12832277/items/52ALYW8D"],"itemData":{"id":3639,"type":"article-journal","abstract":"In a nationally representative survey experiment, diverse segments of the US public underestimated the environmental concerns of nonwhite and low-income Americans and misperceived them as lower than those of white and more affluent Americans. Moreover, both whites and nonwhites and higher- and lower-income respondents associated the term “environmentalist” with whites and the well-educated, suggesting that shared cultural stereotypes may drive these misperceptions. This environmental belief paradox—a tendency to misperceive groups that are among the most environmentally concerned and most vulnerable to a wide range of environmental impacts as least concerned about the environment—was largely invariant across demographic groups and also extended to the specific issue of climate change. Suggesting these beliefs are malleable, exposure to images of a racially diverse (vs. nondiverse) environmental organization in an embedded randomized experiment reduced the perceived gap between whites’ and nonwhites’ environmental concerns and strengthened associations between nonwhites and the category “environmentalists” among minority respondents. These findings suggest that stereotypes about others’ environmental attitudes may pose a barrier to broadening public engagement with environmental initiatives, particularly among populations most vulnerable to negative environmental impacts.","container-title":"Proceedings of the National Academy of Sciences","DOI":"10.1073/pnas.1804698115","issue":"49","note":"publisher: Proceedings of the National Academy of Sciences","page":"12429-12434","source":"pnas.org (Atypon)","title":"Diverse Segments of the US Public Underestimate the Environmental Concerns of Minority and Low-Income Americans","volume":"115","author":[{"family":"Pearson","given":"Adam R."},{"family":"Schuldt","given":"Jonathon P."},{"family":"Romero-Canyas","given":"Rainer"},{"family":"Ballew","given":"Matthew T."},{"family":"Larson-Konar","given":"Dylan"}],"issued":{"date-parts":[["2018",12,4]]}}},{"id":3637,"uris":["http://zotero.org/users/12832277/items/AYZXCX7E"],"itemData":{"id":3637,"type":"article-journal","container-title":"Journal of Environmental Psychology","DOI":"10.1016/j.jenvp.2022.101902","ISSN":"0272-4944","page":"101902","source":"ScienceDirect","title":"Latine Culture and the Environment: How Familism and Collectivism Predict Environmental Attitudes and Behavioral Intentions Among U.S. Latines","volume":"85","author":[{"family":"Naiman","given":"Sarah M."},{"family":"Stedman","given":"Richard C."},{"family":"Schuldt","given":"Jonathon P."}],"issued":{"date-parts":[["2023",2,1]]}}}],"schema":"https://github.com/citation-style-language/schema/raw/master/csl-citation.json"} </w:instrText>
      </w:r>
      <w:r w:rsidR="001802DA" w:rsidRPr="00E97BC8">
        <w:rPr>
          <w:rFonts w:cs="Times New Roman"/>
          <w:sz w:val="22"/>
          <w:szCs w:val="22"/>
        </w:rPr>
        <w:fldChar w:fldCharType="separate"/>
      </w:r>
      <w:r w:rsidR="009B3DFF" w:rsidRPr="00E97BC8">
        <w:rPr>
          <w:rFonts w:cs="Times New Roman"/>
          <w:sz w:val="22"/>
          <w:szCs w:val="22"/>
        </w:rPr>
        <w:t>(see Macias, 2016; Pearson et al., 2018; Naiman et al., 2023)</w:t>
      </w:r>
      <w:r w:rsidR="001802DA" w:rsidRPr="00E97BC8">
        <w:rPr>
          <w:rFonts w:cs="Times New Roman"/>
          <w:sz w:val="22"/>
          <w:szCs w:val="22"/>
        </w:rPr>
        <w:fldChar w:fldCharType="end"/>
      </w:r>
      <w:r w:rsidR="00514FF6" w:rsidRPr="00E97BC8">
        <w:rPr>
          <w:rFonts w:cs="Times New Roman"/>
          <w:sz w:val="22"/>
          <w:szCs w:val="22"/>
        </w:rPr>
        <w:t xml:space="preserve">, we find that </w:t>
      </w:r>
      <w:r w:rsidR="005E6D09" w:rsidRPr="00E97BC8">
        <w:rPr>
          <w:rFonts w:cs="Times New Roman"/>
          <w:sz w:val="22"/>
          <w:szCs w:val="22"/>
        </w:rPr>
        <w:t xml:space="preserve">Hispanic </w:t>
      </w:r>
      <w:r w:rsidR="0022552F" w:rsidRPr="00E97BC8">
        <w:rPr>
          <w:rFonts w:cs="Times New Roman"/>
          <w:sz w:val="22"/>
          <w:szCs w:val="22"/>
        </w:rPr>
        <w:t>individuals exhibit a lower GLP</w:t>
      </w:r>
      <w:r w:rsidR="00514FF6" w:rsidRPr="00E97BC8">
        <w:rPr>
          <w:rFonts w:cs="Times New Roman"/>
          <w:sz w:val="22"/>
          <w:szCs w:val="22"/>
        </w:rPr>
        <w:t xml:space="preserve"> compared with non-Hispanic individuals</w:t>
      </w:r>
      <w:r w:rsidR="00AD28DF" w:rsidRPr="00E97BC8">
        <w:rPr>
          <w:rFonts w:cs="Times New Roman"/>
          <w:sz w:val="22"/>
          <w:szCs w:val="22"/>
        </w:rPr>
        <w:t>.</w:t>
      </w:r>
      <w:r w:rsidR="00514FF6" w:rsidRPr="00E97BC8">
        <w:rPr>
          <w:rFonts w:cs="Times New Roman"/>
          <w:sz w:val="22"/>
          <w:szCs w:val="22"/>
        </w:rPr>
        <w:t xml:space="preserve"> This result is likely due to the </w:t>
      </w:r>
      <w:r w:rsidR="008A7675" w:rsidRPr="00E97BC8">
        <w:rPr>
          <w:rFonts w:cs="Times New Roman"/>
          <w:sz w:val="22"/>
          <w:szCs w:val="22"/>
        </w:rPr>
        <w:t>framing of the indicators in terms of “personal obligation” and “guilt”</w:t>
      </w:r>
      <w:r w:rsidR="004D7AC3" w:rsidRPr="00E97BC8">
        <w:rPr>
          <w:rFonts w:cs="Times New Roman"/>
          <w:sz w:val="22"/>
          <w:szCs w:val="22"/>
        </w:rPr>
        <w:t xml:space="preserve"> which are likely to align with the motivations of </w:t>
      </w:r>
      <w:r w:rsidR="00EB15D0" w:rsidRPr="00E97BC8">
        <w:rPr>
          <w:rFonts w:cs="Times New Roman"/>
          <w:sz w:val="22"/>
          <w:szCs w:val="22"/>
        </w:rPr>
        <w:t xml:space="preserve">non-Hispanic white individuals rather than collectivist values </w:t>
      </w:r>
      <w:r w:rsidR="00EF5D74" w:rsidRPr="00E97BC8">
        <w:rPr>
          <w:rFonts w:cs="Times New Roman"/>
          <w:sz w:val="22"/>
          <w:szCs w:val="22"/>
        </w:rPr>
        <w:t xml:space="preserve">of environmental justice </w:t>
      </w:r>
      <w:r w:rsidR="004251DD" w:rsidRPr="00E97BC8">
        <w:rPr>
          <w:rFonts w:cs="Times New Roman"/>
          <w:sz w:val="22"/>
          <w:szCs w:val="22"/>
        </w:rPr>
        <w:t>which</w:t>
      </w:r>
      <w:r w:rsidR="00EF5D74" w:rsidRPr="00E97BC8">
        <w:rPr>
          <w:rFonts w:cs="Times New Roman"/>
          <w:sz w:val="22"/>
          <w:szCs w:val="22"/>
        </w:rPr>
        <w:t xml:space="preserve"> are more likely to motivate Hispanic individuals</w:t>
      </w:r>
      <w:r w:rsidR="00D26159" w:rsidRPr="00E97BC8">
        <w:rPr>
          <w:rFonts w:cs="Times New Roman"/>
          <w:sz w:val="22"/>
          <w:szCs w:val="22"/>
        </w:rPr>
        <w:t xml:space="preserve"> </w:t>
      </w:r>
      <w:r w:rsidR="001A66FF" w:rsidRPr="00E97BC8">
        <w:rPr>
          <w:rFonts w:cs="Times New Roman"/>
          <w:b/>
          <w:bCs/>
          <w:sz w:val="22"/>
          <w:szCs w:val="22"/>
        </w:rPr>
        <w:fldChar w:fldCharType="begin"/>
      </w:r>
      <w:r w:rsidR="00F73BDE" w:rsidRPr="00E97BC8">
        <w:rPr>
          <w:rFonts w:cs="Times New Roman"/>
          <w:b/>
          <w:bCs/>
          <w:sz w:val="22"/>
          <w:szCs w:val="22"/>
        </w:rPr>
        <w:instrText xml:space="preserve"> ADDIN ZOTERO_ITEM CSL_CITATION {"citationID":"LlaDeRBR","properties":{"formattedCitation":"(Naiman et al., 2023)","plainCitation":"(Naiman et al., 2023)","dontUpdate":true,"noteIndex":0},"citationItems":[{"id":3637,"uris":["http://zotero.org/users/12832277/items/AYZXCX7E"],"itemData":{"id":3637,"type":"article-journal","container-title":"Journal of Environmental Psychology","DOI":"10.1016/j.jenvp.2022.101902","ISSN":"0272-4944","page":"101902","source":"ScienceDirect","title":"Latine Culture and the Environment: How Familism and Collectivism Predict Environmental Attitudes and Behavioral Intentions Among U.S. Latines","volume":"85","author":[{"family":"Naiman","given":"Sarah M."},{"family":"Stedman","given":"Richard C."},{"family":"Schuldt","given":"Jonathon P."}],"issued":{"date-parts":[["2023",2,1]]}}}],"schema":"https://github.com/citation-style-language/schema/raw/master/csl-citation.json"} </w:instrText>
      </w:r>
      <w:r w:rsidR="001A66FF" w:rsidRPr="00E97BC8">
        <w:rPr>
          <w:rFonts w:cs="Times New Roman"/>
          <w:b/>
          <w:bCs/>
          <w:sz w:val="22"/>
          <w:szCs w:val="22"/>
        </w:rPr>
        <w:fldChar w:fldCharType="separate"/>
      </w:r>
      <w:r w:rsidR="001A66FF" w:rsidRPr="00E97BC8">
        <w:rPr>
          <w:rFonts w:cs="Times New Roman"/>
          <w:sz w:val="22"/>
          <w:szCs w:val="22"/>
        </w:rPr>
        <w:t>(see Naiman et al., 2023)</w:t>
      </w:r>
      <w:r w:rsidR="001A66FF" w:rsidRPr="00E97BC8">
        <w:rPr>
          <w:rFonts w:cs="Times New Roman"/>
          <w:b/>
          <w:bCs/>
          <w:sz w:val="22"/>
          <w:szCs w:val="22"/>
        </w:rPr>
        <w:fldChar w:fldCharType="end"/>
      </w:r>
      <w:r w:rsidR="00EF5D74" w:rsidRPr="00E97BC8">
        <w:rPr>
          <w:rFonts w:cs="Times New Roman"/>
          <w:sz w:val="22"/>
          <w:szCs w:val="22"/>
        </w:rPr>
        <w:t>.</w:t>
      </w:r>
      <w:r w:rsidR="00D26159" w:rsidRPr="00E97BC8">
        <w:rPr>
          <w:rFonts w:cs="Times New Roman"/>
          <w:sz w:val="22"/>
          <w:szCs w:val="22"/>
        </w:rPr>
        <w:t xml:space="preserve"> Further, the </w:t>
      </w:r>
      <w:r w:rsidR="00E96B5E" w:rsidRPr="00E97BC8">
        <w:rPr>
          <w:rFonts w:cs="Times New Roman"/>
          <w:sz w:val="22"/>
          <w:szCs w:val="22"/>
        </w:rPr>
        <w:t xml:space="preserve">type of </w:t>
      </w:r>
      <w:r w:rsidR="00D26159" w:rsidRPr="00E97BC8">
        <w:rPr>
          <w:rFonts w:cs="Times New Roman"/>
          <w:sz w:val="22"/>
          <w:szCs w:val="22"/>
        </w:rPr>
        <w:t xml:space="preserve">environmentally conscious attitude more common to Hispanic individuals </w:t>
      </w:r>
      <w:r w:rsidR="00E96B5E" w:rsidRPr="00E97BC8">
        <w:rPr>
          <w:rFonts w:cs="Times New Roman"/>
          <w:sz w:val="22"/>
          <w:szCs w:val="22"/>
        </w:rPr>
        <w:t>seems to be aligned more towards routine pro-environmental practices</w:t>
      </w:r>
      <w:r w:rsidR="00B07468" w:rsidRPr="00E97BC8">
        <w:rPr>
          <w:rFonts w:cs="Times New Roman"/>
          <w:sz w:val="22"/>
          <w:szCs w:val="22"/>
        </w:rPr>
        <w:t xml:space="preserve"> as well as</w:t>
      </w:r>
      <w:r w:rsidR="00874D5D" w:rsidRPr="00E97BC8">
        <w:rPr>
          <w:rFonts w:cs="Times New Roman"/>
          <w:sz w:val="22"/>
          <w:szCs w:val="22"/>
        </w:rPr>
        <w:t xml:space="preserve"> a focus on the</w:t>
      </w:r>
      <w:r w:rsidR="00B07468" w:rsidRPr="00E97BC8">
        <w:rPr>
          <w:rFonts w:cs="Times New Roman"/>
          <w:sz w:val="22"/>
          <w:szCs w:val="22"/>
        </w:rPr>
        <w:t xml:space="preserve"> connections with other </w:t>
      </w:r>
      <w:r w:rsidR="00874D5D" w:rsidRPr="00E97BC8">
        <w:rPr>
          <w:rFonts w:cs="Times New Roman"/>
          <w:sz w:val="22"/>
          <w:szCs w:val="22"/>
        </w:rPr>
        <w:t>interrelated social issues</w:t>
      </w:r>
      <w:r w:rsidR="00E96B5E" w:rsidRPr="00E97BC8">
        <w:rPr>
          <w:rFonts w:cs="Times New Roman"/>
          <w:sz w:val="22"/>
          <w:szCs w:val="22"/>
        </w:rPr>
        <w:t xml:space="preserve">, rather than </w:t>
      </w:r>
      <w:r w:rsidR="002E147B" w:rsidRPr="00E97BC8">
        <w:rPr>
          <w:rFonts w:cs="Times New Roman"/>
          <w:sz w:val="22"/>
          <w:szCs w:val="22"/>
        </w:rPr>
        <w:t xml:space="preserve">larger symbolic actions (such as EV ownership) </w:t>
      </w:r>
      <w:r w:rsidR="00DD088B" w:rsidRPr="00E97BC8">
        <w:rPr>
          <w:rFonts w:cs="Times New Roman"/>
          <w:sz w:val="22"/>
          <w:szCs w:val="22"/>
        </w:rPr>
        <w:t>that</w:t>
      </w:r>
      <w:r w:rsidR="002E147B" w:rsidRPr="00E97BC8">
        <w:rPr>
          <w:rFonts w:cs="Times New Roman"/>
          <w:sz w:val="22"/>
          <w:szCs w:val="22"/>
        </w:rPr>
        <w:t xml:space="preserve"> are more </w:t>
      </w:r>
      <w:r w:rsidR="00874D5D" w:rsidRPr="00E97BC8">
        <w:rPr>
          <w:rFonts w:cs="Times New Roman"/>
          <w:sz w:val="22"/>
          <w:szCs w:val="22"/>
        </w:rPr>
        <w:t xml:space="preserve">directly </w:t>
      </w:r>
      <w:r w:rsidR="002E147B" w:rsidRPr="00E97BC8">
        <w:rPr>
          <w:rFonts w:cs="Times New Roman"/>
          <w:sz w:val="22"/>
          <w:szCs w:val="22"/>
        </w:rPr>
        <w:t>aligned with an individualistic-oriented environmental</w:t>
      </w:r>
      <w:r w:rsidR="0057345B" w:rsidRPr="00E97BC8">
        <w:rPr>
          <w:rFonts w:cs="Times New Roman"/>
          <w:sz w:val="22"/>
          <w:szCs w:val="22"/>
        </w:rPr>
        <w:t xml:space="preserve"> preference </w:t>
      </w:r>
      <w:r w:rsidR="00874D5D" w:rsidRPr="00E97BC8">
        <w:rPr>
          <w:rFonts w:cs="Times New Roman"/>
          <w:sz w:val="22"/>
          <w:szCs w:val="22"/>
        </w:rPr>
        <w:t xml:space="preserve">and signaling </w:t>
      </w:r>
      <w:r w:rsidR="00E56202" w:rsidRPr="00E97BC8">
        <w:rPr>
          <w:rFonts w:cs="Times New Roman"/>
          <w:sz w:val="22"/>
          <w:szCs w:val="22"/>
        </w:rPr>
        <w:fldChar w:fldCharType="begin"/>
      </w:r>
      <w:r w:rsidR="00B840C4" w:rsidRPr="00E97BC8">
        <w:rPr>
          <w:rFonts w:cs="Times New Roman"/>
          <w:sz w:val="22"/>
          <w:szCs w:val="22"/>
        </w:rPr>
        <w:instrText xml:space="preserve"> ADDIN ZOTERO_ITEM CSL_CITATION {"citationID":"XllwE7I2","properties":{"unsorted":true,"formattedCitation":"(Tam and Chan, 2017; Liu and Segev, 2017; Naiman et al., 2023)","plainCitation":"(Tam and Chan, 2017; Liu and Segev, 2017; Naiman et al., 2023)","noteIndex":0},"citationItems":[{"id":3643,"uris":["http://zotero.org/users/12832277/items/TRWJL96U"],"itemData":{"id":3643,"type":"article-journal","abstract":"Studies have demonstrated that environmental concern does not always translate into pro-environmental behavior. This concern-behavior gap results partly from the influences of psychological barriers. Based on the cross-cultural psychology literature, we propose that these barriers also reflect some general psychological orientations that are culturally patterned. In support of our hypotheses, we found with data from 32 countries that the association between concern and behavior was weaker in societies characterized by higher levels of distrust, belief in external control, and present orientation. In addition, we observed that the concern-behavior association was stronger in societies with higher levels of individualism and looseness. These findings deepen the understanding of the concern-behavior association and psychological barriers. They also highlight the benefits of integrating insights from cross-cultural psychology into environmental psychology research and inform environmental practice.","container-title":"Journal of Environmental Psychology","DOI":"10.1016/j.jenvp.2017.09.001","ISSN":"0272-4944","page":"213-223","source":"ScienceDirect","title":"Environmental Concern Has a Weaker Association with Pro-Environmental Behavior in Some Societies Than Others: A Cross-Cultural Psychology Perspective","volume":"53","author":[{"family":"Tam","given":"Kim-Pong"},{"family":"Chan","given":"Hoi-Wing"}],"issued":{"date-parts":[["2017",11,1]]}}},{"id":3647,"uris":["http://zotero.org/users/12832277/items/3UEBLZ8B"],"itemData":{"id":3647,"type":"article-journal","abstract":"This article explores the effect of cultural orientations on the sustainable household behaviours of Hispanic immigrants and non-Hispanic Whites in the United States. A model is tested in which the personal-level cultural orientations of interdependence-independence determine consumers' environmental value and concern, which in turn, affect sustainable behaviours (recycling, water, electricity and energy conservation). Results from a sample of 338 Hispanic immigrants and 249 non-Hispanic Whites indicate that interdependence predicts environmental values among non-Hispanic Whites. For the Hispanic sample, neither interdependence nor independence predict environmental value. In both samples, environmental value is positively associated with environmental concern, which is positively related to sustainable behaviours. The relationships between environmental concern and all four behaviours are relatively weaker among Hispanics compared to non-Hispanic Whites, suggesting that immigrants have not yet fully embraced mainstream American pro-environmental ideals and practices. Our study sheds light on cultural differences regarding environmental values and concerns, and implies theoretical and practical recommendations for marketers in the United States.","container-title":"International Journal of Consumer Studies","DOI":"10.1111/ijcs.12370","ISSN":"1470-6431","issue":"6","language":"en","license":"© 2017 John Wiley &amp; Sons Ltd","note":"_eprint: https://onlinelibrary.wiley.com/doi/pdf/10.1111/ijcs.12370","page":"587-596","source":"Wiley Online Library","title":"Cultural Orientations and Environmental Sustainability in Households: A Comparative Analysis of Hispanics and Non-Hispanic Whites in the United States","volume":"41","author":[{"family":"Liu","given":"Yu"},{"family":"Segev","given":"Sigal"}],"issued":{"date-parts":[["2017"]]}}},{"id":3637,"uris":["http://zotero.org/users/12832277/items/AYZXCX7E"],"itemData":{"id":3637,"type":"article-journal","container-title":"Journal of Environmental Psychology","DOI":"10.1016/j.jenvp.2022.101902","ISSN":"0272-4944","page":"101902","source":"ScienceDirect","title":"Latine Culture and the Environment: How Familism and Collectivism Predict Environmental Attitudes and Behavioral Intentions Among U.S. Latines","volume":"85","author":[{"family":"Naiman","given":"Sarah M."},{"family":"Stedman","given":"Richard C."},{"family":"Schuldt","given":"Jonathon P."}],"issued":{"date-parts":[["2023",2,1]]}}}],"schema":"https://github.com/citation-style-language/schema/raw/master/csl-citation.json"} </w:instrText>
      </w:r>
      <w:r w:rsidR="00E56202" w:rsidRPr="00E97BC8">
        <w:rPr>
          <w:rFonts w:cs="Times New Roman"/>
          <w:sz w:val="22"/>
          <w:szCs w:val="22"/>
        </w:rPr>
        <w:fldChar w:fldCharType="separate"/>
      </w:r>
      <w:r w:rsidR="001E6A07" w:rsidRPr="00E97BC8">
        <w:rPr>
          <w:rFonts w:cs="Times New Roman"/>
          <w:sz w:val="22"/>
          <w:szCs w:val="22"/>
        </w:rPr>
        <w:t>(Tam and Chan, 2017; Liu and Segev, 2017; Naiman et al., 2023)</w:t>
      </w:r>
      <w:r w:rsidR="00E56202" w:rsidRPr="00E97BC8">
        <w:rPr>
          <w:rFonts w:cs="Times New Roman"/>
          <w:sz w:val="22"/>
          <w:szCs w:val="22"/>
        </w:rPr>
        <w:fldChar w:fldCharType="end"/>
      </w:r>
      <w:r w:rsidR="0057345B" w:rsidRPr="00E97BC8">
        <w:rPr>
          <w:rFonts w:cs="Times New Roman"/>
          <w:sz w:val="22"/>
          <w:szCs w:val="22"/>
        </w:rPr>
        <w:t>.</w:t>
      </w:r>
      <w:r w:rsidR="0057345B" w:rsidRPr="00E97BC8">
        <w:rPr>
          <w:rFonts w:cs="Times New Roman"/>
          <w:b/>
          <w:bCs/>
          <w:sz w:val="22"/>
          <w:szCs w:val="22"/>
        </w:rPr>
        <w:t xml:space="preserve"> </w:t>
      </w:r>
      <w:r w:rsidR="000E176A" w:rsidRPr="00E97BC8">
        <w:rPr>
          <w:rFonts w:cs="Times New Roman"/>
          <w:sz w:val="22"/>
          <w:szCs w:val="22"/>
        </w:rPr>
        <w:t>Hispanic individuals</w:t>
      </w:r>
      <w:r w:rsidR="001E739F" w:rsidRPr="00E97BC8">
        <w:rPr>
          <w:rFonts w:cs="Times New Roman"/>
          <w:sz w:val="22"/>
          <w:szCs w:val="22"/>
        </w:rPr>
        <w:t xml:space="preserve"> also</w:t>
      </w:r>
      <w:r w:rsidR="000E176A" w:rsidRPr="00E97BC8">
        <w:rPr>
          <w:rFonts w:cs="Times New Roman"/>
          <w:sz w:val="22"/>
          <w:szCs w:val="22"/>
        </w:rPr>
        <w:t xml:space="preserve"> exhibit a higher VFP</w:t>
      </w:r>
      <w:r w:rsidR="003431A4" w:rsidRPr="00E97BC8">
        <w:rPr>
          <w:rFonts w:cs="Times New Roman"/>
          <w:sz w:val="22"/>
          <w:szCs w:val="22"/>
        </w:rPr>
        <w:t xml:space="preserve">, </w:t>
      </w:r>
      <w:r w:rsidR="001E739F" w:rsidRPr="00E97BC8">
        <w:rPr>
          <w:rFonts w:cs="Times New Roman"/>
          <w:sz w:val="22"/>
          <w:szCs w:val="22"/>
        </w:rPr>
        <w:t>a focus on vehicle functionality that is aligned with the values of collectivism.</w:t>
      </w:r>
      <w:r w:rsidR="00EF5D74" w:rsidRPr="00E97BC8">
        <w:rPr>
          <w:rFonts w:cs="Times New Roman"/>
          <w:sz w:val="22"/>
          <w:szCs w:val="22"/>
        </w:rPr>
        <w:t xml:space="preserve"> </w:t>
      </w:r>
      <w:r w:rsidR="00596EAB" w:rsidRPr="00E97BC8">
        <w:rPr>
          <w:rFonts w:cs="Times New Roman"/>
          <w:sz w:val="22"/>
          <w:szCs w:val="22"/>
        </w:rPr>
        <w:t>Regarding cost perceptions, Hispanic individuals have a lower CMP</w:t>
      </w:r>
      <w:r w:rsidR="00C71E95" w:rsidRPr="00E97BC8">
        <w:rPr>
          <w:rFonts w:cs="Times New Roman"/>
          <w:sz w:val="22"/>
          <w:szCs w:val="22"/>
        </w:rPr>
        <w:t xml:space="preserve"> overall</w:t>
      </w:r>
      <w:r w:rsidR="00BC65F3" w:rsidRPr="00E97BC8">
        <w:rPr>
          <w:rFonts w:cs="Times New Roman"/>
          <w:sz w:val="22"/>
          <w:szCs w:val="22"/>
        </w:rPr>
        <w:t xml:space="preserve">, </w:t>
      </w:r>
      <w:r w:rsidR="00931FF8" w:rsidRPr="00E97BC8">
        <w:rPr>
          <w:rFonts w:cs="Times New Roman"/>
          <w:sz w:val="22"/>
          <w:szCs w:val="22"/>
        </w:rPr>
        <w:t>supporting existing evidence</w:t>
      </w:r>
      <w:r w:rsidR="00DD088B" w:rsidRPr="00E97BC8">
        <w:rPr>
          <w:rFonts w:cs="Times New Roman"/>
          <w:sz w:val="22"/>
          <w:szCs w:val="22"/>
        </w:rPr>
        <w:t xml:space="preserve"> </w:t>
      </w:r>
      <w:r w:rsidR="00033919" w:rsidRPr="00E97BC8">
        <w:rPr>
          <w:rFonts w:cs="Times New Roman"/>
          <w:sz w:val="22"/>
          <w:szCs w:val="22"/>
        </w:rPr>
        <w:t xml:space="preserve">that Hispanic individuals place a lower valuation on the cost to fuel or charge their vehicle </w:t>
      </w:r>
      <w:r w:rsidR="00C71E95" w:rsidRPr="00E97BC8">
        <w:rPr>
          <w:rFonts w:cs="Times New Roman"/>
          <w:sz w:val="22"/>
          <w:szCs w:val="22"/>
        </w:rPr>
        <w:t>and even more so on the cost to maintain the vehicle</w:t>
      </w:r>
      <w:r w:rsidR="00DD088B" w:rsidRPr="00E97BC8">
        <w:rPr>
          <w:rFonts w:cs="Times New Roman"/>
          <w:sz w:val="22"/>
          <w:szCs w:val="22"/>
        </w:rPr>
        <w:t>,</w:t>
      </w:r>
      <w:r w:rsidR="00C71E95" w:rsidRPr="00E97BC8">
        <w:rPr>
          <w:rFonts w:cs="Times New Roman"/>
          <w:sz w:val="22"/>
          <w:szCs w:val="22"/>
        </w:rPr>
        <w:t xml:space="preserve"> </w:t>
      </w:r>
      <w:r w:rsidR="00033919" w:rsidRPr="00E97BC8">
        <w:rPr>
          <w:rFonts w:cs="Times New Roman"/>
          <w:sz w:val="22"/>
          <w:szCs w:val="22"/>
        </w:rPr>
        <w:t>while</w:t>
      </w:r>
      <w:r w:rsidR="00DD088B" w:rsidRPr="00E97BC8">
        <w:rPr>
          <w:rFonts w:cs="Times New Roman"/>
          <w:sz w:val="22"/>
          <w:szCs w:val="22"/>
        </w:rPr>
        <w:t>,</w:t>
      </w:r>
      <w:r w:rsidR="00033919" w:rsidRPr="00E97BC8">
        <w:rPr>
          <w:rFonts w:cs="Times New Roman"/>
          <w:sz w:val="22"/>
          <w:szCs w:val="22"/>
        </w:rPr>
        <w:t xml:space="preserve"> </w:t>
      </w:r>
      <w:r w:rsidR="00DD088B" w:rsidRPr="00E97BC8">
        <w:rPr>
          <w:rFonts w:cs="Times New Roman"/>
          <w:sz w:val="22"/>
          <w:szCs w:val="22"/>
        </w:rPr>
        <w:t xml:space="preserve">at the same time, ascribing </w:t>
      </w:r>
      <w:r w:rsidR="00033919" w:rsidRPr="00E97BC8">
        <w:rPr>
          <w:rFonts w:cs="Times New Roman"/>
          <w:sz w:val="22"/>
          <w:szCs w:val="22"/>
        </w:rPr>
        <w:t>a higher valuation on initial purchase price</w:t>
      </w:r>
      <w:r w:rsidR="00CE569D" w:rsidRPr="00E97BC8">
        <w:rPr>
          <w:rFonts w:cs="Times New Roman"/>
          <w:sz w:val="22"/>
          <w:szCs w:val="22"/>
        </w:rPr>
        <w:t xml:space="preserve"> </w:t>
      </w:r>
      <w:r w:rsidR="008A47E1" w:rsidRPr="00E97BC8">
        <w:rPr>
          <w:rFonts w:cs="Times New Roman"/>
          <w:sz w:val="22"/>
          <w:szCs w:val="22"/>
        </w:rPr>
        <w:fldChar w:fldCharType="begin"/>
      </w:r>
      <w:r w:rsidR="00F73BDE" w:rsidRPr="00E97BC8">
        <w:rPr>
          <w:rFonts w:cs="Times New Roman"/>
          <w:sz w:val="22"/>
          <w:szCs w:val="22"/>
        </w:rPr>
        <w:instrText xml:space="preserve"> ADDIN ZOTERO_ITEM CSL_CITATION {"citationID":"3xyvFwdP","properties":{"formattedCitation":"(Findley et al., 2022)","plainCitation":"(Findley et al., 2022)","dontUpdate":true,"noteIndex":0},"citationItems":[{"id":3685,"uris":["http://zotero.org/users/12832277/items/AQ2E54RL"],"itemData":{"id":3685,"type":"report","abstract":"This research effort is part of a collaborative research project between the North Carolina Department of Transportation (NCDOT) and North Carolina State University’s (NCSU’s) Institute for Transportation Research and Education. As North Carolina confronts increasing transportation budget deficits, reliable revenue generating mechanisms will become invaluable to preserve the state’s transportation infrastructure. Understanding public perception of current and potential transportation funding mechanisms will be important for NCDOT and other decision-makers. The primary objective of this research is to not only summarize North Carolinians’ perceptions about transportation funding mechanisms, but to also explore their determinants and potential implications. This research builds from prior findings in 2019 and 2020 and seeks to further expand understanding of public opinions about transportation. Through the continuation of a longitudinal survey and the addition of twelve focus groups, several findings emerged regarding North Carolina residents’ perceptions of transportation funding and electric vehicles. Overall, respondents support increasing transportation funding and feel strongly that funding should be increased. Respondents preferred that transportation funding be supported through a general increase in the state sales tax, however, there is some support for increase in annual registration fees and the introduction of a new mileage-based usage fee. Regarding transportation funding, there are few major differences between demographic groups. However, when it comes to perceptions of electric vehicles, there are some notable differences between political ideological groups, age groups, and ethnic groups.","call-number":"dot:72345","language":"English","number":"FHWA/NC/2022-30","source":"ROSA P","title":"Public Perceptions of Transportation Fees, Taxes and Electric Vehicles in North Carolina","URL":"https://rosap.ntl.bts.gov/view/dot/72345","author":[{"family":"Findley","given":"Daniel"},{"family":"Davis","given":"Joy"},{"family":"McCaleb","given":"Emeline"},{"family":"Cobb","given":"Michael"},{"literal":"North Carolina State University. Institute for Transportation Research &amp; Education"}],"accessed":{"date-parts":[["2024",9,26]]},"issued":{"date-parts":[["2022",12,15]]}}}],"schema":"https://github.com/citation-style-language/schema/raw/master/csl-citation.json"} </w:instrText>
      </w:r>
      <w:r w:rsidR="008A47E1" w:rsidRPr="00E97BC8">
        <w:rPr>
          <w:rFonts w:cs="Times New Roman"/>
          <w:sz w:val="22"/>
          <w:szCs w:val="22"/>
        </w:rPr>
        <w:fldChar w:fldCharType="separate"/>
      </w:r>
      <w:r w:rsidR="008A47E1" w:rsidRPr="00E97BC8">
        <w:rPr>
          <w:rFonts w:cs="Times New Roman"/>
          <w:sz w:val="22"/>
          <w:szCs w:val="22"/>
        </w:rPr>
        <w:t>(see Findley et al., 2022)</w:t>
      </w:r>
      <w:r w:rsidR="008A47E1" w:rsidRPr="00E97BC8">
        <w:rPr>
          <w:rFonts w:cs="Times New Roman"/>
          <w:sz w:val="22"/>
          <w:szCs w:val="22"/>
        </w:rPr>
        <w:fldChar w:fldCharType="end"/>
      </w:r>
      <w:r w:rsidR="00C327D0" w:rsidRPr="00E97BC8">
        <w:rPr>
          <w:rFonts w:cs="Times New Roman"/>
          <w:sz w:val="22"/>
          <w:szCs w:val="22"/>
        </w:rPr>
        <w:t xml:space="preserve">. </w:t>
      </w:r>
      <w:r w:rsidR="00596EAB" w:rsidRPr="00E97BC8">
        <w:rPr>
          <w:rFonts w:cs="Times New Roman"/>
          <w:sz w:val="22"/>
          <w:szCs w:val="22"/>
        </w:rPr>
        <w:t xml:space="preserve">Finally, Hispanic individuals, as well as non-white individuals </w:t>
      </w:r>
      <w:r w:rsidR="000311CD" w:rsidRPr="00E97BC8">
        <w:rPr>
          <w:rFonts w:cs="Times New Roman"/>
          <w:sz w:val="22"/>
          <w:szCs w:val="22"/>
        </w:rPr>
        <w:t>manifest</w:t>
      </w:r>
      <w:r w:rsidR="00596EAB" w:rsidRPr="00E97BC8">
        <w:rPr>
          <w:rFonts w:cs="Times New Roman"/>
          <w:sz w:val="22"/>
          <w:szCs w:val="22"/>
        </w:rPr>
        <w:t xml:space="preserve"> </w:t>
      </w:r>
      <w:r w:rsidR="001A3A27" w:rsidRPr="00E97BC8">
        <w:rPr>
          <w:rFonts w:cs="Times New Roman"/>
          <w:sz w:val="22"/>
          <w:szCs w:val="22"/>
        </w:rPr>
        <w:t xml:space="preserve">more positive perceptions of EV range. </w:t>
      </w:r>
      <w:r w:rsidR="00384F7C" w:rsidRPr="00E97BC8">
        <w:rPr>
          <w:rFonts w:cs="Times New Roman"/>
          <w:sz w:val="22"/>
          <w:szCs w:val="22"/>
        </w:rPr>
        <w:t>This result is surprising</w:t>
      </w:r>
      <w:r w:rsidR="00DD088B" w:rsidRPr="00E97BC8">
        <w:rPr>
          <w:rFonts w:cs="Times New Roman"/>
          <w:sz w:val="22"/>
          <w:szCs w:val="22"/>
        </w:rPr>
        <w:t>,</w:t>
      </w:r>
      <w:r w:rsidR="00384F7C" w:rsidRPr="00E97BC8">
        <w:rPr>
          <w:rFonts w:cs="Times New Roman"/>
          <w:sz w:val="22"/>
          <w:szCs w:val="22"/>
        </w:rPr>
        <w:t xml:space="preserve"> given that Black and </w:t>
      </w:r>
      <w:r w:rsidR="007B6110" w:rsidRPr="00E97BC8">
        <w:rPr>
          <w:rFonts w:cs="Times New Roman"/>
          <w:sz w:val="22"/>
          <w:szCs w:val="22"/>
        </w:rPr>
        <w:t xml:space="preserve">Hispanic individuals </w:t>
      </w:r>
      <w:r w:rsidR="00931FF8" w:rsidRPr="00E97BC8">
        <w:rPr>
          <w:rFonts w:cs="Times New Roman"/>
          <w:sz w:val="22"/>
          <w:szCs w:val="22"/>
        </w:rPr>
        <w:t xml:space="preserve">generally </w:t>
      </w:r>
      <w:r w:rsidR="007B6110" w:rsidRPr="00E97BC8">
        <w:rPr>
          <w:rFonts w:cs="Times New Roman"/>
          <w:sz w:val="22"/>
          <w:szCs w:val="22"/>
        </w:rPr>
        <w:t xml:space="preserve">have </w:t>
      </w:r>
      <w:r w:rsidR="00931FF8" w:rsidRPr="00E97BC8">
        <w:rPr>
          <w:rFonts w:cs="Times New Roman"/>
          <w:sz w:val="22"/>
          <w:szCs w:val="22"/>
        </w:rPr>
        <w:t>less</w:t>
      </w:r>
      <w:r w:rsidR="007B6110" w:rsidRPr="00E97BC8">
        <w:rPr>
          <w:rFonts w:cs="Times New Roman"/>
          <w:sz w:val="22"/>
          <w:szCs w:val="22"/>
        </w:rPr>
        <w:t xml:space="preserve"> access to EV chargers </w:t>
      </w:r>
      <w:r w:rsidR="004D79F1" w:rsidRPr="00E97BC8">
        <w:rPr>
          <w:rFonts w:cs="Times New Roman"/>
          <w:sz w:val="22"/>
          <w:szCs w:val="22"/>
        </w:rPr>
        <w:t>compared with non-Hispanic white individuals</w:t>
      </w:r>
      <w:r w:rsidR="00CC0119" w:rsidRPr="00E97BC8">
        <w:rPr>
          <w:rFonts w:cs="Times New Roman"/>
          <w:sz w:val="22"/>
          <w:szCs w:val="22"/>
        </w:rPr>
        <w:t xml:space="preserve"> </w:t>
      </w:r>
      <w:r w:rsidR="00CC0119" w:rsidRPr="00E97BC8">
        <w:rPr>
          <w:rFonts w:cs="Times New Roman"/>
          <w:sz w:val="22"/>
          <w:szCs w:val="22"/>
        </w:rPr>
        <w:fldChar w:fldCharType="begin"/>
      </w:r>
      <w:r w:rsidR="00CC0119" w:rsidRPr="00E97BC8">
        <w:rPr>
          <w:rFonts w:cs="Times New Roman"/>
          <w:sz w:val="22"/>
          <w:szCs w:val="22"/>
        </w:rPr>
        <w:instrText xml:space="preserve"> ADDIN ZOTERO_ITEM CSL_CITATION {"citationID":"fp7ehKJ4","properties":{"formattedCitation":"(Hsu and Fingerman, 2021)","plainCitation":"(Hsu and Fingerman, 2021)","noteIndex":0},"citationItems":[{"id":3687,"uris":["http://zotero.org/users/12832277/items/A8ARA65C"],"itemData":{"id":3687,"type":"article-journal","abstract":"Widespread electric vehicle (EV) adoption is crucial for achieving California's climate goals. The inclusion of marginalized populations in this process is important and will require that they have access to charging infrastructure. Public EV charging stations may help reduce the EV adoption barriers affecting these populations. This study combines public charging station location data with American Community Survey data at the census block group level in California, finding that public charger access is lower in block groups with below-median household incomes and in those with a Black and Hispanic majority populations. These public charger access disparities are more pronounced in areas with a higher proportion of multi-unit housing, where they are critical for EV operation due to a lower likelihood of residential charger access. Controlling for distance to the nearest highway or freeway, multi-unit housing unit rate, and median household income, we find that Black and Hispanic majority block groups are the only race and ethnicity group that is significantly less likely to have access to any public charger in their block groups compared to the rest of the state. The odds of having public charger access for the group is 0.7-times that of the no majority reference group. The access gap is even larger for the publicly-funded charging stations where Black and Hispanic majority block groups are approximately half as likely as the no-majority reference group to have access. Hence directing a larger portion of the funding to underserved communities and further government involvement in filling the public charger access gap can be crucial in achieving widespread and equitable EV adoption.","container-title":"Transport Policy","DOI":"10.1016/j.tranpol.2020.10.003","ISSN":"0967-070X","page":"59-67","source":"ScienceDirect","title":"Public Electric Vehicle Charger Access Disparities Across Race and Income in California","volume":"100","author":[{"family":"Hsu","given":"Chih-Wei"},{"family":"Fingerman","given":"Kevin"}],"issued":{"date-parts":[["2021",1,1]]}}}],"schema":"https://github.com/citation-style-language/schema/raw/master/csl-citation.json"} </w:instrText>
      </w:r>
      <w:r w:rsidR="00CC0119" w:rsidRPr="00E97BC8">
        <w:rPr>
          <w:rFonts w:cs="Times New Roman"/>
          <w:sz w:val="22"/>
          <w:szCs w:val="22"/>
        </w:rPr>
        <w:fldChar w:fldCharType="separate"/>
      </w:r>
      <w:r w:rsidR="001E6A07" w:rsidRPr="00E97BC8">
        <w:rPr>
          <w:rFonts w:cs="Times New Roman"/>
          <w:sz w:val="22"/>
          <w:szCs w:val="22"/>
        </w:rPr>
        <w:t>(Hsu and Fingerman, 2021)</w:t>
      </w:r>
      <w:r w:rsidR="00CC0119" w:rsidRPr="00E97BC8">
        <w:rPr>
          <w:rFonts w:cs="Times New Roman"/>
          <w:sz w:val="22"/>
          <w:szCs w:val="22"/>
        </w:rPr>
        <w:fldChar w:fldCharType="end"/>
      </w:r>
      <w:r w:rsidR="004D79F1" w:rsidRPr="00E97BC8">
        <w:rPr>
          <w:rFonts w:cs="Times New Roman"/>
          <w:sz w:val="22"/>
          <w:szCs w:val="22"/>
        </w:rPr>
        <w:t xml:space="preserve">. However, </w:t>
      </w:r>
      <w:r w:rsidR="000E324B" w:rsidRPr="00E97BC8">
        <w:rPr>
          <w:rFonts w:cs="Times New Roman"/>
          <w:sz w:val="22"/>
          <w:szCs w:val="22"/>
        </w:rPr>
        <w:t xml:space="preserve">there is evidence that these </w:t>
      </w:r>
      <w:r w:rsidR="003D0C59" w:rsidRPr="00E97BC8">
        <w:rPr>
          <w:rFonts w:cs="Times New Roman"/>
          <w:sz w:val="22"/>
          <w:szCs w:val="22"/>
        </w:rPr>
        <w:t>populations are more likely to develop fixed charging routines (particularly for charging at the workplace)</w:t>
      </w:r>
      <w:r w:rsidR="0011513A" w:rsidRPr="00E97BC8">
        <w:rPr>
          <w:rFonts w:cs="Times New Roman"/>
          <w:sz w:val="22"/>
          <w:szCs w:val="22"/>
        </w:rPr>
        <w:t xml:space="preserve">, </w:t>
      </w:r>
      <w:r w:rsidR="00FC1075" w:rsidRPr="00E97BC8">
        <w:rPr>
          <w:rFonts w:cs="Times New Roman"/>
          <w:sz w:val="22"/>
          <w:szCs w:val="22"/>
        </w:rPr>
        <w:t>take greater number</w:t>
      </w:r>
      <w:r w:rsidR="0011513A" w:rsidRPr="00E97BC8">
        <w:rPr>
          <w:rFonts w:cs="Times New Roman"/>
          <w:sz w:val="22"/>
          <w:szCs w:val="22"/>
        </w:rPr>
        <w:t>s</w:t>
      </w:r>
      <w:r w:rsidR="00FC1075" w:rsidRPr="00E97BC8">
        <w:rPr>
          <w:rFonts w:cs="Times New Roman"/>
          <w:sz w:val="22"/>
          <w:szCs w:val="22"/>
        </w:rPr>
        <w:t xml:space="preserve"> of short urban trips</w:t>
      </w:r>
      <w:r w:rsidR="0011513A" w:rsidRPr="00E97BC8">
        <w:rPr>
          <w:rFonts w:cs="Times New Roman"/>
          <w:sz w:val="22"/>
          <w:szCs w:val="22"/>
        </w:rPr>
        <w:t xml:space="preserve">, and exhibit more adaptability to charging </w:t>
      </w:r>
      <w:r w:rsidR="0011513A" w:rsidRPr="00E97BC8">
        <w:rPr>
          <w:rFonts w:cs="Times New Roman"/>
          <w:sz w:val="22"/>
          <w:szCs w:val="22"/>
        </w:rPr>
        <w:lastRenderedPageBreak/>
        <w:t>options, each of which provides increased</w:t>
      </w:r>
      <w:r w:rsidR="00FC1075" w:rsidRPr="00E97BC8">
        <w:rPr>
          <w:rFonts w:cs="Times New Roman"/>
          <w:sz w:val="22"/>
          <w:szCs w:val="22"/>
        </w:rPr>
        <w:t xml:space="preserve"> range security</w:t>
      </w:r>
      <w:r w:rsidR="00507D1E" w:rsidRPr="00E97BC8">
        <w:rPr>
          <w:rFonts w:cs="Times New Roman"/>
          <w:sz w:val="22"/>
          <w:szCs w:val="22"/>
        </w:rPr>
        <w:t xml:space="preserve"> </w:t>
      </w:r>
      <w:r w:rsidR="000B1666" w:rsidRPr="00E97BC8">
        <w:rPr>
          <w:rFonts w:cs="Times New Roman"/>
          <w:sz w:val="22"/>
          <w:szCs w:val="22"/>
        </w:rPr>
        <w:fldChar w:fldCharType="begin"/>
      </w:r>
      <w:r w:rsidR="00F732C6" w:rsidRPr="00E97BC8">
        <w:rPr>
          <w:rFonts w:cs="Times New Roman"/>
          <w:sz w:val="22"/>
          <w:szCs w:val="22"/>
        </w:rPr>
        <w:instrText xml:space="preserve"> ADDIN ZOTERO_ITEM CSL_CITATION {"citationID":"iZcdJNqa","properties":{"formattedCitation":"(Chen et al., 2024; Lou et al., 2024)","plainCitation":"(Chen et al., 2024; Lou et al., 2024)","noteIndex":0},"citationItems":[{"id":3689,"uris":["http://zotero.org/users/12832277/items/XI5GUJ3I"],"itemData":{"id":3689,"type":"article-journal","abstract":"The adoption of electric vehicles (EVs) is transforming the landscape of energy consumption. While the technical and economic dimensions of EV adoption are increasingly well understood, the aspect of justice in demand flexibility remains underexplored. This study examines the complex relationship between flexibility in EV charging behaviors and the influence of socio-psychological and justice factors. We explore a range of demographic and social-psychological variables including charging anxiety, environmental concerns, perceived cost-saving perception, perceived privacy, and trust in utility providers. Our results reveal that these variables positively influence the changes in charging habits, including time-shifting and load-reduction. This study also uncovers disparities in charging behavior adjustments across various demographics groups. For instance, White respondents are more likely to charge their EVs during off-peak hours than their non-White counterparts and homeowners show a greater intention to reduce EV charging load during peak hours compared to renters. Additionally, high-income individuals exhibit a stronger willingness to shift charging times to off-peak, with White respondents within the high-income group being the most likely to reduce the amount of charging load during peak hours. Conversely, low-income White respondents are less inclined to make such adjustments. These disparities are likely tied to socioeconomic status, as more vulnerable groups often face greater constraints in adjusting their schedules. Therefore, it is imperative that policies prioritize flexibility justice by addressing the specific needs and behaviors of vulnerable groups, aiming to mitigate the additional burdens resulting from their limited flexibility.","container-title":"Energy Research &amp; Social Science","DOI":"10.1016/j.erss.2024.103753","ISSN":"2214-6296","page":"103753","source":"ScienceDirect","title":"Flexibility Justice: Exploring the Relationship Between Electrical Vehicle Charging Behaviors, Demand Flexibility and Psychological Factors","volume":"118","author":[{"family":"Chen","given":"Wei-An"},{"family":"Chen","given":"Chien-Fei"},{"family":"Tomasik","given":"Stephanie"},{"family":"Pournaras","given":"Evangelos"},{"family":"Liu","given":"Mingzhe"}],"issued":{"date-parts":[["2024",12,1]]}}},{"id":3692,"uris":["http://zotero.org/users/12832277/items/KIMJQ3HM"],"itemData":{"id":3692,"type":"article-journal","abstract":"Publicly available electric vehicle (EV) infrastructure is pivotal for the United States EV transition by 2030. Existing infrastructure lacks equitably distribution to low-income and underrepresented communities, impeding mass adoption. Our study, utilizing 2021 micro-level data from 121 million United States households, comprehensively examines income and racial disparities in EV infrastructure accessibility. Our analysis of national averages indicates that lower-income groups face less accessibility to public EV infrastructure in both urban and rural geographies. Black households experience less rural accessibility, but greater urban accessibility compared to White households conditioning on income. However, our localized analysis uncovers significant variations in accessibility gaps among counties, rural and urban settings, and dwelling types. While Black households experience greater urban accessibility nationally, a closer look at the county level reveals diminishing advantages. This study identifies areas with pronounced inequality and urgent needs for enhanced accessibility, emphasizing the necessity for tailored solutions by local governments to enhance equitable access to EV infrastructure.","container-title":"Nature Communications","DOI":"10.1038/s41467-024-49481-w","ISSN":"2041-1723","issue":"1","language":"en","license":"2024 The Author(s)","note":"publisher: Nature Publishing Group","page":"5106","source":"www.nature.com","title":"Income and Racial Disparity in Household Publicly Available Electric Vehicle Infrastructure Accessibility","volume":"15","author":[{"family":"Lou","given":"Jiehong"},{"family":"Shen","given":"Xingchi"},{"family":"Niemeier","given":"Deb A."},{"family":"Hultman","given":"Nathan"}],"issued":{"date-parts":[["2024",6,14]]}}}],"schema":"https://github.com/citation-style-language/schema/raw/master/csl-citation.json"} </w:instrText>
      </w:r>
      <w:r w:rsidR="000B1666" w:rsidRPr="00E97BC8">
        <w:rPr>
          <w:rFonts w:cs="Times New Roman"/>
          <w:sz w:val="22"/>
          <w:szCs w:val="22"/>
        </w:rPr>
        <w:fldChar w:fldCharType="separate"/>
      </w:r>
      <w:r w:rsidR="001E6A07" w:rsidRPr="00E97BC8">
        <w:rPr>
          <w:rFonts w:cs="Times New Roman"/>
          <w:sz w:val="22"/>
          <w:szCs w:val="22"/>
        </w:rPr>
        <w:t>(Chen et al., 2024; Lou et al., 2024)</w:t>
      </w:r>
      <w:r w:rsidR="000B1666" w:rsidRPr="00E97BC8">
        <w:rPr>
          <w:rFonts w:cs="Times New Roman"/>
          <w:sz w:val="22"/>
          <w:szCs w:val="22"/>
        </w:rPr>
        <w:fldChar w:fldCharType="end"/>
      </w:r>
      <w:r w:rsidR="00FC1075" w:rsidRPr="00E97BC8">
        <w:rPr>
          <w:rFonts w:cs="Times New Roman"/>
          <w:sz w:val="22"/>
          <w:szCs w:val="22"/>
        </w:rPr>
        <w:t xml:space="preserve">. </w:t>
      </w:r>
      <w:r w:rsidR="00507D1E" w:rsidRPr="00E97BC8">
        <w:rPr>
          <w:rFonts w:cs="Times New Roman"/>
          <w:sz w:val="22"/>
          <w:szCs w:val="22"/>
        </w:rPr>
        <w:t>These results</w:t>
      </w:r>
      <w:r w:rsidR="00EB2496" w:rsidRPr="00E97BC8">
        <w:rPr>
          <w:rFonts w:cs="Times New Roman"/>
          <w:sz w:val="22"/>
          <w:szCs w:val="22"/>
        </w:rPr>
        <w:t xml:space="preserve"> highligh</w:t>
      </w:r>
      <w:r w:rsidR="00507D1E" w:rsidRPr="00E97BC8">
        <w:rPr>
          <w:rFonts w:cs="Times New Roman"/>
          <w:sz w:val="22"/>
          <w:szCs w:val="22"/>
        </w:rPr>
        <w:t>t</w:t>
      </w:r>
      <w:r w:rsidR="00EB2496" w:rsidRPr="00E97BC8">
        <w:rPr>
          <w:rFonts w:cs="Times New Roman"/>
          <w:sz w:val="22"/>
          <w:szCs w:val="22"/>
        </w:rPr>
        <w:t xml:space="preserve"> the importance of considering charging perceptions alongside physical access to charging infrastructure</w:t>
      </w:r>
      <w:r w:rsidR="00507D1E" w:rsidRPr="00E97BC8">
        <w:rPr>
          <w:rFonts w:cs="Times New Roman"/>
          <w:sz w:val="22"/>
          <w:szCs w:val="22"/>
        </w:rPr>
        <w:t>, as the need for charging infrastructure varies according to intended use</w:t>
      </w:r>
      <w:r w:rsidR="00EB2496" w:rsidRPr="00E97BC8">
        <w:rPr>
          <w:rFonts w:cs="Times New Roman"/>
          <w:sz w:val="22"/>
          <w:szCs w:val="22"/>
        </w:rPr>
        <w:t>.</w:t>
      </w:r>
      <w:r w:rsidR="00EB2496" w:rsidRPr="00E97BC8">
        <w:rPr>
          <w:rFonts w:cs="Times New Roman"/>
          <w:b/>
          <w:bCs/>
          <w:sz w:val="22"/>
          <w:szCs w:val="22"/>
        </w:rPr>
        <w:t xml:space="preserve"> </w:t>
      </w:r>
    </w:p>
    <w:p w14:paraId="0A73B6A0" w14:textId="08D545AE" w:rsidR="00C17339" w:rsidRPr="00E97BC8" w:rsidRDefault="00E601CB" w:rsidP="00E85093">
      <w:pPr>
        <w:spacing w:after="0" w:line="240" w:lineRule="auto"/>
        <w:ind w:firstLine="720"/>
        <w:jc w:val="both"/>
        <w:rPr>
          <w:rFonts w:cs="Times New Roman"/>
          <w:sz w:val="22"/>
          <w:szCs w:val="22"/>
        </w:rPr>
      </w:pPr>
      <w:r w:rsidRPr="00E97BC8">
        <w:rPr>
          <w:rFonts w:cs="Times New Roman"/>
          <w:sz w:val="22"/>
          <w:szCs w:val="22"/>
        </w:rPr>
        <w:t xml:space="preserve">In terms of educational attainment, </w:t>
      </w:r>
      <w:r w:rsidR="005D3CFE" w:rsidRPr="00E97BC8">
        <w:rPr>
          <w:rFonts w:cs="Times New Roman"/>
          <w:sz w:val="22"/>
          <w:szCs w:val="22"/>
        </w:rPr>
        <w:t>individuals with</w:t>
      </w:r>
      <w:r w:rsidRPr="00E97BC8">
        <w:rPr>
          <w:rFonts w:cs="Times New Roman"/>
          <w:sz w:val="22"/>
          <w:szCs w:val="22"/>
        </w:rPr>
        <w:t xml:space="preserve"> a higher level of formal education</w:t>
      </w:r>
      <w:r w:rsidR="005D3CFE" w:rsidRPr="00E97BC8">
        <w:rPr>
          <w:rFonts w:cs="Times New Roman"/>
          <w:sz w:val="22"/>
          <w:szCs w:val="22"/>
        </w:rPr>
        <w:t xml:space="preserve"> tend to have an elevated GLP</w:t>
      </w:r>
      <w:r w:rsidR="00DD088B" w:rsidRPr="00E97BC8">
        <w:rPr>
          <w:rFonts w:cs="Times New Roman"/>
          <w:sz w:val="22"/>
          <w:szCs w:val="22"/>
        </w:rPr>
        <w:t xml:space="preserve">, presumably because </w:t>
      </w:r>
      <w:r w:rsidRPr="00E97BC8">
        <w:rPr>
          <w:rFonts w:cs="Times New Roman"/>
          <w:sz w:val="22"/>
          <w:szCs w:val="22"/>
        </w:rPr>
        <w:t xml:space="preserve">those with more formal education </w:t>
      </w:r>
      <w:r w:rsidR="000311CD" w:rsidRPr="00E97BC8">
        <w:rPr>
          <w:rFonts w:cs="Times New Roman"/>
          <w:sz w:val="22"/>
          <w:szCs w:val="22"/>
        </w:rPr>
        <w:t xml:space="preserve">are </w:t>
      </w:r>
      <w:r w:rsidRPr="00E97BC8">
        <w:rPr>
          <w:rFonts w:cs="Times New Roman"/>
          <w:sz w:val="22"/>
          <w:szCs w:val="22"/>
        </w:rPr>
        <w:t>more aware of the negative consequences of environmentally harmful actions</w:t>
      </w:r>
      <w:r w:rsidR="005F1A5B" w:rsidRPr="00E97BC8">
        <w:rPr>
          <w:rFonts w:cs="Times New Roman"/>
          <w:sz w:val="22"/>
          <w:szCs w:val="22"/>
        </w:rPr>
        <w:t xml:space="preserve"> </w:t>
      </w:r>
      <w:r w:rsidR="001F2FAF" w:rsidRPr="00E97BC8">
        <w:rPr>
          <w:rFonts w:cs="Times New Roman"/>
          <w:sz w:val="22"/>
          <w:szCs w:val="22"/>
        </w:rPr>
        <w:fldChar w:fldCharType="begin"/>
      </w:r>
      <w:r w:rsidR="00F73BDE" w:rsidRPr="00E97BC8">
        <w:rPr>
          <w:rFonts w:cs="Times New Roman"/>
          <w:sz w:val="22"/>
          <w:szCs w:val="22"/>
        </w:rPr>
        <w:instrText xml:space="preserve"> ADDIN ZOTERO_ITEM CSL_CITATION {"citationID":"5P6D8WQx","properties":{"formattedCitation":"(Liu et al., 2020)","plainCitation":"(Liu et al., 2020)","dontUpdate":true,"noteIndex":0},"citationItems":[{"id":449,"uris":["http://zotero.org/users/12832277/items/Q63AVX7H"],"itemData":{"id":449,"type":"article-journal","abstract":"This paper explores how general environmental knowledge shapes environmental attitudes, behavioral intentions, and pro-environmental behaviors in relation to the surrounding environment. Structural equation modeling (SEM) with bootstrapping estimation was conducted to assess a causal chain from environmental knowledge to pro-environmental behaviors with a nationally representative sample of 2824 respondents from China. The results show that environmental knowledge has a significant positive effect on environmental attitudes, environmental attitudes have a significant positive effect on environmental behavioral intentions and pro-environmental behaviors, and environmental behavioral intentions have a significant positive effect on pro-environmental behaviors. We also concluded that although environmental knowledge has no significant direct effects on pro-environmental behaviors, it is a crucial distal variable whose significant effect is fully mediated by environmental attitudes and environmental behavioral intentions. The results of the multigroup SEM showed that the moderating effect of external context on the relationship between environmental behavioral intentions and pro-environmental behaviors and various demographic variables (e.g., gender, urban vs. rural residence, education level, and region) have diverse effects on the model in this study.","container-title":"Science of The Total Environment","DOI":"10.1016/j.scitotenv.2020.138126","ISSN":"0048-9697","language":"en","source":"ScienceDirect","title":"How Does Environmental Knowledge Translate into Pro-Environmental Behaviors?: The Mediating Role of Environmental Attitudes and Behavioral Intentions","title-short":"How Does Environmental Knowledge Translate into Pro-Environmental Behaviors?","URL":"https://www.sciencedirect.com/science/article/pii/S0048969720316399","volume":"728","author":[{"family":"Liu","given":"Pihui"},{"family":"Teng","given":"Minmin"},{"family":"Han","given":"Chuanfeng"}],"accessed":{"date-parts":[["2023",4,12]]},"issued":{"date-parts":[["2020",8,1]]}}}],"schema":"https://github.com/citation-style-language/schema/raw/master/csl-citation.json"} </w:instrText>
      </w:r>
      <w:r w:rsidR="001F2FAF" w:rsidRPr="00E97BC8">
        <w:rPr>
          <w:rFonts w:cs="Times New Roman"/>
          <w:sz w:val="22"/>
          <w:szCs w:val="22"/>
        </w:rPr>
        <w:fldChar w:fldCharType="separate"/>
      </w:r>
      <w:r w:rsidR="001F2FAF" w:rsidRPr="00E97BC8">
        <w:rPr>
          <w:rFonts w:cs="Times New Roman"/>
          <w:sz w:val="22"/>
          <w:szCs w:val="22"/>
        </w:rPr>
        <w:t>(</w:t>
      </w:r>
      <w:r w:rsidR="00AB1386" w:rsidRPr="00E97BC8">
        <w:rPr>
          <w:rFonts w:cs="Times New Roman"/>
          <w:sz w:val="22"/>
          <w:szCs w:val="22"/>
        </w:rPr>
        <w:t xml:space="preserve">see </w:t>
      </w:r>
      <w:r w:rsidR="001F2FAF" w:rsidRPr="00E97BC8">
        <w:rPr>
          <w:rFonts w:cs="Times New Roman"/>
          <w:sz w:val="22"/>
          <w:szCs w:val="22"/>
        </w:rPr>
        <w:t>Liu et al., 2020)</w:t>
      </w:r>
      <w:r w:rsidR="001F2FAF" w:rsidRPr="00E97BC8">
        <w:rPr>
          <w:rFonts w:cs="Times New Roman"/>
          <w:sz w:val="22"/>
          <w:szCs w:val="22"/>
        </w:rPr>
        <w:fldChar w:fldCharType="end"/>
      </w:r>
      <w:r w:rsidRPr="00E97BC8">
        <w:rPr>
          <w:rFonts w:cs="Times New Roman"/>
          <w:sz w:val="22"/>
          <w:szCs w:val="22"/>
        </w:rPr>
        <w:t>.</w:t>
      </w:r>
      <w:r w:rsidR="0031457E" w:rsidRPr="00E97BC8">
        <w:rPr>
          <w:rFonts w:cs="Times New Roman"/>
          <w:sz w:val="22"/>
          <w:szCs w:val="22"/>
        </w:rPr>
        <w:t xml:space="preserve"> Those with higher </w:t>
      </w:r>
      <w:r w:rsidR="005017D7" w:rsidRPr="00E97BC8">
        <w:rPr>
          <w:rFonts w:cs="Times New Roman"/>
          <w:sz w:val="22"/>
          <w:szCs w:val="22"/>
        </w:rPr>
        <w:t xml:space="preserve">formal </w:t>
      </w:r>
      <w:r w:rsidR="0031457E" w:rsidRPr="00E97BC8">
        <w:rPr>
          <w:rFonts w:cs="Times New Roman"/>
          <w:sz w:val="22"/>
          <w:szCs w:val="22"/>
        </w:rPr>
        <w:t>levels of educational attainment also have a more positive perception of EV technologies in terms of both cost and maintenance requirements and battery and charging technologies</w:t>
      </w:r>
      <w:r w:rsidR="005017D7" w:rsidRPr="00E97BC8">
        <w:rPr>
          <w:rFonts w:cs="Times New Roman"/>
          <w:sz w:val="22"/>
          <w:szCs w:val="22"/>
        </w:rPr>
        <w:t xml:space="preserve">, perhaps because </w:t>
      </w:r>
      <w:r w:rsidR="009C775E" w:rsidRPr="00E97BC8">
        <w:rPr>
          <w:rFonts w:cs="Times New Roman"/>
          <w:sz w:val="22"/>
          <w:szCs w:val="22"/>
        </w:rPr>
        <w:t xml:space="preserve">these individuals are likely to </w:t>
      </w:r>
      <w:r w:rsidR="001B33B7" w:rsidRPr="00E97BC8">
        <w:rPr>
          <w:rFonts w:cs="Times New Roman"/>
          <w:sz w:val="22"/>
          <w:szCs w:val="22"/>
        </w:rPr>
        <w:t xml:space="preserve">have specific knowledge of </w:t>
      </w:r>
      <w:r w:rsidR="00934941" w:rsidRPr="00E97BC8">
        <w:rPr>
          <w:rFonts w:cs="Times New Roman"/>
          <w:sz w:val="22"/>
          <w:szCs w:val="22"/>
        </w:rPr>
        <w:t>EV features as well as</w:t>
      </w:r>
      <w:r w:rsidR="005017D7" w:rsidRPr="00E97BC8">
        <w:rPr>
          <w:rFonts w:cs="Times New Roman"/>
          <w:sz w:val="22"/>
          <w:szCs w:val="22"/>
        </w:rPr>
        <w:t xml:space="preserve"> </w:t>
      </w:r>
      <w:r w:rsidR="00482834" w:rsidRPr="00E97BC8">
        <w:rPr>
          <w:rFonts w:cs="Times New Roman"/>
          <w:sz w:val="22"/>
          <w:szCs w:val="22"/>
        </w:rPr>
        <w:t xml:space="preserve">to </w:t>
      </w:r>
      <w:r w:rsidR="00A46026" w:rsidRPr="00E97BC8">
        <w:rPr>
          <w:rFonts w:cs="Times New Roman"/>
          <w:sz w:val="22"/>
          <w:szCs w:val="22"/>
        </w:rPr>
        <w:t xml:space="preserve">maintain an increased awareness of their own </w:t>
      </w:r>
      <w:r w:rsidR="001641EC" w:rsidRPr="00E97BC8">
        <w:rPr>
          <w:rFonts w:cs="Times New Roman"/>
          <w:sz w:val="22"/>
          <w:szCs w:val="22"/>
        </w:rPr>
        <w:t>spending habits</w:t>
      </w:r>
      <w:r w:rsidR="008E2CE5" w:rsidRPr="00E97BC8">
        <w:rPr>
          <w:rFonts w:cs="Times New Roman"/>
          <w:sz w:val="22"/>
          <w:szCs w:val="22"/>
        </w:rPr>
        <w:t xml:space="preserve">, making EVs seem like a more feasible alternative </w:t>
      </w:r>
      <w:r w:rsidR="00BA6F3A" w:rsidRPr="00E97BC8">
        <w:rPr>
          <w:rFonts w:cs="Times New Roman"/>
          <w:sz w:val="22"/>
          <w:szCs w:val="22"/>
        </w:rPr>
        <w:fldChar w:fldCharType="begin"/>
      </w:r>
      <w:r w:rsidR="00180FA2" w:rsidRPr="00E97BC8">
        <w:rPr>
          <w:rFonts w:cs="Times New Roman"/>
          <w:sz w:val="22"/>
          <w:szCs w:val="22"/>
        </w:rPr>
        <w:instrText xml:space="preserve"> ADDIN ZOTERO_ITEM CSL_CITATION {"citationID":"cLfRxPTx","properties":{"unsorted":true,"formattedCitation":"(Memushi, 2014; Habich-Sobiegalla et al., 2019)","plainCitation":"(Memushi, 2014; Habich-Sobiegalla et al., 2019)","noteIndex":0},"citationItems":[{"id":545,"uris":["http://zotero.org/users/12832277/items/RZJJTHUF"],"itemData":{"id":545,"type":"article-journal","abstract":"Developing post-communist countries may have relatively higher levels of conspicuous consumption, because of extreme inequalities in income, relatively stronger social relationships and traditions and the urge to show off of the nouveaux riches, previously condemned. In spite of this, there is a lack of research concerning this behaviour in Albania. This paper briefly discusses one aspect of the phenomenon, the influencing factors, drawing upon relevant analyses from different viewpoints. The impact that these “global” or “local” factors (gender, age, education, social environment, etc.) have on the level of conspicuous consumption of an Albanian household is analyzed, using data from the 2008 Albanian Living Standards Measurement Survey (LSMS 2008). Among the considered factors, gender and education seem to have the greater impact.","container-title":"South-Eastern Europe Journal of Economics","issue":"1","language":"el","license":"Copyright (c) 2015","note":"number: 1","source":"ojs.lib.uom.gr","title":"Conspicuous Consumption and Albanians: Determinant Factors.","title-short":"Conspicuous Consumption and Albanians","URL":"https://ojs.lib.uom.gr/index.php/seeje/article/view/5509","volume":"12","author":[{"family":"Memushi","given":"Armando"}],"accessed":{"date-parts":[["2023",4,18]]},"issued":{"date-parts":[["2014"]]}}},{"id":2784,"uris":["http://zotero.org/users/12832277/items/4Q36BGWP"],"itemData":{"id":2784,"type":"article-journal","abstract":"Given the pressure to adopt more sustainable transportation modes, a number of governments have adopted policies to increase the use of electric vehicles (EVs). Yet, there are few national surveys of citizens' intentions to purchase EVs. Using a nationwide survey with 1080 respondents in China, this article examines the determinants of Chinese citizens' intentions to purchase EVs. The survey results suggest that if Chinese citizens have a wide social network and if they know someone who already owns an EV, their intention to purchase an EV is very high. Other micro-level factors, such as age and education, have significant effects, but their magnitudes are lower. Macro-level factors such as air pollution and EV charging infrastructure don't drive intentions to purchase EVs. Drawing on these results, the article offers recommendations for businesses and policymakers who seek to reduce the consumption of fossil fuels and to increase the adoption of sustainable transport solutions.","container-title":"Transport Policy","DOI":"10.1016/j.tranpol.2019.05.008","ISSN":"0967-070X","page":"223-233","source":"ScienceDirect","title":"Citizens’ Electric Vehicle Purchase Intentions in China: An Analysis of Micro-Level and Macro-Level Factors","volume":"79","author":[{"family":"Habich-Sobiegalla","given":"Sabrina"},{"family":"Kostka","given":"Genia"},{"family":"Anzinger","given":"Niklas"}],"issued":{"date-parts":[["2019",7,1]]}}}],"schema":"https://github.com/citation-style-language/schema/raw/master/csl-citation.json"} </w:instrText>
      </w:r>
      <w:r w:rsidR="00BA6F3A" w:rsidRPr="00E97BC8">
        <w:rPr>
          <w:rFonts w:cs="Times New Roman"/>
          <w:sz w:val="22"/>
          <w:szCs w:val="22"/>
        </w:rPr>
        <w:fldChar w:fldCharType="separate"/>
      </w:r>
      <w:r w:rsidR="001E6A07" w:rsidRPr="00E97BC8">
        <w:rPr>
          <w:rFonts w:cs="Times New Roman"/>
          <w:sz w:val="22"/>
          <w:szCs w:val="22"/>
        </w:rPr>
        <w:t>(Memushi, 2014; Habich-Sobiegalla et al., 2019)</w:t>
      </w:r>
      <w:r w:rsidR="00BA6F3A" w:rsidRPr="00E97BC8">
        <w:rPr>
          <w:rFonts w:cs="Times New Roman"/>
          <w:sz w:val="22"/>
          <w:szCs w:val="22"/>
        </w:rPr>
        <w:fldChar w:fldCharType="end"/>
      </w:r>
      <w:r w:rsidR="008E2CE5" w:rsidRPr="00E97BC8">
        <w:rPr>
          <w:rFonts w:cs="Times New Roman"/>
          <w:sz w:val="22"/>
          <w:szCs w:val="22"/>
        </w:rPr>
        <w:t>.</w:t>
      </w:r>
      <w:r w:rsidR="00813880" w:rsidRPr="00E97BC8">
        <w:rPr>
          <w:rFonts w:cs="Times New Roman"/>
          <w:color w:val="FF0000"/>
          <w:sz w:val="22"/>
          <w:szCs w:val="22"/>
        </w:rPr>
        <w:t xml:space="preserve"> </w:t>
      </w:r>
      <w:r w:rsidR="00813880" w:rsidRPr="00E97BC8">
        <w:rPr>
          <w:rFonts w:cs="Times New Roman"/>
          <w:sz w:val="22"/>
          <w:szCs w:val="22"/>
        </w:rPr>
        <w:t>Similar results hold for income, with individuals living in high-income (greater than $200,000 per year) households having a higher GLP</w:t>
      </w:r>
      <w:r w:rsidR="005017D7" w:rsidRPr="00E97BC8">
        <w:rPr>
          <w:rFonts w:cs="Times New Roman"/>
          <w:sz w:val="22"/>
          <w:szCs w:val="22"/>
        </w:rPr>
        <w:t xml:space="preserve">, concordant with Maslow’s </w:t>
      </w:r>
      <w:r w:rsidR="00277CF4" w:rsidRPr="00E97BC8">
        <w:rPr>
          <w:rFonts w:cs="Times New Roman"/>
          <w:sz w:val="22"/>
          <w:szCs w:val="22"/>
        </w:rPr>
        <w:fldChar w:fldCharType="begin"/>
      </w:r>
      <w:r w:rsidR="00277CF4" w:rsidRPr="00E97BC8">
        <w:rPr>
          <w:rFonts w:cs="Times New Roman"/>
          <w:sz w:val="22"/>
          <w:szCs w:val="22"/>
        </w:rPr>
        <w:instrText xml:space="preserve"> ADDIN ZOTERO_ITEM CSL_CITATION {"citationID":"0zN6zZCq","properties":{"formattedCitation":"(1943)","plainCitation":"(1943)","noteIndex":0},"citationItems":[{"id":807,"uris":["http://zotero.org/users/12832277/items/ZWVH7SC3"],"itemData":{"id":807,"type":"article-journal","abstract":"After listing the propositions that must be considered as basic, the author formulates a theory of human motivation in line with these propositions and with the known facts derived from observation and experiment. There are 5 sets of goals (basic needs) which are related to each other and are arranged in a hierarchy of prepotency. When the most prepotent goal is realized, the next higher need emerges. \"Thus man is a perpetually wanting animal.\" Thwarting, actual or imminent, of these basic needs provides a psychological threat that leads to psychopathy. (PsycINFO Database Record (c) 2016 APA, all rights reserved)","container-title":"Psychological Review","DOI":"10.1037/h0054346","ISSN":"1939-1471","note":"publisher-place: US\npublisher: American Psychological Association","page":"370-396","source":"APA PsycNet","title":"A Theory of Human Motivation","volume":"50","author":[{"family":"Maslow","given":"A. H."}],"issued":{"date-parts":[["1943"]]}},"label":"page","suppress-author":true}],"schema":"https://github.com/citation-style-language/schema/raw/master/csl-citation.json"} </w:instrText>
      </w:r>
      <w:r w:rsidR="00277CF4" w:rsidRPr="00E97BC8">
        <w:rPr>
          <w:rFonts w:cs="Times New Roman"/>
          <w:sz w:val="22"/>
          <w:szCs w:val="22"/>
        </w:rPr>
        <w:fldChar w:fldCharType="separate"/>
      </w:r>
      <w:r w:rsidR="00277CF4" w:rsidRPr="00E97BC8">
        <w:rPr>
          <w:rFonts w:cs="Times New Roman"/>
          <w:sz w:val="22"/>
          <w:szCs w:val="22"/>
        </w:rPr>
        <w:t>(1943)</w:t>
      </w:r>
      <w:r w:rsidR="00277CF4" w:rsidRPr="00E97BC8">
        <w:rPr>
          <w:rFonts w:cs="Times New Roman"/>
          <w:sz w:val="22"/>
          <w:szCs w:val="22"/>
        </w:rPr>
        <w:fldChar w:fldCharType="end"/>
      </w:r>
      <w:r w:rsidR="005017D7" w:rsidRPr="00E97BC8">
        <w:rPr>
          <w:rFonts w:cs="Times New Roman"/>
          <w:sz w:val="22"/>
          <w:szCs w:val="22"/>
        </w:rPr>
        <w:t xml:space="preserve"> hierarchy of needs</w:t>
      </w:r>
      <w:r w:rsidR="008A0C72" w:rsidRPr="00E97BC8">
        <w:rPr>
          <w:rFonts w:cs="Times New Roman"/>
          <w:sz w:val="22"/>
          <w:szCs w:val="22"/>
        </w:rPr>
        <w:t xml:space="preserve"> </w:t>
      </w:r>
      <w:r w:rsidR="005017D7" w:rsidRPr="00E97BC8">
        <w:rPr>
          <w:rFonts w:cs="Times New Roman"/>
          <w:sz w:val="22"/>
          <w:szCs w:val="22"/>
        </w:rPr>
        <w:t>that short-term existential needs precede longer-term planet</w:t>
      </w:r>
      <w:r w:rsidR="000311CD" w:rsidRPr="00E97BC8">
        <w:rPr>
          <w:rFonts w:cs="Times New Roman"/>
          <w:sz w:val="22"/>
          <w:szCs w:val="22"/>
        </w:rPr>
        <w:t>ary</w:t>
      </w:r>
      <w:r w:rsidR="005017D7" w:rsidRPr="00E97BC8">
        <w:rPr>
          <w:rFonts w:cs="Times New Roman"/>
          <w:sz w:val="22"/>
          <w:szCs w:val="22"/>
        </w:rPr>
        <w:t xml:space="preserve"> </w:t>
      </w:r>
      <w:r w:rsidR="000311CD" w:rsidRPr="00E97BC8">
        <w:rPr>
          <w:rFonts w:cs="Times New Roman"/>
          <w:sz w:val="22"/>
          <w:szCs w:val="22"/>
        </w:rPr>
        <w:t>livability</w:t>
      </w:r>
      <w:r w:rsidR="005017D7" w:rsidRPr="00E97BC8">
        <w:rPr>
          <w:rFonts w:cs="Times New Roman"/>
          <w:sz w:val="22"/>
          <w:szCs w:val="22"/>
        </w:rPr>
        <w:t xml:space="preserve"> considerations. </w:t>
      </w:r>
      <w:r w:rsidR="004F1EE4" w:rsidRPr="00E97BC8">
        <w:rPr>
          <w:rFonts w:cs="Times New Roman"/>
          <w:sz w:val="22"/>
          <w:szCs w:val="22"/>
        </w:rPr>
        <w:t xml:space="preserve">Further, </w:t>
      </w:r>
      <w:r w:rsidR="00A10122" w:rsidRPr="00E97BC8">
        <w:rPr>
          <w:rFonts w:cs="Times New Roman"/>
          <w:sz w:val="22"/>
          <w:szCs w:val="22"/>
        </w:rPr>
        <w:t xml:space="preserve">while EVs can provide long-term financial benefits, </w:t>
      </w:r>
      <w:r w:rsidR="004F1EE4" w:rsidRPr="00E97BC8">
        <w:rPr>
          <w:rFonts w:cs="Times New Roman"/>
          <w:sz w:val="22"/>
          <w:szCs w:val="22"/>
        </w:rPr>
        <w:t xml:space="preserve">those with higher incomes are better able to afford the higher </w:t>
      </w:r>
      <w:r w:rsidR="00A10122" w:rsidRPr="00E97BC8">
        <w:rPr>
          <w:rFonts w:cs="Times New Roman"/>
          <w:sz w:val="22"/>
          <w:szCs w:val="22"/>
        </w:rPr>
        <w:t xml:space="preserve">initial </w:t>
      </w:r>
      <w:r w:rsidR="004F1EE4" w:rsidRPr="00E97BC8">
        <w:rPr>
          <w:rFonts w:cs="Times New Roman"/>
          <w:sz w:val="22"/>
          <w:szCs w:val="22"/>
        </w:rPr>
        <w:t>purchase prices</w:t>
      </w:r>
      <w:r w:rsidR="00A10122" w:rsidRPr="00E97BC8">
        <w:rPr>
          <w:rFonts w:cs="Times New Roman"/>
          <w:sz w:val="22"/>
          <w:szCs w:val="22"/>
        </w:rPr>
        <w:t xml:space="preserve">, explaining </w:t>
      </w:r>
      <w:r w:rsidR="005D3CFE" w:rsidRPr="00E97BC8">
        <w:rPr>
          <w:rFonts w:cs="Times New Roman"/>
          <w:sz w:val="22"/>
          <w:szCs w:val="22"/>
        </w:rPr>
        <w:t>the</w:t>
      </w:r>
      <w:r w:rsidR="00A10122" w:rsidRPr="00E97BC8">
        <w:rPr>
          <w:rFonts w:cs="Times New Roman"/>
          <w:sz w:val="22"/>
          <w:szCs w:val="22"/>
        </w:rPr>
        <w:t xml:space="preserve"> positive </w:t>
      </w:r>
      <w:r w:rsidR="005D3CFE" w:rsidRPr="00E97BC8">
        <w:rPr>
          <w:rFonts w:cs="Times New Roman"/>
          <w:sz w:val="22"/>
          <w:szCs w:val="22"/>
        </w:rPr>
        <w:t>influence of</w:t>
      </w:r>
      <w:r w:rsidR="00A10122" w:rsidRPr="00E97BC8">
        <w:rPr>
          <w:rFonts w:cs="Times New Roman"/>
          <w:sz w:val="22"/>
          <w:szCs w:val="22"/>
        </w:rPr>
        <w:t xml:space="preserve"> income </w:t>
      </w:r>
      <w:r w:rsidR="005D3CFE" w:rsidRPr="00E97BC8">
        <w:rPr>
          <w:rFonts w:cs="Times New Roman"/>
          <w:sz w:val="22"/>
          <w:szCs w:val="22"/>
        </w:rPr>
        <w:t>on</w:t>
      </w:r>
      <w:r w:rsidR="00A10122" w:rsidRPr="00E97BC8">
        <w:rPr>
          <w:rFonts w:cs="Times New Roman"/>
          <w:sz w:val="22"/>
          <w:szCs w:val="22"/>
        </w:rPr>
        <w:t xml:space="preserve"> CMP</w:t>
      </w:r>
      <w:r w:rsidR="004F1EE4" w:rsidRPr="00E97BC8">
        <w:rPr>
          <w:rFonts w:cs="Times New Roman"/>
          <w:sz w:val="22"/>
          <w:szCs w:val="22"/>
        </w:rPr>
        <w:t xml:space="preserve"> </w:t>
      </w:r>
      <w:r w:rsidR="004F1EE4" w:rsidRPr="00E97BC8">
        <w:rPr>
          <w:rFonts w:cs="Times New Roman"/>
          <w:sz w:val="22"/>
          <w:szCs w:val="22"/>
        </w:rPr>
        <w:fldChar w:fldCharType="begin"/>
      </w:r>
      <w:r w:rsidR="00F73BDE" w:rsidRPr="00E97BC8">
        <w:rPr>
          <w:rFonts w:cs="Times New Roman"/>
          <w:sz w:val="22"/>
          <w:szCs w:val="22"/>
        </w:rPr>
        <w:instrText xml:space="preserve"> ADDIN ZOTERO_ITEM CSL_CITATION {"citationID":"dLZjYTcT","properties":{"unsorted":true,"formattedCitation":"(Ramos-Real et al., 2018)","plainCitation":"(Ramos-Real et al., 2018)","dontUpdate":true,"noteIndex":0},"citationItems":[{"id":2646,"uris":["http://zotero.org/users/12832277/items/C2FGBXYP"],"itemData":{"id":2646,"type":"article-journal","abstract":"Electric vehicles (EVs) could be a solution to reduce final energy consumption and carbon emissions in the road transport sector. Moreover, the mobility characteristics of drivers (i.e., their average driving distance) fit better with current EV technical features on a small island than in the mainland. This paper analyzes willingness-to-change (WTC) and willingness-to-pay (WTP) for an EV in Tenerife (Canary Islands), both of which are key factors for understanding potential for EV penetration. WTC and WTP in Tenerife island are estimated based on data collected through a face-to-face survey-based contingent valuation approach. We go on to assess the impact of a set of explanatory variables on both WTC and WTP, in order to characterize the representative profile of a potential EV buyer. Informing on the basic properties of an EV and environmental concerns are found to be key factors for WTC, while income level, mobility patterns, environmental concerns and attitude-to-tech of potential buyers are found to be important factors for WTP.","container-title":"Renewable and Sustainable Energy Reviews","DOI":"10.1016/j.rser.2018.09.014","ISSN":"1364-0321","page":"140-149","source":"ScienceDirect","title":"Willingness to Pay for Electric Vehicles in Island Regions: The Case of Tenerife (canary Islands)","title-short":"Willingness to Pay for Electric Vehicles in Island Regions","volume":"98","author":[{"family":"Ramos-Real","given":"Francisco J."},{"family":"Ramírez-Díaz","given":"Alfredo"},{"family":"Marrero","given":"Gustavo A."},{"family":"Perez","given":"Yannick"}],"issued":{"date-parts":[["2018",12,1]]}}}],"schema":"https://github.com/citation-style-language/schema/raw/master/csl-citation.json"} </w:instrText>
      </w:r>
      <w:r w:rsidR="004F1EE4" w:rsidRPr="00E97BC8">
        <w:rPr>
          <w:rFonts w:cs="Times New Roman"/>
          <w:sz w:val="22"/>
          <w:szCs w:val="22"/>
        </w:rPr>
        <w:fldChar w:fldCharType="separate"/>
      </w:r>
      <w:r w:rsidR="000144BC" w:rsidRPr="00E97BC8">
        <w:rPr>
          <w:rFonts w:cs="Times New Roman"/>
          <w:sz w:val="22"/>
          <w:szCs w:val="22"/>
        </w:rPr>
        <w:t>(see, for example, Ramos-Real et al., 2018)</w:t>
      </w:r>
      <w:r w:rsidR="004F1EE4" w:rsidRPr="00E97BC8">
        <w:rPr>
          <w:rFonts w:cs="Times New Roman"/>
          <w:sz w:val="22"/>
          <w:szCs w:val="22"/>
        </w:rPr>
        <w:fldChar w:fldCharType="end"/>
      </w:r>
      <w:r w:rsidR="004F1EE4" w:rsidRPr="00E97BC8">
        <w:rPr>
          <w:rFonts w:cs="Times New Roman"/>
          <w:sz w:val="22"/>
          <w:szCs w:val="22"/>
        </w:rPr>
        <w:t xml:space="preserve">. </w:t>
      </w:r>
    </w:p>
    <w:p w14:paraId="5E70E44C" w14:textId="6031803D" w:rsidR="0024740F" w:rsidRPr="00E97BC8" w:rsidRDefault="00C17339" w:rsidP="00E85093">
      <w:pPr>
        <w:spacing w:after="0" w:line="240" w:lineRule="auto"/>
        <w:jc w:val="both"/>
        <w:rPr>
          <w:rFonts w:cs="Times New Roman"/>
          <w:b/>
          <w:bCs/>
          <w:sz w:val="22"/>
          <w:szCs w:val="22"/>
        </w:rPr>
      </w:pPr>
      <w:r w:rsidRPr="00E97BC8">
        <w:rPr>
          <w:rFonts w:cs="Times New Roman"/>
          <w:sz w:val="22"/>
          <w:szCs w:val="22"/>
        </w:rPr>
        <w:tab/>
        <w:t xml:space="preserve">Those living in </w:t>
      </w:r>
      <w:r w:rsidR="005017D7" w:rsidRPr="00E97BC8">
        <w:rPr>
          <w:rFonts w:cs="Times New Roman"/>
          <w:sz w:val="22"/>
          <w:szCs w:val="22"/>
        </w:rPr>
        <w:t>multifamily units</w:t>
      </w:r>
      <w:r w:rsidRPr="00E97BC8">
        <w:rPr>
          <w:rFonts w:cs="Times New Roman"/>
          <w:sz w:val="22"/>
          <w:szCs w:val="22"/>
        </w:rPr>
        <w:t xml:space="preserve"> </w:t>
      </w:r>
      <w:r w:rsidR="0065147D" w:rsidRPr="00E97BC8">
        <w:rPr>
          <w:rFonts w:cs="Times New Roman"/>
          <w:sz w:val="22"/>
          <w:szCs w:val="22"/>
        </w:rPr>
        <w:t xml:space="preserve">or apartments </w:t>
      </w:r>
      <w:r w:rsidR="005017D7" w:rsidRPr="00E97BC8">
        <w:rPr>
          <w:rFonts w:cs="Times New Roman"/>
          <w:sz w:val="22"/>
          <w:szCs w:val="22"/>
        </w:rPr>
        <w:t>(relative to those living in single</w:t>
      </w:r>
      <w:r w:rsidR="0065147D" w:rsidRPr="00E97BC8">
        <w:rPr>
          <w:rFonts w:cs="Times New Roman"/>
          <w:sz w:val="22"/>
          <w:szCs w:val="22"/>
        </w:rPr>
        <w:t>-</w:t>
      </w:r>
      <w:r w:rsidR="005017D7" w:rsidRPr="00E97BC8">
        <w:rPr>
          <w:rFonts w:cs="Times New Roman"/>
          <w:sz w:val="22"/>
          <w:szCs w:val="22"/>
        </w:rPr>
        <w:t xml:space="preserve">family homes), </w:t>
      </w:r>
      <w:r w:rsidR="005B61D0" w:rsidRPr="00E97BC8">
        <w:rPr>
          <w:rFonts w:cs="Times New Roman"/>
          <w:sz w:val="22"/>
          <w:szCs w:val="22"/>
        </w:rPr>
        <w:t xml:space="preserve">and </w:t>
      </w:r>
      <w:r w:rsidR="005017D7" w:rsidRPr="00E97BC8">
        <w:rPr>
          <w:rFonts w:cs="Times New Roman"/>
          <w:sz w:val="22"/>
          <w:szCs w:val="22"/>
        </w:rPr>
        <w:t xml:space="preserve">those </w:t>
      </w:r>
      <w:r w:rsidR="005B61D0" w:rsidRPr="00E97BC8">
        <w:rPr>
          <w:rFonts w:cs="Times New Roman"/>
          <w:sz w:val="22"/>
          <w:szCs w:val="22"/>
        </w:rPr>
        <w:t>in areas with higher EV charging station density</w:t>
      </w:r>
      <w:r w:rsidR="005017D7" w:rsidRPr="00E97BC8">
        <w:rPr>
          <w:rFonts w:cs="Times New Roman"/>
          <w:sz w:val="22"/>
          <w:szCs w:val="22"/>
        </w:rPr>
        <w:t>,</w:t>
      </w:r>
      <w:r w:rsidR="005B61D0" w:rsidRPr="00E97BC8">
        <w:rPr>
          <w:rFonts w:cs="Times New Roman"/>
          <w:sz w:val="22"/>
          <w:szCs w:val="22"/>
        </w:rPr>
        <w:t xml:space="preserve"> have </w:t>
      </w:r>
      <w:r w:rsidR="000311CD" w:rsidRPr="00E97BC8">
        <w:rPr>
          <w:rFonts w:cs="Times New Roman"/>
          <w:sz w:val="22"/>
          <w:szCs w:val="22"/>
        </w:rPr>
        <w:t xml:space="preserve">higher </w:t>
      </w:r>
      <w:r w:rsidR="005B61D0" w:rsidRPr="00E97BC8">
        <w:rPr>
          <w:rFonts w:cs="Times New Roman"/>
          <w:sz w:val="22"/>
          <w:szCs w:val="22"/>
        </w:rPr>
        <w:t xml:space="preserve">positive perceptions of EV ranges and battery technology. </w:t>
      </w:r>
      <w:r w:rsidR="00936971" w:rsidRPr="00E97BC8">
        <w:rPr>
          <w:rFonts w:cs="Times New Roman"/>
          <w:sz w:val="22"/>
          <w:szCs w:val="22"/>
        </w:rPr>
        <w:t xml:space="preserve">Although those living in </w:t>
      </w:r>
      <w:r w:rsidR="0065147D" w:rsidRPr="00E97BC8">
        <w:rPr>
          <w:rFonts w:cs="Times New Roman"/>
          <w:sz w:val="22"/>
          <w:szCs w:val="22"/>
        </w:rPr>
        <w:t>multifamily dwellings</w:t>
      </w:r>
      <w:r w:rsidR="00936971" w:rsidRPr="00E97BC8">
        <w:rPr>
          <w:rFonts w:cs="Times New Roman"/>
          <w:sz w:val="22"/>
          <w:szCs w:val="22"/>
        </w:rPr>
        <w:t xml:space="preserve"> may have less control over charging availability in their parking spaces, there is evidence that </w:t>
      </w:r>
      <w:r w:rsidR="0013704F" w:rsidRPr="00E97BC8">
        <w:rPr>
          <w:rFonts w:cs="Times New Roman"/>
          <w:sz w:val="22"/>
          <w:szCs w:val="22"/>
        </w:rPr>
        <w:t xml:space="preserve">the provision of dedicated spaces with charging access </w:t>
      </w:r>
      <w:r w:rsidR="001E4540" w:rsidRPr="00E97BC8">
        <w:rPr>
          <w:rFonts w:cs="Times New Roman"/>
          <w:sz w:val="22"/>
          <w:szCs w:val="22"/>
        </w:rPr>
        <w:t xml:space="preserve">at apartment complexes </w:t>
      </w:r>
      <w:r w:rsidR="0013704F" w:rsidRPr="00E97BC8">
        <w:rPr>
          <w:rFonts w:cs="Times New Roman"/>
          <w:sz w:val="22"/>
          <w:szCs w:val="22"/>
        </w:rPr>
        <w:t xml:space="preserve">may </w:t>
      </w:r>
      <w:r w:rsidR="002734CA" w:rsidRPr="00E97BC8">
        <w:rPr>
          <w:rFonts w:cs="Times New Roman"/>
          <w:sz w:val="22"/>
          <w:szCs w:val="22"/>
        </w:rPr>
        <w:t xml:space="preserve">promote positive perceptions of EVs </w:t>
      </w:r>
      <w:r w:rsidR="008B7FF6" w:rsidRPr="00E97BC8">
        <w:rPr>
          <w:rFonts w:cs="Times New Roman"/>
          <w:sz w:val="22"/>
          <w:szCs w:val="22"/>
        </w:rPr>
        <w:fldChar w:fldCharType="begin"/>
      </w:r>
      <w:r w:rsidR="00F73BDE" w:rsidRPr="00E97BC8">
        <w:rPr>
          <w:rFonts w:cs="Times New Roman"/>
          <w:sz w:val="22"/>
          <w:szCs w:val="22"/>
        </w:rPr>
        <w:instrText xml:space="preserve"> ADDIN ZOTERO_ITEM CSL_CITATION {"citationID":"kQLovwse","properties":{"formattedCitation":"(Lashari et al., 2021)","plainCitation":"(Lashari et al., 2021)","dontUpdate":true,"noteIndex":0},"citationItems":[{"id":2736,"uris":["http://zotero.org/users/12832277/items/XSCL4YHY"],"itemData":{"id":2736,"type":"article-journal","abstract":"Electric vehicles (EVs) have been developed as an efficient solution to reduce automobile emissions. To ensure the effective diffusion of EVs in current transport systems, it is vital to understand the factors affecting consumers’ intentions to purchase EVs. To provide insights for this understanding, this study aims to investigate such factors with a particular focus on users’ attitudes and perceptions. A questionnaire survey was conducted in September 2019 among potential consumers in the major cities of South Korea. A total of 1500 valid survey responses were obtained, and investigations using binary logistic regression and regression tree were conducted for an empirical analysis. The results showed that among attitudinal attributes, environmental and economic perceptions concerning EV use were the strongest predictors for an EV purchase. In addition, technological concerns were found to have negative impacts on EV purchase intentions. The findings of this study could provide reasonable guidelines for establishing marketing strategies and serve as a reference for EV stakeholders to improve the applicability of current policies regarding EV adoption.","container-title":"Sustainability","DOI":"10.3390/su13126778","ISSN":"2071-1050","issue":"12","language":"en","license":"http://creativecommons.org/licenses/by/3.0/","note":"number: 12\npublisher: Multidisciplinary Digital Publishing Institute","source":"www.mdpi.com","title":"Consumers’ Intention to Purchase Electric Vehicles: Influences of User Attitude and Perception","URL":"https://www.mdpi.com/2071-1050/13/12/6778","volume":"13","author":[{"family":"Lashari","given":"Zulfiqar Ali"},{"family":"Ko","given":"Joonho"},{"family":"Jang","given":"Junseok"}],"accessed":{"date-parts":[["2024",2,28]]},"issued":{"date-parts":[["2021",1]]}}}],"schema":"https://github.com/citation-style-language/schema/raw/master/csl-citation.json"} </w:instrText>
      </w:r>
      <w:r w:rsidR="008B7FF6" w:rsidRPr="00E97BC8">
        <w:rPr>
          <w:rFonts w:cs="Times New Roman"/>
          <w:sz w:val="22"/>
          <w:szCs w:val="22"/>
        </w:rPr>
        <w:fldChar w:fldCharType="separate"/>
      </w:r>
      <w:r w:rsidR="008B7FF6" w:rsidRPr="00E97BC8">
        <w:rPr>
          <w:rFonts w:cs="Times New Roman"/>
          <w:sz w:val="22"/>
          <w:szCs w:val="22"/>
        </w:rPr>
        <w:t>(</w:t>
      </w:r>
      <w:r w:rsidR="00FF3D67" w:rsidRPr="00E97BC8">
        <w:rPr>
          <w:rFonts w:cs="Times New Roman"/>
          <w:sz w:val="22"/>
          <w:szCs w:val="22"/>
        </w:rPr>
        <w:t xml:space="preserve">see </w:t>
      </w:r>
      <w:r w:rsidR="008B7FF6" w:rsidRPr="00E97BC8">
        <w:rPr>
          <w:rFonts w:cs="Times New Roman"/>
          <w:sz w:val="22"/>
          <w:szCs w:val="22"/>
        </w:rPr>
        <w:t>Lashari et al., 2021)</w:t>
      </w:r>
      <w:r w:rsidR="008B7FF6" w:rsidRPr="00E97BC8">
        <w:rPr>
          <w:rFonts w:cs="Times New Roman"/>
          <w:sz w:val="22"/>
          <w:szCs w:val="22"/>
        </w:rPr>
        <w:fldChar w:fldCharType="end"/>
      </w:r>
      <w:r w:rsidR="002734CA" w:rsidRPr="00E97BC8">
        <w:rPr>
          <w:rFonts w:cs="Times New Roman"/>
          <w:sz w:val="22"/>
          <w:szCs w:val="22"/>
        </w:rPr>
        <w:t xml:space="preserve">. </w:t>
      </w:r>
      <w:r w:rsidR="001E4540" w:rsidRPr="00E97BC8">
        <w:rPr>
          <w:rFonts w:cs="Times New Roman"/>
          <w:sz w:val="22"/>
          <w:szCs w:val="22"/>
        </w:rPr>
        <w:t xml:space="preserve">Additionally, those living in </w:t>
      </w:r>
      <w:r w:rsidR="0065147D" w:rsidRPr="00E97BC8">
        <w:rPr>
          <w:rFonts w:cs="Times New Roman"/>
          <w:sz w:val="22"/>
          <w:szCs w:val="22"/>
        </w:rPr>
        <w:t>multifamily dwellings</w:t>
      </w:r>
      <w:r w:rsidR="001E4540" w:rsidRPr="00E97BC8">
        <w:rPr>
          <w:rFonts w:cs="Times New Roman"/>
          <w:sz w:val="22"/>
          <w:szCs w:val="22"/>
        </w:rPr>
        <w:t xml:space="preserve"> may be more aware of </w:t>
      </w:r>
      <w:r w:rsidR="00834465" w:rsidRPr="00E97BC8">
        <w:rPr>
          <w:rFonts w:cs="Times New Roman"/>
          <w:sz w:val="22"/>
          <w:szCs w:val="22"/>
        </w:rPr>
        <w:t xml:space="preserve">the availability of local public charging stations, providing them with more confidence in using their EVs for long distance trips where home charging is unavailable </w:t>
      </w:r>
      <w:r w:rsidR="00EC3337" w:rsidRPr="00E97BC8">
        <w:rPr>
          <w:rFonts w:cs="Times New Roman"/>
          <w:sz w:val="22"/>
          <w:szCs w:val="22"/>
        </w:rPr>
        <w:fldChar w:fldCharType="begin"/>
      </w:r>
      <w:r w:rsidR="00DE77B7" w:rsidRPr="00E97BC8">
        <w:rPr>
          <w:rFonts w:cs="Times New Roman"/>
          <w:sz w:val="22"/>
          <w:szCs w:val="22"/>
        </w:rPr>
        <w:instrText xml:space="preserve"> ADDIN ZOTERO_ITEM CSL_CITATION {"citationID":"kSfwBA43","properties":{"formattedCitation":"(Lee et al., 2020)","plainCitation":"(Lee et al., 2020)","dontUpdate":true,"noteIndex":0},"citationItems":[{"id":3713,"uris":["http://zotero.org/users/12832277/items/VRM2YRWR"],"itemData":{"id":3713,"type":"article-journal","abstract":"This paper examines the charging behavior of 7,979 plug-in electric vehicle (PEV) owners in California. The study investigates where people charge be it at home, at work, or at public location, and the level of charging they use including level 1, level 2, or DC fast charging. While plug-in behavior can differ among PEV owners based on their travel patterns, preferences, and access to infrastructure studies often make generalizations about charging behavior. In this study, we explore differences in charging behavior among different types of PEV owners based on their use of charging locations and levels, we then identify factors associated with PEV owner’s choice of charging location and charging level. We identified socio-demographic (gender and age), vehicle characteristics, commute behavior, and workplace charging availability as significant factors related to the choice of charging location.","container-title":"Transportation Research Part D: Transport and Environment","DOI":"10.1016/j.trd.2020.102249","ISSN":"1361-9209","source":"ScienceDirect","title":"Exploring Electric Vehicle Charging Patterns: Mixed Usage of Charging Infrastructure","URL":"https://www.sciencedirect.com/science/article/pii/S136192091831099X","volume":"79","author":[{"family":"Lee","given":"Jae Hyun"},{"family":"Chakraborty","given":"Debapriya"},{"family":"Hardman","given":"Scott J."},{"family":"Tal","given":"Gil"}],"accessed":{"date-parts":[["2024",10,13]]},"issued":{"date-parts":[["2020",2,1]]}}}],"schema":"https://github.com/citation-style-language/schema/raw/master/csl-citation.json"} </w:instrText>
      </w:r>
      <w:r w:rsidR="00EC3337" w:rsidRPr="00E97BC8">
        <w:rPr>
          <w:rFonts w:cs="Times New Roman"/>
          <w:sz w:val="22"/>
          <w:szCs w:val="22"/>
        </w:rPr>
        <w:fldChar w:fldCharType="separate"/>
      </w:r>
      <w:r w:rsidR="00EC3337" w:rsidRPr="00E97BC8">
        <w:rPr>
          <w:rFonts w:cs="Times New Roman"/>
          <w:sz w:val="22"/>
          <w:szCs w:val="22"/>
        </w:rPr>
        <w:t>(</w:t>
      </w:r>
      <w:r w:rsidR="00171CDA" w:rsidRPr="00E97BC8">
        <w:rPr>
          <w:rFonts w:cs="Times New Roman"/>
          <w:sz w:val="22"/>
          <w:szCs w:val="22"/>
        </w:rPr>
        <w:t xml:space="preserve">see </w:t>
      </w:r>
      <w:r w:rsidR="00EC3337" w:rsidRPr="00E97BC8">
        <w:rPr>
          <w:rFonts w:cs="Times New Roman"/>
          <w:sz w:val="22"/>
          <w:szCs w:val="22"/>
        </w:rPr>
        <w:t>Lee et al., 2020)</w:t>
      </w:r>
      <w:r w:rsidR="00EC3337" w:rsidRPr="00E97BC8">
        <w:rPr>
          <w:rFonts w:cs="Times New Roman"/>
          <w:sz w:val="22"/>
          <w:szCs w:val="22"/>
        </w:rPr>
        <w:fldChar w:fldCharType="end"/>
      </w:r>
      <w:r w:rsidR="00834465" w:rsidRPr="00E97BC8">
        <w:rPr>
          <w:rFonts w:cs="Times New Roman"/>
          <w:sz w:val="22"/>
          <w:szCs w:val="22"/>
        </w:rPr>
        <w:t xml:space="preserve">. </w:t>
      </w:r>
      <w:r w:rsidR="002734CA" w:rsidRPr="00E97BC8">
        <w:rPr>
          <w:rFonts w:cs="Times New Roman"/>
          <w:sz w:val="22"/>
          <w:szCs w:val="22"/>
        </w:rPr>
        <w:t xml:space="preserve">Similarly, the availability of EV charging stations in a </w:t>
      </w:r>
      <w:r w:rsidR="00FA1328" w:rsidRPr="00E97BC8">
        <w:rPr>
          <w:rFonts w:cs="Times New Roman"/>
          <w:sz w:val="22"/>
          <w:szCs w:val="22"/>
        </w:rPr>
        <w:t>respondent’s</w:t>
      </w:r>
      <w:r w:rsidR="002734CA" w:rsidRPr="00E97BC8">
        <w:rPr>
          <w:rFonts w:cs="Times New Roman"/>
          <w:sz w:val="22"/>
          <w:szCs w:val="22"/>
        </w:rPr>
        <w:t xml:space="preserve"> neighborhood promotes a positive perception of range capabilities</w:t>
      </w:r>
      <w:r w:rsidR="00FA1328" w:rsidRPr="00E97BC8">
        <w:rPr>
          <w:rFonts w:cs="Times New Roman"/>
          <w:sz w:val="22"/>
          <w:szCs w:val="22"/>
        </w:rPr>
        <w:t>, consistent with many existing studies</w:t>
      </w:r>
      <w:r w:rsidR="00F60803" w:rsidRPr="00E97BC8">
        <w:rPr>
          <w:rFonts w:cs="Times New Roman"/>
          <w:sz w:val="22"/>
          <w:szCs w:val="22"/>
        </w:rPr>
        <w:t xml:space="preserve"> </w:t>
      </w:r>
      <w:r w:rsidR="00F60803" w:rsidRPr="00E97BC8">
        <w:rPr>
          <w:rFonts w:cs="Times New Roman"/>
          <w:sz w:val="22"/>
          <w:szCs w:val="22"/>
        </w:rPr>
        <w:fldChar w:fldCharType="begin"/>
      </w:r>
      <w:r w:rsidR="00F73BDE" w:rsidRPr="00E97BC8">
        <w:rPr>
          <w:rFonts w:cs="Times New Roman"/>
          <w:sz w:val="22"/>
          <w:szCs w:val="22"/>
        </w:rPr>
        <w:instrText xml:space="preserve"> ADDIN ZOTERO_ITEM CSL_CITATION {"citationID":"oJpdrC4X","properties":{"unsorted":true,"formattedCitation":"(White et al., 2022; Pandita et al., 2024)","plainCitation":"(White et al., 2022; Pandita et al., 2024)","dontUpdate":true,"noteIndex":0},"citationItems":[{"id":2764,"uris":["http://zotero.org/users/12832277/items/9SG8BAE5"],"itemData":{"id":2764,"type":"article-journal","abstract":"Many policies to support battery electric vehicle (BEV) adoption involve roll-out of public charging stations. While greater density of public charging stations is correlated with higher BEV adoption, the mechanisms underlying this effect are not well understood. We use a sample of 1467 online survey respondents living in the metropolitan areas of Los Angeles, Dallas/Fort Worth, and Atlanta in the United States to investigate three potential mechanisms through which greater public charging station density could shape BEV adoption intent. These three potential mechanisms are lower range anxiety, lower perceived mobility restriction, and more positive pro-BEV subjective norms. Multiple regression with ordinary least squares is used to investigate associations between charging station density and adoption intent. Multiple mediation analysis is then used to evaluate the three potential mechanisms for impact of charging station density on BEV adoption intent, and indicates that greater perceived subjective norms in support of BEVs explain much of the association between charger density and adoption intent. Range anxiety plays a smaller and less robust role as a mechanism, while perceived mobility restriction has no direct or indirect effect on BEV adoption intent. That is, we found no indication that BEV adoption intent is influenced by expectations that BEVs are unable to meet mobility needs. Findings indicate that norms are particularly important for investments in charging infrastructure to translate to more BEVs on the road.","container-title":"Energy Research &amp; Social Science","DOI":"10.1016/j.erss.2022.102663","ISSN":"2214-6296","source":"ScienceDirect","title":"Why Are Charging Stations Associated with Electric Vehicle Adoption? Untangling Effects in Three United States Metropolitan Areas","URL":"https://www.sciencedirect.com/science/article/pii/S2214629622001670","volume":"89","author":[{"family":"White","given":"Lee V."},{"family":"Carrel","given":"Andre L."},{"family":"Shi","given":"Wei"},{"family":"Sintov","given":"Nicole D."}],"accessed":{"date-parts":[["2024",2,28]]},"issued":{"date-parts":[["2022",7,1]]}}},{"id":2696,"uris":["http://zotero.org/users/12832277/items/D9YSDZUD"],"itemData":{"id":2696,"type":"article-journal","abstract":"Purpose This study aims to emphasize green energy-driven solutions to address environmental sustainability issues, particularly to promote the uptake of electric vehicles (EVs). This study intends to investigate user adoption of EVs as the existing predicament of converting car owners to EV buyers, demanding a push to create a facilitating environment for EV uptake. Design/methodology/approach A survey-based quantitative study involving 330 car owners and potential buyers was conducted involving four predictors, i.e. financial benefits, social influence, charging infrastructure and range consciousness. Environmental concerns and socio-demographic factors such as age, family income and gender were considered as moderators between these predictors and EV adoption intention. Partial least square structural equation modelling was used to analyse the proposed relationships. Findings The findings indicated that financial benefits (ß = 0.169, t = 3.930), social influence (ß = 0.099, t = 2.605), range consciousness (ß = 0.239, t = 3.983) and charging infrastructure (ß = 0.142, t = 4.8) significantly impact EV adoption. Family income was the most significant moderator with a large effect size (F square = 0.224), followed by environmental concern (F square = 0.182) and age (F square = 0.042) having a medium moderation effect and, subsequently, gender (F square = 0.010) as a mild moderator. Originality/value By analysing environmental concerns as a moderator, this study fosters a novel understanding of how environmental concerns impact EV adoption, which has not been explored. Additionally, the empirical assessment of the socio-economic and socio-demographic factors of EV adoption helps to offer a consumer perspective to the government and policymakers in undertaking initiatives to promote EV adoption.","container-title":"International Journal of Energy Sector Management","DOI":"10.1108/IJESM-06-2023-0004","ISSN":"1750-6220","source":"Emerald Insight","title":"Electrifying the Future: Analysing the Determinants of Electric Vehicle Adoption","URL":"https://doi.org/10.1108/IJESM-06-2023-0004","author":[{"family":"Pandita","given":"Deepika"},{"family":"Bhatt","given":"Vimal"},{"family":"Kumar","given":"V. V. Ravi"},{"family":"Fatma","given":"Anam"},{"family":"Vapiwala","given":"Fatima"}],"accessed":{"date-parts":[["2024",2,28]]},"issued":{"date-parts":[["2024",1,1]]}}}],"schema":"https://github.com/citation-style-language/schema/raw/master/csl-citation.json"} </w:instrText>
      </w:r>
      <w:r w:rsidR="00F60803" w:rsidRPr="00E97BC8">
        <w:rPr>
          <w:rFonts w:cs="Times New Roman"/>
          <w:sz w:val="22"/>
          <w:szCs w:val="22"/>
        </w:rPr>
        <w:fldChar w:fldCharType="separate"/>
      </w:r>
      <w:r w:rsidR="000977E7" w:rsidRPr="00E97BC8">
        <w:rPr>
          <w:rFonts w:cs="Times New Roman"/>
          <w:sz w:val="22"/>
          <w:szCs w:val="22"/>
        </w:rPr>
        <w:t>(see, for example, White et al., 2022; Pandita et al., 2024)</w:t>
      </w:r>
      <w:r w:rsidR="00F60803" w:rsidRPr="00E97BC8">
        <w:rPr>
          <w:rFonts w:cs="Times New Roman"/>
          <w:sz w:val="22"/>
          <w:szCs w:val="22"/>
        </w:rPr>
        <w:fldChar w:fldCharType="end"/>
      </w:r>
      <w:r w:rsidR="00FA1328" w:rsidRPr="00E97BC8">
        <w:rPr>
          <w:rFonts w:cs="Times New Roman"/>
          <w:sz w:val="22"/>
          <w:szCs w:val="22"/>
        </w:rPr>
        <w:t xml:space="preserve">. </w:t>
      </w:r>
      <w:r w:rsidR="002734CA" w:rsidRPr="00E97BC8">
        <w:rPr>
          <w:rFonts w:cs="Times New Roman"/>
          <w:sz w:val="22"/>
          <w:szCs w:val="22"/>
        </w:rPr>
        <w:t xml:space="preserve"> </w:t>
      </w:r>
    </w:p>
    <w:p w14:paraId="7DCED45E" w14:textId="7408DC3C" w:rsidR="00D56F36" w:rsidRPr="00E97BC8" w:rsidRDefault="009D121B" w:rsidP="00E85093">
      <w:pPr>
        <w:spacing w:after="0" w:line="240" w:lineRule="auto"/>
        <w:jc w:val="both"/>
        <w:rPr>
          <w:rFonts w:cs="Times New Roman"/>
          <w:b/>
          <w:bCs/>
          <w:sz w:val="22"/>
          <w:szCs w:val="22"/>
        </w:rPr>
      </w:pPr>
      <w:r w:rsidRPr="00E97BC8">
        <w:rPr>
          <w:rFonts w:cs="Times New Roman"/>
          <w:b/>
          <w:bCs/>
          <w:sz w:val="22"/>
          <w:szCs w:val="22"/>
        </w:rPr>
        <w:tab/>
      </w:r>
      <w:r w:rsidR="00A6464B" w:rsidRPr="00E97BC8">
        <w:rPr>
          <w:rFonts w:cs="Times New Roman"/>
          <w:sz w:val="22"/>
          <w:szCs w:val="22"/>
        </w:rPr>
        <w:t xml:space="preserve">The central panel of Table 3 includes the loadings of the latent constructs on the indicator variables, corresponding to the MEM </w:t>
      </w:r>
      <w:r w:rsidR="00C21C22" w:rsidRPr="00E97BC8">
        <w:rPr>
          <w:rFonts w:cs="Times New Roman"/>
          <w:sz w:val="22"/>
          <w:szCs w:val="22"/>
        </w:rPr>
        <w:t xml:space="preserve">model </w:t>
      </w:r>
      <w:r w:rsidR="00A6464B" w:rsidRPr="00E97BC8">
        <w:rPr>
          <w:rFonts w:cs="Times New Roman"/>
          <w:sz w:val="22"/>
          <w:szCs w:val="22"/>
        </w:rPr>
        <w:t xml:space="preserve">component. </w:t>
      </w:r>
      <w:r w:rsidR="005834CB" w:rsidRPr="00E97BC8">
        <w:rPr>
          <w:rFonts w:cs="Times New Roman"/>
          <w:sz w:val="22"/>
          <w:szCs w:val="22"/>
        </w:rPr>
        <w:t xml:space="preserve">The signs on the latent constructs for all indicators take the expected sign, consistent with the </w:t>
      </w:r>
      <w:r w:rsidR="005017D7" w:rsidRPr="00E97BC8">
        <w:rPr>
          <w:rFonts w:cs="Times New Roman"/>
          <w:sz w:val="22"/>
          <w:szCs w:val="22"/>
        </w:rPr>
        <w:t xml:space="preserve">discussion earlier in Section 3.1.3. </w:t>
      </w:r>
      <w:r w:rsidR="005834CB" w:rsidRPr="00E97BC8">
        <w:rPr>
          <w:rFonts w:cs="Times New Roman"/>
          <w:sz w:val="22"/>
          <w:szCs w:val="22"/>
        </w:rPr>
        <w:t>The lower panel of Table 3 includes the correlations between the latent constructs</w:t>
      </w:r>
      <w:r w:rsidR="00617481" w:rsidRPr="00E97BC8">
        <w:rPr>
          <w:rFonts w:cs="Times New Roman"/>
          <w:sz w:val="22"/>
          <w:szCs w:val="22"/>
        </w:rPr>
        <w:t xml:space="preserve"> (see </w:t>
      </w:r>
      <w:r w:rsidR="006000EF" w:rsidRPr="00E97BC8">
        <w:rPr>
          <w:rFonts w:cs="Times New Roman"/>
          <w:position w:val="-4"/>
          <w:sz w:val="22"/>
          <w:szCs w:val="22"/>
        </w:rPr>
        <w:object w:dxaOrig="240" w:dyaOrig="260" w14:anchorId="1361508D">
          <v:shape id="_x0000_i1203" type="#_x0000_t75" style="width:11.15pt;height:13.3pt" o:ole="" o:preferrelative="f">
            <v:imagedata r:id="rId47" o:title=""/>
            <o:lock v:ext="edit" aspectratio="f"/>
          </v:shape>
          <o:OLEObject Type="Embed" ProgID="Equation.DSMT4" ShapeID="_x0000_i1203" DrawAspect="Content" ObjectID="_1811172391" r:id="rId348"/>
        </w:object>
      </w:r>
      <w:r w:rsidR="00617481" w:rsidRPr="00E97BC8">
        <w:rPr>
          <w:rFonts w:cs="Times New Roman"/>
          <w:sz w:val="22"/>
          <w:szCs w:val="22"/>
        </w:rPr>
        <w:t xml:space="preserve"> </w:t>
      </w:r>
      <w:r w:rsidR="00A36380" w:rsidRPr="00E97BC8">
        <w:rPr>
          <w:rFonts w:cs="Times New Roman"/>
          <w:sz w:val="22"/>
          <w:szCs w:val="22"/>
        </w:rPr>
        <w:t>near the top of</w:t>
      </w:r>
      <w:r w:rsidR="00617481" w:rsidRPr="00E97BC8">
        <w:rPr>
          <w:rFonts w:cs="Times New Roman"/>
          <w:sz w:val="22"/>
          <w:szCs w:val="22"/>
        </w:rPr>
        <w:t xml:space="preserve"> </w:t>
      </w:r>
      <w:r w:rsidR="006E624D" w:rsidRPr="00E97BC8">
        <w:rPr>
          <w:rFonts w:cs="Times New Roman"/>
          <w:sz w:val="22"/>
          <w:szCs w:val="22"/>
        </w:rPr>
        <w:t>F</w:t>
      </w:r>
      <w:r w:rsidR="00617481" w:rsidRPr="00E97BC8">
        <w:rPr>
          <w:rFonts w:cs="Times New Roman"/>
          <w:sz w:val="22"/>
          <w:szCs w:val="22"/>
        </w:rPr>
        <w:t>igure 2)</w:t>
      </w:r>
      <w:r w:rsidR="005834CB" w:rsidRPr="00E97BC8">
        <w:rPr>
          <w:rFonts w:cs="Times New Roman"/>
          <w:sz w:val="22"/>
          <w:szCs w:val="22"/>
        </w:rPr>
        <w:t xml:space="preserve">. A </w:t>
      </w:r>
      <w:r w:rsidR="00712A2B" w:rsidRPr="00E97BC8">
        <w:rPr>
          <w:rFonts w:cs="Times New Roman"/>
          <w:sz w:val="22"/>
          <w:szCs w:val="22"/>
        </w:rPr>
        <w:t xml:space="preserve">small </w:t>
      </w:r>
      <w:r w:rsidR="005834CB" w:rsidRPr="00E97BC8">
        <w:rPr>
          <w:rFonts w:cs="Times New Roman"/>
          <w:sz w:val="22"/>
          <w:szCs w:val="22"/>
        </w:rPr>
        <w:t xml:space="preserve">positive correlation between </w:t>
      </w:r>
      <w:r w:rsidR="00D56F36" w:rsidRPr="00E97BC8">
        <w:rPr>
          <w:rFonts w:cs="Times New Roman"/>
          <w:sz w:val="22"/>
          <w:szCs w:val="22"/>
        </w:rPr>
        <w:t>GLP</w:t>
      </w:r>
      <w:r w:rsidR="005834CB" w:rsidRPr="00E97BC8">
        <w:rPr>
          <w:rFonts w:cs="Times New Roman"/>
          <w:sz w:val="22"/>
          <w:szCs w:val="22"/>
        </w:rPr>
        <w:t xml:space="preserve"> and </w:t>
      </w:r>
      <w:r w:rsidR="00D56F36" w:rsidRPr="00E97BC8">
        <w:rPr>
          <w:rFonts w:cs="Times New Roman"/>
          <w:sz w:val="22"/>
          <w:szCs w:val="22"/>
        </w:rPr>
        <w:t>VFP</w:t>
      </w:r>
      <w:r w:rsidR="005834CB" w:rsidRPr="00E97BC8">
        <w:rPr>
          <w:rFonts w:cs="Times New Roman"/>
          <w:sz w:val="22"/>
          <w:szCs w:val="22"/>
        </w:rPr>
        <w:t xml:space="preserve"> is expected since individuals who prioritize </w:t>
      </w:r>
      <w:r w:rsidR="003927CA" w:rsidRPr="00E97BC8">
        <w:rPr>
          <w:rFonts w:cs="Times New Roman"/>
          <w:sz w:val="22"/>
          <w:szCs w:val="22"/>
        </w:rPr>
        <w:t xml:space="preserve">sustainable behaviors will likely </w:t>
      </w:r>
      <w:r w:rsidR="0005759B" w:rsidRPr="00E97BC8">
        <w:rPr>
          <w:rFonts w:cs="Times New Roman"/>
          <w:sz w:val="22"/>
          <w:szCs w:val="22"/>
        </w:rPr>
        <w:t xml:space="preserve">also </w:t>
      </w:r>
      <w:r w:rsidR="00C47A19" w:rsidRPr="00E97BC8">
        <w:rPr>
          <w:rFonts w:cs="Times New Roman"/>
          <w:sz w:val="22"/>
          <w:szCs w:val="22"/>
        </w:rPr>
        <w:t xml:space="preserve">prioritize vehicle performance over </w:t>
      </w:r>
      <w:r w:rsidR="00982FBB" w:rsidRPr="00E97BC8">
        <w:rPr>
          <w:rFonts w:cs="Times New Roman"/>
          <w:sz w:val="22"/>
          <w:szCs w:val="22"/>
        </w:rPr>
        <w:t>status effects</w:t>
      </w:r>
      <w:r w:rsidR="003927CA" w:rsidRPr="00E97BC8">
        <w:rPr>
          <w:rFonts w:cs="Times New Roman"/>
          <w:sz w:val="22"/>
          <w:szCs w:val="22"/>
        </w:rPr>
        <w:t xml:space="preserve">. </w:t>
      </w:r>
      <w:r w:rsidR="00D559BA" w:rsidRPr="00E97BC8">
        <w:rPr>
          <w:rFonts w:cs="Times New Roman"/>
          <w:sz w:val="22"/>
          <w:szCs w:val="22"/>
        </w:rPr>
        <w:t>Stronger</w:t>
      </w:r>
      <w:r w:rsidR="004D7CB1" w:rsidRPr="00E97BC8">
        <w:rPr>
          <w:rFonts w:cs="Times New Roman"/>
          <w:sz w:val="22"/>
          <w:szCs w:val="22"/>
        </w:rPr>
        <w:t xml:space="preserve"> </w:t>
      </w:r>
      <w:r w:rsidR="00F50FAC" w:rsidRPr="00E97BC8">
        <w:rPr>
          <w:rFonts w:cs="Times New Roman"/>
          <w:sz w:val="22"/>
          <w:szCs w:val="22"/>
        </w:rPr>
        <w:t xml:space="preserve">positive correlations </w:t>
      </w:r>
      <w:r w:rsidR="005017D7" w:rsidRPr="00E97BC8">
        <w:rPr>
          <w:rFonts w:cs="Times New Roman"/>
          <w:sz w:val="22"/>
          <w:szCs w:val="22"/>
        </w:rPr>
        <w:t xml:space="preserve">exist </w:t>
      </w:r>
      <w:r w:rsidR="00434EC8" w:rsidRPr="00E97BC8">
        <w:rPr>
          <w:rFonts w:cs="Times New Roman"/>
          <w:sz w:val="22"/>
          <w:szCs w:val="22"/>
        </w:rPr>
        <w:t>among</w:t>
      </w:r>
      <w:r w:rsidR="00F50FAC" w:rsidRPr="00E97BC8">
        <w:rPr>
          <w:rFonts w:cs="Times New Roman"/>
          <w:sz w:val="22"/>
          <w:szCs w:val="22"/>
        </w:rPr>
        <w:t xml:space="preserve"> </w:t>
      </w:r>
      <w:r w:rsidR="004D7CB1" w:rsidRPr="00E97BC8">
        <w:rPr>
          <w:rFonts w:cs="Times New Roman"/>
          <w:sz w:val="22"/>
          <w:szCs w:val="22"/>
        </w:rPr>
        <w:t>GLP</w:t>
      </w:r>
      <w:r w:rsidR="00434EC8" w:rsidRPr="00E97BC8">
        <w:rPr>
          <w:rFonts w:cs="Times New Roman"/>
          <w:sz w:val="22"/>
          <w:szCs w:val="22"/>
        </w:rPr>
        <w:t>, CMP, and BRP</w:t>
      </w:r>
      <w:r w:rsidR="005017D7" w:rsidRPr="00E97BC8">
        <w:rPr>
          <w:rFonts w:cs="Times New Roman"/>
          <w:sz w:val="22"/>
          <w:szCs w:val="22"/>
        </w:rPr>
        <w:t xml:space="preserve">; that is, </w:t>
      </w:r>
      <w:r w:rsidR="00DD561C" w:rsidRPr="00E97BC8">
        <w:rPr>
          <w:rFonts w:cs="Times New Roman"/>
          <w:sz w:val="22"/>
          <w:szCs w:val="22"/>
        </w:rPr>
        <w:t>those with more interest in sustainability are likely to seek out more information about EVs, which generally improves perceptions of maintenance requirements and range</w:t>
      </w:r>
      <w:r w:rsidR="0028616D" w:rsidRPr="00E97BC8">
        <w:rPr>
          <w:rFonts w:cs="Times New Roman"/>
          <w:sz w:val="22"/>
          <w:szCs w:val="22"/>
        </w:rPr>
        <w:t xml:space="preserve"> </w:t>
      </w:r>
      <w:r w:rsidR="00720C01" w:rsidRPr="00E97BC8">
        <w:rPr>
          <w:rFonts w:cs="Times New Roman"/>
          <w:sz w:val="22"/>
          <w:szCs w:val="22"/>
        </w:rPr>
        <w:fldChar w:fldCharType="begin"/>
      </w:r>
      <w:r w:rsidR="00DE77B7" w:rsidRPr="00E97BC8">
        <w:rPr>
          <w:rFonts w:cs="Times New Roman"/>
          <w:sz w:val="22"/>
          <w:szCs w:val="22"/>
        </w:rPr>
        <w:instrText xml:space="preserve"> ADDIN ZOTERO_ITEM CSL_CITATION {"citationID":"Q7JIcYMl","properties":{"formattedCitation":"(R. Liu et al., 2020)","plainCitation":"(R. Liu et al., 2020)","dontUpdate":true,"noteIndex":0},"citationItems":[{"id":3723,"uris":["http://zotero.org/users/12832277/items/G7C3S89P"],"itemData":{"id":3723,"type":"article-journal","abstract":"Battery electric vehicles (BEV) have become the most effective and environmentally friendly means to replace internal combustion vehicles. However, given the fact that BEV are a relatively new product category, and the majority of car users have little experience of using BEV, consumers often have a misconception about BEV, and thus tend to avoid purchasing an electric vehicle. This paper aims to explore the role of customer experience and demonstrate how this experience affects the adoption willingness of BEV. Based on driving experience and the theory of planned behavior, the authors constructed a framework of influencing factors for electric vehicle adoption willingness with the incorporation of consumer experience as the antecedents of adoption willingness. Using sample data from Jiangsu province, China, our empirical analysis shows that the mean values of the subjective norm, perceived behavioral control, attitudes, and adoption willingness of experienced consumers are significantly higher than those of inexperienced consumers. Further, the adoption willingness is positively influenced by experience through direct and indirect paths, which confirms the significant mediating effects of subjective norm, perceived behavioral control, and attitudes (battery life, cruising range, low noise, and low emission).","container-title":"Environmental Science and Pollution Research","DOI":"10.1007/s11356-020-08834-w","ISSN":"1614-7499","issue":"20","language":"en","page":"25230-25247","source":"Springer Link","title":"How Does Experience Impact the Adoption Willingness of Battery Electric Vehicles? The Role of Psychological Factors","volume":"27","author":[{"family":"Liu","given":"Rong"},{"family":"Ding","given":"Zhihua"},{"family":"Jiang","given":"Xin"},{"family":"Sun","given":"Jing"},{"family":"Jiang","given":"Yanling"},{"family":"Qiang","given":"Wei"}],"issued":{"date-parts":[["2020",7,1]]}}}],"schema":"https://github.com/citation-style-language/schema/raw/master/csl-citation.json"} </w:instrText>
      </w:r>
      <w:r w:rsidR="00720C01" w:rsidRPr="00E97BC8">
        <w:rPr>
          <w:rFonts w:cs="Times New Roman"/>
          <w:sz w:val="22"/>
          <w:szCs w:val="22"/>
        </w:rPr>
        <w:fldChar w:fldCharType="separate"/>
      </w:r>
      <w:r w:rsidR="00720C01" w:rsidRPr="00E97BC8">
        <w:rPr>
          <w:rFonts w:cs="Times New Roman"/>
          <w:sz w:val="22"/>
          <w:szCs w:val="22"/>
        </w:rPr>
        <w:t>(</w:t>
      </w:r>
      <w:r w:rsidR="00710D7C" w:rsidRPr="00E97BC8">
        <w:rPr>
          <w:rFonts w:cs="Times New Roman"/>
          <w:sz w:val="22"/>
          <w:szCs w:val="22"/>
        </w:rPr>
        <w:t xml:space="preserve">see </w:t>
      </w:r>
      <w:r w:rsidR="00720C01" w:rsidRPr="00E97BC8">
        <w:rPr>
          <w:rFonts w:cs="Times New Roman"/>
          <w:sz w:val="22"/>
          <w:szCs w:val="22"/>
        </w:rPr>
        <w:t>R. Liu et al., 2020)</w:t>
      </w:r>
      <w:r w:rsidR="00720C01" w:rsidRPr="00E97BC8">
        <w:rPr>
          <w:rFonts w:cs="Times New Roman"/>
          <w:sz w:val="22"/>
          <w:szCs w:val="22"/>
        </w:rPr>
        <w:fldChar w:fldCharType="end"/>
      </w:r>
      <w:r w:rsidR="00DD561C" w:rsidRPr="00E97BC8">
        <w:rPr>
          <w:rFonts w:cs="Times New Roman"/>
          <w:sz w:val="22"/>
          <w:szCs w:val="22"/>
        </w:rPr>
        <w:t>.</w:t>
      </w:r>
      <w:r w:rsidR="0028616D" w:rsidRPr="00E97BC8">
        <w:rPr>
          <w:rFonts w:cs="Times New Roman"/>
          <w:sz w:val="22"/>
          <w:szCs w:val="22"/>
        </w:rPr>
        <w:t xml:space="preserve"> </w:t>
      </w:r>
      <w:r w:rsidR="00560DFB" w:rsidRPr="00E97BC8">
        <w:rPr>
          <w:rFonts w:cs="Times New Roman"/>
          <w:sz w:val="22"/>
          <w:szCs w:val="22"/>
        </w:rPr>
        <w:t xml:space="preserve">The high correlation between CMP and BRP may also be </w:t>
      </w:r>
      <w:r w:rsidR="0028616D" w:rsidRPr="00E97BC8">
        <w:rPr>
          <w:rFonts w:cs="Times New Roman"/>
          <w:sz w:val="22"/>
          <w:szCs w:val="22"/>
        </w:rPr>
        <w:t>due in part to the co-location of EV charging infrastructure and EV</w:t>
      </w:r>
      <w:r w:rsidR="00560DFB" w:rsidRPr="00E97BC8">
        <w:rPr>
          <w:rFonts w:cs="Times New Roman"/>
          <w:sz w:val="22"/>
          <w:szCs w:val="22"/>
        </w:rPr>
        <w:t xml:space="preserve"> financial</w:t>
      </w:r>
      <w:r w:rsidR="0028616D" w:rsidRPr="00E97BC8">
        <w:rPr>
          <w:rFonts w:cs="Times New Roman"/>
          <w:sz w:val="22"/>
          <w:szCs w:val="22"/>
        </w:rPr>
        <w:t xml:space="preserve"> incentives</w:t>
      </w:r>
      <w:r w:rsidR="00560DFB" w:rsidRPr="00E97BC8">
        <w:rPr>
          <w:rFonts w:cs="Times New Roman"/>
          <w:sz w:val="22"/>
          <w:szCs w:val="22"/>
        </w:rPr>
        <w:t>, leading individuals living in specific areas to have more positive views of each of these features of EVs</w:t>
      </w:r>
      <w:r w:rsidR="00CC27D7" w:rsidRPr="00E97BC8">
        <w:rPr>
          <w:rFonts w:cs="Times New Roman"/>
          <w:sz w:val="22"/>
          <w:szCs w:val="22"/>
        </w:rPr>
        <w:t xml:space="preserve"> </w:t>
      </w:r>
      <w:r w:rsidR="00F10B2B" w:rsidRPr="00E97BC8">
        <w:rPr>
          <w:rFonts w:cs="Times New Roman"/>
          <w:sz w:val="22"/>
          <w:szCs w:val="22"/>
        </w:rPr>
        <w:fldChar w:fldCharType="begin"/>
      </w:r>
      <w:r w:rsidR="00DE77B7" w:rsidRPr="00E97BC8">
        <w:rPr>
          <w:rFonts w:cs="Times New Roman"/>
          <w:sz w:val="22"/>
          <w:szCs w:val="22"/>
        </w:rPr>
        <w:instrText xml:space="preserve"> ADDIN ZOTERO_ITEM CSL_CITATION {"citationID":"0G8ttG0i","properties":{"formattedCitation":"(Bay Area Air Quality Management District, 2023)","plainCitation":"(Bay Area Air Quality Management District, 2023)","dontUpdate":true,"noteIndex":0},"citationItems":[{"id":3721,"uris":["http://zotero.org/users/12832277/items/W3NTN5KX"],"itemData":{"id":3721,"type":"webpage","title":"Clean Cars for All","URL":"https://www.baaqmd.gov/en/funding-and-incentives/residents/clean-cars-for-all","author":[{"family":"Bay Area Air Quality Management District","given":""}],"accessed":{"date-parts":[["2024",10,13]]},"issued":{"date-parts":[["2023"]]}}}],"schema":"https://github.com/citation-style-language/schema/raw/master/csl-citation.json"} </w:instrText>
      </w:r>
      <w:r w:rsidR="00F10B2B" w:rsidRPr="00E97BC8">
        <w:rPr>
          <w:rFonts w:cs="Times New Roman"/>
          <w:sz w:val="22"/>
          <w:szCs w:val="22"/>
        </w:rPr>
        <w:fldChar w:fldCharType="separate"/>
      </w:r>
      <w:r w:rsidR="00F10B2B" w:rsidRPr="00E97BC8">
        <w:rPr>
          <w:rFonts w:cs="Times New Roman"/>
          <w:sz w:val="22"/>
          <w:szCs w:val="22"/>
        </w:rPr>
        <w:t>(</w:t>
      </w:r>
      <w:r w:rsidR="006E0F12" w:rsidRPr="00E97BC8">
        <w:rPr>
          <w:rFonts w:cs="Times New Roman"/>
          <w:sz w:val="22"/>
          <w:szCs w:val="22"/>
        </w:rPr>
        <w:t>for instance, residents of the San Fran</w:t>
      </w:r>
      <w:r w:rsidR="004B07D2" w:rsidRPr="00E97BC8">
        <w:rPr>
          <w:rFonts w:cs="Times New Roman"/>
          <w:sz w:val="22"/>
          <w:szCs w:val="22"/>
        </w:rPr>
        <w:t>c</w:t>
      </w:r>
      <w:r w:rsidR="006E0F12" w:rsidRPr="00E97BC8">
        <w:rPr>
          <w:rFonts w:cs="Times New Roman"/>
          <w:sz w:val="22"/>
          <w:szCs w:val="22"/>
        </w:rPr>
        <w:t xml:space="preserve">isco Bay Area have greater access to local public charging stations than those in many of the surrounding areas and have access to additional financial incentives for EV purchases through the Clean Cars for All program; </w:t>
      </w:r>
      <w:r w:rsidR="00F10B2B" w:rsidRPr="00E97BC8">
        <w:rPr>
          <w:rFonts w:cs="Times New Roman"/>
          <w:sz w:val="22"/>
          <w:szCs w:val="22"/>
        </w:rPr>
        <w:t>Bay Area Air Quality Management District, 2023)</w:t>
      </w:r>
      <w:r w:rsidR="00F10B2B" w:rsidRPr="00E97BC8">
        <w:rPr>
          <w:rFonts w:cs="Times New Roman"/>
          <w:sz w:val="22"/>
          <w:szCs w:val="22"/>
        </w:rPr>
        <w:fldChar w:fldCharType="end"/>
      </w:r>
      <w:r w:rsidR="0028616D" w:rsidRPr="00E97BC8">
        <w:rPr>
          <w:rFonts w:cs="Times New Roman"/>
          <w:sz w:val="22"/>
          <w:szCs w:val="22"/>
        </w:rPr>
        <w:t>.</w:t>
      </w:r>
      <w:r w:rsidR="00C83B42" w:rsidRPr="00E97BC8">
        <w:rPr>
          <w:rFonts w:cs="Times New Roman"/>
          <w:sz w:val="22"/>
          <w:szCs w:val="22"/>
        </w:rPr>
        <w:t xml:space="preserve"> </w:t>
      </w:r>
      <w:r w:rsidR="0028616D" w:rsidRPr="00E97BC8">
        <w:rPr>
          <w:rFonts w:cs="Times New Roman"/>
          <w:sz w:val="22"/>
          <w:szCs w:val="22"/>
        </w:rPr>
        <w:t xml:space="preserve"> </w:t>
      </w:r>
      <w:r w:rsidR="00D56F36" w:rsidRPr="00E97BC8">
        <w:rPr>
          <w:rFonts w:cs="Times New Roman"/>
          <w:sz w:val="22"/>
          <w:szCs w:val="22"/>
        </w:rPr>
        <w:t xml:space="preserve">Finally, smaller positive correlations between </w:t>
      </w:r>
      <w:r w:rsidR="00BA2F9A" w:rsidRPr="00E97BC8">
        <w:rPr>
          <w:rFonts w:cs="Times New Roman"/>
          <w:sz w:val="22"/>
          <w:szCs w:val="22"/>
        </w:rPr>
        <w:t xml:space="preserve">VFP and CMP as well as between </w:t>
      </w:r>
      <w:r w:rsidR="001F738B" w:rsidRPr="00E97BC8">
        <w:rPr>
          <w:rFonts w:cs="Times New Roman"/>
          <w:sz w:val="22"/>
          <w:szCs w:val="22"/>
        </w:rPr>
        <w:t>V</w:t>
      </w:r>
      <w:r w:rsidR="00BA2F9A" w:rsidRPr="00E97BC8">
        <w:rPr>
          <w:rFonts w:cs="Times New Roman"/>
          <w:sz w:val="22"/>
          <w:szCs w:val="22"/>
        </w:rPr>
        <w:t xml:space="preserve">FP and BRP likely relate to the </w:t>
      </w:r>
      <w:r w:rsidR="0069772B" w:rsidRPr="00E97BC8">
        <w:rPr>
          <w:rFonts w:cs="Times New Roman"/>
          <w:sz w:val="22"/>
          <w:szCs w:val="22"/>
        </w:rPr>
        <w:t xml:space="preserve">knowledge about EVs and EV infrastructure stemming from a greater interest in </w:t>
      </w:r>
      <w:r w:rsidR="00E3036C" w:rsidRPr="00E97BC8">
        <w:rPr>
          <w:rFonts w:cs="Times New Roman"/>
          <w:sz w:val="22"/>
          <w:szCs w:val="22"/>
        </w:rPr>
        <w:t xml:space="preserve">EVs and the various aspects of EV functionality. </w:t>
      </w:r>
    </w:p>
    <w:p w14:paraId="434CA4D1" w14:textId="77777777" w:rsidR="009D121B" w:rsidRPr="00E97BC8" w:rsidRDefault="009D121B" w:rsidP="00E85093">
      <w:pPr>
        <w:spacing w:after="0" w:line="240" w:lineRule="auto"/>
        <w:jc w:val="both"/>
        <w:rPr>
          <w:rFonts w:cs="Times New Roman"/>
          <w:b/>
          <w:bCs/>
          <w:sz w:val="22"/>
          <w:szCs w:val="22"/>
        </w:rPr>
      </w:pPr>
    </w:p>
    <w:p w14:paraId="27C8AEB6" w14:textId="4E2B9DAE" w:rsidR="00601292" w:rsidRPr="00E97BC8" w:rsidRDefault="00601292" w:rsidP="00E85093">
      <w:pPr>
        <w:spacing w:after="0" w:line="240" w:lineRule="auto"/>
        <w:jc w:val="both"/>
        <w:rPr>
          <w:rFonts w:cs="Times New Roman"/>
          <w:b/>
          <w:bCs/>
          <w:sz w:val="22"/>
          <w:szCs w:val="22"/>
        </w:rPr>
      </w:pPr>
      <w:r w:rsidRPr="00E97BC8">
        <w:rPr>
          <w:rFonts w:cs="Times New Roman"/>
          <w:b/>
          <w:bCs/>
          <w:sz w:val="22"/>
          <w:szCs w:val="22"/>
        </w:rPr>
        <w:t>4.2 Main Estimation</w:t>
      </w:r>
    </w:p>
    <w:p w14:paraId="744630E0" w14:textId="432D00C0" w:rsidR="00601292" w:rsidRPr="00E97BC8" w:rsidRDefault="0040491A" w:rsidP="00E85093">
      <w:pPr>
        <w:spacing w:after="0" w:line="240" w:lineRule="auto"/>
        <w:jc w:val="both"/>
        <w:rPr>
          <w:rFonts w:cs="Times New Roman"/>
          <w:sz w:val="22"/>
          <w:szCs w:val="22"/>
        </w:rPr>
      </w:pPr>
      <w:r w:rsidRPr="00E97BC8">
        <w:rPr>
          <w:rFonts w:cs="Times New Roman"/>
          <w:sz w:val="22"/>
          <w:szCs w:val="22"/>
        </w:rPr>
        <w:t>Table 4 presents the estimation results</w:t>
      </w:r>
      <w:r w:rsidR="00926B48" w:rsidRPr="00E97BC8">
        <w:rPr>
          <w:rFonts w:cs="Times New Roman"/>
          <w:sz w:val="22"/>
          <w:szCs w:val="22"/>
        </w:rPr>
        <w:t xml:space="preserve"> for the main outcome dimensions. </w:t>
      </w:r>
      <w:bookmarkStart w:id="37" w:name="_Hlk198823010"/>
      <w:r w:rsidR="00926B48" w:rsidRPr="00E97BC8">
        <w:rPr>
          <w:rFonts w:cs="Times New Roman"/>
          <w:sz w:val="22"/>
          <w:szCs w:val="22"/>
        </w:rPr>
        <w:t>The coefficients refer to the</w:t>
      </w:r>
      <w:r w:rsidR="000E00DE" w:rsidRPr="00E97BC8">
        <w:rPr>
          <w:rFonts w:cs="Times New Roman"/>
          <w:sz w:val="22"/>
          <w:szCs w:val="22"/>
        </w:rPr>
        <w:t xml:space="preserve"> impact of each variable on the</w:t>
      </w:r>
      <w:r w:rsidR="00926B48" w:rsidRPr="00E97BC8">
        <w:rPr>
          <w:rFonts w:cs="Times New Roman"/>
          <w:sz w:val="22"/>
          <w:szCs w:val="22"/>
        </w:rPr>
        <w:t xml:space="preserve"> </w:t>
      </w:r>
      <w:r w:rsidR="00DF43BE" w:rsidRPr="00E97BC8">
        <w:rPr>
          <w:rFonts w:cs="Times New Roman"/>
          <w:sz w:val="22"/>
          <w:szCs w:val="22"/>
        </w:rPr>
        <w:t>underlying utilities</w:t>
      </w:r>
      <w:r w:rsidR="000E00DE" w:rsidRPr="00E97BC8">
        <w:rPr>
          <w:rFonts w:cs="Times New Roman"/>
          <w:sz w:val="22"/>
          <w:szCs w:val="22"/>
        </w:rPr>
        <w:t xml:space="preserve"> for </w:t>
      </w:r>
      <w:r w:rsidR="00FA7CCF" w:rsidRPr="00E97BC8">
        <w:rPr>
          <w:rFonts w:cs="Times New Roman"/>
          <w:sz w:val="22"/>
          <w:szCs w:val="22"/>
        </w:rPr>
        <w:t>each</w:t>
      </w:r>
      <w:r w:rsidR="00EE2632" w:rsidRPr="00E97BC8">
        <w:rPr>
          <w:rFonts w:cs="Times New Roman"/>
          <w:sz w:val="22"/>
          <w:szCs w:val="22"/>
        </w:rPr>
        <w:t xml:space="preserve"> alternative.</w:t>
      </w:r>
      <w:bookmarkEnd w:id="37"/>
      <w:r w:rsidR="00EE2632" w:rsidRPr="00E97BC8">
        <w:rPr>
          <w:rFonts w:cs="Times New Roman"/>
          <w:sz w:val="22"/>
          <w:szCs w:val="22"/>
        </w:rPr>
        <w:t xml:space="preserve"> The constants in the first row of the table do not have any meaningful </w:t>
      </w:r>
      <w:r w:rsidR="00FA7CCF" w:rsidRPr="00E97BC8">
        <w:rPr>
          <w:rFonts w:cs="Times New Roman"/>
          <w:sz w:val="22"/>
          <w:szCs w:val="22"/>
        </w:rPr>
        <w:t>interpretations but</w:t>
      </w:r>
      <w:r w:rsidR="00EE2632" w:rsidRPr="00E97BC8">
        <w:rPr>
          <w:rFonts w:cs="Times New Roman"/>
          <w:sz w:val="22"/>
          <w:szCs w:val="22"/>
        </w:rPr>
        <w:t xml:space="preserve"> are simply estimated to </w:t>
      </w:r>
      <w:r w:rsidR="00F7121A" w:rsidRPr="00E97BC8">
        <w:rPr>
          <w:rFonts w:cs="Times New Roman"/>
          <w:sz w:val="22"/>
          <w:szCs w:val="22"/>
        </w:rPr>
        <w:t>match</w:t>
      </w:r>
      <w:r w:rsidR="00FA7CCF" w:rsidRPr="00E97BC8">
        <w:rPr>
          <w:rFonts w:cs="Times New Roman"/>
          <w:sz w:val="22"/>
          <w:szCs w:val="22"/>
        </w:rPr>
        <w:t xml:space="preserve"> the observed choice proportions (for the adoption dimension) and ranked proportions (for the ranked adoption reasons).</w:t>
      </w:r>
      <w:r w:rsidR="00DF43BE" w:rsidRPr="00E97BC8">
        <w:rPr>
          <w:rFonts w:cs="Times New Roman"/>
          <w:sz w:val="22"/>
          <w:szCs w:val="22"/>
        </w:rPr>
        <w:t xml:space="preserve"> </w:t>
      </w:r>
    </w:p>
    <w:p w14:paraId="5E4C4FCB" w14:textId="35C76E6F" w:rsidR="00FA7CCF" w:rsidRPr="00E97BC8" w:rsidRDefault="00FA7CCF" w:rsidP="00E85093">
      <w:pPr>
        <w:spacing w:after="0" w:line="240" w:lineRule="auto"/>
        <w:jc w:val="both"/>
        <w:rPr>
          <w:rFonts w:cs="Times New Roman"/>
          <w:sz w:val="22"/>
          <w:szCs w:val="22"/>
        </w:rPr>
      </w:pPr>
    </w:p>
    <w:p w14:paraId="5CC30984" w14:textId="3AEB003A" w:rsidR="00F7121A" w:rsidRPr="00E97BC8" w:rsidRDefault="00F7121A" w:rsidP="00E85093">
      <w:pPr>
        <w:keepNext/>
        <w:keepLines/>
        <w:spacing w:after="0" w:line="240" w:lineRule="auto"/>
        <w:jc w:val="both"/>
        <w:rPr>
          <w:rFonts w:cs="Times New Roman"/>
          <w:b/>
          <w:bCs/>
          <w:i/>
          <w:iCs/>
          <w:sz w:val="22"/>
          <w:szCs w:val="22"/>
        </w:rPr>
      </w:pPr>
      <w:r w:rsidRPr="00E97BC8">
        <w:rPr>
          <w:rFonts w:cs="Times New Roman"/>
          <w:b/>
          <w:bCs/>
          <w:i/>
          <w:iCs/>
          <w:sz w:val="22"/>
          <w:szCs w:val="22"/>
        </w:rPr>
        <w:lastRenderedPageBreak/>
        <w:t xml:space="preserve">4.2.1 Effects of Latent </w:t>
      </w:r>
      <w:r w:rsidR="009C4650" w:rsidRPr="00E97BC8">
        <w:rPr>
          <w:rFonts w:cs="Times New Roman"/>
          <w:b/>
          <w:bCs/>
          <w:i/>
          <w:iCs/>
          <w:sz w:val="22"/>
          <w:szCs w:val="22"/>
        </w:rPr>
        <w:t>Constructs</w:t>
      </w:r>
      <w:r w:rsidRPr="00E97BC8">
        <w:rPr>
          <w:rFonts w:cs="Times New Roman"/>
          <w:b/>
          <w:bCs/>
          <w:i/>
          <w:iCs/>
          <w:sz w:val="22"/>
          <w:szCs w:val="22"/>
        </w:rPr>
        <w:t xml:space="preserve"> </w:t>
      </w:r>
    </w:p>
    <w:p w14:paraId="158BC0D2" w14:textId="3C64917F" w:rsidR="0046577E" w:rsidRPr="00E97BC8" w:rsidRDefault="00C30AF1" w:rsidP="00E85093">
      <w:pPr>
        <w:keepNext/>
        <w:keepLines/>
        <w:spacing w:after="0" w:line="240" w:lineRule="auto"/>
        <w:jc w:val="both"/>
        <w:rPr>
          <w:rFonts w:cs="Times New Roman"/>
          <w:b/>
          <w:bCs/>
          <w:sz w:val="22"/>
          <w:szCs w:val="22"/>
        </w:rPr>
      </w:pPr>
      <w:r w:rsidRPr="00E97BC8">
        <w:rPr>
          <w:rFonts w:cs="Times New Roman"/>
          <w:sz w:val="22"/>
          <w:szCs w:val="22"/>
        </w:rPr>
        <w:t xml:space="preserve">As expected, </w:t>
      </w:r>
      <w:r w:rsidR="00CB24D7" w:rsidRPr="00E97BC8">
        <w:rPr>
          <w:rFonts w:cs="Times New Roman"/>
          <w:sz w:val="22"/>
          <w:szCs w:val="22"/>
        </w:rPr>
        <w:t xml:space="preserve">individuals with a high GLP </w:t>
      </w:r>
      <w:r w:rsidR="00AC2391" w:rsidRPr="00E97BC8">
        <w:rPr>
          <w:rFonts w:cs="Times New Roman"/>
          <w:sz w:val="22"/>
          <w:szCs w:val="22"/>
        </w:rPr>
        <w:t xml:space="preserve">are more likely to buy an EV </w:t>
      </w:r>
      <w:r w:rsidR="00FE5CC9" w:rsidRPr="00E97BC8">
        <w:rPr>
          <w:rFonts w:cs="Times New Roman"/>
          <w:sz w:val="22"/>
          <w:szCs w:val="22"/>
        </w:rPr>
        <w:t>overall and</w:t>
      </w:r>
      <w:r w:rsidR="00AC2391" w:rsidRPr="00E97BC8">
        <w:rPr>
          <w:rFonts w:cs="Times New Roman"/>
          <w:sz w:val="22"/>
          <w:szCs w:val="22"/>
        </w:rPr>
        <w:t xml:space="preserve"> do so because of concerns regarding climate change</w:t>
      </w:r>
      <w:r w:rsidR="000311CD" w:rsidRPr="00E97BC8">
        <w:rPr>
          <w:rFonts w:cs="Times New Roman"/>
          <w:sz w:val="22"/>
          <w:szCs w:val="22"/>
        </w:rPr>
        <w:t>,</w:t>
      </w:r>
      <w:r w:rsidR="00E76736" w:rsidRPr="00E97BC8">
        <w:rPr>
          <w:rFonts w:cs="Times New Roman"/>
          <w:sz w:val="22"/>
          <w:szCs w:val="22"/>
        </w:rPr>
        <w:t xml:space="preserve"> while those with </w:t>
      </w:r>
      <w:r w:rsidR="00FE5CC9" w:rsidRPr="00E97BC8">
        <w:rPr>
          <w:rFonts w:cs="Times New Roman"/>
          <w:sz w:val="22"/>
          <w:szCs w:val="22"/>
        </w:rPr>
        <w:t xml:space="preserve">low GLP are </w:t>
      </w:r>
      <w:r w:rsidR="00E76736" w:rsidRPr="00E97BC8">
        <w:rPr>
          <w:rFonts w:cs="Times New Roman"/>
          <w:sz w:val="22"/>
          <w:szCs w:val="22"/>
        </w:rPr>
        <w:t xml:space="preserve">less likely to buy an EV but </w:t>
      </w:r>
      <w:r w:rsidR="00FE5CC9" w:rsidRPr="00E97BC8">
        <w:rPr>
          <w:rFonts w:cs="Times New Roman"/>
          <w:sz w:val="22"/>
          <w:szCs w:val="22"/>
        </w:rPr>
        <w:t xml:space="preserve">more likely to cite the ability </w:t>
      </w:r>
      <w:r w:rsidR="00E76736" w:rsidRPr="00E97BC8">
        <w:rPr>
          <w:rFonts w:cs="Times New Roman"/>
          <w:sz w:val="22"/>
          <w:szCs w:val="22"/>
        </w:rPr>
        <w:t xml:space="preserve">to take advantage of available incentives </w:t>
      </w:r>
      <w:r w:rsidR="00FE5CC9" w:rsidRPr="00E97BC8">
        <w:rPr>
          <w:rFonts w:cs="Times New Roman"/>
          <w:sz w:val="22"/>
          <w:szCs w:val="22"/>
        </w:rPr>
        <w:t xml:space="preserve">as </w:t>
      </w:r>
      <w:r w:rsidR="0046577E" w:rsidRPr="00E97BC8">
        <w:rPr>
          <w:rFonts w:cs="Times New Roman"/>
          <w:sz w:val="22"/>
          <w:szCs w:val="22"/>
        </w:rPr>
        <w:t>a reason</w:t>
      </w:r>
      <w:r w:rsidR="00FE5CC9" w:rsidRPr="00E97BC8">
        <w:rPr>
          <w:rFonts w:cs="Times New Roman"/>
          <w:sz w:val="22"/>
          <w:szCs w:val="22"/>
        </w:rPr>
        <w:t xml:space="preserve"> </w:t>
      </w:r>
      <w:r w:rsidR="0046577E" w:rsidRPr="00E97BC8">
        <w:rPr>
          <w:rFonts w:cs="Times New Roman"/>
          <w:sz w:val="22"/>
          <w:szCs w:val="22"/>
        </w:rPr>
        <w:t>for</w:t>
      </w:r>
      <w:r w:rsidR="00FE5CC9" w:rsidRPr="00E97BC8">
        <w:rPr>
          <w:rFonts w:cs="Times New Roman"/>
          <w:sz w:val="22"/>
          <w:szCs w:val="22"/>
        </w:rPr>
        <w:t xml:space="preserve"> </w:t>
      </w:r>
      <w:r w:rsidR="00996571" w:rsidRPr="00E97BC8">
        <w:rPr>
          <w:rFonts w:cs="Times New Roman"/>
          <w:sz w:val="22"/>
          <w:szCs w:val="22"/>
        </w:rPr>
        <w:t>adoption</w:t>
      </w:r>
      <w:r w:rsidR="0012620C" w:rsidRPr="00E97BC8">
        <w:rPr>
          <w:rFonts w:cs="Times New Roman"/>
          <w:sz w:val="22"/>
          <w:szCs w:val="22"/>
        </w:rPr>
        <w:t xml:space="preserve">. </w:t>
      </w:r>
      <w:r w:rsidR="00681B44" w:rsidRPr="00E97BC8">
        <w:rPr>
          <w:rFonts w:cs="Times New Roman"/>
          <w:sz w:val="22"/>
          <w:szCs w:val="22"/>
        </w:rPr>
        <w:t xml:space="preserve">These effects are even stronger for older </w:t>
      </w:r>
      <w:r w:rsidR="00993D48" w:rsidRPr="00E97BC8">
        <w:rPr>
          <w:rFonts w:cs="Times New Roman"/>
          <w:sz w:val="22"/>
          <w:szCs w:val="22"/>
        </w:rPr>
        <w:t>individuals</w:t>
      </w:r>
      <w:r w:rsidR="00681B44" w:rsidRPr="00E97BC8">
        <w:rPr>
          <w:rFonts w:cs="Times New Roman"/>
          <w:sz w:val="22"/>
          <w:szCs w:val="22"/>
        </w:rPr>
        <w:t xml:space="preserve"> and those </w:t>
      </w:r>
      <w:r w:rsidR="0041295E" w:rsidRPr="00E97BC8">
        <w:rPr>
          <w:rFonts w:cs="Times New Roman"/>
          <w:sz w:val="22"/>
          <w:szCs w:val="22"/>
        </w:rPr>
        <w:t>from</w:t>
      </w:r>
      <w:r w:rsidR="00681B44" w:rsidRPr="00E97BC8">
        <w:rPr>
          <w:rFonts w:cs="Times New Roman"/>
          <w:sz w:val="22"/>
          <w:szCs w:val="22"/>
        </w:rPr>
        <w:t xml:space="preserve"> higher income</w:t>
      </w:r>
      <w:r w:rsidR="0041295E" w:rsidRPr="00E97BC8">
        <w:rPr>
          <w:rFonts w:cs="Times New Roman"/>
          <w:sz w:val="22"/>
          <w:szCs w:val="22"/>
        </w:rPr>
        <w:t xml:space="preserve"> households</w:t>
      </w:r>
      <w:r w:rsidR="002341A3" w:rsidRPr="00E97BC8">
        <w:rPr>
          <w:rFonts w:cs="Times New Roman"/>
          <w:sz w:val="22"/>
          <w:szCs w:val="22"/>
        </w:rPr>
        <w:t xml:space="preserve"> (see the two graphs on the left side of Figure 3, which show the average probability of EV adoption given an individual’s age/income and level of GLP)</w:t>
      </w:r>
      <w:r w:rsidR="00993D48" w:rsidRPr="00E97BC8">
        <w:rPr>
          <w:rFonts w:cs="Times New Roman"/>
          <w:sz w:val="22"/>
          <w:szCs w:val="22"/>
        </w:rPr>
        <w:t xml:space="preserve">. These individuals are </w:t>
      </w:r>
      <w:r w:rsidR="00FB13FE" w:rsidRPr="00E97BC8">
        <w:rPr>
          <w:rFonts w:cs="Times New Roman"/>
          <w:sz w:val="22"/>
          <w:szCs w:val="22"/>
        </w:rPr>
        <w:t>better</w:t>
      </w:r>
      <w:r w:rsidR="00993D48" w:rsidRPr="00E97BC8">
        <w:rPr>
          <w:rFonts w:cs="Times New Roman"/>
          <w:sz w:val="22"/>
          <w:szCs w:val="22"/>
        </w:rPr>
        <w:t xml:space="preserve"> able to act on </w:t>
      </w:r>
      <w:r w:rsidR="00570C93" w:rsidRPr="00E97BC8">
        <w:rPr>
          <w:rFonts w:cs="Times New Roman"/>
          <w:sz w:val="22"/>
          <w:szCs w:val="22"/>
        </w:rPr>
        <w:t>the</w:t>
      </w:r>
      <w:r w:rsidR="005017D7" w:rsidRPr="00E97BC8">
        <w:rPr>
          <w:rFonts w:cs="Times New Roman"/>
          <w:sz w:val="22"/>
          <w:szCs w:val="22"/>
        </w:rPr>
        <w:t>i</w:t>
      </w:r>
      <w:r w:rsidR="000734C9" w:rsidRPr="00E97BC8">
        <w:rPr>
          <w:rFonts w:cs="Times New Roman"/>
          <w:sz w:val="22"/>
          <w:szCs w:val="22"/>
        </w:rPr>
        <w:t xml:space="preserve">r </w:t>
      </w:r>
      <w:r w:rsidR="00570C93" w:rsidRPr="00E97BC8">
        <w:rPr>
          <w:rFonts w:cs="Times New Roman"/>
          <w:sz w:val="22"/>
          <w:szCs w:val="22"/>
        </w:rPr>
        <w:t xml:space="preserve">green lifestyle preferences because they are at a life stage where they </w:t>
      </w:r>
      <w:r w:rsidR="005D244B" w:rsidRPr="00E97BC8">
        <w:rPr>
          <w:rFonts w:cs="Times New Roman"/>
          <w:sz w:val="22"/>
          <w:szCs w:val="22"/>
        </w:rPr>
        <w:t>have the financial wherewithal</w:t>
      </w:r>
      <w:r w:rsidR="00570C93" w:rsidRPr="00E97BC8">
        <w:rPr>
          <w:rFonts w:cs="Times New Roman"/>
          <w:sz w:val="22"/>
          <w:szCs w:val="22"/>
        </w:rPr>
        <w:t xml:space="preserve"> to </w:t>
      </w:r>
      <w:r w:rsidR="00B02777" w:rsidRPr="00E97BC8">
        <w:rPr>
          <w:rFonts w:cs="Times New Roman"/>
          <w:sz w:val="22"/>
          <w:szCs w:val="22"/>
        </w:rPr>
        <w:t xml:space="preserve">afford </w:t>
      </w:r>
      <w:r w:rsidR="00570C93" w:rsidRPr="00E97BC8">
        <w:rPr>
          <w:rFonts w:cs="Times New Roman"/>
          <w:sz w:val="22"/>
          <w:szCs w:val="22"/>
        </w:rPr>
        <w:t>the high up-front purchase cost</w:t>
      </w:r>
      <w:r w:rsidR="006F78BF" w:rsidRPr="00E97BC8">
        <w:rPr>
          <w:rFonts w:cs="Times New Roman"/>
          <w:sz w:val="22"/>
          <w:szCs w:val="22"/>
        </w:rPr>
        <w:t xml:space="preserve">. In contrast, younger </w:t>
      </w:r>
      <w:r w:rsidR="0041295E" w:rsidRPr="00E97BC8">
        <w:rPr>
          <w:rFonts w:cs="Times New Roman"/>
          <w:sz w:val="22"/>
          <w:szCs w:val="22"/>
        </w:rPr>
        <w:t xml:space="preserve">individuals </w:t>
      </w:r>
      <w:r w:rsidR="006F78BF" w:rsidRPr="00E97BC8">
        <w:rPr>
          <w:rFonts w:cs="Times New Roman"/>
          <w:sz w:val="22"/>
          <w:szCs w:val="22"/>
        </w:rPr>
        <w:t xml:space="preserve">and </w:t>
      </w:r>
      <w:r w:rsidR="0041295E" w:rsidRPr="00E97BC8">
        <w:rPr>
          <w:rFonts w:cs="Times New Roman"/>
          <w:sz w:val="22"/>
          <w:szCs w:val="22"/>
        </w:rPr>
        <w:t xml:space="preserve">those from </w:t>
      </w:r>
      <w:r w:rsidR="006F78BF" w:rsidRPr="00E97BC8">
        <w:rPr>
          <w:rFonts w:cs="Times New Roman"/>
          <w:sz w:val="22"/>
          <w:szCs w:val="22"/>
        </w:rPr>
        <w:t>lower-income</w:t>
      </w:r>
      <w:r w:rsidR="0041295E" w:rsidRPr="00E97BC8">
        <w:rPr>
          <w:rFonts w:cs="Times New Roman"/>
          <w:sz w:val="22"/>
          <w:szCs w:val="22"/>
        </w:rPr>
        <w:t xml:space="preserve"> households </w:t>
      </w:r>
      <w:r w:rsidR="006F78BF" w:rsidRPr="00E97BC8">
        <w:rPr>
          <w:rFonts w:cs="Times New Roman"/>
          <w:sz w:val="22"/>
          <w:szCs w:val="22"/>
        </w:rPr>
        <w:t xml:space="preserve">may not be </w:t>
      </w:r>
      <w:r w:rsidR="005D244B" w:rsidRPr="00E97BC8">
        <w:rPr>
          <w:rFonts w:cs="Times New Roman"/>
          <w:sz w:val="22"/>
          <w:szCs w:val="22"/>
        </w:rPr>
        <w:t xml:space="preserve">as </w:t>
      </w:r>
      <w:r w:rsidR="006F78BF" w:rsidRPr="00E97BC8">
        <w:rPr>
          <w:rFonts w:cs="Times New Roman"/>
          <w:sz w:val="22"/>
          <w:szCs w:val="22"/>
        </w:rPr>
        <w:t>influenced by their level of GLP</w:t>
      </w:r>
      <w:r w:rsidR="005D244B" w:rsidRPr="00E97BC8">
        <w:rPr>
          <w:rFonts w:cs="Times New Roman"/>
          <w:sz w:val="22"/>
          <w:szCs w:val="22"/>
        </w:rPr>
        <w:t xml:space="preserve"> because they tend to </w:t>
      </w:r>
      <w:r w:rsidR="00804C9B" w:rsidRPr="00E97BC8">
        <w:rPr>
          <w:rFonts w:cs="Times New Roman"/>
          <w:sz w:val="22"/>
          <w:szCs w:val="22"/>
        </w:rPr>
        <w:t>actualiz</w:t>
      </w:r>
      <w:r w:rsidR="005D244B" w:rsidRPr="00E97BC8">
        <w:rPr>
          <w:rFonts w:cs="Times New Roman"/>
          <w:sz w:val="22"/>
          <w:szCs w:val="22"/>
        </w:rPr>
        <w:t>e</w:t>
      </w:r>
      <w:r w:rsidR="00C95D52" w:rsidRPr="00E97BC8">
        <w:rPr>
          <w:rFonts w:cs="Times New Roman"/>
          <w:sz w:val="22"/>
          <w:szCs w:val="22"/>
        </w:rPr>
        <w:t xml:space="preserve"> </w:t>
      </w:r>
      <w:r w:rsidR="00091749" w:rsidRPr="00E97BC8">
        <w:rPr>
          <w:rFonts w:cs="Times New Roman"/>
          <w:sz w:val="22"/>
          <w:szCs w:val="22"/>
        </w:rPr>
        <w:t>environmental</w:t>
      </w:r>
      <w:r w:rsidR="00C95D52" w:rsidRPr="00E97BC8">
        <w:rPr>
          <w:rFonts w:cs="Times New Roman"/>
          <w:sz w:val="22"/>
          <w:szCs w:val="22"/>
        </w:rPr>
        <w:t xml:space="preserve"> preferences through other </w:t>
      </w:r>
      <w:r w:rsidR="005D244B" w:rsidRPr="00E97BC8">
        <w:rPr>
          <w:rFonts w:cs="Times New Roman"/>
          <w:sz w:val="22"/>
          <w:szCs w:val="22"/>
        </w:rPr>
        <w:t xml:space="preserve">less financially burdensome </w:t>
      </w:r>
      <w:r w:rsidR="00C95D52" w:rsidRPr="00E97BC8">
        <w:rPr>
          <w:rFonts w:cs="Times New Roman"/>
          <w:sz w:val="22"/>
          <w:szCs w:val="22"/>
        </w:rPr>
        <w:t>means</w:t>
      </w:r>
      <w:r w:rsidR="00091749" w:rsidRPr="00E97BC8">
        <w:rPr>
          <w:rFonts w:cs="Times New Roman"/>
          <w:sz w:val="22"/>
          <w:szCs w:val="22"/>
        </w:rPr>
        <w:t xml:space="preserve"> rather than through investments in sustainable technologies</w:t>
      </w:r>
      <w:r w:rsidR="005D244B" w:rsidRPr="00E97BC8">
        <w:rPr>
          <w:rFonts w:cs="Times New Roman"/>
          <w:sz w:val="22"/>
          <w:szCs w:val="22"/>
        </w:rPr>
        <w:t xml:space="preserve"> </w:t>
      </w:r>
      <w:r w:rsidR="00091749" w:rsidRPr="00E97BC8">
        <w:rPr>
          <w:rFonts w:cs="Times New Roman"/>
          <w:sz w:val="22"/>
          <w:szCs w:val="22"/>
        </w:rPr>
        <w:t xml:space="preserve">(similar tendencies have been demonstrated for other types of environmental practices, such as energy conservation practices; see </w:t>
      </w:r>
      <w:r w:rsidR="00AA5E46" w:rsidRPr="00E97BC8">
        <w:rPr>
          <w:rFonts w:cs="Times New Roman"/>
          <w:sz w:val="22"/>
          <w:szCs w:val="22"/>
        </w:rPr>
        <w:fldChar w:fldCharType="begin"/>
      </w:r>
      <w:r w:rsidR="00277CF4" w:rsidRPr="00E97BC8">
        <w:rPr>
          <w:rFonts w:cs="Times New Roman"/>
          <w:sz w:val="22"/>
          <w:szCs w:val="22"/>
        </w:rPr>
        <w:instrText xml:space="preserve"> ADDIN ZOTERO_ITEM CSL_CITATION {"citationID":"nOowICCm","properties":{"formattedCitation":"(Brunner et al., 2012; Liu et al., 2019)","plainCitation":"(Brunner et al., 2012; Liu et al., 2019)","dontUpdate":true,"noteIndex":0},"citationItems":[{"id":3937,"uris":["http://zotero.org/users/12832277/items/6NFZWQ58"],"itemData":{"id":3937,"type":"article-journal","abstract":"Until the present day, research on fuel poverty focussing on the point of view of those concerned is few and far between. The present paper aims at filling this gap, analysing experiences with and behavioural responses to fuel poverty. It examines the day-to-day energy situation of households, which are poor/at-risk-of-poverty and/or suffering from fuel poverty in a case study conducted in the Austrian capital Vienna. Qualitative interviews provide the data for investigating the relevant factors in causing fuel poverty (among those, bad housing conditions, outdated appliances, financial problems), and provide a basis for discussion about the respective behavioural strategies of the people concerned. The results show that the ways of handling this problematic situation vary greatly and that people follow different strategies when it comes to inventing solutions for coping with the restrictions and finding ways of satisfying at least a part of their basic energy needs. Nonetheless, it also clearly surfaces that the scope of action is limited in many cases, which in turn only supports the claim that changes in the overall conditions are essential.","container-title":"Energy Policy","DOI":"10.1016/j.enpol.2011.11.076","ISSN":"0301-4215","page":"53-59","source":"ScienceDirect","title":"Experiencing Fuel Poverty. Coping Strategies of Low-Income Households in Vienna/Austria","volume":"49","author":[{"family":"Brunner","given":"Karl-Michael"},{"family":"Spitzer","given":"Markus"},{"family":"Christanell","given":"Anja"}],"issued":{"date-parts":[["2012",10,1]]}}},{"id":3940,"uris":["http://zotero.org/users/12832277/items/JGZZ5UEH"],"itemData":{"id":3940,"type":"article-journal","abstract":"In the move towards low carbon living, the challenges faced by lower income groups are often overlooked. Recent rises in electricity costs disproportionate to income make this a more critical issue. Based on findings from focus group discussions with 164 lower income households and 18 stakeholders across 4 different climate zones in Australia, this paper reveals the barriers that lower income households face in improving their residential energy efficiency and in achieving low carbon living. While limited financial capacity is generally understood as a significant barrier preventing lower income households from taking up technologies to achieve greater energy efficiency and transition to low carbon living, our findings show that a mix of financial and non-financial barriers exist. These include their ability to afford energy efficient household products, control over thermal comfort and energy efficiency levels of their homes, and lack of access to reliable information. These barriers are revealed to have significant impacts on the household finances, health, and social well-being of these lower income households. The concluding discussion puts forward policy suggestions on how some current assistance and incentive programmes encouraging low carbon living could be adjusted to ensure more equitable access, encourage uptake, and improve low carbon outcomes.","container-title":"Advances in Building Energy Research","DOI":"10.1080/17512549.2017.1354780","ISSN":"1751-2549","issue":"1","note":"publisher: Taylor &amp; Francis\n_eprint: https://doi.org/10.1080/17512549.2017.1354780","page":"49-64","source":"Taylor and Francis+NEJM","title":"Challenges in Transitioning to Low Carbon Living for Lower Income Households in Australia","volume":"13","author":[{"family":"Liu","given":"Edgar"},{"family":"Judd","given":"Bruce"},{"family":"Santamouris","given":"Mattheos"}],"issued":{"date-parts":[["2019",1,2]]}}}],"schema":"https://github.com/citation-style-language/schema/raw/master/csl-citation.json"} </w:instrText>
      </w:r>
      <w:r w:rsidR="00AA5E46" w:rsidRPr="00E97BC8">
        <w:rPr>
          <w:rFonts w:cs="Times New Roman"/>
          <w:sz w:val="22"/>
          <w:szCs w:val="22"/>
        </w:rPr>
        <w:fldChar w:fldCharType="separate"/>
      </w:r>
      <w:r w:rsidR="00AA5E46" w:rsidRPr="00E97BC8">
        <w:rPr>
          <w:rFonts w:cs="Times New Roman"/>
          <w:sz w:val="22"/>
          <w:szCs w:val="22"/>
        </w:rPr>
        <w:t>Brunner et al., 2012; Liu et al., 2019)</w:t>
      </w:r>
      <w:r w:rsidR="00AA5E46" w:rsidRPr="00E97BC8">
        <w:rPr>
          <w:rFonts w:cs="Times New Roman"/>
          <w:sz w:val="22"/>
          <w:szCs w:val="22"/>
        </w:rPr>
        <w:fldChar w:fldCharType="end"/>
      </w:r>
      <w:r w:rsidR="00AA5E46" w:rsidRPr="00E97BC8">
        <w:rPr>
          <w:rFonts w:cs="Times New Roman"/>
          <w:sz w:val="22"/>
          <w:szCs w:val="22"/>
        </w:rPr>
        <w:t>.</w:t>
      </w:r>
      <w:r w:rsidR="00C95D52" w:rsidRPr="00E97BC8">
        <w:rPr>
          <w:rFonts w:cs="Times New Roman"/>
          <w:b/>
          <w:bCs/>
          <w:sz w:val="22"/>
          <w:szCs w:val="22"/>
        </w:rPr>
        <w:t xml:space="preserve"> </w:t>
      </w:r>
    </w:p>
    <w:p w14:paraId="2F946196" w14:textId="17058EB9" w:rsidR="00F7121A" w:rsidRPr="00E97BC8" w:rsidRDefault="004506A1" w:rsidP="00E85093">
      <w:pPr>
        <w:spacing w:after="0" w:line="240" w:lineRule="auto"/>
        <w:ind w:firstLine="720"/>
        <w:jc w:val="both"/>
        <w:rPr>
          <w:rFonts w:cs="Times New Roman"/>
          <w:sz w:val="22"/>
          <w:szCs w:val="22"/>
        </w:rPr>
      </w:pPr>
      <w:r w:rsidRPr="00E97BC8">
        <w:rPr>
          <w:rFonts w:cs="Times New Roman"/>
          <w:sz w:val="22"/>
          <w:szCs w:val="22"/>
        </w:rPr>
        <w:t xml:space="preserve">Those </w:t>
      </w:r>
      <w:r w:rsidR="00447188" w:rsidRPr="00E97BC8">
        <w:rPr>
          <w:rFonts w:cs="Times New Roman"/>
          <w:sz w:val="22"/>
          <w:szCs w:val="22"/>
        </w:rPr>
        <w:t xml:space="preserve">with a high </w:t>
      </w:r>
      <w:r w:rsidR="00CD0B69" w:rsidRPr="00E97BC8">
        <w:rPr>
          <w:rFonts w:cs="Times New Roman"/>
          <w:sz w:val="22"/>
          <w:szCs w:val="22"/>
        </w:rPr>
        <w:t xml:space="preserve">vehicle functionality preference or </w:t>
      </w:r>
      <w:r w:rsidR="00447188" w:rsidRPr="00E97BC8">
        <w:rPr>
          <w:rFonts w:cs="Times New Roman"/>
          <w:sz w:val="22"/>
          <w:szCs w:val="22"/>
        </w:rPr>
        <w:t xml:space="preserve">VFP </w:t>
      </w:r>
      <w:r w:rsidR="000734C9" w:rsidRPr="00E97BC8">
        <w:rPr>
          <w:rFonts w:cs="Times New Roman"/>
          <w:sz w:val="22"/>
          <w:szCs w:val="22"/>
        </w:rPr>
        <w:t>(</w:t>
      </w:r>
      <w:r w:rsidR="00B51058" w:rsidRPr="00E97BC8">
        <w:rPr>
          <w:rFonts w:cs="Times New Roman"/>
          <w:sz w:val="22"/>
          <w:szCs w:val="22"/>
        </w:rPr>
        <w:t xml:space="preserve">who </w:t>
      </w:r>
      <w:r w:rsidR="000734C9" w:rsidRPr="00E97BC8">
        <w:rPr>
          <w:rFonts w:cs="Times New Roman"/>
          <w:sz w:val="22"/>
          <w:szCs w:val="22"/>
        </w:rPr>
        <w:t>emphasi</w:t>
      </w:r>
      <w:r w:rsidR="00397C34" w:rsidRPr="00E97BC8">
        <w:rPr>
          <w:rFonts w:cs="Times New Roman"/>
          <w:sz w:val="22"/>
          <w:szCs w:val="22"/>
        </w:rPr>
        <w:t>ze</w:t>
      </w:r>
      <w:r w:rsidR="000734C9" w:rsidRPr="00E97BC8">
        <w:rPr>
          <w:rFonts w:cs="Times New Roman"/>
          <w:sz w:val="22"/>
          <w:szCs w:val="22"/>
        </w:rPr>
        <w:t xml:space="preserve"> functionality over status) </w:t>
      </w:r>
      <w:r w:rsidR="00447188" w:rsidRPr="00E97BC8">
        <w:rPr>
          <w:rFonts w:cs="Times New Roman"/>
          <w:sz w:val="22"/>
          <w:szCs w:val="22"/>
        </w:rPr>
        <w:t xml:space="preserve">seem less likely to buy </w:t>
      </w:r>
      <w:r w:rsidR="00BB020D" w:rsidRPr="00E97BC8">
        <w:rPr>
          <w:rFonts w:cs="Times New Roman"/>
          <w:sz w:val="22"/>
          <w:szCs w:val="22"/>
        </w:rPr>
        <w:t>a</w:t>
      </w:r>
      <w:r w:rsidR="00447188" w:rsidRPr="00E97BC8">
        <w:rPr>
          <w:rFonts w:cs="Times New Roman"/>
          <w:sz w:val="22"/>
          <w:szCs w:val="22"/>
        </w:rPr>
        <w:t xml:space="preserve"> </w:t>
      </w:r>
      <w:r w:rsidR="004B7CA5" w:rsidRPr="00E97BC8">
        <w:rPr>
          <w:rFonts w:cs="Times New Roman"/>
          <w:sz w:val="22"/>
          <w:szCs w:val="22"/>
        </w:rPr>
        <w:t>B</w:t>
      </w:r>
      <w:r w:rsidR="00447188" w:rsidRPr="00E97BC8">
        <w:rPr>
          <w:rFonts w:cs="Times New Roman"/>
          <w:sz w:val="22"/>
          <w:szCs w:val="22"/>
        </w:rPr>
        <w:t xml:space="preserve">EV overall, </w:t>
      </w:r>
      <w:r w:rsidR="005017D7" w:rsidRPr="00E97BC8">
        <w:rPr>
          <w:rFonts w:cs="Times New Roman"/>
          <w:sz w:val="22"/>
          <w:szCs w:val="22"/>
        </w:rPr>
        <w:t xml:space="preserve">presumably because </w:t>
      </w:r>
      <w:r w:rsidR="00910F7B" w:rsidRPr="00E97BC8">
        <w:rPr>
          <w:rFonts w:cs="Times New Roman"/>
          <w:sz w:val="22"/>
          <w:szCs w:val="22"/>
        </w:rPr>
        <w:t>they</w:t>
      </w:r>
      <w:r w:rsidR="005017D7" w:rsidRPr="00E97BC8">
        <w:rPr>
          <w:rFonts w:cs="Times New Roman"/>
          <w:sz w:val="22"/>
          <w:szCs w:val="22"/>
        </w:rPr>
        <w:t xml:space="preserve"> do not </w:t>
      </w:r>
      <w:r w:rsidR="00447188" w:rsidRPr="00E97BC8">
        <w:rPr>
          <w:rFonts w:cs="Times New Roman"/>
          <w:sz w:val="22"/>
          <w:szCs w:val="22"/>
        </w:rPr>
        <w:t xml:space="preserve">yet see </w:t>
      </w:r>
      <w:r w:rsidR="00CA0594" w:rsidRPr="00E97BC8">
        <w:rPr>
          <w:rFonts w:cs="Times New Roman"/>
          <w:sz w:val="22"/>
          <w:szCs w:val="22"/>
        </w:rPr>
        <w:t>B</w:t>
      </w:r>
      <w:r w:rsidR="00447188" w:rsidRPr="00E97BC8">
        <w:rPr>
          <w:rFonts w:cs="Times New Roman"/>
          <w:sz w:val="22"/>
          <w:szCs w:val="22"/>
        </w:rPr>
        <w:t xml:space="preserve">EVs as </w:t>
      </w:r>
      <w:r w:rsidR="00BC4DEE" w:rsidRPr="00E97BC8">
        <w:rPr>
          <w:rFonts w:cs="Times New Roman"/>
          <w:sz w:val="22"/>
          <w:szCs w:val="22"/>
        </w:rPr>
        <w:t xml:space="preserve">being </w:t>
      </w:r>
      <w:r w:rsidR="000734C9" w:rsidRPr="00E97BC8">
        <w:rPr>
          <w:rFonts w:cs="Times New Roman"/>
          <w:sz w:val="22"/>
          <w:szCs w:val="22"/>
        </w:rPr>
        <w:t xml:space="preserve">functionally </w:t>
      </w:r>
      <w:r w:rsidR="00BC4DEE" w:rsidRPr="00E97BC8">
        <w:rPr>
          <w:rFonts w:cs="Times New Roman"/>
          <w:sz w:val="22"/>
          <w:szCs w:val="22"/>
        </w:rPr>
        <w:t xml:space="preserve">competitive with ICEVs. </w:t>
      </w:r>
      <w:r w:rsidR="00D065D6" w:rsidRPr="00E97BC8">
        <w:rPr>
          <w:rFonts w:cs="Times New Roman"/>
          <w:sz w:val="22"/>
          <w:szCs w:val="22"/>
        </w:rPr>
        <w:t xml:space="preserve">However, </w:t>
      </w:r>
      <w:r w:rsidR="005521E1" w:rsidRPr="00E97BC8">
        <w:rPr>
          <w:rFonts w:cs="Times New Roman"/>
          <w:sz w:val="22"/>
          <w:szCs w:val="22"/>
        </w:rPr>
        <w:t xml:space="preserve">this result does not seem to hold for PHEV adoption. </w:t>
      </w:r>
      <w:r w:rsidR="00FD5A32" w:rsidRPr="00E97BC8">
        <w:rPr>
          <w:rFonts w:cs="Times New Roman"/>
          <w:sz w:val="22"/>
          <w:szCs w:val="22"/>
        </w:rPr>
        <w:t xml:space="preserve">VFP does not seem to have a large effect on </w:t>
      </w:r>
      <w:r w:rsidR="00B102AF" w:rsidRPr="00E97BC8">
        <w:rPr>
          <w:rFonts w:cs="Times New Roman"/>
          <w:sz w:val="22"/>
          <w:szCs w:val="22"/>
        </w:rPr>
        <w:t xml:space="preserve">PHEV adoption, possibly because </w:t>
      </w:r>
      <w:r w:rsidR="000845E9" w:rsidRPr="00E97BC8">
        <w:rPr>
          <w:rFonts w:cs="Times New Roman"/>
          <w:sz w:val="22"/>
          <w:szCs w:val="22"/>
        </w:rPr>
        <w:t xml:space="preserve">PHEVs may be </w:t>
      </w:r>
      <w:r w:rsidR="00573E24" w:rsidRPr="00E97BC8">
        <w:rPr>
          <w:rFonts w:cs="Times New Roman"/>
          <w:sz w:val="22"/>
          <w:szCs w:val="22"/>
        </w:rPr>
        <w:t>viewed as more functionally competitive overall</w:t>
      </w:r>
      <w:r w:rsidR="007A09E1" w:rsidRPr="00E97BC8">
        <w:rPr>
          <w:rFonts w:cs="Times New Roman"/>
          <w:sz w:val="22"/>
          <w:szCs w:val="22"/>
        </w:rPr>
        <w:t xml:space="preserve"> with ICEVs</w:t>
      </w:r>
      <w:r w:rsidR="00394F30" w:rsidRPr="00E97BC8">
        <w:rPr>
          <w:rFonts w:cs="Times New Roman"/>
          <w:sz w:val="22"/>
          <w:szCs w:val="22"/>
        </w:rPr>
        <w:t>,</w:t>
      </w:r>
      <w:r w:rsidR="00B102AF" w:rsidRPr="00E97BC8">
        <w:rPr>
          <w:rFonts w:cs="Times New Roman"/>
          <w:sz w:val="22"/>
          <w:szCs w:val="22"/>
        </w:rPr>
        <w:t xml:space="preserve"> as they provide more </w:t>
      </w:r>
      <w:r w:rsidR="00573E24" w:rsidRPr="00E97BC8">
        <w:rPr>
          <w:rFonts w:cs="Times New Roman"/>
          <w:sz w:val="22"/>
          <w:szCs w:val="22"/>
        </w:rPr>
        <w:t xml:space="preserve">flexibility in </w:t>
      </w:r>
      <w:r w:rsidR="00A717CB" w:rsidRPr="00E97BC8">
        <w:rPr>
          <w:rFonts w:cs="Times New Roman"/>
          <w:sz w:val="22"/>
          <w:szCs w:val="22"/>
        </w:rPr>
        <w:t>charging/fueling</w:t>
      </w:r>
      <w:r w:rsidR="00394F30" w:rsidRPr="00E97BC8">
        <w:rPr>
          <w:rFonts w:cs="Times New Roman"/>
          <w:sz w:val="22"/>
          <w:szCs w:val="22"/>
        </w:rPr>
        <w:t xml:space="preserve">, while retaining </w:t>
      </w:r>
      <w:r w:rsidR="002B3FFC" w:rsidRPr="00E97BC8">
        <w:rPr>
          <w:rFonts w:cs="Times New Roman"/>
          <w:sz w:val="22"/>
          <w:szCs w:val="22"/>
        </w:rPr>
        <w:t xml:space="preserve">much of the symbolic appeal of BEVs. </w:t>
      </w:r>
      <w:r w:rsidR="00F340A2" w:rsidRPr="00E97BC8">
        <w:rPr>
          <w:rFonts w:cs="Times New Roman"/>
          <w:sz w:val="22"/>
          <w:szCs w:val="22"/>
        </w:rPr>
        <w:t>I</w:t>
      </w:r>
      <w:r w:rsidR="006B5255" w:rsidRPr="00E97BC8">
        <w:rPr>
          <w:rFonts w:cs="Times New Roman"/>
          <w:sz w:val="22"/>
          <w:szCs w:val="22"/>
        </w:rPr>
        <w:t xml:space="preserve">ndividuals </w:t>
      </w:r>
      <w:r w:rsidR="000734C9" w:rsidRPr="00E97BC8">
        <w:rPr>
          <w:rFonts w:cs="Times New Roman"/>
          <w:sz w:val="22"/>
          <w:szCs w:val="22"/>
        </w:rPr>
        <w:t xml:space="preserve">with high VFP </w:t>
      </w:r>
      <w:r w:rsidR="000311CD" w:rsidRPr="00E97BC8">
        <w:rPr>
          <w:rFonts w:cs="Times New Roman"/>
          <w:sz w:val="22"/>
          <w:szCs w:val="22"/>
        </w:rPr>
        <w:t>appear to be</w:t>
      </w:r>
      <w:r w:rsidR="000734C9" w:rsidRPr="00E97BC8">
        <w:rPr>
          <w:rFonts w:cs="Times New Roman"/>
          <w:sz w:val="22"/>
          <w:szCs w:val="22"/>
        </w:rPr>
        <w:t xml:space="preserve"> drawn toward EVs </w:t>
      </w:r>
      <w:r w:rsidR="00F340A2" w:rsidRPr="00E97BC8">
        <w:rPr>
          <w:rFonts w:cs="Times New Roman"/>
          <w:sz w:val="22"/>
          <w:szCs w:val="22"/>
        </w:rPr>
        <w:t xml:space="preserve">(in general) </w:t>
      </w:r>
      <w:r w:rsidR="000734C9" w:rsidRPr="00E97BC8">
        <w:rPr>
          <w:rFonts w:cs="Times New Roman"/>
          <w:sz w:val="22"/>
          <w:szCs w:val="22"/>
        </w:rPr>
        <w:t xml:space="preserve">because of the ability </w:t>
      </w:r>
      <w:r w:rsidR="006B5255" w:rsidRPr="00E97BC8">
        <w:rPr>
          <w:rFonts w:cs="Times New Roman"/>
          <w:sz w:val="22"/>
          <w:szCs w:val="22"/>
        </w:rPr>
        <w:t>to charge at home</w:t>
      </w:r>
      <w:r w:rsidR="007170C3" w:rsidRPr="00E97BC8">
        <w:rPr>
          <w:rFonts w:cs="Times New Roman"/>
          <w:sz w:val="22"/>
          <w:szCs w:val="22"/>
        </w:rPr>
        <w:t xml:space="preserve"> (which provides </w:t>
      </w:r>
      <w:r w:rsidR="005D030C" w:rsidRPr="00E97BC8">
        <w:rPr>
          <w:rFonts w:cs="Times New Roman"/>
          <w:sz w:val="22"/>
          <w:szCs w:val="22"/>
        </w:rPr>
        <w:t xml:space="preserve">temporal and monetary </w:t>
      </w:r>
      <w:r w:rsidR="00910F7B" w:rsidRPr="00E97BC8">
        <w:rPr>
          <w:rFonts w:cs="Times New Roman"/>
          <w:sz w:val="22"/>
          <w:szCs w:val="22"/>
        </w:rPr>
        <w:t xml:space="preserve">benefits </w:t>
      </w:r>
      <w:r w:rsidR="00DE332E" w:rsidRPr="00E97BC8">
        <w:rPr>
          <w:rFonts w:cs="Times New Roman"/>
          <w:sz w:val="22"/>
          <w:szCs w:val="22"/>
        </w:rPr>
        <w:t>compared with public fueling needed for ICEVs)</w:t>
      </w:r>
      <w:r w:rsidR="00EF25E1" w:rsidRPr="00E97BC8">
        <w:rPr>
          <w:rFonts w:cs="Times New Roman"/>
          <w:sz w:val="22"/>
          <w:szCs w:val="22"/>
        </w:rPr>
        <w:t xml:space="preserve"> </w:t>
      </w:r>
      <w:r w:rsidR="006B5255" w:rsidRPr="00E97BC8">
        <w:rPr>
          <w:rFonts w:cs="Times New Roman"/>
          <w:sz w:val="22"/>
          <w:szCs w:val="22"/>
        </w:rPr>
        <w:t xml:space="preserve">and the ability to take advantage of incentives. In contrast, those who view vehicles as a status symbol </w:t>
      </w:r>
      <w:r w:rsidR="000734C9" w:rsidRPr="00E97BC8">
        <w:rPr>
          <w:rFonts w:cs="Times New Roman"/>
          <w:sz w:val="22"/>
          <w:szCs w:val="22"/>
        </w:rPr>
        <w:t xml:space="preserve">(low VFP) </w:t>
      </w:r>
      <w:r w:rsidR="006B5255" w:rsidRPr="00E97BC8">
        <w:rPr>
          <w:rFonts w:cs="Times New Roman"/>
          <w:sz w:val="22"/>
          <w:szCs w:val="22"/>
        </w:rPr>
        <w:t xml:space="preserve">are </w:t>
      </w:r>
      <w:r w:rsidR="000734C9" w:rsidRPr="00E97BC8">
        <w:rPr>
          <w:rFonts w:cs="Times New Roman"/>
          <w:sz w:val="22"/>
          <w:szCs w:val="22"/>
        </w:rPr>
        <w:t xml:space="preserve">drawn toward EVs </w:t>
      </w:r>
      <w:r w:rsidR="006B5255" w:rsidRPr="00E97BC8">
        <w:rPr>
          <w:rFonts w:cs="Times New Roman"/>
          <w:sz w:val="22"/>
          <w:szCs w:val="22"/>
        </w:rPr>
        <w:t>because of interest in a specific brand or model</w:t>
      </w:r>
      <w:r w:rsidR="000734C9" w:rsidRPr="00E97BC8">
        <w:rPr>
          <w:rFonts w:cs="Times New Roman"/>
          <w:sz w:val="22"/>
          <w:szCs w:val="22"/>
        </w:rPr>
        <w:t xml:space="preserve"> </w:t>
      </w:r>
      <w:r w:rsidR="00000C11" w:rsidRPr="00E97BC8">
        <w:rPr>
          <w:rFonts w:cs="Times New Roman"/>
          <w:sz w:val="22"/>
          <w:szCs w:val="22"/>
        </w:rPr>
        <w:t xml:space="preserve">that </w:t>
      </w:r>
      <w:r w:rsidR="000734C9" w:rsidRPr="00E97BC8">
        <w:rPr>
          <w:rFonts w:cs="Times New Roman"/>
          <w:sz w:val="22"/>
          <w:szCs w:val="22"/>
        </w:rPr>
        <w:t xml:space="preserve">bring with them a perceived social </w:t>
      </w:r>
      <w:r w:rsidR="00000C11" w:rsidRPr="00E97BC8">
        <w:rPr>
          <w:rFonts w:cs="Times New Roman"/>
          <w:sz w:val="22"/>
          <w:szCs w:val="22"/>
        </w:rPr>
        <w:t xml:space="preserve">status </w:t>
      </w:r>
      <w:r w:rsidR="000734C9" w:rsidRPr="00E97BC8">
        <w:rPr>
          <w:rFonts w:cs="Times New Roman"/>
          <w:sz w:val="22"/>
          <w:szCs w:val="22"/>
        </w:rPr>
        <w:t>boost</w:t>
      </w:r>
      <w:r w:rsidR="00000C11" w:rsidRPr="00E97BC8">
        <w:rPr>
          <w:rFonts w:cs="Times New Roman"/>
          <w:sz w:val="22"/>
          <w:szCs w:val="22"/>
        </w:rPr>
        <w:t>.</w:t>
      </w:r>
      <w:r w:rsidR="006C637B" w:rsidRPr="00E97BC8">
        <w:rPr>
          <w:rFonts w:cs="Times New Roman"/>
          <w:sz w:val="22"/>
          <w:szCs w:val="22"/>
        </w:rPr>
        <w:t xml:space="preserve"> The impact of VFP on </w:t>
      </w:r>
      <w:r w:rsidR="004718E8" w:rsidRPr="00E97BC8">
        <w:rPr>
          <w:rFonts w:cs="Times New Roman"/>
          <w:sz w:val="22"/>
          <w:szCs w:val="22"/>
        </w:rPr>
        <w:t xml:space="preserve">the utility of </w:t>
      </w:r>
      <w:r w:rsidR="006C637B" w:rsidRPr="00E97BC8">
        <w:rPr>
          <w:rFonts w:cs="Times New Roman"/>
          <w:sz w:val="22"/>
          <w:szCs w:val="22"/>
        </w:rPr>
        <w:t>EV adoption is</w:t>
      </w:r>
      <w:r w:rsidR="004638C5" w:rsidRPr="00E97BC8">
        <w:rPr>
          <w:rFonts w:cs="Times New Roman"/>
          <w:sz w:val="22"/>
          <w:szCs w:val="22"/>
        </w:rPr>
        <w:t xml:space="preserve"> </w:t>
      </w:r>
      <w:r w:rsidR="006C637B" w:rsidRPr="00E97BC8">
        <w:rPr>
          <w:rFonts w:cs="Times New Roman"/>
          <w:sz w:val="22"/>
          <w:szCs w:val="22"/>
        </w:rPr>
        <w:t xml:space="preserve">stronger for </w:t>
      </w:r>
      <w:r w:rsidR="00970A58" w:rsidRPr="00E97BC8">
        <w:rPr>
          <w:rFonts w:cs="Times New Roman"/>
          <w:sz w:val="22"/>
          <w:szCs w:val="22"/>
        </w:rPr>
        <w:t>older individuals</w:t>
      </w:r>
      <w:r w:rsidR="004638C5" w:rsidRPr="00E97BC8">
        <w:rPr>
          <w:rFonts w:cs="Times New Roman"/>
          <w:sz w:val="22"/>
          <w:szCs w:val="22"/>
        </w:rPr>
        <w:t xml:space="preserve">; that is, for </w:t>
      </w:r>
      <w:r w:rsidR="006147E5" w:rsidRPr="00E97BC8">
        <w:rPr>
          <w:rFonts w:cs="Times New Roman"/>
          <w:sz w:val="22"/>
          <w:szCs w:val="22"/>
        </w:rPr>
        <w:t xml:space="preserve">those with </w:t>
      </w:r>
      <w:r w:rsidR="004638C5" w:rsidRPr="00E97BC8">
        <w:rPr>
          <w:rFonts w:cs="Times New Roman"/>
          <w:sz w:val="22"/>
          <w:szCs w:val="22"/>
        </w:rPr>
        <w:t xml:space="preserve">the same level of VFP, older individuals are less likely to adopt EVs </w:t>
      </w:r>
      <w:r w:rsidR="006147E5" w:rsidRPr="00E97BC8">
        <w:rPr>
          <w:rFonts w:cs="Times New Roman"/>
          <w:sz w:val="22"/>
          <w:szCs w:val="22"/>
        </w:rPr>
        <w:t>relative to</w:t>
      </w:r>
      <w:r w:rsidR="004638C5" w:rsidRPr="00E97BC8">
        <w:rPr>
          <w:rFonts w:cs="Times New Roman"/>
          <w:sz w:val="22"/>
          <w:szCs w:val="22"/>
        </w:rPr>
        <w:t xml:space="preserve"> their younger peers</w:t>
      </w:r>
      <w:r w:rsidR="002341A3" w:rsidRPr="00E97BC8">
        <w:rPr>
          <w:rFonts w:cs="Times New Roman"/>
          <w:sz w:val="22"/>
          <w:szCs w:val="22"/>
        </w:rPr>
        <w:t xml:space="preserve"> (see the top-right graph in Figure 3, which shows the average probability of EV adoption given an individual’s age and level of VFP)</w:t>
      </w:r>
      <w:r w:rsidR="004638C5" w:rsidRPr="00E97BC8">
        <w:rPr>
          <w:rFonts w:cs="Times New Roman"/>
          <w:sz w:val="22"/>
          <w:szCs w:val="22"/>
        </w:rPr>
        <w:t>. As will be discussed later, we did not find any direct effect of age on EV adoption</w:t>
      </w:r>
      <w:r w:rsidR="00910F7B" w:rsidRPr="00E97BC8">
        <w:rPr>
          <w:rFonts w:cs="Times New Roman"/>
          <w:sz w:val="22"/>
          <w:szCs w:val="22"/>
        </w:rPr>
        <w:t xml:space="preserve"> in this sample</w:t>
      </w:r>
      <w:r w:rsidR="004638C5" w:rsidRPr="00E97BC8">
        <w:rPr>
          <w:rFonts w:cs="Times New Roman"/>
          <w:sz w:val="22"/>
          <w:szCs w:val="22"/>
        </w:rPr>
        <w:t>; any effect of age on EV adoption is solely through its interplay with vehicle functionality</w:t>
      </w:r>
      <w:r w:rsidR="00970A58" w:rsidRPr="00E97BC8">
        <w:rPr>
          <w:rFonts w:cs="Times New Roman"/>
          <w:sz w:val="22"/>
          <w:szCs w:val="22"/>
        </w:rPr>
        <w:t xml:space="preserve"> </w:t>
      </w:r>
      <w:r w:rsidR="004638C5" w:rsidRPr="00E97BC8">
        <w:rPr>
          <w:rFonts w:cs="Times New Roman"/>
          <w:sz w:val="22"/>
          <w:szCs w:val="22"/>
        </w:rPr>
        <w:t xml:space="preserve">versus vehicle status perceptions. </w:t>
      </w:r>
      <w:r w:rsidR="006147E5" w:rsidRPr="00E97BC8">
        <w:rPr>
          <w:rFonts w:cs="Times New Roman"/>
          <w:sz w:val="22"/>
          <w:szCs w:val="22"/>
        </w:rPr>
        <w:t>Thus</w:t>
      </w:r>
      <w:r w:rsidR="00FE1CA0" w:rsidRPr="00E97BC8">
        <w:rPr>
          <w:rFonts w:cs="Times New Roman"/>
          <w:sz w:val="22"/>
          <w:szCs w:val="22"/>
        </w:rPr>
        <w:t>, between a younger and older individual, both of whom emphasize functionality (high VFP), older individuals are more likely to stay away from</w:t>
      </w:r>
      <w:r w:rsidR="004638C5" w:rsidRPr="00E97BC8">
        <w:rPr>
          <w:rFonts w:cs="Times New Roman"/>
          <w:sz w:val="22"/>
          <w:szCs w:val="22"/>
        </w:rPr>
        <w:t xml:space="preserve"> </w:t>
      </w:r>
      <w:r w:rsidR="00FE1CA0" w:rsidRPr="00E97BC8">
        <w:rPr>
          <w:rFonts w:cs="Times New Roman"/>
          <w:sz w:val="22"/>
          <w:szCs w:val="22"/>
        </w:rPr>
        <w:t>EV adoption, potentially because of inertia in moving away from the ICEV vehicles they have driven for a long period of time (corresponding to their driving lifespan). However, there is less of a difference between younger and older individuals in their EV adoption tendency for those who view EVs as a status symbol (low VFP).</w:t>
      </w:r>
      <w:r w:rsidR="00E4500E" w:rsidRPr="00E97BC8">
        <w:rPr>
          <w:rFonts w:cs="Times New Roman"/>
          <w:sz w:val="22"/>
          <w:szCs w:val="22"/>
        </w:rPr>
        <w:t xml:space="preserve"> A similar interaction effect is observed with respect to income</w:t>
      </w:r>
      <w:r w:rsidR="002341A3" w:rsidRPr="00E97BC8">
        <w:rPr>
          <w:rFonts w:cs="Times New Roman"/>
          <w:sz w:val="22"/>
          <w:szCs w:val="22"/>
        </w:rPr>
        <w:t xml:space="preserve">  (see the bottom-right graph in Figure 3, which shows the average probability of EV adoption given an individual’s income and </w:t>
      </w:r>
      <w:r w:rsidR="000D41DC" w:rsidRPr="00E97BC8">
        <w:rPr>
          <w:rFonts w:cs="Times New Roman"/>
          <w:sz w:val="22"/>
          <w:szCs w:val="22"/>
        </w:rPr>
        <w:t>level of VFP</w:t>
      </w:r>
      <w:r w:rsidR="002341A3" w:rsidRPr="00E97BC8">
        <w:rPr>
          <w:rFonts w:cs="Times New Roman"/>
          <w:sz w:val="22"/>
          <w:szCs w:val="22"/>
        </w:rPr>
        <w:t>)</w:t>
      </w:r>
      <w:r w:rsidR="00E4500E" w:rsidRPr="00E97BC8">
        <w:rPr>
          <w:rFonts w:cs="Times New Roman"/>
          <w:sz w:val="22"/>
          <w:szCs w:val="22"/>
        </w:rPr>
        <w:t xml:space="preserve">, with </w:t>
      </w:r>
      <w:r w:rsidR="0041295E" w:rsidRPr="00E97BC8">
        <w:rPr>
          <w:rFonts w:cs="Times New Roman"/>
          <w:sz w:val="22"/>
          <w:szCs w:val="22"/>
        </w:rPr>
        <w:t xml:space="preserve">individuals from </w:t>
      </w:r>
      <w:r w:rsidR="00E4500E" w:rsidRPr="00E97BC8">
        <w:rPr>
          <w:rFonts w:cs="Times New Roman"/>
          <w:sz w:val="22"/>
          <w:szCs w:val="22"/>
        </w:rPr>
        <w:t>high</w:t>
      </w:r>
      <w:r w:rsidR="00980177" w:rsidRPr="00E97BC8">
        <w:rPr>
          <w:rFonts w:cs="Times New Roman"/>
          <w:sz w:val="22"/>
          <w:szCs w:val="22"/>
        </w:rPr>
        <w:t>-</w:t>
      </w:r>
      <w:r w:rsidR="00E4500E" w:rsidRPr="00E97BC8">
        <w:rPr>
          <w:rFonts w:cs="Times New Roman"/>
          <w:sz w:val="22"/>
          <w:szCs w:val="22"/>
        </w:rPr>
        <w:t xml:space="preserve">income </w:t>
      </w:r>
      <w:r w:rsidR="0041295E" w:rsidRPr="00E97BC8">
        <w:rPr>
          <w:rFonts w:cs="Times New Roman"/>
          <w:sz w:val="22"/>
          <w:szCs w:val="22"/>
        </w:rPr>
        <w:t>households</w:t>
      </w:r>
      <w:r w:rsidR="004729CD" w:rsidRPr="00E97BC8">
        <w:rPr>
          <w:rFonts w:cs="Times New Roman"/>
          <w:sz w:val="22"/>
          <w:szCs w:val="22"/>
        </w:rPr>
        <w:t xml:space="preserve"> with </w:t>
      </w:r>
      <w:r w:rsidR="00E4500E" w:rsidRPr="00E97BC8">
        <w:rPr>
          <w:rFonts w:cs="Times New Roman"/>
          <w:sz w:val="22"/>
          <w:szCs w:val="22"/>
        </w:rPr>
        <w:t>a high VFP being much more unlikely to adopt EVs relative to their low</w:t>
      </w:r>
      <w:r w:rsidR="00980177" w:rsidRPr="00E97BC8">
        <w:rPr>
          <w:rFonts w:cs="Times New Roman"/>
          <w:sz w:val="22"/>
          <w:szCs w:val="22"/>
        </w:rPr>
        <w:t>-</w:t>
      </w:r>
      <w:r w:rsidR="00E4500E" w:rsidRPr="00E97BC8">
        <w:rPr>
          <w:rFonts w:cs="Times New Roman"/>
          <w:sz w:val="22"/>
          <w:szCs w:val="22"/>
        </w:rPr>
        <w:t xml:space="preserve">income peers with a similar </w:t>
      </w:r>
      <w:r w:rsidR="004729CD" w:rsidRPr="00E97BC8">
        <w:rPr>
          <w:rFonts w:cs="Times New Roman"/>
          <w:sz w:val="22"/>
          <w:szCs w:val="22"/>
        </w:rPr>
        <w:t>high VFP</w:t>
      </w:r>
      <w:r w:rsidR="00E4500E" w:rsidRPr="00E97BC8">
        <w:rPr>
          <w:rFonts w:cs="Times New Roman"/>
          <w:sz w:val="22"/>
          <w:szCs w:val="22"/>
        </w:rPr>
        <w:t xml:space="preserve">, while income differences play much less of a role in EV adoption among individuals who place substantial weight on EV prestige/status considerations (low VFP). </w:t>
      </w:r>
      <w:r w:rsidR="00104CCE" w:rsidRPr="00E97BC8">
        <w:rPr>
          <w:rFonts w:cs="Times New Roman"/>
          <w:sz w:val="22"/>
          <w:szCs w:val="22"/>
        </w:rPr>
        <w:t xml:space="preserve">This finding </w:t>
      </w:r>
      <w:r w:rsidR="008C11E8" w:rsidRPr="00E97BC8">
        <w:rPr>
          <w:rFonts w:cs="Times New Roman"/>
          <w:sz w:val="22"/>
          <w:szCs w:val="22"/>
        </w:rPr>
        <w:t xml:space="preserve">highlights the </w:t>
      </w:r>
      <w:r w:rsidR="0092240B" w:rsidRPr="00E97BC8">
        <w:rPr>
          <w:rFonts w:cs="Times New Roman"/>
          <w:sz w:val="22"/>
          <w:szCs w:val="22"/>
        </w:rPr>
        <w:t xml:space="preserve">successes that EV companies have had in </w:t>
      </w:r>
      <w:r w:rsidR="00E4500E" w:rsidRPr="00E97BC8">
        <w:rPr>
          <w:rFonts w:cs="Times New Roman"/>
          <w:sz w:val="22"/>
          <w:szCs w:val="22"/>
        </w:rPr>
        <w:t>directing</w:t>
      </w:r>
      <w:r w:rsidR="0092240B" w:rsidRPr="00E97BC8">
        <w:rPr>
          <w:rFonts w:cs="Times New Roman"/>
          <w:sz w:val="22"/>
          <w:szCs w:val="22"/>
        </w:rPr>
        <w:t xml:space="preserve"> their</w:t>
      </w:r>
      <w:r w:rsidR="00E4500E" w:rsidRPr="00E97BC8">
        <w:rPr>
          <w:rFonts w:cs="Times New Roman"/>
          <w:sz w:val="22"/>
          <w:szCs w:val="22"/>
        </w:rPr>
        <w:t xml:space="preserve"> information campaigns </w:t>
      </w:r>
      <w:r w:rsidR="003729A0" w:rsidRPr="00E97BC8">
        <w:rPr>
          <w:rFonts w:cs="Times New Roman"/>
          <w:sz w:val="22"/>
          <w:szCs w:val="22"/>
        </w:rPr>
        <w:t xml:space="preserve">to consumers </w:t>
      </w:r>
      <w:r w:rsidR="00E4500E" w:rsidRPr="00E97BC8">
        <w:rPr>
          <w:rFonts w:cs="Times New Roman"/>
          <w:sz w:val="22"/>
          <w:szCs w:val="22"/>
        </w:rPr>
        <w:t xml:space="preserve">based more on </w:t>
      </w:r>
      <w:r w:rsidR="00EC2FB0" w:rsidRPr="00E97BC8">
        <w:rPr>
          <w:rFonts w:cs="Times New Roman"/>
          <w:sz w:val="22"/>
          <w:szCs w:val="22"/>
        </w:rPr>
        <w:t xml:space="preserve">the </w:t>
      </w:r>
      <w:r w:rsidR="001168C3" w:rsidRPr="00E97BC8">
        <w:rPr>
          <w:rFonts w:cs="Times New Roman"/>
          <w:sz w:val="22"/>
          <w:szCs w:val="22"/>
        </w:rPr>
        <w:t xml:space="preserve">status and prestige </w:t>
      </w:r>
      <w:r w:rsidR="00E4500E" w:rsidRPr="00E97BC8">
        <w:rPr>
          <w:rFonts w:cs="Times New Roman"/>
          <w:sz w:val="22"/>
          <w:szCs w:val="22"/>
        </w:rPr>
        <w:t xml:space="preserve">(rather than cost/functionality) </w:t>
      </w:r>
      <w:r w:rsidR="001168C3" w:rsidRPr="00E97BC8">
        <w:rPr>
          <w:rFonts w:cs="Times New Roman"/>
          <w:sz w:val="22"/>
          <w:szCs w:val="22"/>
        </w:rPr>
        <w:t>afforded by owning an EV</w:t>
      </w:r>
      <w:r w:rsidR="00C92D95" w:rsidRPr="00E97BC8">
        <w:rPr>
          <w:rFonts w:cs="Times New Roman"/>
          <w:sz w:val="22"/>
          <w:szCs w:val="22"/>
        </w:rPr>
        <w:t xml:space="preserve"> </w:t>
      </w:r>
      <w:r w:rsidR="00C92D95" w:rsidRPr="00E97BC8">
        <w:rPr>
          <w:rFonts w:cs="Times New Roman"/>
          <w:sz w:val="22"/>
          <w:szCs w:val="22"/>
        </w:rPr>
        <w:fldChar w:fldCharType="begin"/>
      </w:r>
      <w:r w:rsidR="00C92D95" w:rsidRPr="00E97BC8">
        <w:rPr>
          <w:rFonts w:cs="Times New Roman"/>
          <w:sz w:val="22"/>
          <w:szCs w:val="22"/>
        </w:rPr>
        <w:instrText xml:space="preserve"> ADDIN ZOTERO_ITEM CSL_CITATION {"citationID":"0kxSX8X1","properties":{"formattedCitation":"(Noel et al., 2019)","plainCitation":"(Noel et al., 2019)","dontUpdate":true,"noteIndex":0},"citationItems":[{"id":3725,"uris":["http://zotero.org/users/12832277/items/RLPRRW5F"],"itemData":{"id":3725,"type":"article-journal","abstract":"This paper explores how conceptions of luxury and status affect the manner in which a relatively novel technology—an electric vehicle— diffuses across societies. To do so, it combines Veblen’s notion of conspicuous consumption and Roger’s diffusion of innovation by proposing a new theoretical variation, which we term “conspicuous diffusion.” The paper sketches natural connections between the two theories, namely how conspicuous consumption relates to technological and societal development, and how diffusion of innovation is intrinsically connected to status. In combining these approaches, we hypothesize that the success of an innovation is guided by its adherence to the canons of conspicuousness and conspicuous value, which it loses as the innovation diffuses across the population. To illustrate the explanatory power of conspicuous diffusion, we examine the status of electric vehicles in the Nordic region, based on original data from multiple methods, including expert interviews and focus groups. We find that conspicuous diffusion can explain previous failures and current successes of electric vehicle diffusion patterns. The paper concludes with recommendations for policymakers, industry, and academia.","container-title":"Environmental Innovation and Societal Transitions","DOI":"10.1016/j.eist.2018.11.007","ISSN":"2210-4224","page":"154-169","source":"ScienceDirect","title":"Conspicuous Diffusion: Theorizing How Status Drives Innovation in Electric Mobility","volume":"31","author":[{"family":"Noel","given":"Lance"},{"family":"Sovacool","given":"Benjamin K."},{"family":"Kester","given":"Johannes"},{"family":"Zarazua de Rubens","given":"Gerardo"}],"issued":{"date-parts":[["2019",6,1]]}}}],"schema":"https://github.com/citation-style-language/schema/raw/master/csl-citation.json"} </w:instrText>
      </w:r>
      <w:r w:rsidR="00C92D95" w:rsidRPr="00E97BC8">
        <w:rPr>
          <w:rFonts w:cs="Times New Roman"/>
          <w:sz w:val="22"/>
          <w:szCs w:val="22"/>
        </w:rPr>
        <w:fldChar w:fldCharType="separate"/>
      </w:r>
      <w:r w:rsidR="00C92D95" w:rsidRPr="00E97BC8">
        <w:rPr>
          <w:rFonts w:cs="Times New Roman"/>
          <w:sz w:val="22"/>
          <w:szCs w:val="22"/>
        </w:rPr>
        <w:t>(see Noel et al., 2019)</w:t>
      </w:r>
      <w:r w:rsidR="00C92D95" w:rsidRPr="00E97BC8">
        <w:rPr>
          <w:rFonts w:cs="Times New Roman"/>
          <w:sz w:val="22"/>
          <w:szCs w:val="22"/>
        </w:rPr>
        <w:fldChar w:fldCharType="end"/>
      </w:r>
      <w:r w:rsidR="00E4500E" w:rsidRPr="00E97BC8">
        <w:rPr>
          <w:rFonts w:cs="Times New Roman"/>
          <w:sz w:val="22"/>
          <w:szCs w:val="22"/>
        </w:rPr>
        <w:t xml:space="preserve">. </w:t>
      </w:r>
      <w:r w:rsidR="00C92D95" w:rsidRPr="00E97BC8">
        <w:rPr>
          <w:rFonts w:cs="Times New Roman"/>
          <w:sz w:val="22"/>
          <w:szCs w:val="22"/>
        </w:rPr>
        <w:t>In essence, i</w:t>
      </w:r>
      <w:r w:rsidR="00E4500E" w:rsidRPr="00E97BC8">
        <w:rPr>
          <w:rFonts w:cs="Times New Roman"/>
          <w:sz w:val="22"/>
          <w:szCs w:val="22"/>
        </w:rPr>
        <w:t xml:space="preserve">ndividuals who </w:t>
      </w:r>
      <w:r w:rsidR="00C92D95" w:rsidRPr="00E97BC8">
        <w:rPr>
          <w:rFonts w:cs="Times New Roman"/>
          <w:sz w:val="22"/>
          <w:szCs w:val="22"/>
        </w:rPr>
        <w:t xml:space="preserve">view EVs as primarily a </w:t>
      </w:r>
      <w:r w:rsidR="00E4500E" w:rsidRPr="00E97BC8">
        <w:rPr>
          <w:rFonts w:cs="Times New Roman"/>
          <w:sz w:val="22"/>
          <w:szCs w:val="22"/>
        </w:rPr>
        <w:t xml:space="preserve">status </w:t>
      </w:r>
      <w:r w:rsidR="00C92D95" w:rsidRPr="00E97BC8">
        <w:rPr>
          <w:rFonts w:cs="Times New Roman"/>
          <w:sz w:val="22"/>
          <w:szCs w:val="22"/>
        </w:rPr>
        <w:t xml:space="preserve">symbol </w:t>
      </w:r>
      <w:r w:rsidR="00E4500E" w:rsidRPr="00E97BC8">
        <w:rPr>
          <w:rFonts w:cs="Times New Roman"/>
          <w:sz w:val="22"/>
          <w:szCs w:val="22"/>
        </w:rPr>
        <w:t>are</w:t>
      </w:r>
      <w:r w:rsidR="00C92D95" w:rsidRPr="00E97BC8">
        <w:rPr>
          <w:rFonts w:cs="Times New Roman"/>
          <w:sz w:val="22"/>
          <w:szCs w:val="22"/>
        </w:rPr>
        <w:t xml:space="preserve"> </w:t>
      </w:r>
      <w:r w:rsidR="00E4500E" w:rsidRPr="00E97BC8">
        <w:rPr>
          <w:rFonts w:cs="Times New Roman"/>
          <w:sz w:val="22"/>
          <w:szCs w:val="22"/>
        </w:rPr>
        <w:t>uniformly more likely to adopt EVs, regardless of age and income</w:t>
      </w:r>
      <w:r w:rsidR="001168C3" w:rsidRPr="00E97BC8">
        <w:rPr>
          <w:rFonts w:cs="Times New Roman"/>
          <w:sz w:val="22"/>
          <w:szCs w:val="22"/>
        </w:rPr>
        <w:t xml:space="preserve">. </w:t>
      </w:r>
      <w:r w:rsidR="00090BDF" w:rsidRPr="00E97BC8">
        <w:rPr>
          <w:rFonts w:cs="Times New Roman"/>
          <w:sz w:val="22"/>
          <w:szCs w:val="22"/>
        </w:rPr>
        <w:t xml:space="preserve">In contrast, households with children are </w:t>
      </w:r>
      <w:r w:rsidR="00784916" w:rsidRPr="00E97BC8">
        <w:rPr>
          <w:rFonts w:cs="Times New Roman"/>
          <w:sz w:val="22"/>
          <w:szCs w:val="22"/>
        </w:rPr>
        <w:t xml:space="preserve">uniformly </w:t>
      </w:r>
      <w:r w:rsidR="00090BDF" w:rsidRPr="00E97BC8">
        <w:rPr>
          <w:rFonts w:cs="Times New Roman"/>
          <w:sz w:val="22"/>
          <w:szCs w:val="22"/>
        </w:rPr>
        <w:t xml:space="preserve">more likely to buy EVs if they </w:t>
      </w:r>
      <w:r w:rsidR="005D7015" w:rsidRPr="00E97BC8">
        <w:rPr>
          <w:rFonts w:cs="Times New Roman"/>
          <w:sz w:val="22"/>
          <w:szCs w:val="22"/>
        </w:rPr>
        <w:t xml:space="preserve">consider the primary purpose of the vehicle to be functional, highlighting the </w:t>
      </w:r>
      <w:r w:rsidR="000A49F0" w:rsidRPr="00E97BC8">
        <w:rPr>
          <w:rFonts w:cs="Times New Roman"/>
          <w:sz w:val="22"/>
          <w:szCs w:val="22"/>
        </w:rPr>
        <w:t xml:space="preserve">need for </w:t>
      </w:r>
      <w:r w:rsidR="00FE65E9" w:rsidRPr="00E97BC8">
        <w:rPr>
          <w:rFonts w:cs="Times New Roman"/>
          <w:sz w:val="22"/>
          <w:szCs w:val="22"/>
        </w:rPr>
        <w:t xml:space="preserve">manufacturers </w:t>
      </w:r>
      <w:r w:rsidR="000A49F0" w:rsidRPr="00E97BC8">
        <w:rPr>
          <w:rFonts w:cs="Times New Roman"/>
          <w:sz w:val="22"/>
          <w:szCs w:val="22"/>
        </w:rPr>
        <w:t xml:space="preserve">to </w:t>
      </w:r>
      <w:r w:rsidR="00A634E6" w:rsidRPr="00E97BC8">
        <w:rPr>
          <w:rFonts w:cs="Times New Roman"/>
          <w:sz w:val="22"/>
          <w:szCs w:val="22"/>
        </w:rPr>
        <w:t xml:space="preserve">emphasize the </w:t>
      </w:r>
      <w:r w:rsidR="00693ADC" w:rsidRPr="00E97BC8">
        <w:rPr>
          <w:rFonts w:cs="Times New Roman"/>
          <w:sz w:val="22"/>
          <w:szCs w:val="22"/>
        </w:rPr>
        <w:t>practical</w:t>
      </w:r>
      <w:r w:rsidR="00A634E6" w:rsidRPr="00E97BC8">
        <w:rPr>
          <w:rFonts w:cs="Times New Roman"/>
          <w:sz w:val="22"/>
          <w:szCs w:val="22"/>
        </w:rPr>
        <w:t xml:space="preserve"> benefits of EVs to better connect with </w:t>
      </w:r>
      <w:r w:rsidR="00693ADC" w:rsidRPr="00E97BC8">
        <w:rPr>
          <w:rFonts w:cs="Times New Roman"/>
          <w:sz w:val="22"/>
          <w:szCs w:val="22"/>
        </w:rPr>
        <w:t>market segments focused primarily on functionality.</w:t>
      </w:r>
    </w:p>
    <w:p w14:paraId="75C5DECE" w14:textId="78E9EA6B" w:rsidR="00FA7CCF" w:rsidRPr="00E97BC8" w:rsidRDefault="00000C11" w:rsidP="00E85093">
      <w:pPr>
        <w:spacing w:after="0" w:line="240" w:lineRule="auto"/>
        <w:jc w:val="both"/>
        <w:rPr>
          <w:rFonts w:cs="Times New Roman"/>
          <w:b/>
          <w:bCs/>
          <w:sz w:val="22"/>
          <w:szCs w:val="22"/>
        </w:rPr>
      </w:pPr>
      <w:r w:rsidRPr="00E97BC8">
        <w:rPr>
          <w:rFonts w:cs="Times New Roman"/>
          <w:sz w:val="22"/>
          <w:szCs w:val="22"/>
        </w:rPr>
        <w:tab/>
      </w:r>
      <w:r w:rsidR="00E73FB8" w:rsidRPr="00E97BC8">
        <w:rPr>
          <w:rFonts w:cs="Times New Roman"/>
          <w:sz w:val="22"/>
          <w:szCs w:val="22"/>
        </w:rPr>
        <w:t xml:space="preserve">Our analysis also reveals significant impacts of EV perceptions, as both </w:t>
      </w:r>
      <w:r w:rsidR="00CD0B69" w:rsidRPr="00E97BC8">
        <w:rPr>
          <w:rFonts w:cs="Times New Roman"/>
          <w:sz w:val="22"/>
          <w:szCs w:val="22"/>
        </w:rPr>
        <w:t>cost and maintenance perception (</w:t>
      </w:r>
      <w:r w:rsidR="00C62297" w:rsidRPr="00E97BC8">
        <w:rPr>
          <w:rFonts w:cs="Times New Roman"/>
          <w:sz w:val="22"/>
          <w:szCs w:val="22"/>
        </w:rPr>
        <w:t>CMP</w:t>
      </w:r>
      <w:r w:rsidR="00CD0B69" w:rsidRPr="00E97BC8">
        <w:rPr>
          <w:rFonts w:cs="Times New Roman"/>
          <w:sz w:val="22"/>
          <w:szCs w:val="22"/>
        </w:rPr>
        <w:t>)</w:t>
      </w:r>
      <w:r w:rsidR="00C62297" w:rsidRPr="00E97BC8">
        <w:rPr>
          <w:rFonts w:cs="Times New Roman"/>
          <w:sz w:val="22"/>
          <w:szCs w:val="22"/>
        </w:rPr>
        <w:t xml:space="preserve"> and </w:t>
      </w:r>
      <w:r w:rsidR="00CD0B69" w:rsidRPr="00E97BC8">
        <w:rPr>
          <w:rFonts w:cs="Times New Roman"/>
          <w:sz w:val="22"/>
          <w:szCs w:val="22"/>
        </w:rPr>
        <w:t>battery range and charging perception (</w:t>
      </w:r>
      <w:r w:rsidR="00C62297" w:rsidRPr="00E97BC8">
        <w:rPr>
          <w:rFonts w:cs="Times New Roman"/>
          <w:sz w:val="22"/>
          <w:szCs w:val="22"/>
        </w:rPr>
        <w:t>BRP</w:t>
      </w:r>
      <w:r w:rsidR="00CD0B69" w:rsidRPr="00E97BC8">
        <w:rPr>
          <w:rFonts w:cs="Times New Roman"/>
          <w:sz w:val="22"/>
          <w:szCs w:val="22"/>
        </w:rPr>
        <w:t>)</w:t>
      </w:r>
      <w:r w:rsidR="004170DD" w:rsidRPr="00E97BC8">
        <w:rPr>
          <w:rFonts w:cs="Times New Roman"/>
          <w:sz w:val="22"/>
          <w:szCs w:val="22"/>
        </w:rPr>
        <w:t xml:space="preserve"> </w:t>
      </w:r>
      <w:r w:rsidR="00E73FB8" w:rsidRPr="00E97BC8">
        <w:rPr>
          <w:rFonts w:cs="Times New Roman"/>
          <w:sz w:val="22"/>
          <w:szCs w:val="22"/>
        </w:rPr>
        <w:t xml:space="preserve">impact </w:t>
      </w:r>
      <w:r w:rsidR="00C62297" w:rsidRPr="00E97BC8">
        <w:rPr>
          <w:rFonts w:cs="Times New Roman"/>
          <w:sz w:val="22"/>
          <w:szCs w:val="22"/>
        </w:rPr>
        <w:t xml:space="preserve">the utility of </w:t>
      </w:r>
      <w:r w:rsidR="00E73FB8" w:rsidRPr="00E97BC8">
        <w:rPr>
          <w:rFonts w:cs="Times New Roman"/>
          <w:sz w:val="22"/>
          <w:szCs w:val="22"/>
        </w:rPr>
        <w:t>adoption</w:t>
      </w:r>
      <w:r w:rsidR="00EC3C28" w:rsidRPr="00E97BC8">
        <w:rPr>
          <w:rFonts w:cs="Times New Roman"/>
          <w:sz w:val="22"/>
          <w:szCs w:val="22"/>
        </w:rPr>
        <w:t>. Those who perceive EVs to be more cost effective and easier to maintain relative to ICEVs</w:t>
      </w:r>
      <w:r w:rsidR="00C92D95" w:rsidRPr="00E97BC8">
        <w:rPr>
          <w:rFonts w:cs="Times New Roman"/>
          <w:sz w:val="22"/>
          <w:szCs w:val="22"/>
        </w:rPr>
        <w:t xml:space="preserve"> (high CMP)</w:t>
      </w:r>
      <w:r w:rsidR="00EC3C28" w:rsidRPr="00E97BC8">
        <w:rPr>
          <w:rFonts w:cs="Times New Roman"/>
          <w:sz w:val="22"/>
          <w:szCs w:val="22"/>
        </w:rPr>
        <w:t xml:space="preserve"> are more likely to be adopters and </w:t>
      </w:r>
      <w:r w:rsidR="00C92D95" w:rsidRPr="00E97BC8">
        <w:rPr>
          <w:rFonts w:cs="Times New Roman"/>
          <w:sz w:val="22"/>
          <w:szCs w:val="22"/>
        </w:rPr>
        <w:t>are attracted to EVs</w:t>
      </w:r>
      <w:r w:rsidR="00EE7DBC" w:rsidRPr="00E97BC8">
        <w:rPr>
          <w:rFonts w:cs="Times New Roman"/>
          <w:sz w:val="22"/>
          <w:szCs w:val="22"/>
        </w:rPr>
        <w:t xml:space="preserve"> for economic</w:t>
      </w:r>
      <w:r w:rsidR="00C92D95" w:rsidRPr="00E97BC8">
        <w:rPr>
          <w:rFonts w:cs="Times New Roman"/>
          <w:sz w:val="22"/>
          <w:szCs w:val="22"/>
        </w:rPr>
        <w:t xml:space="preserve"> </w:t>
      </w:r>
      <w:r w:rsidR="0078635D" w:rsidRPr="00E97BC8">
        <w:rPr>
          <w:rFonts w:cs="Times New Roman"/>
          <w:sz w:val="22"/>
          <w:szCs w:val="22"/>
        </w:rPr>
        <w:t>reasons (including rising gas prices and the ability to take advantage of incentives</w:t>
      </w:r>
      <w:r w:rsidR="0041295E" w:rsidRPr="00E97BC8">
        <w:rPr>
          <w:rFonts w:cs="Times New Roman"/>
          <w:sz w:val="22"/>
          <w:szCs w:val="22"/>
        </w:rPr>
        <w:t xml:space="preserve">, though, expectedly less so for individuals </w:t>
      </w:r>
      <w:r w:rsidR="00661D78" w:rsidRPr="00E97BC8">
        <w:rPr>
          <w:rFonts w:cs="Times New Roman"/>
          <w:sz w:val="22"/>
          <w:szCs w:val="22"/>
        </w:rPr>
        <w:t>from</w:t>
      </w:r>
      <w:r w:rsidR="0041295E" w:rsidRPr="00E97BC8">
        <w:rPr>
          <w:rFonts w:cs="Times New Roman"/>
          <w:sz w:val="22"/>
          <w:szCs w:val="22"/>
        </w:rPr>
        <w:t xml:space="preserve"> high</w:t>
      </w:r>
      <w:r w:rsidR="00EE7DBC" w:rsidRPr="00E97BC8">
        <w:rPr>
          <w:rFonts w:cs="Times New Roman"/>
          <w:sz w:val="22"/>
          <w:szCs w:val="22"/>
        </w:rPr>
        <w:t>-</w:t>
      </w:r>
      <w:r w:rsidR="0041295E" w:rsidRPr="00E97BC8">
        <w:rPr>
          <w:rFonts w:cs="Times New Roman"/>
          <w:sz w:val="22"/>
          <w:szCs w:val="22"/>
        </w:rPr>
        <w:t>income households relative to those from lower</w:t>
      </w:r>
      <w:r w:rsidR="00EE7DBC" w:rsidRPr="00E97BC8">
        <w:rPr>
          <w:rFonts w:cs="Times New Roman"/>
          <w:sz w:val="22"/>
          <w:szCs w:val="22"/>
        </w:rPr>
        <w:t>-</w:t>
      </w:r>
      <w:r w:rsidR="0041295E" w:rsidRPr="00E97BC8">
        <w:rPr>
          <w:rFonts w:cs="Times New Roman"/>
          <w:sz w:val="22"/>
          <w:szCs w:val="22"/>
        </w:rPr>
        <w:t>income households</w:t>
      </w:r>
      <w:r w:rsidR="0078635D" w:rsidRPr="00E97BC8">
        <w:rPr>
          <w:rFonts w:cs="Times New Roman"/>
          <w:sz w:val="22"/>
          <w:szCs w:val="22"/>
        </w:rPr>
        <w:t>)</w:t>
      </w:r>
      <w:r w:rsidR="002400C6" w:rsidRPr="00E97BC8">
        <w:rPr>
          <w:rFonts w:cs="Times New Roman"/>
          <w:sz w:val="22"/>
          <w:szCs w:val="22"/>
        </w:rPr>
        <w:t xml:space="preserve">, as well as interest in the technology and ability </w:t>
      </w:r>
      <w:r w:rsidR="002400C6" w:rsidRPr="00E97BC8">
        <w:rPr>
          <w:rFonts w:cs="Times New Roman"/>
          <w:sz w:val="22"/>
          <w:szCs w:val="22"/>
        </w:rPr>
        <w:lastRenderedPageBreak/>
        <w:t>to charge at home</w:t>
      </w:r>
      <w:r w:rsidR="00C37420" w:rsidRPr="00E97BC8">
        <w:rPr>
          <w:rFonts w:cs="Times New Roman"/>
          <w:sz w:val="22"/>
          <w:szCs w:val="22"/>
        </w:rPr>
        <w:t xml:space="preserve">. </w:t>
      </w:r>
      <w:r w:rsidR="0010518D" w:rsidRPr="00E97BC8">
        <w:rPr>
          <w:rFonts w:cs="Times New Roman"/>
          <w:sz w:val="22"/>
          <w:szCs w:val="22"/>
        </w:rPr>
        <w:t xml:space="preserve">The overall effect of CMP on EV adoption </w:t>
      </w:r>
      <w:r w:rsidR="00CD0B69" w:rsidRPr="00E97BC8">
        <w:rPr>
          <w:rFonts w:cs="Times New Roman"/>
          <w:sz w:val="22"/>
          <w:szCs w:val="22"/>
        </w:rPr>
        <w:t xml:space="preserve">is </w:t>
      </w:r>
      <w:r w:rsidR="0010518D" w:rsidRPr="00E97BC8">
        <w:rPr>
          <w:rFonts w:cs="Times New Roman"/>
          <w:sz w:val="22"/>
          <w:szCs w:val="22"/>
        </w:rPr>
        <w:t>even stronger for PHEVs</w:t>
      </w:r>
      <w:r w:rsidR="00B03977" w:rsidRPr="00E97BC8">
        <w:rPr>
          <w:rFonts w:cs="Times New Roman"/>
          <w:sz w:val="22"/>
          <w:szCs w:val="22"/>
        </w:rPr>
        <w:t xml:space="preserve"> </w:t>
      </w:r>
      <w:r w:rsidR="00CD0B69" w:rsidRPr="00E97BC8">
        <w:rPr>
          <w:rFonts w:cs="Times New Roman"/>
          <w:sz w:val="22"/>
          <w:szCs w:val="22"/>
        </w:rPr>
        <w:t>relative to</w:t>
      </w:r>
      <w:r w:rsidR="00B03977" w:rsidRPr="00E97BC8">
        <w:rPr>
          <w:rFonts w:cs="Times New Roman"/>
          <w:sz w:val="22"/>
          <w:szCs w:val="22"/>
        </w:rPr>
        <w:t xml:space="preserve"> BEVs</w:t>
      </w:r>
      <w:r w:rsidR="00726C7E" w:rsidRPr="00E97BC8">
        <w:rPr>
          <w:rFonts w:cs="Times New Roman"/>
          <w:sz w:val="22"/>
          <w:szCs w:val="22"/>
        </w:rPr>
        <w:t>. This may be because PHEV</w:t>
      </w:r>
      <w:r w:rsidR="00430491" w:rsidRPr="00E97BC8">
        <w:rPr>
          <w:rFonts w:cs="Times New Roman"/>
          <w:sz w:val="22"/>
          <w:szCs w:val="22"/>
        </w:rPr>
        <w:t xml:space="preserve">s are more similar to </w:t>
      </w:r>
      <w:r w:rsidR="00B03977" w:rsidRPr="00E97BC8">
        <w:rPr>
          <w:rFonts w:cs="Times New Roman"/>
          <w:sz w:val="22"/>
          <w:szCs w:val="22"/>
        </w:rPr>
        <w:t xml:space="preserve">traditional </w:t>
      </w:r>
      <w:r w:rsidR="00430491" w:rsidRPr="00E97BC8">
        <w:rPr>
          <w:rFonts w:cs="Times New Roman"/>
          <w:sz w:val="22"/>
          <w:szCs w:val="22"/>
        </w:rPr>
        <w:t xml:space="preserve">ICEVs, so </w:t>
      </w:r>
      <w:r w:rsidR="00CD0B69" w:rsidRPr="00E97BC8">
        <w:rPr>
          <w:rFonts w:cs="Times New Roman"/>
          <w:sz w:val="22"/>
          <w:szCs w:val="22"/>
        </w:rPr>
        <w:t xml:space="preserve">that cost-effectiveness </w:t>
      </w:r>
      <w:r w:rsidR="00C47ACD" w:rsidRPr="00E97BC8">
        <w:rPr>
          <w:rFonts w:cs="Times New Roman"/>
          <w:sz w:val="22"/>
          <w:szCs w:val="22"/>
        </w:rPr>
        <w:t xml:space="preserve">matters more for PHEV acceptance. </w:t>
      </w:r>
      <w:r w:rsidR="00C92D95" w:rsidRPr="00E97BC8">
        <w:rPr>
          <w:rFonts w:cs="Times New Roman"/>
          <w:sz w:val="22"/>
          <w:szCs w:val="22"/>
        </w:rPr>
        <w:t xml:space="preserve">Families with children </w:t>
      </w:r>
      <w:r w:rsidR="007A0FD5" w:rsidRPr="00E97BC8">
        <w:rPr>
          <w:rFonts w:cs="Times New Roman"/>
          <w:sz w:val="22"/>
          <w:szCs w:val="22"/>
        </w:rPr>
        <w:t xml:space="preserve">also </w:t>
      </w:r>
      <w:r w:rsidR="00C92D95" w:rsidRPr="00E97BC8">
        <w:rPr>
          <w:rFonts w:cs="Times New Roman"/>
          <w:sz w:val="22"/>
          <w:szCs w:val="22"/>
        </w:rPr>
        <w:t xml:space="preserve">place much more of a premium on CMP </w:t>
      </w:r>
      <w:r w:rsidR="0041295E" w:rsidRPr="00E97BC8">
        <w:rPr>
          <w:rFonts w:cs="Times New Roman"/>
          <w:sz w:val="22"/>
          <w:szCs w:val="22"/>
        </w:rPr>
        <w:t xml:space="preserve">in their EV adoption propensity </w:t>
      </w:r>
      <w:r w:rsidR="00C92D95" w:rsidRPr="00E97BC8">
        <w:rPr>
          <w:rFonts w:cs="Times New Roman"/>
          <w:sz w:val="22"/>
          <w:szCs w:val="22"/>
        </w:rPr>
        <w:t>relative to families without children</w:t>
      </w:r>
      <w:r w:rsidR="0041295E" w:rsidRPr="00E97BC8">
        <w:rPr>
          <w:rFonts w:cs="Times New Roman"/>
          <w:sz w:val="22"/>
          <w:szCs w:val="22"/>
        </w:rPr>
        <w:t>, suggesting that any awareness campaigns with an EV cost-effectiveness and hassle-free maintenance emphasis would be more effective if directed toward families with children</w:t>
      </w:r>
      <w:r w:rsidR="00C92D95" w:rsidRPr="00E97BC8">
        <w:rPr>
          <w:rFonts w:cs="Times New Roman"/>
          <w:sz w:val="22"/>
          <w:szCs w:val="22"/>
        </w:rPr>
        <w:t xml:space="preserve">. </w:t>
      </w:r>
      <w:r w:rsidR="00C37420" w:rsidRPr="00E97BC8">
        <w:rPr>
          <w:rFonts w:cs="Times New Roman"/>
          <w:sz w:val="22"/>
          <w:szCs w:val="22"/>
        </w:rPr>
        <w:t xml:space="preserve">Finally, those with </w:t>
      </w:r>
      <w:r w:rsidR="00A02810" w:rsidRPr="00E97BC8">
        <w:rPr>
          <w:rFonts w:cs="Times New Roman"/>
          <w:sz w:val="22"/>
          <w:szCs w:val="22"/>
        </w:rPr>
        <w:t xml:space="preserve">positive perceptions of EV battery technology and </w:t>
      </w:r>
      <w:r w:rsidR="004F4EFA" w:rsidRPr="00E97BC8">
        <w:rPr>
          <w:rFonts w:cs="Times New Roman"/>
          <w:sz w:val="22"/>
          <w:szCs w:val="22"/>
        </w:rPr>
        <w:t>range</w:t>
      </w:r>
      <w:r w:rsidR="00A02810" w:rsidRPr="00E97BC8">
        <w:rPr>
          <w:rFonts w:cs="Times New Roman"/>
          <w:sz w:val="22"/>
          <w:szCs w:val="22"/>
        </w:rPr>
        <w:t xml:space="preserve"> </w:t>
      </w:r>
      <w:r w:rsidR="004729CD" w:rsidRPr="00E97BC8">
        <w:rPr>
          <w:rFonts w:cs="Times New Roman"/>
          <w:sz w:val="22"/>
          <w:szCs w:val="22"/>
        </w:rPr>
        <w:t xml:space="preserve">(high BRP) </w:t>
      </w:r>
      <w:r w:rsidR="00A02810" w:rsidRPr="00E97BC8">
        <w:rPr>
          <w:rFonts w:cs="Times New Roman"/>
          <w:sz w:val="22"/>
          <w:szCs w:val="22"/>
        </w:rPr>
        <w:t>are more likely to adopt</w:t>
      </w:r>
      <w:r w:rsidR="004F4EFA" w:rsidRPr="00E97BC8">
        <w:rPr>
          <w:rFonts w:cs="Times New Roman"/>
          <w:sz w:val="22"/>
          <w:szCs w:val="22"/>
        </w:rPr>
        <w:t xml:space="preserve"> EVs</w:t>
      </w:r>
      <w:r w:rsidR="004729CD" w:rsidRPr="00E97BC8">
        <w:rPr>
          <w:rFonts w:cs="Times New Roman"/>
          <w:sz w:val="22"/>
          <w:szCs w:val="22"/>
        </w:rPr>
        <w:t xml:space="preserve">. The main motivating factors for such individuals in terms of draw toward EVs is </w:t>
      </w:r>
      <w:r w:rsidR="00A02810" w:rsidRPr="00E97BC8">
        <w:rPr>
          <w:rFonts w:cs="Times New Roman"/>
          <w:sz w:val="22"/>
          <w:szCs w:val="22"/>
        </w:rPr>
        <w:t xml:space="preserve">personal experience through test drives and </w:t>
      </w:r>
      <w:r w:rsidR="004F4EFA" w:rsidRPr="00E97BC8">
        <w:rPr>
          <w:rFonts w:cs="Times New Roman"/>
          <w:sz w:val="22"/>
          <w:szCs w:val="22"/>
        </w:rPr>
        <w:t>because they heard about EVs from family members o</w:t>
      </w:r>
      <w:r w:rsidR="004B2F36" w:rsidRPr="00E97BC8">
        <w:rPr>
          <w:rFonts w:cs="Times New Roman"/>
          <w:sz w:val="22"/>
          <w:szCs w:val="22"/>
        </w:rPr>
        <w:t>r</w:t>
      </w:r>
      <w:r w:rsidR="004F4EFA" w:rsidRPr="00E97BC8">
        <w:rPr>
          <w:rFonts w:cs="Times New Roman"/>
          <w:sz w:val="22"/>
          <w:szCs w:val="22"/>
        </w:rPr>
        <w:t xml:space="preserve"> friends. This result suggests that experience with </w:t>
      </w:r>
      <w:r w:rsidR="004729CD" w:rsidRPr="00E97BC8">
        <w:rPr>
          <w:rFonts w:cs="Times New Roman"/>
          <w:sz w:val="22"/>
          <w:szCs w:val="22"/>
        </w:rPr>
        <w:t xml:space="preserve">EV </w:t>
      </w:r>
      <w:r w:rsidR="00486259" w:rsidRPr="00E97BC8">
        <w:rPr>
          <w:rFonts w:cs="Times New Roman"/>
          <w:sz w:val="22"/>
          <w:szCs w:val="22"/>
        </w:rPr>
        <w:t xml:space="preserve">technology may </w:t>
      </w:r>
      <w:r w:rsidR="00B67530" w:rsidRPr="00E97BC8">
        <w:rPr>
          <w:rFonts w:cs="Times New Roman"/>
          <w:sz w:val="22"/>
          <w:szCs w:val="22"/>
        </w:rPr>
        <w:t>serve as</w:t>
      </w:r>
      <w:r w:rsidR="00486259" w:rsidRPr="00E97BC8">
        <w:rPr>
          <w:rFonts w:cs="Times New Roman"/>
          <w:sz w:val="22"/>
          <w:szCs w:val="22"/>
        </w:rPr>
        <w:t xml:space="preserve"> an important tool to </w:t>
      </w:r>
      <w:r w:rsidR="00836C75" w:rsidRPr="00E97BC8">
        <w:rPr>
          <w:rFonts w:cs="Times New Roman"/>
          <w:sz w:val="22"/>
          <w:szCs w:val="22"/>
        </w:rPr>
        <w:t xml:space="preserve">alleviate range anxiety, </w:t>
      </w:r>
      <w:r w:rsidR="00791861" w:rsidRPr="00E97BC8">
        <w:rPr>
          <w:rFonts w:cs="Times New Roman"/>
          <w:sz w:val="22"/>
          <w:szCs w:val="22"/>
        </w:rPr>
        <w:t xml:space="preserve">possibly </w:t>
      </w:r>
      <w:r w:rsidR="00B67530" w:rsidRPr="00E97BC8">
        <w:rPr>
          <w:rFonts w:cs="Times New Roman"/>
          <w:sz w:val="22"/>
          <w:szCs w:val="22"/>
        </w:rPr>
        <w:t xml:space="preserve">providing </w:t>
      </w:r>
      <w:r w:rsidR="00485F51" w:rsidRPr="00E97BC8">
        <w:rPr>
          <w:rFonts w:cs="Times New Roman"/>
          <w:sz w:val="22"/>
          <w:szCs w:val="22"/>
        </w:rPr>
        <w:t>familiarity with</w:t>
      </w:r>
      <w:r w:rsidR="00B67530" w:rsidRPr="00E97BC8">
        <w:rPr>
          <w:rFonts w:cs="Times New Roman"/>
          <w:sz w:val="22"/>
          <w:szCs w:val="22"/>
        </w:rPr>
        <w:t xml:space="preserve"> </w:t>
      </w:r>
      <w:r w:rsidR="00791861" w:rsidRPr="00E97BC8">
        <w:rPr>
          <w:rFonts w:cs="Times New Roman"/>
          <w:sz w:val="22"/>
          <w:szCs w:val="22"/>
        </w:rPr>
        <w:t>EV range and knowledge of charging stations</w:t>
      </w:r>
      <w:r w:rsidR="000805E6" w:rsidRPr="00E97BC8">
        <w:rPr>
          <w:rFonts w:cs="Times New Roman"/>
          <w:sz w:val="22"/>
          <w:szCs w:val="22"/>
        </w:rPr>
        <w:t xml:space="preserve"> that helps to ease these concerns</w:t>
      </w:r>
      <w:r w:rsidR="002165A7" w:rsidRPr="00E97BC8">
        <w:rPr>
          <w:rFonts w:cs="Times New Roman"/>
          <w:sz w:val="22"/>
          <w:szCs w:val="22"/>
        </w:rPr>
        <w:t xml:space="preserve"> </w:t>
      </w:r>
      <w:r w:rsidR="00F56839" w:rsidRPr="00E97BC8">
        <w:rPr>
          <w:rFonts w:cs="Times New Roman"/>
          <w:sz w:val="22"/>
          <w:szCs w:val="22"/>
        </w:rPr>
        <w:fldChar w:fldCharType="begin"/>
      </w:r>
      <w:r w:rsidR="00F56839" w:rsidRPr="00E97BC8">
        <w:rPr>
          <w:rFonts w:cs="Times New Roman"/>
          <w:sz w:val="22"/>
          <w:szCs w:val="22"/>
        </w:rPr>
        <w:instrText xml:space="preserve"> ADDIN ZOTERO_ITEM CSL_CITATION {"citationID":"Iqu6Hvhz","properties":{"formattedCitation":"(Rauh et al., 2015)","plainCitation":"(Rauh et al., 2015)","noteIndex":0},"citationItems":[{"id":3728,"uris":["http://zotero.org/users/12832277/items/NB7YS3V9"],"itemData":{"id":3728,"type":"article-journal","abstract":"Objective:The objective of the present research was to increase understanding of the phenomenon of range anxiety and to determine the degree to which practical experience with battery electric vehicles (BEVs) reduces different levels of range anxiety.Background:Limited range is a challenge for BEV users. A frequently discussed phenomenon in this context is range anxiety. There is some evidence suggesting that range anxiety might be a problem only for inexperienced BEV drivers and, therefore, might decrease with practical experience.Method:We compared 12 motorists with high BEV driving experience (M = 60,500 km) with 12 motorists who had never driven a BEV before. The test drive was designed to lead to a critical range situation (remaining range &lt; trip length). We examined range appraisal and range stress (i.e., range anxiety) on different levels (cognitive, emotional, and behavioral).Results:Experienced BEV drivers exhibited less negative range appraisal and range anxiety than inexperienced BEV drivers, revealing significant, strong effects for all but one variable.Conclusion:Hence, BEV driving experience (defined as absolute kilometers driven with a BEV) seems to be one important variable that predicts less range anxiety.Application:In order to reduce range anxiety in BEV drivers even when there is a critical range situation, it is important to increase efficiency and effectiveness of the learning process.","container-title":"Human Factors","DOI":"10.1177/0018720814546372","ISSN":"0018-7208","issue":"1","language":"en","note":"publisher: SAGE Publications Inc","page":"177-187","source":"SAGE Journals","title":"Understanding the Impact of Electric Vehicle Driving Experience on Range Anxiety","volume":"57","author":[{"family":"Rauh","given":"Nadine"},{"family":"Franke","given":"Thomas"},{"family":"Krems","given":"Josef F."}],"issued":{"date-parts":[["2015",2,1]]}}}],"schema":"https://github.com/citation-style-language/schema/raw/master/csl-citation.json"} </w:instrText>
      </w:r>
      <w:r w:rsidR="00F56839" w:rsidRPr="00E97BC8">
        <w:rPr>
          <w:rFonts w:cs="Times New Roman"/>
          <w:sz w:val="22"/>
          <w:szCs w:val="22"/>
        </w:rPr>
        <w:fldChar w:fldCharType="separate"/>
      </w:r>
      <w:r w:rsidR="001E6A07" w:rsidRPr="00E97BC8">
        <w:rPr>
          <w:rFonts w:cs="Times New Roman"/>
          <w:sz w:val="22"/>
          <w:szCs w:val="22"/>
        </w:rPr>
        <w:t>(Rauh et al., 2015)</w:t>
      </w:r>
      <w:r w:rsidR="00F56839" w:rsidRPr="00E97BC8">
        <w:rPr>
          <w:rFonts w:cs="Times New Roman"/>
          <w:sz w:val="22"/>
          <w:szCs w:val="22"/>
        </w:rPr>
        <w:fldChar w:fldCharType="end"/>
      </w:r>
      <w:r w:rsidR="00543CB5" w:rsidRPr="00E97BC8">
        <w:rPr>
          <w:rFonts w:cs="Times New Roman"/>
          <w:sz w:val="22"/>
          <w:szCs w:val="22"/>
        </w:rPr>
        <w:t xml:space="preserve">. These individuals are also more likely to cite interest in a specific brand or model, likely because charging availability </w:t>
      </w:r>
      <w:r w:rsidR="002717FD" w:rsidRPr="00E97BC8">
        <w:rPr>
          <w:rFonts w:cs="Times New Roman"/>
          <w:sz w:val="22"/>
          <w:szCs w:val="22"/>
        </w:rPr>
        <w:t xml:space="preserve">is </w:t>
      </w:r>
      <w:r w:rsidR="00543CB5" w:rsidRPr="00E97BC8">
        <w:rPr>
          <w:rFonts w:cs="Times New Roman"/>
          <w:sz w:val="22"/>
          <w:szCs w:val="22"/>
        </w:rPr>
        <w:t xml:space="preserve">impacted significantly by </w:t>
      </w:r>
      <w:r w:rsidR="007F25F5" w:rsidRPr="00E97BC8">
        <w:rPr>
          <w:rFonts w:cs="Times New Roman"/>
          <w:sz w:val="22"/>
          <w:szCs w:val="22"/>
        </w:rPr>
        <w:t>EV brand and the types of charging stations that are available in different areas, leading to an interest in specific EV brands with higher charging availability</w:t>
      </w:r>
      <w:r w:rsidR="00A23F91" w:rsidRPr="00E97BC8">
        <w:rPr>
          <w:rFonts w:cs="Times New Roman"/>
          <w:sz w:val="22"/>
          <w:szCs w:val="22"/>
        </w:rPr>
        <w:t xml:space="preserve"> </w:t>
      </w:r>
      <w:r w:rsidR="00BF1CF2" w:rsidRPr="00E97BC8">
        <w:rPr>
          <w:rFonts w:cs="Times New Roman"/>
          <w:sz w:val="22"/>
          <w:szCs w:val="22"/>
        </w:rPr>
        <w:fldChar w:fldCharType="begin"/>
      </w:r>
      <w:r w:rsidR="00BF1CF2" w:rsidRPr="00E97BC8">
        <w:rPr>
          <w:rFonts w:cs="Times New Roman"/>
          <w:sz w:val="22"/>
          <w:szCs w:val="22"/>
        </w:rPr>
        <w:instrText xml:space="preserve"> ADDIN ZOTERO_ITEM CSL_CITATION {"citationID":"QkHBoNny","properties":{"formattedCitation":"(Haustein et al., 2021)","plainCitation":"(Haustein et al., 2021)","noteIndex":0},"citationItems":[{"id":2745,"uris":["http://zotero.org/users/12832277/items/VS7UF2IT"],"itemData":{"id":2745,"type":"article-journal","abstract":"Countries worldwide are trying to increase the share of battery electric vehicles (BEVs) to reach environmental goals. As part of these efforts, the EU project GREAT installed new fast chargers in Denmark and Sweden and provided possibilities to test BEVs and inform about them. To monitor changes in attitudes and behaviours and to estimate the impact of project activities, surveys with BEV and conventional car users were conducted in 2017, 2018, and 2019. We found that attitudes and driving behaviour of BEV users and non-users remained quite stable. While car users in Denmark and Sweden showed similar profiles, one exception was a more negative evaluation of and higher uncertainty about political support for BEVs by Danes. Modelling purchase intention, we found a significant effect of the new fast chargers in Denmark but not in Sweden, while the opposite was the case for information campaigns. Lifestyle compatibility and symbolic-affective attitudes were relevant for BEV adoption in both countries. For cross-border trips, the most relevant factor was whether people had a Tesla or not, reflecting the better driving range and fast charging infrastructure. An increase of charging infrastructure, clearer policy signals and symbolic-affective marketing are discussed as ways to increase BEV adoption.","container-title":"Energy Policy","DOI":"10.1016/j.enpol.2020.112096","ISSN":"0301-4215","source":"ScienceDirect","title":"Battery Electric Vehicle Adoption in Denmark and Sweden: Recent Changes, Related Factors and Policy Implications","URL":"https://www.sciencedirect.com/science/article/pii/S0301421520308077","volume":"149","author":[{"family":"Haustein","given":"Sonja"},{"family":"Jensen","given":"Anders Fjendbo"},{"family":"Cherchi","given":"Elisabetta"}],"accessed":{"date-parts":[["2024",2,28]]},"issued":{"date-parts":[["2021",2,1]]}}}],"schema":"https://github.com/citation-style-language/schema/raw/master/csl-citation.json"} </w:instrText>
      </w:r>
      <w:r w:rsidR="00BF1CF2" w:rsidRPr="00E97BC8">
        <w:rPr>
          <w:rFonts w:cs="Times New Roman"/>
          <w:sz w:val="22"/>
          <w:szCs w:val="22"/>
        </w:rPr>
        <w:fldChar w:fldCharType="separate"/>
      </w:r>
      <w:r w:rsidR="001E6A07" w:rsidRPr="00E97BC8">
        <w:rPr>
          <w:rFonts w:cs="Times New Roman"/>
          <w:sz w:val="22"/>
          <w:szCs w:val="22"/>
        </w:rPr>
        <w:t>(Haustein et al., 2021)</w:t>
      </w:r>
      <w:r w:rsidR="00BF1CF2" w:rsidRPr="00E97BC8">
        <w:rPr>
          <w:rFonts w:cs="Times New Roman"/>
          <w:sz w:val="22"/>
          <w:szCs w:val="22"/>
        </w:rPr>
        <w:fldChar w:fldCharType="end"/>
      </w:r>
      <w:r w:rsidR="007F25F5" w:rsidRPr="00E97BC8">
        <w:rPr>
          <w:rFonts w:cs="Times New Roman"/>
          <w:sz w:val="22"/>
          <w:szCs w:val="22"/>
        </w:rPr>
        <w:t xml:space="preserve">. </w:t>
      </w:r>
      <w:r w:rsidR="00054BDA" w:rsidRPr="00E97BC8">
        <w:rPr>
          <w:rFonts w:cs="Times New Roman"/>
          <w:sz w:val="22"/>
          <w:szCs w:val="22"/>
        </w:rPr>
        <w:t xml:space="preserve">The effects of BRP on EV adoption are stronger for those living in multifamily </w:t>
      </w:r>
      <w:r w:rsidR="0065147D" w:rsidRPr="00E97BC8">
        <w:rPr>
          <w:rFonts w:cs="Times New Roman"/>
          <w:sz w:val="22"/>
          <w:szCs w:val="22"/>
        </w:rPr>
        <w:t xml:space="preserve">(attached) </w:t>
      </w:r>
      <w:r w:rsidR="00054BDA" w:rsidRPr="00E97BC8">
        <w:rPr>
          <w:rFonts w:cs="Times New Roman"/>
          <w:sz w:val="22"/>
          <w:szCs w:val="22"/>
        </w:rPr>
        <w:t>homes</w:t>
      </w:r>
      <w:r w:rsidR="0065147D" w:rsidRPr="00E97BC8">
        <w:rPr>
          <w:rFonts w:cs="Times New Roman"/>
          <w:sz w:val="22"/>
          <w:szCs w:val="22"/>
        </w:rPr>
        <w:t xml:space="preserve"> or apartments</w:t>
      </w:r>
      <w:r w:rsidR="007E7C33" w:rsidRPr="00E97BC8">
        <w:rPr>
          <w:rFonts w:cs="Times New Roman"/>
          <w:sz w:val="22"/>
          <w:szCs w:val="22"/>
        </w:rPr>
        <w:t>. This is an intuitive result given that these families generally have fewer home charging options, so may be more reliant on (and thus, more influenced by the availability of) public charging infrastructure</w:t>
      </w:r>
      <w:r w:rsidR="00280F7B" w:rsidRPr="00E97BC8">
        <w:rPr>
          <w:rFonts w:cs="Times New Roman"/>
          <w:sz w:val="22"/>
          <w:szCs w:val="22"/>
        </w:rPr>
        <w:t xml:space="preserve"> </w:t>
      </w:r>
      <w:r w:rsidR="00207B16" w:rsidRPr="00E97BC8">
        <w:rPr>
          <w:rFonts w:cs="Times New Roman"/>
          <w:b/>
          <w:bCs/>
          <w:sz w:val="22"/>
          <w:szCs w:val="22"/>
        </w:rPr>
        <w:fldChar w:fldCharType="begin"/>
      </w:r>
      <w:r w:rsidR="00D2120B" w:rsidRPr="00E97BC8">
        <w:rPr>
          <w:rFonts w:cs="Times New Roman"/>
          <w:b/>
          <w:bCs/>
          <w:sz w:val="22"/>
          <w:szCs w:val="22"/>
        </w:rPr>
        <w:instrText xml:space="preserve"> ADDIN ZOTERO_ITEM CSL_CITATION {"citationID":"5sTLwRB5","properties":{"unsorted":true,"formattedCitation":"(Lee et al., 2020; Kuby et al., 2024)","plainCitation":"(Lee et al., 2020; Kuby et al., 2024)","noteIndex":0},"citationItems":[{"id":3713,"uris":["http://zotero.org/users/12832277/items/VRM2YRWR"],"itemData":{"id":3713,"type":"article-journal","abstract":"This paper examines the charging behavior of 7,979 plug-in electric vehicle (PEV) owners in California. The study investigates where people charge be it at home, at work, or at public location, and the level of charging they use including level 1, level 2, or DC fast charging. While plug-in behavior can differ among PEV owners based on their travel patterns, preferences, and access to infrastructure studies often make generalizations about charging behavior. In this study, we explore differences in charging behavior among different types of PEV owners based on their use of charging locations and levels, we then identify factors associated with PEV owner’s choice of charging location and charging level. We identified socio-demographic (gender and age), vehicle characteristics, commute behavior, and workplace charging availability as significant factors related to the choice of charging location.","container-title":"Transportation Research Part D: Transport and Environment","DOI":"10.1016/j.trd.2020.102249","ISSN":"1361-9209","source":"ScienceDirect","title":"Exploring Electric Vehicle Charging Patterns: Mixed Usage of Charging Infrastructure","URL":"https://www.sciencedirect.com/science/article/pii/S136192091831099X","volume":"79","author":[{"family":"Lee","given":"Jae Hyun"},{"family":"Chakraborty","given":"Debapriya"},{"family":"Hardman","given":"Scott J."},{"family":"Tal","given":"Gil"}],"accessed":{"date-parts":[["2024",10,13]]},"issued":{"date-parts":[["2020",2,1]]}}},{"id":3935,"uris":["http://zotero.org/users/12832277/items/PIPKQI5H"],"itemData":{"id":3935,"type":"article","abstract":"Scholarship on electric vehicles (EVs) and charging infrastructure increased rapidly in the early 2000s, with a focus on early adopters and developing an initial network of stations. Researchers have widely acknowledged, but infrequently studied, the challenges of charging EVs at multifamily housing (MFH). As researchers and practitioners began to focus on equity concerns in the 2010s, some turned their attention to the home-charging needs of MFH residents. On this subject, the non-peer-reviewed “grey” literature, consisting of reports from university centers, national labs, nongovernmental organizations (NGOs), consultants, and government agencies has advanced faster and farther than peer-reviewed articles. Because few peer-reviewed papers focus entirely on EV charging at MFH, this review includes studies of charging infrastructure that include MFH and studies of EV adoption that address how the lack of home charging hampers equitable EV adoption. In this emerging research area, we review 102 documents for evidence on the charging gap, methods of studying that gap, barriers, and solutions.","DOI":"10.2139/ssrn.4831189","event-place":"Rochester, NY","genre":"SSRN Scholarly Paper","language":"en","number":"4831189","publisher":"Social Science Research Network","publisher-place":"Rochester, NY","source":"papers.ssrn.com","title":"Electric Vehicle Charging for Multifamily Housing: Review of Evidence, Methods, Barriers, and Opportunities","title-short":"Electric Vehicle Charging for Multifamily Housing","URL":"https://papers.ssrn.com/abstract=4831189","author":[{"family":"Kuby","given":"Mike"},{"family":"Cordova-Cruzatty","given":"Andrea"},{"family":"Parker","given":"Nathan C."},{"family":"King","given":"David A."}],"accessed":{"date-parts":[["2024",12,4]]},"issued":{"date-parts":[["2024",2,5]]}}}],"schema":"https://github.com/citation-style-language/schema/raw/master/csl-citation.json"} </w:instrText>
      </w:r>
      <w:r w:rsidR="00207B16" w:rsidRPr="00E97BC8">
        <w:rPr>
          <w:rFonts w:cs="Times New Roman"/>
          <w:b/>
          <w:bCs/>
          <w:sz w:val="22"/>
          <w:szCs w:val="22"/>
        </w:rPr>
        <w:fldChar w:fldCharType="separate"/>
      </w:r>
      <w:r w:rsidR="00D2120B" w:rsidRPr="00E97BC8">
        <w:rPr>
          <w:rFonts w:cs="Times New Roman"/>
          <w:sz w:val="22"/>
          <w:szCs w:val="22"/>
        </w:rPr>
        <w:t>(Lee et al., 2020; Kuby et al., 2024)</w:t>
      </w:r>
      <w:r w:rsidR="00207B16" w:rsidRPr="00E97BC8">
        <w:rPr>
          <w:rFonts w:cs="Times New Roman"/>
          <w:b/>
          <w:bCs/>
          <w:sz w:val="22"/>
          <w:szCs w:val="22"/>
        </w:rPr>
        <w:fldChar w:fldCharType="end"/>
      </w:r>
      <w:r w:rsidR="007E7C33" w:rsidRPr="00E97BC8">
        <w:rPr>
          <w:rFonts w:cs="Times New Roman"/>
          <w:sz w:val="22"/>
          <w:szCs w:val="22"/>
        </w:rPr>
        <w:t xml:space="preserve">. </w:t>
      </w:r>
    </w:p>
    <w:p w14:paraId="03FE9287" w14:textId="33279E44" w:rsidR="004729CD" w:rsidRPr="00E97BC8" w:rsidRDefault="004729CD" w:rsidP="00E85093">
      <w:pPr>
        <w:spacing w:after="0" w:line="240" w:lineRule="auto"/>
        <w:ind w:firstLine="720"/>
        <w:jc w:val="both"/>
        <w:rPr>
          <w:rFonts w:cs="Times New Roman"/>
          <w:sz w:val="22"/>
          <w:szCs w:val="22"/>
        </w:rPr>
      </w:pPr>
      <w:r w:rsidRPr="00E97BC8">
        <w:rPr>
          <w:rFonts w:cs="Times New Roman"/>
          <w:sz w:val="22"/>
          <w:szCs w:val="22"/>
        </w:rPr>
        <w:t>A general note is in order here about the effect</w:t>
      </w:r>
      <w:r w:rsidR="00F66678" w:rsidRPr="00E97BC8">
        <w:rPr>
          <w:rFonts w:cs="Times New Roman"/>
          <w:sz w:val="22"/>
          <w:szCs w:val="22"/>
        </w:rPr>
        <w:t>s</w:t>
      </w:r>
      <w:r w:rsidRPr="00E97BC8">
        <w:rPr>
          <w:rFonts w:cs="Times New Roman"/>
          <w:sz w:val="22"/>
          <w:szCs w:val="22"/>
        </w:rPr>
        <w:t xml:space="preserve"> of demographics. The effects of gender</w:t>
      </w:r>
      <w:r w:rsidR="00973FA6" w:rsidRPr="00E97BC8">
        <w:rPr>
          <w:rFonts w:cs="Times New Roman"/>
          <w:sz w:val="22"/>
          <w:szCs w:val="22"/>
        </w:rPr>
        <w:t xml:space="preserve"> and </w:t>
      </w:r>
      <w:r w:rsidRPr="00E97BC8">
        <w:rPr>
          <w:rFonts w:cs="Times New Roman"/>
          <w:sz w:val="22"/>
          <w:szCs w:val="22"/>
        </w:rPr>
        <w:t>ag</w:t>
      </w:r>
      <w:r w:rsidR="00973FA6" w:rsidRPr="00E97BC8">
        <w:rPr>
          <w:rFonts w:cs="Times New Roman"/>
          <w:sz w:val="22"/>
          <w:szCs w:val="22"/>
        </w:rPr>
        <w:t xml:space="preserve">e </w:t>
      </w:r>
      <w:r w:rsidR="00F66678" w:rsidRPr="00E97BC8">
        <w:rPr>
          <w:rFonts w:cs="Times New Roman"/>
          <w:sz w:val="22"/>
          <w:szCs w:val="22"/>
        </w:rPr>
        <w:t xml:space="preserve">on EV adoption </w:t>
      </w:r>
      <w:r w:rsidRPr="00E97BC8">
        <w:rPr>
          <w:rFonts w:cs="Times New Roman"/>
          <w:sz w:val="22"/>
          <w:szCs w:val="22"/>
        </w:rPr>
        <w:t xml:space="preserve">are through their interaction effects with latent constructs, rather than as direct effects (see </w:t>
      </w:r>
      <w:r w:rsidR="009A040F" w:rsidRPr="00E97BC8">
        <w:rPr>
          <w:rFonts w:cs="Times New Roman"/>
          <w:sz w:val="22"/>
          <w:szCs w:val="22"/>
        </w:rPr>
        <w:t xml:space="preserve">the </w:t>
      </w:r>
      <w:r w:rsidRPr="00E97BC8">
        <w:rPr>
          <w:rFonts w:cs="Times New Roman"/>
          <w:sz w:val="22"/>
          <w:szCs w:val="22"/>
        </w:rPr>
        <w:t>next section). On the other hand, many studies that consider attitudes/lifestyles in the form of latent constructs introduce such constructs purely as main effect</w:t>
      </w:r>
      <w:r w:rsidR="00973FA6" w:rsidRPr="00E97BC8">
        <w:rPr>
          <w:rFonts w:cs="Times New Roman"/>
          <w:sz w:val="22"/>
          <w:szCs w:val="22"/>
        </w:rPr>
        <w:t>s</w:t>
      </w:r>
      <w:r w:rsidRPr="00E97BC8">
        <w:rPr>
          <w:rFonts w:cs="Times New Roman"/>
          <w:sz w:val="22"/>
          <w:szCs w:val="22"/>
        </w:rPr>
        <w:t xml:space="preserve"> on the outcomes of interest. Our results suggest the importance of exploring interaction effects of latent constructs with individual/household-level variables, as also discussed at length in Bhat </w:t>
      </w:r>
      <w:r w:rsidR="005303DE" w:rsidRPr="00E97BC8">
        <w:rPr>
          <w:rFonts w:cs="Times New Roman"/>
          <w:sz w:val="22"/>
          <w:szCs w:val="22"/>
        </w:rPr>
        <w:t xml:space="preserve">and Mondal </w:t>
      </w:r>
      <w:r w:rsidR="00B623D5" w:rsidRPr="00E97BC8">
        <w:rPr>
          <w:rFonts w:cs="Times New Roman"/>
          <w:sz w:val="22"/>
          <w:szCs w:val="22"/>
        </w:rPr>
        <w:fldChar w:fldCharType="begin"/>
      </w:r>
      <w:r w:rsidR="000A0D4A" w:rsidRPr="00E97BC8">
        <w:rPr>
          <w:rFonts w:cs="Times New Roman"/>
          <w:sz w:val="22"/>
          <w:szCs w:val="22"/>
        </w:rPr>
        <w:instrText xml:space="preserve"> ADDIN ZOTERO_ITEM CSL_CITATION {"citationID":"8g0ngRvX","properties":{"formattedCitation":"(2022)","plainCitation":"(2022)","noteIndex":0},"citationItems":[{"id":4051,"uris":["http://zotero.org/users/12832277/items/RBMKTPVN","http://zotero.org/users/12832277/items/DS2ZYJFT"],"itemData":{"id":4051,"type":"article-journal","abstract":"There is growing interest in multivariate dependent outcome models that include a mixture of different kinds of discrete and continuous variables. This may be attributed to at least two reasons. The first is the ability to generate multivariate distributions through the use of relatively flexible copula-based methods and/or effective factorization techniques for the covariance matrices. The second is the development of computationally efficient ways to estimate models based on variational methods for Bayesian inference or maximum approximate composite marginal likelihood methods for frequentist inference. However, there are two important assumptions in earlier mixed data models: (i) marginal normality of unobserved factors that generate jointness among the main outcome variables of interest, and (ii) independence between the unobserved factors and the propensity equations underlying the main outcomes of interest. In the current paper, we simultaneously relax both these assumptions and develop a flexible Generalized Heterogeneous Data Model (GHDM) for mixed data modeling. We then propose a hybrid MSL-MACML inference approach for estimation. We demonstrate an application of our proposed model in the context of individuals’ high-density residential neighborhood living choice and monthly bicycling frequency. The empirical results highlight the benefits of our proposed methodology, both from a policy standpoint as well as a predictive data fit standpoint.","container-title":"Transportation Research Part B: Methodological","DOI":"10.1016/j.trb.2022.09.004","ISSN":"0191-2615","page":"244-266","source":"ScienceDirect","title":"A New Flexible Generalized Heterogeneous Data Model (GHDM) with an Application to Examine the Effect of High Density Neighborhood Living on Bicycling Frequency","volume":"164","author":[{"family":"Bhat","given":"Chandra R."},{"family":"Mondal","given":"Aupal"}],"issued":{"date-parts":[["2022",10,1]]}},"label":"page","suppress-author":true}],"schema":"https://github.com/citation-style-language/schema/raw/master/csl-citation.json"} </w:instrText>
      </w:r>
      <w:r w:rsidR="00B623D5" w:rsidRPr="00E97BC8">
        <w:rPr>
          <w:rFonts w:cs="Times New Roman"/>
          <w:sz w:val="22"/>
          <w:szCs w:val="22"/>
        </w:rPr>
        <w:fldChar w:fldCharType="separate"/>
      </w:r>
      <w:r w:rsidR="000A0D4A" w:rsidRPr="00E97BC8">
        <w:rPr>
          <w:rFonts w:cs="Times New Roman"/>
          <w:sz w:val="22"/>
          <w:szCs w:val="22"/>
        </w:rPr>
        <w:t>(2022)</w:t>
      </w:r>
      <w:r w:rsidR="00B623D5" w:rsidRPr="00E97BC8">
        <w:rPr>
          <w:rFonts w:cs="Times New Roman"/>
          <w:sz w:val="22"/>
          <w:szCs w:val="22"/>
        </w:rPr>
        <w:fldChar w:fldCharType="end"/>
      </w:r>
      <w:r w:rsidRPr="00E97BC8">
        <w:rPr>
          <w:rFonts w:cs="Times New Roman"/>
          <w:sz w:val="22"/>
          <w:szCs w:val="22"/>
        </w:rPr>
        <w:t xml:space="preserve">. </w:t>
      </w:r>
    </w:p>
    <w:p w14:paraId="75243CD9" w14:textId="77777777" w:rsidR="004729CD" w:rsidRPr="00E97BC8" w:rsidRDefault="004729CD" w:rsidP="00E85093">
      <w:pPr>
        <w:spacing w:after="0" w:line="240" w:lineRule="auto"/>
        <w:jc w:val="both"/>
        <w:rPr>
          <w:rFonts w:cs="Times New Roman"/>
          <w:sz w:val="22"/>
          <w:szCs w:val="22"/>
        </w:rPr>
      </w:pPr>
    </w:p>
    <w:p w14:paraId="457BF1A2" w14:textId="3D9C1EAE" w:rsidR="00F3547C" w:rsidRPr="00E97BC8" w:rsidRDefault="00E04C51" w:rsidP="00E85093">
      <w:pPr>
        <w:spacing w:after="0" w:line="240" w:lineRule="auto"/>
        <w:jc w:val="both"/>
        <w:rPr>
          <w:rFonts w:cs="Times New Roman"/>
          <w:i/>
          <w:iCs/>
          <w:sz w:val="22"/>
          <w:szCs w:val="22"/>
        </w:rPr>
      </w:pPr>
      <w:r w:rsidRPr="00E97BC8">
        <w:rPr>
          <w:rFonts w:cs="Times New Roman"/>
          <w:b/>
          <w:bCs/>
          <w:i/>
          <w:iCs/>
          <w:sz w:val="22"/>
          <w:szCs w:val="22"/>
        </w:rPr>
        <w:t>4.2.2 Effects of Individual Demographics</w:t>
      </w:r>
    </w:p>
    <w:p w14:paraId="7C0AC3C0" w14:textId="4CE8C696" w:rsidR="00973FF4" w:rsidRPr="00E97BC8" w:rsidRDefault="00036A73" w:rsidP="00E85093">
      <w:pPr>
        <w:spacing w:after="0" w:line="240" w:lineRule="auto"/>
        <w:jc w:val="both"/>
        <w:rPr>
          <w:rFonts w:cs="Times New Roman"/>
          <w:sz w:val="22"/>
          <w:szCs w:val="22"/>
        </w:rPr>
      </w:pPr>
      <w:r w:rsidRPr="00E97BC8">
        <w:rPr>
          <w:rFonts w:cs="Times New Roman"/>
          <w:sz w:val="22"/>
          <w:szCs w:val="22"/>
        </w:rPr>
        <w:t xml:space="preserve">The effects of the exogenous variables shown in Table 4 provide the direct effects of the variables, beyond the indirect effects through the latent constructs. </w:t>
      </w:r>
      <w:r w:rsidR="00D2370F" w:rsidRPr="00E97BC8">
        <w:rPr>
          <w:rFonts w:cs="Times New Roman"/>
          <w:sz w:val="22"/>
          <w:szCs w:val="22"/>
        </w:rPr>
        <w:t xml:space="preserve">After accounting for the indirect effects, </w:t>
      </w:r>
      <w:r w:rsidR="00331B2D" w:rsidRPr="00E97BC8">
        <w:rPr>
          <w:rFonts w:cs="Times New Roman"/>
          <w:sz w:val="22"/>
          <w:szCs w:val="22"/>
        </w:rPr>
        <w:t>we</w:t>
      </w:r>
      <w:r w:rsidR="009C44FB" w:rsidRPr="00E97BC8">
        <w:rPr>
          <w:rFonts w:cs="Times New Roman"/>
          <w:sz w:val="22"/>
          <w:szCs w:val="22"/>
        </w:rPr>
        <w:t xml:space="preserve"> find</w:t>
      </w:r>
      <w:r w:rsidR="00331B2D" w:rsidRPr="00E97BC8">
        <w:rPr>
          <w:rFonts w:cs="Times New Roman"/>
          <w:sz w:val="22"/>
          <w:szCs w:val="22"/>
        </w:rPr>
        <w:t xml:space="preserve"> </w:t>
      </w:r>
      <w:r w:rsidR="009C44FB" w:rsidRPr="00E97BC8">
        <w:rPr>
          <w:rFonts w:cs="Times New Roman"/>
          <w:sz w:val="22"/>
          <w:szCs w:val="22"/>
        </w:rPr>
        <w:t>no</w:t>
      </w:r>
      <w:r w:rsidR="00331B2D" w:rsidRPr="00E97BC8">
        <w:rPr>
          <w:rFonts w:cs="Times New Roman"/>
          <w:sz w:val="22"/>
          <w:szCs w:val="22"/>
        </w:rPr>
        <w:t xml:space="preserve"> additional difference in overall </w:t>
      </w:r>
      <w:r w:rsidR="009E0AF9" w:rsidRPr="00E97BC8">
        <w:rPr>
          <w:rFonts w:cs="Times New Roman"/>
          <w:sz w:val="22"/>
          <w:szCs w:val="22"/>
        </w:rPr>
        <w:t>propensity to purchase EVs between men and women. However, men</w:t>
      </w:r>
      <w:r w:rsidR="00F66678" w:rsidRPr="00E97BC8">
        <w:rPr>
          <w:rFonts w:cs="Times New Roman"/>
          <w:sz w:val="22"/>
          <w:szCs w:val="22"/>
        </w:rPr>
        <w:t>, in general,</w:t>
      </w:r>
      <w:r w:rsidR="009E0AF9" w:rsidRPr="00E97BC8">
        <w:rPr>
          <w:rFonts w:cs="Times New Roman"/>
          <w:sz w:val="22"/>
          <w:szCs w:val="22"/>
        </w:rPr>
        <w:t xml:space="preserve"> </w:t>
      </w:r>
      <w:r w:rsidR="00F66678" w:rsidRPr="00E97BC8">
        <w:rPr>
          <w:rFonts w:cs="Times New Roman"/>
          <w:sz w:val="22"/>
          <w:szCs w:val="22"/>
        </w:rPr>
        <w:t>are</w:t>
      </w:r>
      <w:r w:rsidR="00973FA6" w:rsidRPr="00E97BC8">
        <w:rPr>
          <w:rFonts w:cs="Times New Roman"/>
          <w:sz w:val="22"/>
          <w:szCs w:val="22"/>
        </w:rPr>
        <w:t xml:space="preserve"> </w:t>
      </w:r>
      <w:r w:rsidR="00F66678" w:rsidRPr="00E97BC8">
        <w:rPr>
          <w:rFonts w:cs="Times New Roman"/>
          <w:sz w:val="22"/>
          <w:szCs w:val="22"/>
        </w:rPr>
        <w:t xml:space="preserve">drawn toward EVs because of </w:t>
      </w:r>
      <w:r w:rsidR="0006784A" w:rsidRPr="00E97BC8">
        <w:rPr>
          <w:rFonts w:cs="Times New Roman"/>
          <w:sz w:val="22"/>
          <w:szCs w:val="22"/>
        </w:rPr>
        <w:t>interest in the technology and the ability to charge at home</w:t>
      </w:r>
      <w:r w:rsidR="00671063" w:rsidRPr="00E97BC8">
        <w:rPr>
          <w:rFonts w:cs="Times New Roman"/>
          <w:sz w:val="22"/>
          <w:szCs w:val="22"/>
        </w:rPr>
        <w:t xml:space="preserve">, consistent with the EV literature </w:t>
      </w:r>
      <w:r w:rsidR="00532E77" w:rsidRPr="00E97BC8">
        <w:rPr>
          <w:rFonts w:cs="Times New Roman"/>
          <w:sz w:val="22"/>
          <w:szCs w:val="22"/>
        </w:rPr>
        <w:fldChar w:fldCharType="begin"/>
      </w:r>
      <w:r w:rsidR="00532E77" w:rsidRPr="00E97BC8">
        <w:rPr>
          <w:rFonts w:cs="Times New Roman"/>
          <w:sz w:val="22"/>
          <w:szCs w:val="22"/>
        </w:rPr>
        <w:instrText xml:space="preserve"> ADDIN ZOTERO_ITEM CSL_CITATION {"citationID":"CdxqPTYY","properties":{"unsorted":true,"formattedCitation":"(Wang et al., 2021; Salari, 2022)","plainCitation":"(Wang et al., 2021; Salari, 2022)","noteIndex":0},"citationItems":[{"id":2787,"uris":["http://zotero.org/users/12832277/items/YMB88MDV"],"itemData":{"id":2787,"type":"article-journal","abstract":"The global diffusion of battery electric vehicles (BEVs), a sustainable technological innovation, has been challenging, and thus, it has attracted a considerable amount of academic research interest. Previous studies have investigated the mechanism of government policies and consumer psychological factors, but they have neglected consumers' perceptions of incentive policies and consumer social attributes. Therefore, the current study integrates incentive policy perceptions and consumer social attributes into the research model. The model constructs a “perception-attitude-behavior” research framework for analyzing the influence of these factors on consumers' BEV attitudes and purchase intentions. The results of structural equation modeling analysis based on 261 potential buyers show the heterogeneity of the influence of consumers' perceptions of financial incentive policies, perceptions of information provision policies and perceptions of convenience policies on BEV attitudes and purchase intentions. In addition, three variables of consumer social attributes (environmental concerns, social norms, and face consciousness) are more influential than policy perceptions. BEV attitudes are the most important predictor of BEV purchase intentions. In addition, based on a multigroup test, a moderating effect of gender is found. Finally, this paper discusses theoretical and practical implications and future research.","container-title":"Energy Policy","DOI":"10.1016/j.enpol.2021.112163","ISSN":"0301-4215","source":"ScienceDirect","title":"The Influences of Incentive Policy Perceptions and Consumer Social Attributes on Battery Electric Vehicle Purchase Intentions","URL":"https://www.sciencedirect.com/science/article/pii/S030142152100032X","volume":"151","author":[{"family":"Wang","given":"Xiao-Wu"},{"family":"Cao","given":"Yu-Mei"},{"family":"Zhang","given":"Ning"}],"accessed":{"date-parts":[["2024",2,29]]},"issued":{"date-parts":[["2021",4,1]]}}},{"id":3758,"uris":["http://zotero.org/users/12832277/items/YTBSGEFU"],"itemData":{"id":3758,"type":"article-journal","abstract":"Since the introduction of Electric Vehicles (EVs) into the consumer market, the most important question has been how to persuade people to adopt this product. This is a very challenging mission for the industry and governments due to the nature of the product. It is a revolutionary innovation which means that it imposes major shifts in driving behaviour. The adoption rate however is slowly growing worldwide. Previous studies have shed light on the mechanism in which consumers express willingness to purchase EVs, mainly from the perspective of instrumental attributes (the perceived functional aspects of EVs) and the environmentalism values. This paper includes some behavioural traits to previous prediction models as plausible drivers to purchase EVs: Technology Readiness Index (TRI), and Desire for Unique Consumer Products (DUCP). These traits were synthesised with the aforementioned instrumental attributes and environmentalism values to offer a broad perspective on what drives the purchase intention of EVs. This study was conducted in the UK through intercept survey, with a sample size of 336 individuals. The results suggest that TRI, manifested through innovativeness and insecurity towards technology, is a significant driver of EV purchase intention. In addition, three instrumental factors, namely driving range, convenience, and fuel costs, were found as significant predictors. Unlike previous studies that suggest EVs should be targeted towards environmentalist consumers, this study found weaker support for this claim. DUCP was also not found to be a significant factor, contrary to previous findings. The term EV in this article refers to battery-powered electric vehicle (BEV), which are fully electric vehicles with chargeable batteries.","container-title":"Transportation Research Part A: Policy and Practice","DOI":"10.1016/j.tra.2022.07.009","ISSN":"0965-8564","journalAbbreviation":"Transportation Research Part A: Policy and Practice","page":"60-81","source":"ScienceDirect","title":"Electric Vehicles Adoption Behaviour: Synthesising the Technology Readiness Index with Environmentalism Values and Instrumental Attributes","volume":"164","author":[{"family":"Salari","given":"Nasir"}],"issued":{"date-parts":[["2022",10,1]]}}}],"schema":"https://github.com/citation-style-language/schema/raw/master/csl-citation.json"} </w:instrText>
      </w:r>
      <w:r w:rsidR="00532E77" w:rsidRPr="00E97BC8">
        <w:rPr>
          <w:rFonts w:cs="Times New Roman"/>
          <w:sz w:val="22"/>
          <w:szCs w:val="22"/>
        </w:rPr>
        <w:fldChar w:fldCharType="separate"/>
      </w:r>
      <w:r w:rsidR="001E6A07" w:rsidRPr="00E97BC8">
        <w:rPr>
          <w:rFonts w:cs="Times New Roman"/>
          <w:sz w:val="22"/>
          <w:szCs w:val="22"/>
        </w:rPr>
        <w:t>(Wang et al., 2021; Salari, 2022)</w:t>
      </w:r>
      <w:r w:rsidR="00532E77" w:rsidRPr="00E97BC8">
        <w:rPr>
          <w:rFonts w:cs="Times New Roman"/>
          <w:sz w:val="22"/>
          <w:szCs w:val="22"/>
        </w:rPr>
        <w:fldChar w:fldCharType="end"/>
      </w:r>
      <w:r w:rsidR="0006784A" w:rsidRPr="00E97BC8">
        <w:rPr>
          <w:rFonts w:cs="Times New Roman"/>
          <w:sz w:val="22"/>
          <w:szCs w:val="22"/>
        </w:rPr>
        <w:t xml:space="preserve">. </w:t>
      </w:r>
      <w:r w:rsidR="00935E05" w:rsidRPr="00E97BC8">
        <w:rPr>
          <w:rFonts w:cs="Times New Roman"/>
          <w:sz w:val="22"/>
          <w:szCs w:val="22"/>
        </w:rPr>
        <w:t xml:space="preserve">Similarly, after accounting for the latent construct effects </w:t>
      </w:r>
      <w:r w:rsidR="00AA5E46" w:rsidRPr="00E97BC8">
        <w:rPr>
          <w:rFonts w:cs="Times New Roman"/>
          <w:sz w:val="22"/>
          <w:szCs w:val="22"/>
        </w:rPr>
        <w:t xml:space="preserve">and interactions, </w:t>
      </w:r>
      <w:r w:rsidR="00935E05" w:rsidRPr="00E97BC8">
        <w:rPr>
          <w:rFonts w:cs="Times New Roman"/>
          <w:sz w:val="22"/>
          <w:szCs w:val="22"/>
        </w:rPr>
        <w:t>there</w:t>
      </w:r>
      <w:r w:rsidR="00F66678" w:rsidRPr="00E97BC8">
        <w:rPr>
          <w:rFonts w:cs="Times New Roman"/>
          <w:sz w:val="22"/>
          <w:szCs w:val="22"/>
        </w:rPr>
        <w:t xml:space="preserve"> is no </w:t>
      </w:r>
      <w:r w:rsidR="00935E05" w:rsidRPr="00E97BC8">
        <w:rPr>
          <w:rFonts w:cs="Times New Roman"/>
          <w:sz w:val="22"/>
          <w:szCs w:val="22"/>
        </w:rPr>
        <w:t>direct effect of age</w:t>
      </w:r>
      <w:r w:rsidR="00AA5E46" w:rsidRPr="00E97BC8">
        <w:rPr>
          <w:rFonts w:cs="Times New Roman"/>
          <w:sz w:val="22"/>
          <w:szCs w:val="22"/>
        </w:rPr>
        <w:t xml:space="preserve"> on EV adoption. However, </w:t>
      </w:r>
      <w:r w:rsidR="00F66678" w:rsidRPr="00E97BC8">
        <w:rPr>
          <w:rFonts w:cs="Times New Roman"/>
          <w:sz w:val="22"/>
          <w:szCs w:val="22"/>
        </w:rPr>
        <w:t xml:space="preserve">older individuals are </w:t>
      </w:r>
      <w:r w:rsidR="00973FA6" w:rsidRPr="00E97BC8">
        <w:rPr>
          <w:rFonts w:cs="Times New Roman"/>
          <w:sz w:val="22"/>
          <w:szCs w:val="22"/>
        </w:rPr>
        <w:t xml:space="preserve">more </w:t>
      </w:r>
      <w:r w:rsidR="00F66678" w:rsidRPr="00E97BC8">
        <w:rPr>
          <w:rFonts w:cs="Times New Roman"/>
          <w:sz w:val="22"/>
          <w:szCs w:val="22"/>
        </w:rPr>
        <w:t xml:space="preserve">drawn to EVs (relative to their younger peers) due to </w:t>
      </w:r>
      <w:r w:rsidR="0031294D" w:rsidRPr="00E97BC8">
        <w:rPr>
          <w:rFonts w:cs="Times New Roman"/>
          <w:sz w:val="22"/>
          <w:szCs w:val="22"/>
        </w:rPr>
        <w:t>government incentives</w:t>
      </w:r>
      <w:r w:rsidR="00F66678" w:rsidRPr="00E97BC8">
        <w:rPr>
          <w:rFonts w:cs="Times New Roman"/>
          <w:sz w:val="22"/>
          <w:szCs w:val="22"/>
        </w:rPr>
        <w:t xml:space="preserve"> for EV purchase</w:t>
      </w:r>
      <w:r w:rsidR="0031294D" w:rsidRPr="00E97BC8">
        <w:rPr>
          <w:rFonts w:cs="Times New Roman"/>
          <w:sz w:val="22"/>
          <w:szCs w:val="22"/>
        </w:rPr>
        <w:t xml:space="preserve">, </w:t>
      </w:r>
      <w:r w:rsidR="00F66678" w:rsidRPr="00E97BC8">
        <w:rPr>
          <w:rFonts w:cs="Times New Roman"/>
          <w:sz w:val="22"/>
          <w:szCs w:val="22"/>
        </w:rPr>
        <w:t xml:space="preserve">interest in a specific </w:t>
      </w:r>
      <w:r w:rsidR="0031294D" w:rsidRPr="00E97BC8">
        <w:rPr>
          <w:rFonts w:cs="Times New Roman"/>
          <w:sz w:val="22"/>
          <w:szCs w:val="22"/>
        </w:rPr>
        <w:t xml:space="preserve">brand, </w:t>
      </w:r>
      <w:r w:rsidR="00F66678" w:rsidRPr="00E97BC8">
        <w:rPr>
          <w:rFonts w:cs="Times New Roman"/>
          <w:sz w:val="22"/>
          <w:szCs w:val="22"/>
        </w:rPr>
        <w:t>and</w:t>
      </w:r>
      <w:r w:rsidR="0031294D" w:rsidRPr="00E97BC8">
        <w:rPr>
          <w:rFonts w:cs="Times New Roman"/>
          <w:sz w:val="22"/>
          <w:szCs w:val="22"/>
        </w:rPr>
        <w:t xml:space="preserve"> positive test-drive experiences. Th</w:t>
      </w:r>
      <w:r w:rsidR="00B55452" w:rsidRPr="00E97BC8">
        <w:rPr>
          <w:rFonts w:cs="Times New Roman"/>
          <w:sz w:val="22"/>
          <w:szCs w:val="22"/>
        </w:rPr>
        <w:t>ese</w:t>
      </w:r>
      <w:r w:rsidR="0031294D" w:rsidRPr="00E97BC8">
        <w:rPr>
          <w:rFonts w:cs="Times New Roman"/>
          <w:sz w:val="22"/>
          <w:szCs w:val="22"/>
        </w:rPr>
        <w:t xml:space="preserve"> finding</w:t>
      </w:r>
      <w:r w:rsidR="00B55452" w:rsidRPr="00E97BC8">
        <w:rPr>
          <w:rFonts w:cs="Times New Roman"/>
          <w:sz w:val="22"/>
          <w:szCs w:val="22"/>
        </w:rPr>
        <w:t>s</w:t>
      </w:r>
      <w:r w:rsidR="0031294D" w:rsidRPr="00E97BC8">
        <w:rPr>
          <w:rFonts w:cs="Times New Roman"/>
          <w:sz w:val="22"/>
          <w:szCs w:val="22"/>
        </w:rPr>
        <w:t xml:space="preserve"> </w:t>
      </w:r>
      <w:r w:rsidR="00072BE4" w:rsidRPr="00E97BC8">
        <w:rPr>
          <w:rFonts w:cs="Times New Roman"/>
          <w:sz w:val="22"/>
          <w:szCs w:val="22"/>
        </w:rPr>
        <w:t>align with consumer research suggesting</w:t>
      </w:r>
      <w:r w:rsidR="0031294D" w:rsidRPr="00E97BC8">
        <w:rPr>
          <w:rFonts w:cs="Times New Roman"/>
          <w:sz w:val="22"/>
          <w:szCs w:val="22"/>
        </w:rPr>
        <w:t xml:space="preserve"> that older consumers may be more responsive to policy incentives and brand loyalty in their vehicle choices</w:t>
      </w:r>
      <w:r w:rsidR="006F2415" w:rsidRPr="00E97BC8">
        <w:rPr>
          <w:rFonts w:cs="Times New Roman"/>
          <w:sz w:val="22"/>
          <w:szCs w:val="22"/>
        </w:rPr>
        <w:t xml:space="preserve"> </w:t>
      </w:r>
      <w:r w:rsidR="006F2415" w:rsidRPr="00E97BC8">
        <w:rPr>
          <w:rFonts w:cs="Times New Roman"/>
          <w:sz w:val="22"/>
          <w:szCs w:val="22"/>
        </w:rPr>
        <w:fldChar w:fldCharType="begin"/>
      </w:r>
      <w:r w:rsidR="006F2415" w:rsidRPr="00E97BC8">
        <w:rPr>
          <w:rFonts w:cs="Times New Roman"/>
          <w:sz w:val="22"/>
          <w:szCs w:val="22"/>
        </w:rPr>
        <w:instrText xml:space="preserve"> ADDIN ZOTERO_ITEM CSL_CITATION {"citationID":"bHfCrAQq","properties":{"unsorted":true,"formattedCitation":"(Mittal and Kamakura, 2001; J\\uc0\\u248{}rgensen et al., 2016)","plainCitation":"(Mittal and Kamakura, 2001; Jørgensen et al., 2016)","noteIndex":0},"citationItems":[{"id":3756,"uris":["http://zotero.org/users/12832277/items/MZEYEY5P"],"itemData":{"id":3756,"type":"article-journal","abstract":"Despite the claim that satisfaction ratings are linked to repurchase behavior, few attempts can be found that relate satisfaction ratings to actual repurchase behavior. This article fills this void by presenting a conceptual model for relating satisfaction ratings and repurchase behavior. The model is based on the premise that ratings observed in a typical customer satisfaction survey are error-prone measures of the customer's true satisfaction, and they may vary systematically on the basis of consumer characteristics. The authors apply the model to a large-scale study of 100,040 automotive customers. Results show that consumers with different characteristics have different thresholds such that, at the same level of rated satisfaction, repurchase rates are systematically different among different customer groups. The authors also find that the nature and extent of response bias in satisfaction ratings varies by customer characteristics. In one group, the response bias is so high that rated satisfaction is completely uncorrelated to repurchase behavior (r = 0). Furthermore, the authors find that, though nonlinear, the functional form relating rated satisfaction to repurchase intent is different from the one relating it to repurchase behavior. Although the functional form exhibits decreasing returns in the case of repurchase intent, it exhibits monotonically increasing returns in the case of repurchase behavior.","container-title":"Journal of Marketing Research","DOI":"10.1509/jmkr.38.1.131.18832","ISSN":"0022-2437","issue":"1","language":"en","note":"publisher: SAGE Publications Inc","page":"131-142","source":"SAGE Journals","title":"Satisfaction, Repurchase Intent, and Repurchase Behavior: Investigating the Moderating Effect of Customer Characteristics","volume":"38","author":[{"family":"Mittal","given":"Vikas"},{"family":"Kamakura","given":"Wagner A."}],"issued":{"date-parts":[["2001",2,1]]}}},{"id":3753,"uris":["http://zotero.org/users/12832277/items/92CWDD4Z"],"itemData":{"id":3753,"type":"article-journal","abstract":"Obtaining brand-loyal customers has been demonstrated to be vital for profitability and survival of firms. Loyal customers generally have a higher willingness-to-pay and lower price sensitivity compared to other customers. In this article, we study brand loyalty among car owners using empirical data on 35,000 car changes in Norway from 1985 to 2013. In contrast to earlier studies on loyalty within this industry that aimed at revealing the attitudes of customers, our data discuss the actual behaviour. As a supplement to our behaviour data set, we use satisfaction measures produced by Autoindex. Average loyalty, as measured by the consecutive purchase of the same brand, amounts to 26.4%. By including returning customers and measuring the repurchase of the same brand as one of the customer's three previous cars, the average loyalty increases to 36.7%. In general, the most prevalent brands attract the most loyal customers. A logit model is applied to describe the factors that have the strongest influence on brand loyalty. The information obtained by this study is of interest to several parts of the automotive industry value chain. Moreover, the analysis is relevant for researchers conducting attitudinal studies on loyalty and satisfaction by comparing this information to the actual behaviour of customers.","container-title":"Journal of Retailing and Consumer Services","DOI":"10.1016/j.jretconser.2016.04.001","ISSN":"0969-6989","page":"256-264","source":"ScienceDirect","title":"Brand Loyalty Among Norwegian Car Owners","volume":"31","author":[{"family":"Jørgensen","given":"Finn"},{"family":"Mathisen","given":"Terje Andreas"},{"family":"Pedersen","given":"Hassa"}],"issued":{"date-parts":[["2016",7,1]]}}}],"schema":"https://github.com/citation-style-language/schema/raw/master/csl-citation.json"} </w:instrText>
      </w:r>
      <w:r w:rsidR="006F2415" w:rsidRPr="00E97BC8">
        <w:rPr>
          <w:rFonts w:cs="Times New Roman"/>
          <w:sz w:val="22"/>
          <w:szCs w:val="22"/>
        </w:rPr>
        <w:fldChar w:fldCharType="separate"/>
      </w:r>
      <w:r w:rsidR="001E6A07" w:rsidRPr="00E97BC8">
        <w:rPr>
          <w:rFonts w:cs="Times New Roman"/>
          <w:kern w:val="0"/>
          <w:sz w:val="22"/>
          <w:szCs w:val="22"/>
        </w:rPr>
        <w:t>(Mittal and Kamakura, 2001; Jørgensen et al., 2016)</w:t>
      </w:r>
      <w:r w:rsidR="006F2415" w:rsidRPr="00E97BC8">
        <w:rPr>
          <w:rFonts w:cs="Times New Roman"/>
          <w:sz w:val="22"/>
          <w:szCs w:val="22"/>
        </w:rPr>
        <w:fldChar w:fldCharType="end"/>
      </w:r>
      <w:r w:rsidR="0031294D" w:rsidRPr="00E97BC8">
        <w:rPr>
          <w:rFonts w:cs="Times New Roman"/>
          <w:sz w:val="22"/>
          <w:szCs w:val="22"/>
        </w:rPr>
        <w:t xml:space="preserve">. </w:t>
      </w:r>
    </w:p>
    <w:p w14:paraId="10C45057" w14:textId="4FE56558" w:rsidR="00E837CC" w:rsidRPr="00E97BC8" w:rsidRDefault="00C1018F" w:rsidP="00E85093">
      <w:pPr>
        <w:spacing w:after="0" w:line="240" w:lineRule="auto"/>
        <w:jc w:val="both"/>
        <w:rPr>
          <w:rFonts w:cs="Times New Roman"/>
          <w:sz w:val="22"/>
          <w:szCs w:val="22"/>
        </w:rPr>
      </w:pPr>
      <w:r w:rsidRPr="00E97BC8">
        <w:rPr>
          <w:rFonts w:cs="Times New Roman"/>
          <w:sz w:val="22"/>
          <w:szCs w:val="22"/>
        </w:rPr>
        <w:tab/>
      </w:r>
      <w:r w:rsidR="00EE2EA9" w:rsidRPr="00E97BC8">
        <w:rPr>
          <w:rFonts w:cs="Times New Roman"/>
          <w:sz w:val="22"/>
          <w:szCs w:val="22"/>
        </w:rPr>
        <w:t xml:space="preserve">Non-white and Hispanic individuals </w:t>
      </w:r>
      <w:r w:rsidR="00C708A7" w:rsidRPr="00E97BC8">
        <w:rPr>
          <w:rFonts w:cs="Times New Roman"/>
          <w:sz w:val="22"/>
          <w:szCs w:val="22"/>
        </w:rPr>
        <w:t>have a lower propensity</w:t>
      </w:r>
      <w:r w:rsidR="00EE2EA9" w:rsidRPr="00E97BC8">
        <w:rPr>
          <w:rFonts w:cs="Times New Roman"/>
          <w:sz w:val="22"/>
          <w:szCs w:val="22"/>
        </w:rPr>
        <w:t xml:space="preserve"> to buy EVs overall, although the</w:t>
      </w:r>
      <w:r w:rsidR="00C60879" w:rsidRPr="00E97BC8">
        <w:rPr>
          <w:rFonts w:cs="Times New Roman"/>
          <w:sz w:val="22"/>
          <w:szCs w:val="22"/>
        </w:rPr>
        <w:t>re</w:t>
      </w:r>
      <w:r w:rsidR="00A07ADC" w:rsidRPr="00E97BC8">
        <w:rPr>
          <w:rFonts w:cs="Times New Roman"/>
          <w:sz w:val="22"/>
          <w:szCs w:val="22"/>
        </w:rPr>
        <w:t xml:space="preserve"> are</w:t>
      </w:r>
      <w:r w:rsidR="00C60879" w:rsidRPr="00E97BC8">
        <w:rPr>
          <w:rFonts w:cs="Times New Roman"/>
          <w:sz w:val="22"/>
          <w:szCs w:val="22"/>
        </w:rPr>
        <w:t xml:space="preserve"> no significant differences </w:t>
      </w:r>
      <w:r w:rsidR="00F66678" w:rsidRPr="00E97BC8">
        <w:rPr>
          <w:rFonts w:cs="Times New Roman"/>
          <w:sz w:val="22"/>
          <w:szCs w:val="22"/>
        </w:rPr>
        <w:t xml:space="preserve">among these groups </w:t>
      </w:r>
      <w:r w:rsidR="00C60879" w:rsidRPr="00E97BC8">
        <w:rPr>
          <w:rFonts w:cs="Times New Roman"/>
          <w:sz w:val="22"/>
          <w:szCs w:val="22"/>
        </w:rPr>
        <w:t xml:space="preserve">in the </w:t>
      </w:r>
      <w:r w:rsidR="00F66678" w:rsidRPr="00E97BC8">
        <w:rPr>
          <w:rFonts w:cs="Times New Roman"/>
          <w:sz w:val="22"/>
          <w:szCs w:val="22"/>
        </w:rPr>
        <w:t>factors that motivate EV adoption in the first place (</w:t>
      </w:r>
      <w:r w:rsidR="00B7231A" w:rsidRPr="00E97BC8">
        <w:rPr>
          <w:rFonts w:cs="Times New Roman"/>
          <w:sz w:val="22"/>
          <w:szCs w:val="22"/>
        </w:rPr>
        <w:t xml:space="preserve">after accounting for </w:t>
      </w:r>
      <w:r w:rsidR="00F66678" w:rsidRPr="00E97BC8">
        <w:rPr>
          <w:rFonts w:cs="Times New Roman"/>
          <w:sz w:val="22"/>
          <w:szCs w:val="22"/>
        </w:rPr>
        <w:t xml:space="preserve">the differential </w:t>
      </w:r>
      <w:r w:rsidR="00B7231A" w:rsidRPr="00E97BC8">
        <w:rPr>
          <w:rFonts w:cs="Times New Roman"/>
          <w:sz w:val="22"/>
          <w:szCs w:val="22"/>
        </w:rPr>
        <w:t>effects through the latent constructs</w:t>
      </w:r>
      <w:r w:rsidR="00F66678" w:rsidRPr="00E97BC8">
        <w:rPr>
          <w:rFonts w:cs="Times New Roman"/>
          <w:sz w:val="22"/>
          <w:szCs w:val="22"/>
        </w:rPr>
        <w:t>)</w:t>
      </w:r>
      <w:r w:rsidR="00B7231A" w:rsidRPr="00E97BC8">
        <w:rPr>
          <w:rFonts w:cs="Times New Roman"/>
          <w:sz w:val="22"/>
          <w:szCs w:val="22"/>
        </w:rPr>
        <w:t>.</w:t>
      </w:r>
      <w:r w:rsidR="00920E1A" w:rsidRPr="00E97BC8">
        <w:rPr>
          <w:rFonts w:cs="Times New Roman"/>
          <w:sz w:val="22"/>
          <w:szCs w:val="22"/>
        </w:rPr>
        <w:t xml:space="preserve"> </w:t>
      </w:r>
      <w:r w:rsidR="00E837CC" w:rsidRPr="00E97BC8">
        <w:rPr>
          <w:rFonts w:cs="Times New Roman"/>
          <w:sz w:val="22"/>
          <w:szCs w:val="22"/>
        </w:rPr>
        <w:t>Th</w:t>
      </w:r>
      <w:r w:rsidR="00F66678" w:rsidRPr="00E97BC8">
        <w:rPr>
          <w:rFonts w:cs="Times New Roman"/>
          <w:sz w:val="22"/>
          <w:szCs w:val="22"/>
        </w:rPr>
        <w:t>e</w:t>
      </w:r>
      <w:r w:rsidR="00E837CC" w:rsidRPr="00E97BC8">
        <w:rPr>
          <w:rFonts w:cs="Times New Roman"/>
          <w:sz w:val="22"/>
          <w:szCs w:val="22"/>
        </w:rPr>
        <w:t xml:space="preserve"> disparity </w:t>
      </w:r>
      <w:r w:rsidR="00F66678" w:rsidRPr="00E97BC8">
        <w:rPr>
          <w:rFonts w:cs="Times New Roman"/>
          <w:sz w:val="22"/>
          <w:szCs w:val="22"/>
        </w:rPr>
        <w:t xml:space="preserve">in EV adoption </w:t>
      </w:r>
      <w:r w:rsidR="00E837CC" w:rsidRPr="00E97BC8">
        <w:rPr>
          <w:rFonts w:cs="Times New Roman"/>
          <w:sz w:val="22"/>
          <w:szCs w:val="22"/>
        </w:rPr>
        <w:t xml:space="preserve">may </w:t>
      </w:r>
      <w:r w:rsidR="00F66678" w:rsidRPr="00E97BC8">
        <w:rPr>
          <w:rFonts w:cs="Times New Roman"/>
          <w:sz w:val="22"/>
          <w:szCs w:val="22"/>
        </w:rPr>
        <w:t xml:space="preserve">be a </w:t>
      </w:r>
      <w:r w:rsidR="00E837CC" w:rsidRPr="00E97BC8">
        <w:rPr>
          <w:rFonts w:cs="Times New Roman"/>
          <w:sz w:val="22"/>
          <w:szCs w:val="22"/>
        </w:rPr>
        <w:t>result, at least in part</w:t>
      </w:r>
      <w:r w:rsidR="00F66678" w:rsidRPr="00E97BC8">
        <w:rPr>
          <w:rFonts w:cs="Times New Roman"/>
          <w:sz w:val="22"/>
          <w:szCs w:val="22"/>
        </w:rPr>
        <w:t>,</w:t>
      </w:r>
      <w:r w:rsidR="00E837CC" w:rsidRPr="00E97BC8">
        <w:rPr>
          <w:rFonts w:cs="Times New Roman"/>
          <w:sz w:val="22"/>
          <w:szCs w:val="22"/>
        </w:rPr>
        <w:t xml:space="preserve"> </w:t>
      </w:r>
      <w:r w:rsidR="00F66678" w:rsidRPr="00E97BC8">
        <w:rPr>
          <w:rFonts w:cs="Times New Roman"/>
          <w:sz w:val="22"/>
          <w:szCs w:val="22"/>
        </w:rPr>
        <w:t>of</w:t>
      </w:r>
      <w:r w:rsidR="00E837CC" w:rsidRPr="00E97BC8">
        <w:rPr>
          <w:rFonts w:cs="Times New Roman"/>
          <w:sz w:val="22"/>
          <w:szCs w:val="22"/>
        </w:rPr>
        <w:t xml:space="preserve"> </w:t>
      </w:r>
      <w:r w:rsidR="00F66678" w:rsidRPr="00E97BC8">
        <w:rPr>
          <w:rFonts w:cs="Times New Roman"/>
          <w:sz w:val="22"/>
          <w:szCs w:val="22"/>
        </w:rPr>
        <w:t xml:space="preserve">(a) </w:t>
      </w:r>
      <w:r w:rsidR="00E837CC" w:rsidRPr="00E97BC8">
        <w:rPr>
          <w:rFonts w:cs="Times New Roman"/>
          <w:sz w:val="22"/>
          <w:szCs w:val="22"/>
        </w:rPr>
        <w:t xml:space="preserve">marketing strategies of EV companies, which have primarily focused on white male demographics, </w:t>
      </w:r>
      <w:r w:rsidR="00F66678" w:rsidRPr="00E97BC8">
        <w:rPr>
          <w:rFonts w:cs="Times New Roman"/>
          <w:sz w:val="22"/>
          <w:szCs w:val="22"/>
        </w:rPr>
        <w:t xml:space="preserve">and (b) </w:t>
      </w:r>
      <w:r w:rsidR="006E5908" w:rsidRPr="00E97BC8">
        <w:rPr>
          <w:rFonts w:cs="Times New Roman"/>
          <w:sz w:val="22"/>
          <w:szCs w:val="22"/>
        </w:rPr>
        <w:t xml:space="preserve">generally lower level of technology uptake by minority populations due </w:t>
      </w:r>
      <w:r w:rsidR="00865A07" w:rsidRPr="00E97BC8">
        <w:rPr>
          <w:rFonts w:cs="Times New Roman"/>
          <w:sz w:val="22"/>
          <w:szCs w:val="22"/>
        </w:rPr>
        <w:t>to</w:t>
      </w:r>
      <w:r w:rsidR="006E5908" w:rsidRPr="00E97BC8">
        <w:rPr>
          <w:rFonts w:cs="Times New Roman"/>
          <w:sz w:val="22"/>
          <w:szCs w:val="22"/>
        </w:rPr>
        <w:t xml:space="preserve"> </w:t>
      </w:r>
      <w:r w:rsidR="00865A07" w:rsidRPr="00E97BC8">
        <w:rPr>
          <w:rFonts w:cs="Times New Roman"/>
          <w:sz w:val="22"/>
          <w:szCs w:val="22"/>
        </w:rPr>
        <w:t>lower levels of technology awareness, itself associated with the relatively sparse knowledge networks among minority groups</w:t>
      </w:r>
      <w:r w:rsidR="006E5908" w:rsidRPr="00E97BC8">
        <w:rPr>
          <w:rFonts w:cs="Times New Roman"/>
          <w:sz w:val="22"/>
          <w:szCs w:val="22"/>
        </w:rPr>
        <w:t xml:space="preserve"> </w:t>
      </w:r>
      <w:r w:rsidR="006E5908" w:rsidRPr="00E97BC8">
        <w:rPr>
          <w:rFonts w:cs="Times New Roman"/>
          <w:sz w:val="22"/>
          <w:szCs w:val="22"/>
        </w:rPr>
        <w:fldChar w:fldCharType="begin"/>
      </w:r>
      <w:r w:rsidR="006E5908" w:rsidRPr="00E97BC8">
        <w:rPr>
          <w:rFonts w:cs="Times New Roman"/>
          <w:sz w:val="22"/>
          <w:szCs w:val="22"/>
        </w:rPr>
        <w:instrText xml:space="preserve"> ADDIN ZOTERO_ITEM CSL_CITATION {"citationID":"4OzQZINh","properties":{"unsorted":true,"formattedCitation":"(Warschauer et al., 2004; Hsu and Fingerman, 2021)","plainCitation":"(Warschauer et al., 2004; Hsu and Fingerman, 2021)","noteIndex":0},"citationItems":[{"id":3966,"uris":["http://zotero.org/users/12832277/items/HGLT7ZVZ"],"itemData":{"id":3966,"type":"article-journal","abstract":"This qualitative study compared the availability of, access to, and use of new technologies in a group of low– and high–socioeconomic status (SES) California high schools. Although student-computer ratios in the schools were similar, the social contexts of computer use differed, with low-SES schools affected by uneven human support networks, irregular home access to computers by students, and pressure to raise school test scores while addressing the needs of large numbers of English learners. These differences were expressed within three main patterns of technology access and use, labeled performativity, workability, and complexity, each of which shaped schools’ efforts to deploy new technologies for academic preparation.","container-title":"Educational Policy","DOI":"10.1177/0895904804266469","ISSN":"0895-9048","issue":"4","language":"en","note":"publisher: SAGE Publications Inc","page":"562-588","source":"SAGE Journals","title":"Technology and Equity in Schooling: Deconstructing the Digital Divide","volume":"18","author":[{"family":"Warschauer","given":"Mark"},{"family":"Knobel","given":"Michele"},{"family":"Stone","given":"Leeann"}],"issued":{"date-parts":[["2004",9,1]]}}},{"id":3687,"uris":["http://zotero.org/users/12832277/items/A8ARA65C"],"itemData":{"id":3687,"type":"article-journal","abstract":"Widespread electric vehicle (EV) adoption is crucial for achieving California's climate goals. The inclusion of marginalized populations in this process is important and will require that they have access to charging infrastructure. Public EV charging stations may help reduce the EV adoption barriers affecting these populations. This study combines public charging station location data with American Community Survey data at the census block group level in California, finding that public charger access is lower in block groups with below-median household incomes and in those with a Black and Hispanic majority populations. These public charger access disparities are more pronounced in areas with a higher proportion of multi-unit housing, where they are critical for EV operation due to a lower likelihood of residential charger access. Controlling for distance to the nearest highway or freeway, multi-unit housing unit rate, and median household income, we find that Black and Hispanic majority block groups are the only race and ethnicity group that is significantly less likely to have access to any public charger in their block groups compared to the rest of the state. The odds of having public charger access for the group is 0.7-times that of the no majority reference group. The access gap is even larger for the publicly-funded charging stations where Black and Hispanic majority block groups are approximately half as likely as the no-majority reference group to have access. Hence directing a larger portion of the funding to underserved communities and further government involvement in filling the public charger access gap can be crucial in achieving widespread and equitable EV adoption.","container-title":"Transport Policy","DOI":"10.1016/j.tranpol.2020.10.003","ISSN":"0967-070X","page":"59-67","source":"ScienceDirect","title":"Public Electric Vehicle Charger Access Disparities Across Race and Income in California","volume":"100","author":[{"family":"Hsu","given":"Chih-Wei"},{"family":"Fingerman","given":"Kevin"}],"issued":{"date-parts":[["2021",1,1]]}}}],"schema":"https://github.com/citation-style-language/schema/raw/master/csl-citation.json"} </w:instrText>
      </w:r>
      <w:r w:rsidR="006E5908" w:rsidRPr="00E97BC8">
        <w:rPr>
          <w:rFonts w:cs="Times New Roman"/>
          <w:sz w:val="22"/>
          <w:szCs w:val="22"/>
        </w:rPr>
        <w:fldChar w:fldCharType="separate"/>
      </w:r>
      <w:r w:rsidR="006E5908" w:rsidRPr="00E97BC8">
        <w:rPr>
          <w:rFonts w:cs="Times New Roman"/>
          <w:sz w:val="22"/>
          <w:szCs w:val="22"/>
        </w:rPr>
        <w:t>(Warschauer et al., 2004; Hsu and Fingerman, 2021)</w:t>
      </w:r>
      <w:r w:rsidR="006E5908" w:rsidRPr="00E97BC8">
        <w:rPr>
          <w:rFonts w:cs="Times New Roman"/>
          <w:sz w:val="22"/>
          <w:szCs w:val="22"/>
        </w:rPr>
        <w:fldChar w:fldCharType="end"/>
      </w:r>
      <w:r w:rsidR="00E837CC" w:rsidRPr="00E97BC8">
        <w:rPr>
          <w:rFonts w:cs="Times New Roman"/>
          <w:sz w:val="22"/>
          <w:szCs w:val="22"/>
        </w:rPr>
        <w:t xml:space="preserve">. </w:t>
      </w:r>
      <w:r w:rsidR="00865A07" w:rsidRPr="00E97BC8">
        <w:rPr>
          <w:rFonts w:cs="Times New Roman"/>
          <w:sz w:val="22"/>
          <w:szCs w:val="22"/>
        </w:rPr>
        <w:t xml:space="preserve">For similar reasons, </w:t>
      </w:r>
      <w:r w:rsidR="00E837CC" w:rsidRPr="00E97BC8">
        <w:rPr>
          <w:rFonts w:cs="Times New Roman"/>
          <w:sz w:val="22"/>
          <w:szCs w:val="22"/>
        </w:rPr>
        <w:t>t</w:t>
      </w:r>
      <w:r w:rsidR="00654CCA" w:rsidRPr="00E97BC8">
        <w:rPr>
          <w:rFonts w:cs="Times New Roman"/>
          <w:sz w:val="22"/>
          <w:szCs w:val="22"/>
        </w:rPr>
        <w:t xml:space="preserve">hose with </w:t>
      </w:r>
      <w:r w:rsidR="00E837CC" w:rsidRPr="00E97BC8">
        <w:rPr>
          <w:rFonts w:cs="Times New Roman"/>
          <w:sz w:val="22"/>
          <w:szCs w:val="22"/>
        </w:rPr>
        <w:t>lower</w:t>
      </w:r>
      <w:r w:rsidR="00654CCA" w:rsidRPr="00E97BC8">
        <w:rPr>
          <w:rFonts w:cs="Times New Roman"/>
          <w:sz w:val="22"/>
          <w:szCs w:val="22"/>
        </w:rPr>
        <w:t xml:space="preserve"> levels of formal educational attainment </w:t>
      </w:r>
      <w:r w:rsidR="0041326B" w:rsidRPr="00E97BC8">
        <w:rPr>
          <w:rFonts w:cs="Times New Roman"/>
          <w:sz w:val="22"/>
          <w:szCs w:val="22"/>
        </w:rPr>
        <w:t xml:space="preserve">also </w:t>
      </w:r>
      <w:r w:rsidR="00865A07" w:rsidRPr="00E97BC8">
        <w:rPr>
          <w:rFonts w:cs="Times New Roman"/>
          <w:sz w:val="22"/>
          <w:szCs w:val="22"/>
        </w:rPr>
        <w:t xml:space="preserve">appear </w:t>
      </w:r>
      <w:r w:rsidR="00E837CC" w:rsidRPr="00E97BC8">
        <w:rPr>
          <w:rFonts w:cs="Times New Roman"/>
          <w:sz w:val="22"/>
          <w:szCs w:val="22"/>
        </w:rPr>
        <w:t>less</w:t>
      </w:r>
      <w:r w:rsidR="0041326B" w:rsidRPr="00E97BC8">
        <w:rPr>
          <w:rFonts w:cs="Times New Roman"/>
          <w:sz w:val="22"/>
          <w:szCs w:val="22"/>
        </w:rPr>
        <w:t xml:space="preserve"> inclined to adopt EVs</w:t>
      </w:r>
      <w:r w:rsidR="00E837CC" w:rsidRPr="00E97BC8">
        <w:rPr>
          <w:rFonts w:cs="Times New Roman"/>
          <w:sz w:val="22"/>
          <w:szCs w:val="22"/>
        </w:rPr>
        <w:t xml:space="preserve">, </w:t>
      </w:r>
      <w:r w:rsidR="006E5908" w:rsidRPr="00E97BC8">
        <w:rPr>
          <w:rFonts w:cs="Times New Roman"/>
          <w:sz w:val="22"/>
          <w:szCs w:val="22"/>
        </w:rPr>
        <w:t xml:space="preserve">even after accounting for differences through the latent constructs. </w:t>
      </w:r>
    </w:p>
    <w:p w14:paraId="78F0FA27" w14:textId="4FB99C48" w:rsidR="005C2D82" w:rsidRPr="00E97BC8" w:rsidRDefault="005C2D82" w:rsidP="00E85093">
      <w:pPr>
        <w:spacing w:after="0" w:line="240" w:lineRule="auto"/>
        <w:jc w:val="both"/>
        <w:rPr>
          <w:rFonts w:cs="Times New Roman"/>
          <w:sz w:val="22"/>
          <w:szCs w:val="22"/>
        </w:rPr>
      </w:pPr>
    </w:p>
    <w:p w14:paraId="3FE246DA" w14:textId="77777777" w:rsidR="00691F79" w:rsidRPr="00E97BC8" w:rsidRDefault="005C2D82" w:rsidP="00E85093">
      <w:pPr>
        <w:spacing w:after="0" w:line="240" w:lineRule="auto"/>
        <w:jc w:val="both"/>
        <w:rPr>
          <w:rFonts w:cs="Times New Roman"/>
          <w:b/>
          <w:bCs/>
          <w:i/>
          <w:iCs/>
          <w:sz w:val="22"/>
          <w:szCs w:val="22"/>
        </w:rPr>
      </w:pPr>
      <w:r w:rsidRPr="00E97BC8">
        <w:rPr>
          <w:rFonts w:cs="Times New Roman"/>
          <w:b/>
          <w:bCs/>
          <w:i/>
          <w:iCs/>
          <w:sz w:val="22"/>
          <w:szCs w:val="22"/>
        </w:rPr>
        <w:t>4.2.</w:t>
      </w:r>
      <w:r w:rsidR="007A4397" w:rsidRPr="00E97BC8">
        <w:rPr>
          <w:rFonts w:cs="Times New Roman"/>
          <w:b/>
          <w:bCs/>
          <w:i/>
          <w:iCs/>
          <w:sz w:val="22"/>
          <w:szCs w:val="22"/>
        </w:rPr>
        <w:t>3</w:t>
      </w:r>
      <w:r w:rsidRPr="00E97BC8">
        <w:rPr>
          <w:rFonts w:cs="Times New Roman"/>
          <w:b/>
          <w:bCs/>
          <w:i/>
          <w:iCs/>
          <w:sz w:val="22"/>
          <w:szCs w:val="22"/>
        </w:rPr>
        <w:t xml:space="preserve"> Effects</w:t>
      </w:r>
      <w:r w:rsidRPr="00E97BC8">
        <w:rPr>
          <w:rFonts w:cs="Times New Roman"/>
          <w:b/>
          <w:i/>
          <w:sz w:val="22"/>
          <w:szCs w:val="22"/>
        </w:rPr>
        <w:t xml:space="preserve"> of </w:t>
      </w:r>
      <w:r w:rsidRPr="00E97BC8">
        <w:rPr>
          <w:rFonts w:cs="Times New Roman"/>
          <w:b/>
          <w:bCs/>
          <w:i/>
          <w:iCs/>
          <w:sz w:val="22"/>
          <w:szCs w:val="22"/>
        </w:rPr>
        <w:t>Household Demographics and Location</w:t>
      </w:r>
    </w:p>
    <w:p w14:paraId="05B4B1B9" w14:textId="6BCC58C8" w:rsidR="00F56A01" w:rsidRPr="00E97BC8" w:rsidRDefault="000311CD" w:rsidP="00E85093">
      <w:pPr>
        <w:spacing w:after="0" w:line="240" w:lineRule="auto"/>
        <w:jc w:val="both"/>
        <w:rPr>
          <w:rFonts w:cs="Times New Roman"/>
          <w:b/>
          <w:bCs/>
          <w:sz w:val="22"/>
          <w:szCs w:val="22"/>
        </w:rPr>
      </w:pPr>
      <w:r w:rsidRPr="00E97BC8">
        <w:rPr>
          <w:rFonts w:cs="Times New Roman"/>
          <w:sz w:val="22"/>
          <w:szCs w:val="22"/>
        </w:rPr>
        <w:t>Among household characteristics</w:t>
      </w:r>
      <w:r w:rsidR="00F81ABF" w:rsidRPr="00E97BC8">
        <w:rPr>
          <w:rFonts w:cs="Times New Roman"/>
          <w:sz w:val="22"/>
          <w:szCs w:val="22"/>
        </w:rPr>
        <w:t>, s</w:t>
      </w:r>
      <w:r w:rsidR="002F5933" w:rsidRPr="00E97BC8">
        <w:rPr>
          <w:rFonts w:cs="Times New Roman"/>
          <w:sz w:val="22"/>
          <w:szCs w:val="22"/>
        </w:rPr>
        <w:t>ingle adult</w:t>
      </w:r>
      <w:r w:rsidR="00624EC1" w:rsidRPr="00E97BC8">
        <w:rPr>
          <w:rFonts w:cs="Times New Roman"/>
          <w:sz w:val="22"/>
          <w:szCs w:val="22"/>
        </w:rPr>
        <w:t xml:space="preserve"> household</w:t>
      </w:r>
      <w:r w:rsidR="002F5933" w:rsidRPr="00E97BC8">
        <w:rPr>
          <w:rFonts w:cs="Times New Roman"/>
          <w:sz w:val="22"/>
          <w:szCs w:val="22"/>
        </w:rPr>
        <w:t xml:space="preserve">s </w:t>
      </w:r>
      <w:r w:rsidR="00E13206" w:rsidRPr="00E97BC8">
        <w:rPr>
          <w:rFonts w:cs="Times New Roman"/>
          <w:sz w:val="22"/>
          <w:szCs w:val="22"/>
        </w:rPr>
        <w:t>adopt EVs</w:t>
      </w:r>
      <w:r w:rsidR="00F81ABF" w:rsidRPr="00E97BC8">
        <w:rPr>
          <w:rFonts w:cs="Times New Roman"/>
          <w:sz w:val="22"/>
          <w:szCs w:val="22"/>
        </w:rPr>
        <w:t xml:space="preserve"> </w:t>
      </w:r>
      <w:r w:rsidRPr="00E97BC8">
        <w:rPr>
          <w:rFonts w:cs="Times New Roman"/>
          <w:sz w:val="22"/>
          <w:szCs w:val="22"/>
        </w:rPr>
        <w:t xml:space="preserve">less </w:t>
      </w:r>
      <w:r w:rsidR="009808D6" w:rsidRPr="00E97BC8">
        <w:rPr>
          <w:rFonts w:cs="Times New Roman"/>
          <w:sz w:val="22"/>
          <w:szCs w:val="22"/>
        </w:rPr>
        <w:t xml:space="preserve">than </w:t>
      </w:r>
      <w:r w:rsidR="00F81ABF" w:rsidRPr="00E97BC8">
        <w:rPr>
          <w:rFonts w:cs="Times New Roman"/>
          <w:sz w:val="22"/>
          <w:szCs w:val="22"/>
        </w:rPr>
        <w:t xml:space="preserve">multi-adult </w:t>
      </w:r>
      <w:r w:rsidR="009808D6" w:rsidRPr="00E97BC8">
        <w:rPr>
          <w:rFonts w:cs="Times New Roman"/>
          <w:sz w:val="22"/>
          <w:szCs w:val="22"/>
        </w:rPr>
        <w:t>households</w:t>
      </w:r>
      <w:r w:rsidR="0064783D" w:rsidRPr="00E97BC8">
        <w:rPr>
          <w:rFonts w:cs="Times New Roman"/>
          <w:sz w:val="22"/>
          <w:szCs w:val="22"/>
        </w:rPr>
        <w:t xml:space="preserve"> and</w:t>
      </w:r>
      <w:r w:rsidR="00973FA6" w:rsidRPr="00E97BC8">
        <w:rPr>
          <w:rFonts w:cs="Times New Roman"/>
          <w:sz w:val="22"/>
          <w:szCs w:val="22"/>
        </w:rPr>
        <w:t xml:space="preserve"> invoke </w:t>
      </w:r>
      <w:r w:rsidR="005D7560" w:rsidRPr="00E97BC8">
        <w:rPr>
          <w:rFonts w:cs="Times New Roman"/>
          <w:sz w:val="22"/>
          <w:szCs w:val="22"/>
        </w:rPr>
        <w:t xml:space="preserve">the ability to charge at home </w:t>
      </w:r>
      <w:r w:rsidR="009808D6" w:rsidRPr="00E97BC8">
        <w:rPr>
          <w:rFonts w:cs="Times New Roman"/>
          <w:sz w:val="22"/>
          <w:szCs w:val="22"/>
        </w:rPr>
        <w:t>and</w:t>
      </w:r>
      <w:r w:rsidR="00170B5A" w:rsidRPr="00E97BC8">
        <w:rPr>
          <w:rFonts w:cs="Times New Roman"/>
          <w:sz w:val="22"/>
          <w:szCs w:val="22"/>
        </w:rPr>
        <w:t xml:space="preserve"> </w:t>
      </w:r>
      <w:r w:rsidR="005D7560" w:rsidRPr="00E97BC8">
        <w:rPr>
          <w:rFonts w:cs="Times New Roman"/>
          <w:sz w:val="22"/>
          <w:szCs w:val="22"/>
        </w:rPr>
        <w:t>hearing about EVs from friends and family</w:t>
      </w:r>
      <w:r w:rsidR="00973FA6" w:rsidRPr="00E97BC8">
        <w:rPr>
          <w:rFonts w:cs="Times New Roman"/>
          <w:sz w:val="22"/>
          <w:szCs w:val="22"/>
        </w:rPr>
        <w:t xml:space="preserve"> as adoption motivators. L</w:t>
      </w:r>
      <w:r w:rsidR="00DA47C9" w:rsidRPr="00E97BC8">
        <w:rPr>
          <w:rFonts w:cs="Times New Roman"/>
          <w:sz w:val="22"/>
          <w:szCs w:val="22"/>
        </w:rPr>
        <w:t>arger families</w:t>
      </w:r>
      <w:r w:rsidR="00973FA6" w:rsidRPr="00E97BC8">
        <w:rPr>
          <w:rFonts w:cs="Times New Roman"/>
          <w:sz w:val="22"/>
          <w:szCs w:val="22"/>
        </w:rPr>
        <w:t xml:space="preserve">, in contrast, are likely to be attracted to EVs due to purchase </w:t>
      </w:r>
      <w:r w:rsidR="00DA47C9" w:rsidRPr="00E97BC8">
        <w:rPr>
          <w:rFonts w:cs="Times New Roman"/>
          <w:sz w:val="22"/>
          <w:szCs w:val="22"/>
        </w:rPr>
        <w:t>incentives</w:t>
      </w:r>
      <w:r w:rsidR="005D7560" w:rsidRPr="00E97BC8">
        <w:rPr>
          <w:rFonts w:cs="Times New Roman"/>
          <w:sz w:val="22"/>
          <w:szCs w:val="22"/>
        </w:rPr>
        <w:t xml:space="preserve">. </w:t>
      </w:r>
      <w:r w:rsidR="00F56A01" w:rsidRPr="00E97BC8">
        <w:rPr>
          <w:rFonts w:cs="Times New Roman"/>
          <w:sz w:val="22"/>
          <w:szCs w:val="22"/>
        </w:rPr>
        <w:t xml:space="preserve">In addition, </w:t>
      </w:r>
      <w:r w:rsidR="00AC13C1" w:rsidRPr="00E97BC8">
        <w:rPr>
          <w:rFonts w:cs="Times New Roman"/>
          <w:sz w:val="22"/>
          <w:szCs w:val="22"/>
        </w:rPr>
        <w:t>the presence of children in the household positively influence</w:t>
      </w:r>
      <w:r w:rsidR="00526654" w:rsidRPr="00E97BC8">
        <w:rPr>
          <w:rFonts w:cs="Times New Roman"/>
          <w:sz w:val="22"/>
          <w:szCs w:val="22"/>
        </w:rPr>
        <w:t>s</w:t>
      </w:r>
      <w:r w:rsidR="00AC13C1" w:rsidRPr="00E97BC8">
        <w:rPr>
          <w:rFonts w:cs="Times New Roman"/>
          <w:sz w:val="22"/>
          <w:szCs w:val="22"/>
        </w:rPr>
        <w:t xml:space="preserve"> adoption</w:t>
      </w:r>
      <w:r w:rsidR="00902F02" w:rsidRPr="00E97BC8">
        <w:rPr>
          <w:rFonts w:cs="Times New Roman"/>
          <w:sz w:val="22"/>
          <w:szCs w:val="22"/>
        </w:rPr>
        <w:t xml:space="preserve">, although this seems to be primarily for </w:t>
      </w:r>
      <w:r w:rsidR="00A717CB" w:rsidRPr="00E97BC8">
        <w:rPr>
          <w:rFonts w:cs="Times New Roman"/>
          <w:sz w:val="22"/>
          <w:szCs w:val="22"/>
        </w:rPr>
        <w:t xml:space="preserve">adoption of </w:t>
      </w:r>
      <w:r w:rsidR="00902F02" w:rsidRPr="00E97BC8">
        <w:rPr>
          <w:rFonts w:cs="Times New Roman"/>
          <w:sz w:val="22"/>
          <w:szCs w:val="22"/>
        </w:rPr>
        <w:t>PHEV</w:t>
      </w:r>
      <w:r w:rsidR="00A717CB" w:rsidRPr="00E97BC8">
        <w:rPr>
          <w:rFonts w:cs="Times New Roman"/>
          <w:sz w:val="22"/>
          <w:szCs w:val="22"/>
        </w:rPr>
        <w:t>s,</w:t>
      </w:r>
      <w:r w:rsidR="00902F02" w:rsidRPr="00E97BC8">
        <w:rPr>
          <w:rFonts w:cs="Times New Roman"/>
          <w:sz w:val="22"/>
          <w:szCs w:val="22"/>
        </w:rPr>
        <w:t xml:space="preserve"> </w:t>
      </w:r>
      <w:r w:rsidR="002F5F9B" w:rsidRPr="00E97BC8">
        <w:rPr>
          <w:rFonts w:cs="Times New Roman"/>
          <w:sz w:val="22"/>
          <w:szCs w:val="22"/>
        </w:rPr>
        <w:t>which provide more flexibility in terms of charging/fueling</w:t>
      </w:r>
      <w:r w:rsidR="00C47ACD" w:rsidRPr="00E97BC8">
        <w:rPr>
          <w:rFonts w:cs="Times New Roman"/>
          <w:sz w:val="22"/>
          <w:szCs w:val="22"/>
        </w:rPr>
        <w:t xml:space="preserve">, an issue that is likely </w:t>
      </w:r>
      <w:r w:rsidR="00C47ACD" w:rsidRPr="00E97BC8">
        <w:rPr>
          <w:rFonts w:cs="Times New Roman"/>
          <w:sz w:val="22"/>
          <w:szCs w:val="22"/>
        </w:rPr>
        <w:lastRenderedPageBreak/>
        <w:t xml:space="preserve">to be </w:t>
      </w:r>
      <w:r w:rsidR="00A717CB" w:rsidRPr="00E97BC8">
        <w:rPr>
          <w:rFonts w:cs="Times New Roman"/>
          <w:sz w:val="22"/>
          <w:szCs w:val="22"/>
        </w:rPr>
        <w:t xml:space="preserve">particularly </w:t>
      </w:r>
      <w:r w:rsidR="00C47ACD" w:rsidRPr="00E97BC8">
        <w:rPr>
          <w:rFonts w:cs="Times New Roman"/>
          <w:sz w:val="22"/>
          <w:szCs w:val="22"/>
        </w:rPr>
        <w:t>important</w:t>
      </w:r>
      <w:r w:rsidR="00A717CB" w:rsidRPr="00E97BC8">
        <w:rPr>
          <w:rFonts w:cs="Times New Roman"/>
          <w:sz w:val="22"/>
          <w:szCs w:val="22"/>
        </w:rPr>
        <w:t xml:space="preserve"> for families with children</w:t>
      </w:r>
      <w:r w:rsidR="00903A6E" w:rsidRPr="00E97BC8">
        <w:rPr>
          <w:rFonts w:cs="Times New Roman"/>
          <w:sz w:val="22"/>
          <w:szCs w:val="22"/>
        </w:rPr>
        <w:t xml:space="preserve">. Both households with </w:t>
      </w:r>
      <w:r w:rsidR="00973FA6" w:rsidRPr="00E97BC8">
        <w:rPr>
          <w:rFonts w:cs="Times New Roman"/>
          <w:sz w:val="22"/>
          <w:szCs w:val="22"/>
        </w:rPr>
        <w:t>2+</w:t>
      </w:r>
      <w:r w:rsidR="00903A6E" w:rsidRPr="00E97BC8">
        <w:rPr>
          <w:rFonts w:cs="Times New Roman"/>
          <w:sz w:val="22"/>
          <w:szCs w:val="22"/>
        </w:rPr>
        <w:t xml:space="preserve"> adults and those with more children </w:t>
      </w:r>
      <w:r w:rsidR="00A717CB" w:rsidRPr="00E97BC8">
        <w:rPr>
          <w:rFonts w:cs="Times New Roman"/>
          <w:sz w:val="22"/>
          <w:szCs w:val="22"/>
        </w:rPr>
        <w:t xml:space="preserve">also </w:t>
      </w:r>
      <w:r w:rsidR="00903A6E" w:rsidRPr="00E97BC8">
        <w:rPr>
          <w:rFonts w:cs="Times New Roman"/>
          <w:sz w:val="22"/>
          <w:szCs w:val="22"/>
        </w:rPr>
        <w:t>tend to have more vehicles in general to accommodate the transportation needs of more household members</w:t>
      </w:r>
      <w:r w:rsidR="00FC530E" w:rsidRPr="00E97BC8">
        <w:rPr>
          <w:rFonts w:cs="Times New Roman"/>
          <w:sz w:val="22"/>
          <w:szCs w:val="22"/>
        </w:rPr>
        <w:t>, making</w:t>
      </w:r>
      <w:r w:rsidR="00903A6E" w:rsidRPr="00E97BC8">
        <w:rPr>
          <w:rFonts w:cs="Times New Roman"/>
          <w:sz w:val="22"/>
          <w:szCs w:val="22"/>
        </w:rPr>
        <w:t xml:space="preserve"> it easier to </w:t>
      </w:r>
      <w:r w:rsidR="00E95D51" w:rsidRPr="00E97BC8">
        <w:rPr>
          <w:rFonts w:cs="Times New Roman"/>
          <w:sz w:val="22"/>
          <w:szCs w:val="22"/>
        </w:rPr>
        <w:t>include</w:t>
      </w:r>
      <w:r w:rsidR="00903A6E" w:rsidRPr="00E97BC8">
        <w:rPr>
          <w:rFonts w:cs="Times New Roman"/>
          <w:sz w:val="22"/>
          <w:szCs w:val="22"/>
        </w:rPr>
        <w:t xml:space="preserve"> an electric vehicle</w:t>
      </w:r>
      <w:r w:rsidR="00E95D51" w:rsidRPr="00E97BC8">
        <w:rPr>
          <w:rFonts w:cs="Times New Roman"/>
          <w:sz w:val="22"/>
          <w:szCs w:val="22"/>
        </w:rPr>
        <w:t xml:space="preserve"> </w:t>
      </w:r>
      <w:r w:rsidR="00973FA6" w:rsidRPr="00E97BC8">
        <w:rPr>
          <w:rFonts w:cs="Times New Roman"/>
          <w:sz w:val="22"/>
          <w:szCs w:val="22"/>
        </w:rPr>
        <w:t>in the mix</w:t>
      </w:r>
      <w:r w:rsidR="00FC530E" w:rsidRPr="00E97BC8">
        <w:rPr>
          <w:rFonts w:cs="Times New Roman"/>
          <w:sz w:val="22"/>
          <w:szCs w:val="22"/>
        </w:rPr>
        <w:t xml:space="preserve"> </w:t>
      </w:r>
      <w:r w:rsidR="00FC530E" w:rsidRPr="00E97BC8">
        <w:rPr>
          <w:rFonts w:cs="Times New Roman"/>
          <w:sz w:val="22"/>
          <w:szCs w:val="22"/>
        </w:rPr>
        <w:fldChar w:fldCharType="begin"/>
      </w:r>
      <w:r w:rsidR="00050D9C" w:rsidRPr="00E97BC8">
        <w:rPr>
          <w:rFonts w:cs="Times New Roman"/>
          <w:sz w:val="22"/>
          <w:szCs w:val="22"/>
        </w:rPr>
        <w:instrText xml:space="preserve"> ADDIN ZOTERO_ITEM CSL_CITATION {"citationID":"RbqvphJ4","properties":{"formattedCitation":"(Chen et al., 2015; Munshi et al., 2022)","plainCitation":"(Chen et al., 2015; Munshi et al., 2022)","noteIndex":0},"citationItems":[{"id":3764,"uris":["http://zotero.org/users/12832277/items/5TY3PGT9"],"itemData":{"id":3764,"type":"article-journal","abstract":"Electric vehicles (EVs) are predicted to increase in market share as auto manufacturers introduce more fuel efficient vehicles to meet stricter fuel economy mandates and fossil fuel costs remain unpredictable. Reflecting spatial autocorrelation while controlling for a variety of demographic and locational (e.g., built environment) attributes, the zone-level spatial count model in this paper offers valuable information for power providers and charging station location decisions. By anticipating over 745,000 personal-vehicle registrations across a sample of 1000 census block groups in the Philadelphia region, a trivariate Poisson-lognormal conditional autoregressive (CAR) model anticipates Prius hybrid EV, other EV, and conventional vehicle ownership levels.Initial results signal higher EV ownership rates in more central zones with higher household incomes, along with significant residual spatial autocorrelation, suggesting that spatially-correlated latent variables and/or peer (neighbor) effects on purchase decisions are present. Such data sets will become more comprehensive and informative as EV market shares rise. This work’s multivariate Poisson-lognormal CAR modeling approach offers a rigorous, behaviorally-defensible framework for spatial patterns in choice behavior.","container-title":"Journal of Transport Geography","DOI":"10.1016/j.jtrangeo.2015.02.005","ISSN":"0966-6923","page":"181-188","source":"ScienceDirect","title":"Where Are the Electric Vehicles? A Spatial Model for Vehicle-Choice Count Data","volume":"43","author":[{"family":"Chen","given":"T. Donna"},{"family":"Wang","given":"Yiyi"},{"family":"Kockelman","given":"Kara M."}],"issued":{"date-parts":[["2015",2,1]]}}},{"id":2768,"uris":["http://zotero.org/users/12832277/items/SB2GS4IY"],"itemData":{"id":2768,"type":"article-journal","abstract":"Globally, there is a significant increase in the sales of electric vehicles (EVs), and in many counties, this is leading to transformational change in the use of vehicle technology. In India, the government provides policy and financial incentives with an expectation of large-scale diffusion of EVs in the medium and long term. However, for the diffusion of EVs, it is essential to understand consumer behaviour. This study contributes to understanding factors necessary to drive EV demand in India by analysing the behaviour of potential EV buyers. The city of Hyderabad in India was used as a case study. Personal interviews were used, and stated preferences for different scenarios were analysed using discrete choice models. The analysis reveals a general willingness to purchase EVs among the middle-income working population in India. However, this initial excitement was found to be only due to a lack of awareness about running cost and specification of EVs, and when the these were known, most respondents showed high sensitivity and reconsidered their choice. It was also found that financial and policy incentives positively impact EV adoption, underlining their importance. The estimates from this study thus provide insights into the policy responses and also for framing market strategies.","container-title":"Energy Policy","DOI":"10.1016/j.enpol.2022.112956","ISSN":"0301-4215","source":"ScienceDirect","title":"Understanding Barriers to Electric Vehicle Adoption for Personal Mobility: A Case Study of Middle Income in-Service Residents in Hyderabad City, India","URL":"https://www.sciencedirect.com/science/article/pii/S0301421522001811","volume":"167","author":[{"family":"Munshi","given":"Talat"},{"family":"Dhar","given":"Subash"},{"family":"Painuly","given":"Jyoti"}],"accessed":{"date-parts":[["2024",2,28]]},"issued":{"date-parts":[["2022",8,1]]}}}],"schema":"https://github.com/citation-style-language/schema/raw/master/csl-citation.json"} </w:instrText>
      </w:r>
      <w:r w:rsidR="00FC530E" w:rsidRPr="00E97BC8">
        <w:rPr>
          <w:rFonts w:cs="Times New Roman"/>
          <w:sz w:val="22"/>
          <w:szCs w:val="22"/>
        </w:rPr>
        <w:fldChar w:fldCharType="separate"/>
      </w:r>
      <w:r w:rsidR="001E6A07" w:rsidRPr="00E97BC8">
        <w:rPr>
          <w:rFonts w:cs="Times New Roman"/>
          <w:sz w:val="22"/>
          <w:szCs w:val="22"/>
        </w:rPr>
        <w:t>(Chen et al., 2015; Munshi et al., 2022)</w:t>
      </w:r>
      <w:r w:rsidR="00FC530E" w:rsidRPr="00E97BC8">
        <w:rPr>
          <w:rFonts w:cs="Times New Roman"/>
          <w:sz w:val="22"/>
          <w:szCs w:val="22"/>
        </w:rPr>
        <w:fldChar w:fldCharType="end"/>
      </w:r>
      <w:r w:rsidR="00E95D51" w:rsidRPr="00E97BC8">
        <w:rPr>
          <w:rFonts w:cs="Times New Roman"/>
          <w:sz w:val="22"/>
          <w:szCs w:val="22"/>
        </w:rPr>
        <w:t xml:space="preserve">. </w:t>
      </w:r>
      <w:r w:rsidR="00A717CB" w:rsidRPr="00E97BC8">
        <w:rPr>
          <w:rFonts w:cs="Times New Roman"/>
          <w:sz w:val="22"/>
          <w:szCs w:val="22"/>
        </w:rPr>
        <w:t>In addition, t</w:t>
      </w:r>
      <w:r w:rsidR="00933D33" w:rsidRPr="00E97BC8">
        <w:rPr>
          <w:rFonts w:cs="Times New Roman"/>
          <w:sz w:val="22"/>
          <w:szCs w:val="22"/>
        </w:rPr>
        <w:t xml:space="preserve">his finding may reflect a more recent trend </w:t>
      </w:r>
      <w:r w:rsidR="00973FA6" w:rsidRPr="00E97BC8">
        <w:rPr>
          <w:rFonts w:cs="Times New Roman"/>
          <w:sz w:val="22"/>
          <w:szCs w:val="22"/>
        </w:rPr>
        <w:t xml:space="preserve">of </w:t>
      </w:r>
      <w:r w:rsidR="00933D33" w:rsidRPr="00E97BC8">
        <w:rPr>
          <w:rFonts w:cs="Times New Roman"/>
          <w:sz w:val="22"/>
          <w:szCs w:val="22"/>
        </w:rPr>
        <w:t xml:space="preserve">EV models </w:t>
      </w:r>
      <w:r w:rsidR="00973FA6" w:rsidRPr="00E97BC8">
        <w:rPr>
          <w:rFonts w:cs="Times New Roman"/>
          <w:sz w:val="22"/>
          <w:szCs w:val="22"/>
        </w:rPr>
        <w:t xml:space="preserve">being designed with </w:t>
      </w:r>
      <w:r w:rsidR="00933D33" w:rsidRPr="00E97BC8">
        <w:rPr>
          <w:rFonts w:cs="Times New Roman"/>
          <w:sz w:val="22"/>
          <w:szCs w:val="22"/>
        </w:rPr>
        <w:t xml:space="preserve">larger families </w:t>
      </w:r>
      <w:r w:rsidR="00973FA6" w:rsidRPr="00E97BC8">
        <w:rPr>
          <w:rFonts w:cs="Times New Roman"/>
          <w:sz w:val="22"/>
          <w:szCs w:val="22"/>
        </w:rPr>
        <w:t>in mind</w:t>
      </w:r>
      <w:r w:rsidR="00933D33" w:rsidRPr="00E97BC8">
        <w:rPr>
          <w:rFonts w:cs="Times New Roman"/>
          <w:sz w:val="22"/>
          <w:szCs w:val="22"/>
        </w:rPr>
        <w:t xml:space="preserve"> </w:t>
      </w:r>
      <w:r w:rsidR="00A9014E" w:rsidRPr="00E97BC8">
        <w:rPr>
          <w:rFonts w:cs="Times New Roman"/>
          <w:sz w:val="22"/>
          <w:szCs w:val="22"/>
        </w:rPr>
        <w:fldChar w:fldCharType="begin"/>
      </w:r>
      <w:r w:rsidR="00A9014E" w:rsidRPr="00E97BC8">
        <w:rPr>
          <w:rFonts w:cs="Times New Roman"/>
          <w:sz w:val="22"/>
          <w:szCs w:val="22"/>
        </w:rPr>
        <w:instrText xml:space="preserve"> ADDIN ZOTERO_ITEM CSL_CITATION {"citationID":"1As5r2tV","properties":{"formattedCitation":"(Higgins et al., 2017; Lu\\uc0\\u269{}i\\uc0\\u263{} et al., 2024)","plainCitation":"(Higgins et al., 2017; Lučić et al., 2024)","noteIndex":0},"citationItems":[{"id":3769,"uris":["http://zotero.org/users/12832277/items/Z9PPZYS5"],"itemData":{"id":3769,"type":"article-journal","abstract":"Electric vehicles (EVs) hold great promise for reducing greenhouse gas emissions, yet achieving their environmental benefits depends on greater market uptake. While a growing body of literature has sought to offer information on consumer stated preferences for EVs, to date no research has examined how preferences for hybrid, plug-in hybrid, and battery electric vehicles are shaped by vehicle body size or type. The automobile market is differentiated with vehicle attributes that respond to heterogeneous consumer demands. We hypothesize that each bundle of attributes as it relates to vehicle body size also shapes demand for EVs. Using a large primary dataset, we segment respondents according to their preferred next vehicle body type (economy, intermediate, full-size sedan, luxury, minivan, sport utility, and pickup). Multivariate analysis of variance (MANOVA) results show significant differences in the socioeconomic, demographic, and psychological profile of consumers across the seven vehicle segments. From this, discrete choice models detail how vehicle type plays a significant role in the choicemaking behaviour of potential EV consumers. While factors like age, education, and the importance of fuel economy and reduced or eliminated emissions generally play a consistent role in improving the utility of EVs, our results also reveal significant heterogeneity in choice of powertrain across vehicle segments, with luxury and pickup buyers among the most distinct. The results offer useful information for marketing, policy, and research.","container-title":"Transportation Research Part A: Policy and Practice","DOI":"10.1016/j.tra.2017.04.014","ISSN":"0965-8564","page":"182-201","source":"ScienceDirect","title":"Size Matters: How Vehicle Body Type Affects Consumer Preferences for Electric Vehicles","volume":"100","author":[{"family":"Higgins","given":"Christopher D."},{"family":"Mohamed","given":"Moataz"},{"family":"Ferguson","given":"Mark R."}],"issued":{"date-parts":[["2017",6,1]]}}},{"id":3767,"uris":["http://zotero.org/users/12832277/items/L9RIGURV"],"itemData":{"id":3767,"type":"article-journal","abstract":"Electric vehicles (EVs) are increasingly being used, as they are more environmentally friendly than conventional vehicles with internal combustion engines (ICE). Battery electric vehicles (BEVs) can be said to have zero exhaust emissions only if the electricity used to drive these vehicles is obtained in an environmentally friendly way. It is common knowledge that BEVs have a significantly higher overall mass than conventional vehicles. The significantly higher total vehicle weight of BEVs can have various adverse effects on energy consumption during movement and the vehicle's dynamics. In contrast to the negative aspects of BEVs, there are also positive aspects that are primarily related to the comfort of drivers and passengers, considering the main fact that they do not require the presence of a floor tunnel. In this paper, trends related to BEVs in the previous five years were statistically analysed. Changes in average sizes related to BEVs are shown, primarily internal dimensions that can be of crucial importance when deciding between BEVs and conventional vehicles. In the paper itself, other important trends are presented, both for the electric motor itself and for the batteries used in BEVs.","DOI":"10.14669/AM/189962","ISSN":"2084-476X","language":"en","note":"Accepted: 2024-07-25T10:04:11Z","source":"scidar.kg.ac.rs","title":"Statistical Analysis of Trends in Battery Electric Vehicles: Special Reference to Vehicle Weight Reduction, Electric Motor, Battery, and Interior Space Dimensions","URL":"https://scidar.kg.ac.rs/handle/123456789/21041","author":[{"family":"Lučić","given":"Marko"},{"family":"Lukić","given":"Jovanka"},{"family":"Grujic","given":"Ivan"}],"accessed":{"date-parts":[["2024",10,24]]},"issued":{"date-parts":[["2024"]]}}}],"schema":"https://github.com/citation-style-language/schema/raw/master/csl-citation.json"} </w:instrText>
      </w:r>
      <w:r w:rsidR="00A9014E" w:rsidRPr="00E97BC8">
        <w:rPr>
          <w:rFonts w:cs="Times New Roman"/>
          <w:sz w:val="22"/>
          <w:szCs w:val="22"/>
        </w:rPr>
        <w:fldChar w:fldCharType="separate"/>
      </w:r>
      <w:r w:rsidR="001E6A07" w:rsidRPr="00E97BC8">
        <w:rPr>
          <w:rFonts w:cs="Times New Roman"/>
          <w:kern w:val="0"/>
          <w:sz w:val="22"/>
          <w:szCs w:val="22"/>
        </w:rPr>
        <w:t>(Higgins et al., 2017; Lučić et al., 2024)</w:t>
      </w:r>
      <w:r w:rsidR="00A9014E" w:rsidRPr="00E97BC8">
        <w:rPr>
          <w:rFonts w:cs="Times New Roman"/>
          <w:sz w:val="22"/>
          <w:szCs w:val="22"/>
        </w:rPr>
        <w:fldChar w:fldCharType="end"/>
      </w:r>
      <w:r w:rsidR="00933D33" w:rsidRPr="00E97BC8">
        <w:rPr>
          <w:rFonts w:cs="Times New Roman"/>
          <w:sz w:val="22"/>
          <w:szCs w:val="22"/>
        </w:rPr>
        <w:t>.</w:t>
      </w:r>
      <w:r w:rsidR="00C006D3" w:rsidRPr="00E97BC8">
        <w:rPr>
          <w:rFonts w:cs="Times New Roman"/>
          <w:sz w:val="22"/>
          <w:szCs w:val="22"/>
        </w:rPr>
        <w:t xml:space="preserve"> </w:t>
      </w:r>
    </w:p>
    <w:p w14:paraId="458B9DA4" w14:textId="4A444BD8" w:rsidR="005C2D82" w:rsidRPr="00E97BC8" w:rsidRDefault="004227E6" w:rsidP="00E85093">
      <w:pPr>
        <w:spacing w:after="0" w:line="240" w:lineRule="auto"/>
        <w:ind w:firstLine="720"/>
        <w:jc w:val="both"/>
        <w:rPr>
          <w:rFonts w:cs="Times New Roman"/>
          <w:sz w:val="22"/>
          <w:szCs w:val="22"/>
        </w:rPr>
      </w:pPr>
      <w:r w:rsidRPr="00E97BC8">
        <w:rPr>
          <w:rFonts w:cs="Times New Roman"/>
          <w:sz w:val="22"/>
          <w:szCs w:val="22"/>
        </w:rPr>
        <w:t xml:space="preserve">Although </w:t>
      </w:r>
      <w:r w:rsidR="00817475" w:rsidRPr="00E97BC8">
        <w:rPr>
          <w:rFonts w:cs="Times New Roman"/>
          <w:sz w:val="22"/>
          <w:szCs w:val="22"/>
        </w:rPr>
        <w:t xml:space="preserve">many </w:t>
      </w:r>
      <w:r w:rsidRPr="00E97BC8">
        <w:rPr>
          <w:rFonts w:cs="Times New Roman"/>
          <w:sz w:val="22"/>
          <w:szCs w:val="22"/>
        </w:rPr>
        <w:t xml:space="preserve">stated preference surveys have found </w:t>
      </w:r>
      <w:r w:rsidR="00817475" w:rsidRPr="00E97BC8">
        <w:rPr>
          <w:rFonts w:cs="Times New Roman"/>
          <w:sz w:val="22"/>
          <w:szCs w:val="22"/>
        </w:rPr>
        <w:t xml:space="preserve">that </w:t>
      </w:r>
      <w:r w:rsidRPr="00E97BC8">
        <w:rPr>
          <w:rFonts w:cs="Times New Roman"/>
          <w:sz w:val="22"/>
          <w:szCs w:val="22"/>
        </w:rPr>
        <w:t>income</w:t>
      </w:r>
      <w:r w:rsidR="00817475" w:rsidRPr="00E97BC8">
        <w:rPr>
          <w:rFonts w:cs="Times New Roman"/>
          <w:sz w:val="22"/>
          <w:szCs w:val="22"/>
        </w:rPr>
        <w:t xml:space="preserve"> has a moderate impact on EV adoption</w:t>
      </w:r>
      <w:r w:rsidRPr="00E97BC8">
        <w:rPr>
          <w:rFonts w:cs="Times New Roman"/>
          <w:sz w:val="22"/>
          <w:szCs w:val="22"/>
        </w:rPr>
        <w:t xml:space="preserve">, </w:t>
      </w:r>
      <w:r w:rsidR="00817475" w:rsidRPr="00E97BC8">
        <w:rPr>
          <w:rFonts w:cs="Times New Roman"/>
          <w:sz w:val="22"/>
          <w:szCs w:val="22"/>
        </w:rPr>
        <w:t xml:space="preserve">primarily due to </w:t>
      </w:r>
      <w:r w:rsidRPr="00E97BC8">
        <w:rPr>
          <w:rFonts w:cs="Times New Roman"/>
          <w:sz w:val="22"/>
          <w:szCs w:val="22"/>
        </w:rPr>
        <w:t xml:space="preserve">sensitivity to initial purchase price </w:t>
      </w:r>
      <w:r w:rsidRPr="00E97BC8">
        <w:rPr>
          <w:rFonts w:cs="Times New Roman"/>
          <w:sz w:val="22"/>
          <w:szCs w:val="22"/>
        </w:rPr>
        <w:fldChar w:fldCharType="begin"/>
      </w:r>
      <w:r w:rsidRPr="00E97BC8">
        <w:rPr>
          <w:rFonts w:cs="Times New Roman"/>
          <w:sz w:val="22"/>
          <w:szCs w:val="22"/>
        </w:rPr>
        <w:instrText xml:space="preserve"> ADDIN ZOTERO_ITEM CSL_CITATION {"citationID":"iJyPBdmK","properties":{"unsorted":true,"formattedCitation":"(Ramos-Real et al., 2018; Xue et al., 2021; He et al., 2022; Yang et al., 2023; Pandita et al., 2024)","plainCitation":"(Ramos-Real et al., 2018; Xue et al., 2021; He et al., 2022; Yang et al., 2023; Pandita et al., 2024)","dontUpdate":true,"noteIndex":0},"citationItems":[{"id":2646,"uris":["http://zotero.org/users/12832277/items/C2FGBXYP"],"itemData":{"id":2646,"type":"article-journal","abstract":"Electric vehicles (EVs) could be a solution to reduce final energy consumption and carbon emissions in the road transport sector. Moreover, the mobility characteristics of drivers (i.e., their average driving distance) fit better with current EV technical features on a small island than in the mainland. This paper analyzes willingness-to-change (WTC) and willingness-to-pay (WTP) for an EV in Tenerife (Canary Islands), both of which are key factors for understanding potential for EV penetration. WTC and WTP in Tenerife island are estimated based on data collected through a face-to-face survey-based contingent valuation approach. We go on to assess the impact of a set of explanatory variables on both WTC and WTP, in order to characterize the representative profile of a potential EV buyer. Informing on the basic properties of an EV and environmental concerns are found to be key factors for WTC, while income level, mobility patterns, environmental concerns and attitude-to-tech of potential buyers are found to be important factors for WTP.","container-title":"Renewable and Sustainable Energy Reviews","DOI":"10.1016/j.rser.2018.09.014","ISSN":"1364-0321","page":"140-149","source":"ScienceDirect","title":"Willingness to Pay for Electric Vehicles in Island Regions: The Case of Tenerife (canary Islands)","title-short":"Willingness to Pay for Electric Vehicles in Island Regions","volume":"98","author":[{"family":"Ramos-Real","given":"Francisco J."},{"family":"Ramírez-Díaz","given":"Alfredo"},{"family":"Marrero","given":"Gustavo A."},{"family":"Perez","given":"Yannick"}],"issued":{"date-parts":[["2018",12,1]]}}},{"id":2644,"uris":["http://zotero.org/users/12832277/items/ASIWNYKJ"],"itemData":{"id":2644,"type":"article-journal","abstract":"Under the strong support of policies and incentives, the global electric vehicle (EV) market has been developing rapidly. However, in the context of the overall EV market boom, the promotion policies and incentives for consumers to adopt EVs differ from country to country. It is worth exploring the key factors that affect market share and adoption of EVs, such as incentives, policies, and additional socio-economic factors. The data on EV market share and information on policies and incentives in 20 countries were collected from the published reports and online resources from 2015 to 2019. Random effects model analysis was conducted to explore the effect of various factors on EV market share. The innovation of this article is to combine incentive policies with socio-economic factors and use panel data to analyze the actual adoption behavior of the global EV market. Results show that the tax reduction policy, charger density, and income have significantly positive effects on the penetration of EVs. Thus, it suggested that government should still maintain tax incentives and focus on the deployment of charging infrastructure. Household income, as a socio-economic factor, also plays an important role in the adoption of EVs. This will help policymakers adjust and improve policy emphasis to promote the adoption of EVs.","container-title":"Sustainability","DOI":"10.3390/su13052928","ISSN":"2071-1050","issue":"5","language":"en","license":"http://creativecommons.org/licenses/by/3.0/","note":"number: 5\npublisher: Multidisciplinary Digital Publishing Institute","source":"www.mdpi.com","title":"Impact of Incentive Policies and Other Socio-Economic Factors on Electric Vehicle Market Share: A Panel Data Analysis from the 20 Countries","URL":"https://www.mdpi.com/2071-1050/13/5/2928","volume":"13","author":[{"family":"Xue","given":"Chenlei"},{"family":"Zhou","given":"Huaguo"},{"family":"Wu","given":"Qunqi"},{"family":"Wu","given":"Xueying"},{"family":"Xu","given":"Xingbo"}],"accessed":{"date-parts":[["2024",2,23]]},"issued":{"date-parts":[["2021",1]]}}},{"id":2653,"uris":["http://zotero.org/users/12832277/items/9I5SWPQW"],"itemData":{"id":2653,"type":"article-journal","abstract":"This study explores the spatial mode of electric vehicle (EV) adoption in the early market of 41 key cities in China among which there is a high spatial heterogeneity . A spatial econometric model is established to illustrate the relative importance of regional variables on EV adoption. Most independent variables have significant direct positive effects on EV adoption. Specifically, the number of charging piles and per capita income had the greatest effects, followed by population density and university degree. These results indicate that areas with dense populations, higher education levels, higher income, and a complete charging infrastructure tend to dominate the early market for EVs. In comparison, the indirect effects of most independent variables are not significant, except for the population density and number of charging piles. Finally, this study concludes with the application of empirical results to policymaking.","container-title":"Transportation Letters","DOI":"10.1080/19427867.2021.1917217","ISSN":"1942-7867","issue":"6","note":"publisher: Taylor &amp; Francis\n_eprint: https://doi.org/10.1080/19427867.2021.1917217","page":"640-650","source":"Taylor and Francis+NEJM","title":"Examining the Spatial Mode in the Early Market for Electric Vehicles Adoption: Evidence from 41 Cities in China","title-short":"Examining the Spatial Mode in the Early Market for Electric Vehicles Adoption","volume":"14","author":[{"family":"He","given":"Zhengxia"},{"family":"Zhou","given":"Yanqing"},{"family":"Chen","given":"Xin"},{"family":"Wang","given":"Jianming"},{"family":"Shen","given":"Wenxing"},{"family":"Wang","given":"Meiling"},{"family":"Li","given":"Wenbo"}],"issued":{"date-parts":[["2022",7,3]]}}},{"id":2445,"uris":["http://zotero.org/users/12832277/items/89W4XI8K"],"itemData":{"id":2445,"type":"article-journal","abstract":"The transportation sector, led by the automobile, is the major contributor to greenhouse gas emissions and increasing global warming. Transport electrification is one of the effective solutions to reduce oil dependency and mitigate environmental and climatic impacts from road transportation. Norway aims to be a major force in the electric vehicle market and has the ambition to have all newly sold light-weight vehicles be zero-emission by 2025. The share of battery electric vehicles (BEVs) in the auto market in Norway had reached up to 64.5% in 2021, indicating that Norway has recently become a well-matured BEV market. Some previous studies have investigated the drivers of BEV adoption in different countries but primarily in areas with low BEV market share. The drivers of a well-mature market with high BEV adoption remain poorly understood. Additionally, some existing works ignored the impacts of climatic conditions on BEV adoption, although climate conditions have been considered as one of the most important factors that impact BEV performance. In this study, we estimated how socioeconomic drivers and climatic conditions affect the spatial patterns of Norwegian BEV adoption in 2019 using the conditional autoregressive models. We found that the BEV adoption in Norway have a significant clustering pattern. Norwegians in urban areas with more available charging stations and having higher income levels and demand for travel are more likely to adopt BEVs. Municipalities with lower minimum temperatures and a higher proportion of elderly people often have a lower BEV adoption rate. Our findings emphasized the impacts of climatic conditions on BEV adoption and could provide important insights into the late-stage BEV adoption market for many countries in which the current BEV market is still in development.","container-title":"Journal of Transport Geography","DOI":"10.1016/j.jtrangeo.2022.103489","ISSN":"0966-6923","source":"ScienceDirect","title":"Electric Vehicle Adoption in a Mature Market: A Case Study of Norway","URL":"https://www.sciencedirect.com/science/article/pii/S0966692322002125","volume":"106","author":[{"family":"Yang","given":"Anni"},{"family":"Liu","given":"Chenhui"},{"family":"Yang","given":"Di"},{"family":"Lu","given":"Chaoru"}],"accessed":{"date-parts":[["2024",2,15]]},"issued":{"date-parts":[["2023",1,1]]}}},{"id":2696,"uris":["http://zotero.org/users/12832277/items/D9YSDZUD"],"itemData":{"id":2696,"type":"article-journal","abstract":"Purpose This study aims to emphasize green energy-driven solutions to address environmental sustainability issues, particularly to promote the uptake of electric vehicles (EVs). This study intends to investigate user adoption of EVs as the existing predicament of converting car owners to EV buyers, demanding a push to create a facilitating environment for EV uptake. Design/methodology/approach A survey-based quantitative study involving 330 car owners and potential buyers was conducted involving four predictors, i.e. financial benefits, social influence, charging infrastructure and range consciousness. Environmental concerns and socio-demographic factors such as age, family income and gender were considered as moderators between these predictors and EV adoption intention. Partial least square structural equation modelling was used to analyse the proposed relationships. Findings The findings indicated that financial benefits (ß = 0.169, t = 3.930), social influence (ß = 0.099, t = 2.605), range consciousness (ß = 0.239, t = 3.983) and charging infrastructure (ß = 0.142, t = 4.8) significantly impact EV adoption. Family income was the most significant moderator with a large effect size (F square = 0.224), followed by environmental concern (F square = 0.182) and age (F square = 0.042) having a medium moderation effect and, subsequently, gender (F square = 0.010) as a mild moderator. Originality/value By analysing environmental concerns as a moderator, this study fosters a novel understanding of how environmental concerns impact EV adoption, which has not been explored. Additionally, the empirical assessment of the socio-economic and socio-demographic factors of EV adoption helps to offer a consumer perspective to the government and policymakers in undertaking initiatives to promote EV adoption.","container-title":"International Journal of Energy Sector Management","DOI":"10.1108/IJESM-06-2023-0004","ISSN":"1750-6220","source":"Emerald Insight","title":"Electrifying the Future: Analysing the Determinants of Electric Vehicle Adoption","URL":"https://doi.org/10.1108/IJESM-06-2023-0004","author":[{"family":"Pandita","given":"Deepika"},{"family":"Bhatt","given":"Vimal"},{"family":"Kumar","given":"V. V. Ravi"},{"family":"Fatma","given":"Anam"},{"family":"Vapiwala","given":"Fatima"}],"accessed":{"date-parts":[["2024",2,28]]},"issued":{"date-parts":[["2024",1,1]]}}}],"schema":"https://github.com/citation-style-language/schema/raw/master/csl-citation.json"} </w:instrText>
      </w:r>
      <w:r w:rsidRPr="00E97BC8">
        <w:rPr>
          <w:rFonts w:cs="Times New Roman"/>
          <w:sz w:val="22"/>
          <w:szCs w:val="22"/>
        </w:rPr>
        <w:fldChar w:fldCharType="separate"/>
      </w:r>
      <w:r w:rsidRPr="00E97BC8">
        <w:rPr>
          <w:rFonts w:cs="Times New Roman"/>
          <w:sz w:val="22"/>
          <w:szCs w:val="22"/>
        </w:rPr>
        <w:t>(see Ramos-Real et al., 2018; Xue et al., 2021; He et al., 2022; Yang et al., 2023; Pandita et al., 2024)</w:t>
      </w:r>
      <w:r w:rsidRPr="00E97BC8">
        <w:rPr>
          <w:rFonts w:cs="Times New Roman"/>
          <w:sz w:val="22"/>
          <w:szCs w:val="22"/>
        </w:rPr>
        <w:fldChar w:fldCharType="end"/>
      </w:r>
      <w:r w:rsidRPr="00E97BC8">
        <w:rPr>
          <w:rFonts w:cs="Times New Roman"/>
          <w:sz w:val="22"/>
          <w:szCs w:val="22"/>
        </w:rPr>
        <w:t xml:space="preserve">, other findings are mixed </w:t>
      </w:r>
      <w:r w:rsidRPr="00E97BC8">
        <w:rPr>
          <w:rFonts w:cs="Times New Roman"/>
          <w:sz w:val="22"/>
          <w:szCs w:val="22"/>
        </w:rPr>
        <w:fldChar w:fldCharType="begin"/>
      </w:r>
      <w:r w:rsidR="008F0947" w:rsidRPr="00E97BC8">
        <w:rPr>
          <w:rFonts w:cs="Times New Roman"/>
          <w:sz w:val="22"/>
          <w:szCs w:val="22"/>
        </w:rPr>
        <w:instrText xml:space="preserve"> ADDIN ZOTERO_ITEM CSL_CITATION {"citationID":"33jwmcMi","properties":{"unsorted":true,"formattedCitation":"(Helveston et al., 2015; Ferguson et al., 2018)","plainCitation":"(Helveston et al., 2015; Ferguson et al., 2018)","dontUpdate":true,"noteIndex":0},"citationItems":[{"id":3823,"uris":["http://zotero.org/users/12832277/items/VUMKCYV7"],"itemData":{"id":3823,"type":"article-journal","abstract":"We model consumer preferences for conventional, hybrid electric, plug-in hybrid electric (PHEV), and battery electric (BEV) vehicle technologies in China and the U.S. using data from choice-based conjoint surveys fielded in 2012–2013 in both countries. We find that with the combined bundle of attributes offered by vehicles available today, gasoline vehicles continue in both countries to be most attractive to consumers, and American respondents have significantly lower relative willingness-to-pay for BEV technology than Chinese respondents. While U.S. and Chinese subsidies are similar, favoring vehicles with larger battery packs, differences in consumer preferences lead to different outcomes. Our results suggest that with or without each country’s 2012–2013 subsidies, Chinese consumers are willing to adopt today’s BEVs and mid-range PHEVs at similar rates relative to their respective gasoline counterparts, whereas American consumers prefer low-range PHEVs despite subsidies. This implies potential for earlier BEV adoption in China, given adequate supply. While there are clear national security benefits for adoption of BEVs in China, the local and global social impact is unclear: With higher electricity generation emissions in China, a transition to BEVs may reduce oil consumption at the expense of increased air pollution and/or greenhouse gas emissions. On the other hand, demand from China could increase global incentives for electric vehicle technology development with the potential to reduce emissions in countries where electricity generation is associated with lower emissions.","container-title":"Transportation Research Part A: Policy and Practice","DOI":"10.1016/j.tra.2015.01.002","ISSN":"0965-8564","page":"96-112","source":"ScienceDirect","title":"Will Subsidies Drive Electric Vehicle Adoption? Measuring Consumer Preferences in the U.S. and China","volume":"73","author":[{"family":"Helveston","given":"John Paul"},{"family":"Liu","given":"Yimin"},{"family":"Feit","given":"Elea McDonnell"},{"family":"Fuchs","given":"Erica"},{"family":"Klampfl","given":"Erica"},{"family":"Michalek","given":"Jeremy J."}],"issued":{"date-parts":[["2015",3,1]]}}},{"id":3820,"uris":["http://zotero.org/users/12832277/items/LEIXPNGN"],"itemData":{"id":3820,"type":"article-journal","abstract":"This paper reports on results developed from a 2015 national survey of Canadian consumers that sought to assess attitudes and preferences towards consumer electric vehicles. A latent class discrete choice model was developed based on stated preferences choices. Four classes emerged with each being oriented to one of the primary vehicle technologies considered. The dominant characteristics of the Internal Combustion Engine (ICE)-oriented class are purchase price sensitivity, EV scepticism and an apparent resistance to change; for the Hybrid Electric Vehicle (HEV)-oriented class it is reluctance to plug-in and an unusual combination of high environmental concern and an acceptance to burn gasoline; for the suburban-oriented Plug-in Hybrid Electric Vehicle (PHEV)-oriented class it is measured optimism about plugging-in combined with an orientation to a replacement vehicle for the next purchase; and for the younger and most urban Battery Electric Vehicle (BEV)-oriented class it is the highest optimism about electric vehicles and a focus on positive aspects such as rapid acceleration and minimized maintenance costs. By orientation of household mindset, approximately 40% are ICE, 30% are PHEV, 20% are HEV and 10% are BEV.These results suggest considerable openness to electric vehicles. Willingness-to-pay for vehicle and charging attributes and incentives were calculated and are highly useful in interpreting the latent classes. The results feature interesting geographical variation which is captured at the level of Canadian metropolitan areas.","container-title":"Transportation Research Part D: Transport and Environment","DOI":"10.1016/j.trd.2017.12.006","ISSN":"1361-9209","page":"208-224","source":"ScienceDirect","title":"How Open Are Canadian Households to Electric Vehicles? A National Latent Class Choice Analysis with Willingness-to-Pay and Metropolitan Characterization","volume":"58","author":[{"family":"Ferguson","given":"Mark"},{"family":"Mohamed","given":"Moataz"},{"family":"Higgins","given":"Christopher D."},{"family":"Abotalebi","given":"Elnaz"},{"family":"Kanaroglou","given":"Pavlos"}],"issued":{"date-parts":[["2018",1,1]]}}}],"schema":"https://github.com/citation-style-language/schema/raw/master/csl-citation.json"} </w:instrText>
      </w:r>
      <w:r w:rsidRPr="00E97BC8">
        <w:rPr>
          <w:rFonts w:cs="Times New Roman"/>
          <w:sz w:val="22"/>
          <w:szCs w:val="22"/>
        </w:rPr>
        <w:fldChar w:fldCharType="separate"/>
      </w:r>
      <w:r w:rsidRPr="00E97BC8">
        <w:rPr>
          <w:rFonts w:cs="Times New Roman"/>
          <w:sz w:val="22"/>
          <w:szCs w:val="22"/>
        </w:rPr>
        <w:t>(see Helveston et al., 2015; Ferguson et al., 2018)</w:t>
      </w:r>
      <w:r w:rsidRPr="00E97BC8">
        <w:rPr>
          <w:rFonts w:cs="Times New Roman"/>
          <w:sz w:val="22"/>
          <w:szCs w:val="22"/>
        </w:rPr>
        <w:fldChar w:fldCharType="end"/>
      </w:r>
      <w:r w:rsidRPr="00E97BC8">
        <w:rPr>
          <w:rFonts w:cs="Times New Roman"/>
          <w:sz w:val="22"/>
          <w:szCs w:val="22"/>
        </w:rPr>
        <w:t xml:space="preserve">. </w:t>
      </w:r>
      <w:r w:rsidR="0042683C" w:rsidRPr="00E97BC8">
        <w:rPr>
          <w:rFonts w:cs="Times New Roman"/>
          <w:sz w:val="22"/>
          <w:szCs w:val="22"/>
        </w:rPr>
        <w:t xml:space="preserve">We find </w:t>
      </w:r>
      <w:r w:rsidR="00817475" w:rsidRPr="00E97BC8">
        <w:rPr>
          <w:rFonts w:cs="Times New Roman"/>
          <w:sz w:val="22"/>
          <w:szCs w:val="22"/>
        </w:rPr>
        <w:t xml:space="preserve">a significant </w:t>
      </w:r>
      <w:r w:rsidR="00973FA6" w:rsidRPr="00E97BC8">
        <w:rPr>
          <w:rFonts w:cs="Times New Roman"/>
          <w:sz w:val="22"/>
          <w:szCs w:val="22"/>
        </w:rPr>
        <w:t xml:space="preserve">positive </w:t>
      </w:r>
      <w:r w:rsidR="00817475" w:rsidRPr="00E97BC8">
        <w:rPr>
          <w:rFonts w:cs="Times New Roman"/>
          <w:sz w:val="22"/>
          <w:szCs w:val="22"/>
        </w:rPr>
        <w:t xml:space="preserve">effect of household income on EV adoption, even after accounting for effects through the latent constructs. </w:t>
      </w:r>
      <w:r w:rsidR="005C2D82" w:rsidRPr="00E97BC8">
        <w:rPr>
          <w:rFonts w:cs="Times New Roman"/>
          <w:sz w:val="22"/>
          <w:szCs w:val="22"/>
        </w:rPr>
        <w:t>Individuals from h</w:t>
      </w:r>
      <w:r w:rsidR="00817475" w:rsidRPr="00E97BC8">
        <w:rPr>
          <w:rFonts w:cs="Times New Roman"/>
          <w:sz w:val="22"/>
          <w:szCs w:val="22"/>
        </w:rPr>
        <w:t>igh</w:t>
      </w:r>
      <w:r w:rsidR="006E32E2" w:rsidRPr="00E97BC8">
        <w:rPr>
          <w:rFonts w:cs="Times New Roman"/>
          <w:sz w:val="22"/>
          <w:szCs w:val="22"/>
        </w:rPr>
        <w:t>-</w:t>
      </w:r>
      <w:r w:rsidR="00817475" w:rsidRPr="00E97BC8">
        <w:rPr>
          <w:rFonts w:cs="Times New Roman"/>
          <w:sz w:val="22"/>
          <w:szCs w:val="22"/>
        </w:rPr>
        <w:t xml:space="preserve">income households are particularly motivated by interest in specific brands or models of EVs, experience, and social influence. </w:t>
      </w:r>
      <w:r w:rsidR="003716EA" w:rsidRPr="00E97BC8">
        <w:rPr>
          <w:rFonts w:cs="Times New Roman"/>
          <w:sz w:val="22"/>
          <w:szCs w:val="22"/>
        </w:rPr>
        <w:t xml:space="preserve">This </w:t>
      </w:r>
      <w:r w:rsidR="0083326A" w:rsidRPr="00E97BC8">
        <w:rPr>
          <w:rFonts w:cs="Times New Roman"/>
          <w:sz w:val="22"/>
          <w:szCs w:val="22"/>
        </w:rPr>
        <w:t>finding highlights the</w:t>
      </w:r>
      <w:r w:rsidR="00093B0E" w:rsidRPr="00E97BC8">
        <w:rPr>
          <w:rFonts w:cs="Times New Roman"/>
          <w:sz w:val="22"/>
          <w:szCs w:val="22"/>
        </w:rPr>
        <w:t xml:space="preserve"> successes of </w:t>
      </w:r>
      <w:r w:rsidR="00365F3E" w:rsidRPr="00E97BC8">
        <w:rPr>
          <w:rFonts w:cs="Times New Roman"/>
          <w:sz w:val="22"/>
          <w:szCs w:val="22"/>
        </w:rPr>
        <w:t xml:space="preserve">EV manufacturers </w:t>
      </w:r>
      <w:r w:rsidR="00973FA6" w:rsidRPr="00E97BC8">
        <w:rPr>
          <w:rFonts w:cs="Times New Roman"/>
          <w:sz w:val="22"/>
          <w:szCs w:val="22"/>
        </w:rPr>
        <w:t xml:space="preserve">in marketing </w:t>
      </w:r>
      <w:r w:rsidR="00365F3E" w:rsidRPr="00E97BC8">
        <w:rPr>
          <w:rFonts w:cs="Times New Roman"/>
          <w:sz w:val="22"/>
          <w:szCs w:val="22"/>
        </w:rPr>
        <w:t>luxury EVs to high-income segments</w:t>
      </w:r>
      <w:r w:rsidR="005C25EE" w:rsidRPr="00E97BC8">
        <w:rPr>
          <w:rFonts w:cs="Times New Roman"/>
          <w:sz w:val="22"/>
          <w:szCs w:val="22"/>
        </w:rPr>
        <w:t>.</w:t>
      </w:r>
      <w:r w:rsidR="003E0224" w:rsidRPr="00E97BC8">
        <w:rPr>
          <w:rFonts w:cs="Times New Roman"/>
          <w:sz w:val="22"/>
          <w:szCs w:val="22"/>
        </w:rPr>
        <w:t xml:space="preserve"> In contrast, </w:t>
      </w:r>
      <w:r w:rsidR="005C2D82" w:rsidRPr="00E97BC8">
        <w:rPr>
          <w:rFonts w:cs="Times New Roman"/>
          <w:sz w:val="22"/>
          <w:szCs w:val="22"/>
        </w:rPr>
        <w:t xml:space="preserve">individuals from </w:t>
      </w:r>
      <w:r w:rsidR="00997269" w:rsidRPr="00E97BC8">
        <w:rPr>
          <w:rFonts w:cs="Times New Roman"/>
          <w:sz w:val="22"/>
          <w:szCs w:val="22"/>
        </w:rPr>
        <w:t>low-income</w:t>
      </w:r>
      <w:r w:rsidR="005C2D82" w:rsidRPr="00E97BC8">
        <w:rPr>
          <w:rFonts w:cs="Times New Roman"/>
          <w:sz w:val="22"/>
          <w:szCs w:val="22"/>
        </w:rPr>
        <w:t xml:space="preserve"> households cite </w:t>
      </w:r>
      <w:r w:rsidR="003E0224" w:rsidRPr="00E97BC8">
        <w:rPr>
          <w:rFonts w:cs="Times New Roman"/>
          <w:sz w:val="22"/>
          <w:szCs w:val="22"/>
        </w:rPr>
        <w:t>rising gas prices</w:t>
      </w:r>
      <w:r w:rsidR="005C2D82" w:rsidRPr="00E97BC8">
        <w:rPr>
          <w:rFonts w:cs="Times New Roman"/>
          <w:sz w:val="22"/>
          <w:szCs w:val="22"/>
        </w:rPr>
        <w:t xml:space="preserve"> as the main motivator for considering EVs. </w:t>
      </w:r>
    </w:p>
    <w:p w14:paraId="671B837F" w14:textId="576F12B0" w:rsidR="00C1018F" w:rsidRPr="00E97BC8" w:rsidRDefault="00F13FC1" w:rsidP="00E85093">
      <w:pPr>
        <w:spacing w:after="0" w:line="240" w:lineRule="auto"/>
        <w:ind w:firstLine="720"/>
        <w:jc w:val="both"/>
        <w:rPr>
          <w:rFonts w:cs="Times New Roman"/>
          <w:sz w:val="22"/>
          <w:szCs w:val="22"/>
        </w:rPr>
      </w:pPr>
      <w:r w:rsidRPr="00E97BC8">
        <w:rPr>
          <w:rFonts w:cs="Times New Roman"/>
          <w:sz w:val="22"/>
          <w:szCs w:val="22"/>
        </w:rPr>
        <w:t>A</w:t>
      </w:r>
      <w:r w:rsidR="008A28FC" w:rsidRPr="00E97BC8">
        <w:rPr>
          <w:rFonts w:cs="Times New Roman"/>
          <w:sz w:val="22"/>
          <w:szCs w:val="22"/>
        </w:rPr>
        <w:t xml:space="preserve"> negative direct </w:t>
      </w:r>
      <w:r w:rsidR="005D3CFE" w:rsidRPr="00E97BC8">
        <w:rPr>
          <w:rFonts w:cs="Times New Roman"/>
          <w:sz w:val="22"/>
          <w:szCs w:val="22"/>
        </w:rPr>
        <w:t>effect</w:t>
      </w:r>
      <w:r w:rsidR="00B035AD" w:rsidRPr="00E97BC8">
        <w:rPr>
          <w:rFonts w:cs="Times New Roman"/>
          <w:sz w:val="22"/>
          <w:szCs w:val="22"/>
        </w:rPr>
        <w:t xml:space="preserve"> between</w:t>
      </w:r>
      <w:r w:rsidR="008A28FC" w:rsidRPr="00E97BC8">
        <w:rPr>
          <w:rFonts w:cs="Times New Roman"/>
          <w:sz w:val="22"/>
          <w:szCs w:val="22"/>
        </w:rPr>
        <w:t xml:space="preserve"> </w:t>
      </w:r>
      <w:r w:rsidR="0065147D" w:rsidRPr="00E97BC8">
        <w:rPr>
          <w:rFonts w:cs="Times New Roman"/>
          <w:sz w:val="22"/>
          <w:szCs w:val="22"/>
        </w:rPr>
        <w:t>living in a multifamily dwelling</w:t>
      </w:r>
      <w:r w:rsidR="008A28FC" w:rsidRPr="00E97BC8">
        <w:rPr>
          <w:rFonts w:cs="Times New Roman"/>
          <w:sz w:val="22"/>
          <w:szCs w:val="22"/>
        </w:rPr>
        <w:t xml:space="preserve"> </w:t>
      </w:r>
      <w:r w:rsidR="00B035AD" w:rsidRPr="00E97BC8">
        <w:rPr>
          <w:rFonts w:cs="Times New Roman"/>
          <w:sz w:val="22"/>
          <w:szCs w:val="22"/>
        </w:rPr>
        <w:t xml:space="preserve">and </w:t>
      </w:r>
      <w:r w:rsidR="00307AA8" w:rsidRPr="00E97BC8">
        <w:rPr>
          <w:rFonts w:cs="Times New Roman"/>
          <w:sz w:val="22"/>
          <w:szCs w:val="22"/>
        </w:rPr>
        <w:t>B</w:t>
      </w:r>
      <w:r w:rsidR="00B035AD" w:rsidRPr="00E97BC8">
        <w:rPr>
          <w:rFonts w:cs="Times New Roman"/>
          <w:sz w:val="22"/>
          <w:szCs w:val="22"/>
        </w:rPr>
        <w:t>EV</w:t>
      </w:r>
      <w:r w:rsidR="008A28FC" w:rsidRPr="00E97BC8">
        <w:rPr>
          <w:rFonts w:cs="Times New Roman"/>
          <w:sz w:val="22"/>
          <w:szCs w:val="22"/>
        </w:rPr>
        <w:t xml:space="preserve"> adoption</w:t>
      </w:r>
      <w:r w:rsidR="005C2D82" w:rsidRPr="00E97BC8">
        <w:rPr>
          <w:rFonts w:cs="Times New Roman"/>
          <w:sz w:val="22"/>
          <w:szCs w:val="22"/>
        </w:rPr>
        <w:t>, as revealed in Table 4,</w:t>
      </w:r>
      <w:r w:rsidR="008A28FC" w:rsidRPr="00E97BC8">
        <w:rPr>
          <w:rFonts w:cs="Times New Roman"/>
          <w:sz w:val="22"/>
          <w:szCs w:val="22"/>
        </w:rPr>
        <w:t xml:space="preserve"> </w:t>
      </w:r>
      <w:r w:rsidR="00B2626F" w:rsidRPr="00E97BC8">
        <w:rPr>
          <w:rFonts w:cs="Times New Roman"/>
          <w:sz w:val="22"/>
          <w:szCs w:val="22"/>
        </w:rPr>
        <w:t>moderates the</w:t>
      </w:r>
      <w:r w:rsidR="00996103" w:rsidRPr="00E97BC8">
        <w:rPr>
          <w:rFonts w:cs="Times New Roman"/>
          <w:sz w:val="22"/>
          <w:szCs w:val="22"/>
        </w:rPr>
        <w:t xml:space="preserve"> positive effect </w:t>
      </w:r>
      <w:r w:rsidR="005C2D82" w:rsidRPr="00E97BC8">
        <w:rPr>
          <w:rFonts w:cs="Times New Roman"/>
          <w:sz w:val="22"/>
          <w:szCs w:val="22"/>
        </w:rPr>
        <w:t xml:space="preserve">of </w:t>
      </w:r>
      <w:r w:rsidR="0095394E" w:rsidRPr="00E97BC8">
        <w:rPr>
          <w:rFonts w:cs="Times New Roman"/>
          <w:sz w:val="22"/>
          <w:szCs w:val="22"/>
        </w:rPr>
        <w:t>housing type</w:t>
      </w:r>
      <w:r w:rsidR="005C2D82" w:rsidRPr="00E97BC8">
        <w:rPr>
          <w:rFonts w:cs="Times New Roman"/>
          <w:sz w:val="22"/>
          <w:szCs w:val="22"/>
        </w:rPr>
        <w:t xml:space="preserve"> on EV adoption </w:t>
      </w:r>
      <w:r w:rsidR="00996103" w:rsidRPr="00E97BC8">
        <w:rPr>
          <w:rFonts w:cs="Times New Roman"/>
          <w:sz w:val="22"/>
          <w:szCs w:val="22"/>
        </w:rPr>
        <w:t xml:space="preserve">through BRP (the indirect effect, calculated as </w:t>
      </w:r>
      <w:r w:rsidR="00B2626F" w:rsidRPr="00E97BC8">
        <w:rPr>
          <w:rFonts w:cs="Times New Roman"/>
          <w:sz w:val="22"/>
          <w:szCs w:val="22"/>
        </w:rPr>
        <w:t>(</w:t>
      </w:r>
      <w:r w:rsidR="00996103" w:rsidRPr="00E97BC8">
        <w:rPr>
          <w:rFonts w:cs="Times New Roman"/>
          <w:sz w:val="22"/>
          <w:szCs w:val="22"/>
        </w:rPr>
        <w:t>0.</w:t>
      </w:r>
      <w:r w:rsidR="00E837CC" w:rsidRPr="00E97BC8">
        <w:rPr>
          <w:rFonts w:cs="Times New Roman"/>
          <w:sz w:val="22"/>
          <w:szCs w:val="22"/>
        </w:rPr>
        <w:t>53</w:t>
      </w:r>
      <w:r w:rsidR="006000EF" w:rsidRPr="00E97BC8">
        <w:rPr>
          <w:rFonts w:cs="Times New Roman"/>
          <w:sz w:val="22"/>
          <w:szCs w:val="22"/>
        </w:rPr>
        <w:t xml:space="preserve"> </w:t>
      </w:r>
      <w:r w:rsidR="00B2626F" w:rsidRPr="00E97BC8">
        <w:rPr>
          <w:rFonts w:cs="Times New Roman"/>
          <w:sz w:val="22"/>
          <w:szCs w:val="22"/>
        </w:rPr>
        <w:t>+</w:t>
      </w:r>
      <w:r w:rsidR="006000EF" w:rsidRPr="00E97BC8">
        <w:rPr>
          <w:rFonts w:cs="Times New Roman"/>
          <w:sz w:val="22"/>
          <w:szCs w:val="22"/>
        </w:rPr>
        <w:t xml:space="preserve"> </w:t>
      </w:r>
      <w:r w:rsidR="00B2626F" w:rsidRPr="00E97BC8">
        <w:rPr>
          <w:rFonts w:cs="Times New Roman"/>
          <w:sz w:val="22"/>
          <w:szCs w:val="22"/>
        </w:rPr>
        <w:t>0.99)</w:t>
      </w:r>
      <w:r w:rsidR="006000EF" w:rsidRPr="00E97BC8">
        <w:rPr>
          <w:rFonts w:cs="Times New Roman"/>
          <w:sz w:val="22"/>
          <w:szCs w:val="22"/>
        </w:rPr>
        <w:t xml:space="preserve"> × </w:t>
      </w:r>
      <w:r w:rsidR="00B2626F" w:rsidRPr="00E97BC8">
        <w:rPr>
          <w:rFonts w:cs="Times New Roman"/>
          <w:sz w:val="22"/>
          <w:szCs w:val="22"/>
        </w:rPr>
        <w:t>0.28</w:t>
      </w:r>
      <w:r w:rsidR="006000EF" w:rsidRPr="00E97BC8">
        <w:rPr>
          <w:rFonts w:cs="Times New Roman"/>
          <w:sz w:val="22"/>
          <w:szCs w:val="22"/>
        </w:rPr>
        <w:t xml:space="preserve"> </w:t>
      </w:r>
      <w:r w:rsidR="000A543B" w:rsidRPr="00E97BC8">
        <w:rPr>
          <w:rFonts w:cs="Times New Roman"/>
          <w:sz w:val="22"/>
          <w:szCs w:val="22"/>
        </w:rPr>
        <w:t>=</w:t>
      </w:r>
      <w:r w:rsidR="006000EF" w:rsidRPr="00E97BC8">
        <w:rPr>
          <w:rFonts w:cs="Times New Roman"/>
          <w:sz w:val="22"/>
          <w:szCs w:val="22"/>
        </w:rPr>
        <w:t xml:space="preserve"> </w:t>
      </w:r>
      <w:r w:rsidR="000A543B" w:rsidRPr="00E97BC8">
        <w:rPr>
          <w:rFonts w:cs="Times New Roman"/>
          <w:sz w:val="22"/>
          <w:szCs w:val="22"/>
        </w:rPr>
        <w:t>0.</w:t>
      </w:r>
      <w:r w:rsidR="00B2626F" w:rsidRPr="00E97BC8">
        <w:rPr>
          <w:rFonts w:cs="Times New Roman"/>
          <w:sz w:val="22"/>
          <w:szCs w:val="22"/>
        </w:rPr>
        <w:t>4</w:t>
      </w:r>
      <w:r w:rsidR="00D80885" w:rsidRPr="00E97BC8">
        <w:rPr>
          <w:rFonts w:cs="Times New Roman"/>
          <w:sz w:val="22"/>
          <w:szCs w:val="22"/>
        </w:rPr>
        <w:t>3</w:t>
      </w:r>
      <w:r w:rsidR="000A543B" w:rsidRPr="00E97BC8">
        <w:rPr>
          <w:rFonts w:cs="Times New Roman"/>
          <w:sz w:val="22"/>
          <w:szCs w:val="22"/>
        </w:rPr>
        <w:t xml:space="preserve">, is </w:t>
      </w:r>
      <w:r w:rsidR="00B2626F" w:rsidRPr="00E97BC8">
        <w:rPr>
          <w:rFonts w:cs="Times New Roman"/>
          <w:sz w:val="22"/>
          <w:szCs w:val="22"/>
        </w:rPr>
        <w:t>moderated by</w:t>
      </w:r>
      <w:r w:rsidR="000A543B" w:rsidRPr="00E97BC8">
        <w:rPr>
          <w:rFonts w:cs="Times New Roman"/>
          <w:sz w:val="22"/>
          <w:szCs w:val="22"/>
        </w:rPr>
        <w:t xml:space="preserve"> the direct effect of </w:t>
      </w:r>
      <w:r w:rsidR="006000EF" w:rsidRPr="00E97BC8">
        <w:rPr>
          <w:rFonts w:cs="Times New Roman"/>
          <w:sz w:val="22"/>
          <w:szCs w:val="22"/>
        </w:rPr>
        <w:t xml:space="preserve"> </w:t>
      </w:r>
      <w:r w:rsidR="000A543B" w:rsidRPr="00E97BC8">
        <w:rPr>
          <w:rFonts w:cs="Times New Roman"/>
          <w:sz w:val="22"/>
          <w:szCs w:val="22"/>
        </w:rPr>
        <w:t>-</w:t>
      </w:r>
      <w:r w:rsidR="004826F6" w:rsidRPr="00E97BC8">
        <w:rPr>
          <w:rFonts w:cs="Times New Roman"/>
          <w:sz w:val="22"/>
          <w:szCs w:val="22"/>
        </w:rPr>
        <w:t>0.</w:t>
      </w:r>
      <w:r w:rsidR="00915555" w:rsidRPr="00E97BC8">
        <w:rPr>
          <w:rFonts w:cs="Times New Roman"/>
          <w:sz w:val="22"/>
          <w:szCs w:val="22"/>
        </w:rPr>
        <w:t>46</w:t>
      </w:r>
      <w:r w:rsidR="004826F6" w:rsidRPr="00E97BC8">
        <w:rPr>
          <w:rFonts w:cs="Times New Roman"/>
          <w:sz w:val="22"/>
          <w:szCs w:val="22"/>
        </w:rPr>
        <w:t xml:space="preserve">). Essentially, while those living in </w:t>
      </w:r>
      <w:r w:rsidR="0095394E" w:rsidRPr="00E97BC8">
        <w:rPr>
          <w:rFonts w:cs="Times New Roman"/>
          <w:sz w:val="22"/>
          <w:szCs w:val="22"/>
        </w:rPr>
        <w:t xml:space="preserve">multifamily homes or </w:t>
      </w:r>
      <w:r w:rsidR="004826F6" w:rsidRPr="00E97BC8">
        <w:rPr>
          <w:rFonts w:cs="Times New Roman"/>
          <w:sz w:val="22"/>
          <w:szCs w:val="22"/>
        </w:rPr>
        <w:t xml:space="preserve">apartments are more likely to adopt EVs </w:t>
      </w:r>
      <w:r w:rsidR="00915555" w:rsidRPr="00E97BC8">
        <w:rPr>
          <w:rFonts w:cs="Times New Roman"/>
          <w:sz w:val="22"/>
          <w:szCs w:val="22"/>
        </w:rPr>
        <w:t xml:space="preserve">(in general) </w:t>
      </w:r>
      <w:r w:rsidR="004826F6" w:rsidRPr="00E97BC8">
        <w:rPr>
          <w:rFonts w:cs="Times New Roman"/>
          <w:sz w:val="22"/>
          <w:szCs w:val="22"/>
        </w:rPr>
        <w:t>because they have more positive perceptions of out</w:t>
      </w:r>
      <w:r w:rsidR="005C2D82" w:rsidRPr="00E97BC8">
        <w:rPr>
          <w:rFonts w:cs="Times New Roman"/>
          <w:sz w:val="22"/>
          <w:szCs w:val="22"/>
        </w:rPr>
        <w:t>-</w:t>
      </w:r>
      <w:r w:rsidR="004826F6" w:rsidRPr="00E97BC8">
        <w:rPr>
          <w:rFonts w:cs="Times New Roman"/>
          <w:sz w:val="22"/>
          <w:szCs w:val="22"/>
        </w:rPr>
        <w:t>of</w:t>
      </w:r>
      <w:r w:rsidR="005C2D82" w:rsidRPr="00E97BC8">
        <w:rPr>
          <w:rFonts w:cs="Times New Roman"/>
          <w:sz w:val="22"/>
          <w:szCs w:val="22"/>
        </w:rPr>
        <w:t>-</w:t>
      </w:r>
      <w:r w:rsidR="004826F6" w:rsidRPr="00E97BC8">
        <w:rPr>
          <w:rFonts w:cs="Times New Roman"/>
          <w:sz w:val="22"/>
          <w:szCs w:val="22"/>
        </w:rPr>
        <w:t xml:space="preserve">home charging and EV range, they seem to be just as likely to adopt </w:t>
      </w:r>
      <w:r w:rsidR="00673C98" w:rsidRPr="00E97BC8">
        <w:rPr>
          <w:rFonts w:cs="Times New Roman"/>
          <w:sz w:val="22"/>
          <w:szCs w:val="22"/>
        </w:rPr>
        <w:t xml:space="preserve">BEVs </w:t>
      </w:r>
      <w:r w:rsidR="004826F6" w:rsidRPr="00E97BC8">
        <w:rPr>
          <w:rFonts w:cs="Times New Roman"/>
          <w:sz w:val="22"/>
          <w:szCs w:val="22"/>
        </w:rPr>
        <w:t>overall as those living in single</w:t>
      </w:r>
      <w:r w:rsidR="0095394E" w:rsidRPr="00E97BC8">
        <w:rPr>
          <w:rFonts w:cs="Times New Roman"/>
          <w:sz w:val="22"/>
          <w:szCs w:val="22"/>
        </w:rPr>
        <w:t>-</w:t>
      </w:r>
      <w:r w:rsidR="004826F6" w:rsidRPr="00E97BC8">
        <w:rPr>
          <w:rFonts w:cs="Times New Roman"/>
          <w:sz w:val="22"/>
          <w:szCs w:val="22"/>
        </w:rPr>
        <w:t xml:space="preserve">family </w:t>
      </w:r>
      <w:r w:rsidR="0095394E" w:rsidRPr="00E97BC8">
        <w:rPr>
          <w:rFonts w:cs="Times New Roman"/>
          <w:sz w:val="22"/>
          <w:szCs w:val="22"/>
        </w:rPr>
        <w:t xml:space="preserve">(detached) </w:t>
      </w:r>
      <w:r w:rsidR="004826F6" w:rsidRPr="00E97BC8">
        <w:rPr>
          <w:rFonts w:cs="Times New Roman"/>
          <w:sz w:val="22"/>
          <w:szCs w:val="22"/>
        </w:rPr>
        <w:t xml:space="preserve">homes. </w:t>
      </w:r>
      <w:r w:rsidR="0028084F" w:rsidRPr="00E97BC8">
        <w:rPr>
          <w:rFonts w:cs="Times New Roman"/>
          <w:sz w:val="22"/>
          <w:szCs w:val="22"/>
        </w:rPr>
        <w:t xml:space="preserve">However, those living in </w:t>
      </w:r>
      <w:r w:rsidR="009557CF" w:rsidRPr="00E97BC8">
        <w:rPr>
          <w:rFonts w:cs="Times New Roman"/>
          <w:sz w:val="22"/>
          <w:szCs w:val="22"/>
        </w:rPr>
        <w:t>apartments</w:t>
      </w:r>
      <w:r w:rsidR="0028084F" w:rsidRPr="00E97BC8">
        <w:rPr>
          <w:rFonts w:cs="Times New Roman"/>
          <w:sz w:val="22"/>
          <w:szCs w:val="22"/>
        </w:rPr>
        <w:t xml:space="preserve"> or multifamily dwellings seem more likely to adopt PHEVs compared with </w:t>
      </w:r>
      <w:r w:rsidR="009557CF" w:rsidRPr="00E97BC8">
        <w:rPr>
          <w:rFonts w:cs="Times New Roman"/>
          <w:sz w:val="22"/>
          <w:szCs w:val="22"/>
        </w:rPr>
        <w:t xml:space="preserve">those living in single family homes (as a positive interaction between PHEVs essentially negates the overall direct housing type effect, leaving only the </w:t>
      </w:r>
      <w:r w:rsidR="00DE4178" w:rsidRPr="00E97BC8">
        <w:rPr>
          <w:rFonts w:cs="Times New Roman"/>
          <w:sz w:val="22"/>
          <w:szCs w:val="22"/>
        </w:rPr>
        <w:t>indirect effect through BRP). T</w:t>
      </w:r>
      <w:r w:rsidR="004826F6" w:rsidRPr="00E97BC8">
        <w:rPr>
          <w:rFonts w:cs="Times New Roman"/>
          <w:sz w:val="22"/>
          <w:szCs w:val="22"/>
        </w:rPr>
        <w:t xml:space="preserve">hose living in </w:t>
      </w:r>
      <w:r w:rsidR="0095394E" w:rsidRPr="00E97BC8">
        <w:rPr>
          <w:rFonts w:cs="Times New Roman"/>
          <w:sz w:val="22"/>
          <w:szCs w:val="22"/>
        </w:rPr>
        <w:t>multifamily dwellings</w:t>
      </w:r>
      <w:r w:rsidR="004826F6" w:rsidRPr="00E97BC8">
        <w:rPr>
          <w:rFonts w:cs="Times New Roman"/>
          <w:sz w:val="22"/>
          <w:szCs w:val="22"/>
        </w:rPr>
        <w:t xml:space="preserve"> are </w:t>
      </w:r>
      <w:r w:rsidR="00DE4178" w:rsidRPr="00E97BC8">
        <w:rPr>
          <w:rFonts w:cs="Times New Roman"/>
          <w:sz w:val="22"/>
          <w:szCs w:val="22"/>
        </w:rPr>
        <w:t xml:space="preserve">also </w:t>
      </w:r>
      <w:r w:rsidR="004826F6" w:rsidRPr="00E97BC8">
        <w:rPr>
          <w:rFonts w:cs="Times New Roman"/>
          <w:sz w:val="22"/>
          <w:szCs w:val="22"/>
        </w:rPr>
        <w:t xml:space="preserve">less likely to cite home charging as a reason for adoption, an unsurprising result given the lack of control of charging infrastructure for </w:t>
      </w:r>
      <w:r w:rsidR="0095394E" w:rsidRPr="00E97BC8">
        <w:rPr>
          <w:rFonts w:cs="Times New Roman"/>
          <w:sz w:val="22"/>
          <w:szCs w:val="22"/>
        </w:rPr>
        <w:t>these dwellings</w:t>
      </w:r>
      <w:r w:rsidR="004826F6" w:rsidRPr="00E97BC8">
        <w:rPr>
          <w:rFonts w:cs="Times New Roman"/>
          <w:sz w:val="22"/>
          <w:szCs w:val="22"/>
        </w:rPr>
        <w:t xml:space="preserve">. </w:t>
      </w:r>
    </w:p>
    <w:p w14:paraId="57CD5CD4" w14:textId="57DF4852" w:rsidR="00F70EEA" w:rsidRPr="00E97BC8" w:rsidRDefault="00414690" w:rsidP="00E85093">
      <w:pPr>
        <w:spacing w:after="0" w:line="240" w:lineRule="auto"/>
        <w:jc w:val="both"/>
        <w:rPr>
          <w:rFonts w:cs="Times New Roman"/>
          <w:b/>
          <w:bCs/>
          <w:sz w:val="22"/>
          <w:szCs w:val="22"/>
        </w:rPr>
      </w:pPr>
      <w:r w:rsidRPr="00E97BC8">
        <w:rPr>
          <w:rFonts w:cs="Times New Roman"/>
          <w:sz w:val="22"/>
          <w:szCs w:val="22"/>
        </w:rPr>
        <w:tab/>
        <w:t xml:space="preserve">Household location also significantly </w:t>
      </w:r>
      <w:r w:rsidR="00F13FC1" w:rsidRPr="00E97BC8">
        <w:rPr>
          <w:rFonts w:cs="Times New Roman"/>
          <w:sz w:val="22"/>
          <w:szCs w:val="22"/>
        </w:rPr>
        <w:t>influences</w:t>
      </w:r>
      <w:r w:rsidRPr="00E97BC8">
        <w:rPr>
          <w:rFonts w:cs="Times New Roman"/>
          <w:sz w:val="22"/>
          <w:szCs w:val="22"/>
        </w:rPr>
        <w:t xml:space="preserve"> EV adoption. </w:t>
      </w:r>
      <w:r w:rsidR="00FC5E9A" w:rsidRPr="00E97BC8">
        <w:rPr>
          <w:rFonts w:cs="Times New Roman"/>
          <w:sz w:val="22"/>
          <w:szCs w:val="22"/>
        </w:rPr>
        <w:t xml:space="preserve">Those living in high density areas are more likely to adopt </w:t>
      </w:r>
      <w:r w:rsidR="00FA6D2A" w:rsidRPr="00E97BC8">
        <w:rPr>
          <w:rFonts w:cs="Times New Roman"/>
          <w:sz w:val="22"/>
          <w:szCs w:val="22"/>
        </w:rPr>
        <w:t xml:space="preserve">EVs and are </w:t>
      </w:r>
      <w:r w:rsidR="008813A0" w:rsidRPr="00E97BC8">
        <w:rPr>
          <w:rFonts w:cs="Times New Roman"/>
          <w:sz w:val="22"/>
          <w:szCs w:val="22"/>
        </w:rPr>
        <w:t xml:space="preserve">attracted to EVs </w:t>
      </w:r>
      <w:r w:rsidR="00E21FEC" w:rsidRPr="00E97BC8">
        <w:rPr>
          <w:rFonts w:cs="Times New Roman"/>
          <w:sz w:val="22"/>
          <w:szCs w:val="22"/>
        </w:rPr>
        <w:t>for</w:t>
      </w:r>
      <w:r w:rsidR="00FA6D2A" w:rsidRPr="00E97BC8">
        <w:rPr>
          <w:rFonts w:cs="Times New Roman"/>
          <w:sz w:val="22"/>
          <w:szCs w:val="22"/>
        </w:rPr>
        <w:t xml:space="preserve"> </w:t>
      </w:r>
      <w:r w:rsidR="00A94FEC" w:rsidRPr="00E97BC8">
        <w:rPr>
          <w:rFonts w:cs="Times New Roman"/>
          <w:sz w:val="22"/>
          <w:szCs w:val="22"/>
        </w:rPr>
        <w:t xml:space="preserve">economic reasons and </w:t>
      </w:r>
      <w:r w:rsidR="000477FC" w:rsidRPr="00E97BC8">
        <w:rPr>
          <w:rFonts w:cs="Times New Roman"/>
          <w:sz w:val="22"/>
          <w:szCs w:val="22"/>
        </w:rPr>
        <w:t>greater</w:t>
      </w:r>
      <w:r w:rsidR="00A94FEC" w:rsidRPr="00E97BC8">
        <w:rPr>
          <w:rFonts w:cs="Times New Roman"/>
          <w:sz w:val="22"/>
          <w:szCs w:val="22"/>
        </w:rPr>
        <w:t xml:space="preserve"> concerns of climate change</w:t>
      </w:r>
      <w:r w:rsidR="008813A0" w:rsidRPr="00E97BC8">
        <w:rPr>
          <w:rFonts w:cs="Times New Roman"/>
          <w:sz w:val="22"/>
          <w:szCs w:val="22"/>
        </w:rPr>
        <w:t>,</w:t>
      </w:r>
      <w:r w:rsidR="00FC5E9A" w:rsidRPr="00E97BC8">
        <w:rPr>
          <w:rFonts w:cs="Times New Roman"/>
          <w:sz w:val="22"/>
          <w:szCs w:val="22"/>
        </w:rPr>
        <w:t xml:space="preserve"> while those living in lower-density areas are </w:t>
      </w:r>
      <w:r w:rsidR="008813A0" w:rsidRPr="00E97BC8">
        <w:rPr>
          <w:rFonts w:cs="Times New Roman"/>
          <w:sz w:val="22"/>
          <w:szCs w:val="22"/>
        </w:rPr>
        <w:t xml:space="preserve">drawn to EVs </w:t>
      </w:r>
      <w:r w:rsidR="00FC5E9A" w:rsidRPr="00E97BC8">
        <w:rPr>
          <w:rFonts w:cs="Times New Roman"/>
          <w:sz w:val="22"/>
          <w:szCs w:val="22"/>
        </w:rPr>
        <w:t>because of the ability to charge at home</w:t>
      </w:r>
      <w:r w:rsidR="00A94FEC" w:rsidRPr="00E97BC8">
        <w:rPr>
          <w:rFonts w:cs="Times New Roman"/>
          <w:sz w:val="22"/>
          <w:szCs w:val="22"/>
        </w:rPr>
        <w:t xml:space="preserve">. </w:t>
      </w:r>
      <w:r w:rsidR="00946AA0" w:rsidRPr="00E97BC8">
        <w:rPr>
          <w:rFonts w:cs="Times New Roman"/>
          <w:sz w:val="22"/>
          <w:szCs w:val="22"/>
        </w:rPr>
        <w:t xml:space="preserve">These different motivations for adoption in different areas </w:t>
      </w:r>
      <w:r w:rsidR="008813A0" w:rsidRPr="00E97BC8">
        <w:rPr>
          <w:rFonts w:cs="Times New Roman"/>
          <w:sz w:val="22"/>
          <w:szCs w:val="22"/>
        </w:rPr>
        <w:t>may be traced to higher gas prices in urban areas and the higher ability to own homes in rural areas</w:t>
      </w:r>
      <w:r w:rsidR="00946AA0" w:rsidRPr="00E97BC8">
        <w:rPr>
          <w:rFonts w:cs="Times New Roman"/>
          <w:sz w:val="22"/>
          <w:szCs w:val="22"/>
        </w:rPr>
        <w:t xml:space="preserve"> </w:t>
      </w:r>
      <w:r w:rsidR="006A5441" w:rsidRPr="00E97BC8">
        <w:rPr>
          <w:rFonts w:cs="Times New Roman"/>
          <w:sz w:val="22"/>
          <w:szCs w:val="22"/>
        </w:rPr>
        <w:fldChar w:fldCharType="begin"/>
      </w:r>
      <w:r w:rsidR="006A5441" w:rsidRPr="00E97BC8">
        <w:rPr>
          <w:rFonts w:cs="Times New Roman"/>
          <w:sz w:val="22"/>
          <w:szCs w:val="22"/>
        </w:rPr>
        <w:instrText xml:space="preserve"> ADDIN ZOTERO_ITEM CSL_CITATION {"citationID":"BLj3urCn","properties":{"unsorted":true,"formattedCitation":"(Mukherjee and Ryan, 2020; Chandra, 2022)","plainCitation":"(Mukherjee and Ryan, 2020; Chandra, 2022)","noteIndex":0},"citationItems":[{"id":2458,"uris":["http://zotero.org/users/12832277/items/FNUW5ZKU"],"itemData":{"id":2458,"type":"article-journal","abstract":"This paper examines factors that influence battery electric vehicle (BEV) uptake amongst early adopters. An incomplete understanding of the motivations behind consumer uptake hampers policy design to encourage adoption. We provide new evidence for Ireland on the key determinants of uptake in the early phase of technology diffusion by combining Irish census and BEV uptake data at a granular spatial scale for the first time. Results from our count data models show that while people with a university degree and long-distance commuters commuting for at least an hour a day are positive determinants of adoption, rented accommodation and young people between 19 and 34 years are negative predictors of uptake. Moreover, two GIS-derived spatial variables are significant albeit with unexpected signs – while the average distance to the nearest charge point is a positive predictor of uptake, access to dealers within 10 km of the neighbourhood is a negative predictor of uptake. The spatial econometric analysis indicates that adopters mainly cluster around the largest urban centres in Ireland. This may be influenced by population as well as spillover effects due to adoption in neighbouring localities, changes in socio-demographics and neighbourhood characteristics such as public charging infrastructure or dealers in the area, and other unobserved cross-border effects that we cannot estimate due to lack of data. The Irish results could potentially be applied to comparable emerging EV markets. They may help policy-makers devise strategies that stimulate regional adoption where uptake has been poor or be used to predict potential future uptake based on past trends.","container-title":"Renewable and Sustainable Energy Reviews","DOI":"10.1016/j.rser.2019.109504","ISSN":"1364-0321","page":"109504","source":"ScienceDirect","title":"Factors Influencing Early Battery Electric Vehicle Adoption in Ireland","volume":"118","author":[{"family":"Mukherjee","given":"Sanghamitra Chattopadhyay"},{"family":"Ryan","given":"Lisa"}],"issued":{"date-parts":[["2020",2,1]]}}},{"id":2718,"uris":["http://zotero.org/users/12832277/items/ZJAYX765"],"itemData":{"id":2718,"type":"article-journal","abstract":"This study envisages to investigate the hurdles in widespread usage of Electric-Vehicles(EVs) on a global scale by using cross-country panel data. This paper empirically studies the impact of wide range of parameters like policies &amp; incentives, national commitments, socioeconomic factors, charger infrastructure, fuel price and renewables on cross-country EV demand by using two-way Fixed Effect Model. Policies like setting up of EV and charger targets, providing fiscal subsidies and sociodemographic factor of age and Gross Domestic Product/capita, higher renewable energy production and higher number of chargers have a positive impact on EV demand. High Gasoline price has a positive effect on Battery EVs demand while regions of lower population density like non-urban areas are more likely to adopt EVs. Also, national commitments to initiatives like EV30@30 is observed to have mostly positive impact across different factors suggesting that green initiatives positively impact the national EV demands. Based on the obtained results, relevant policy implications are discussed.","container-title":"Journal of Transport Geography","DOI":"10.1016/j.jtrangeo.2022.103410","ISSN":"0966-6923","source":"ScienceDirect","title":"Investigating the Impact of Policies, Socio-Demography and National Commitments on Electric-Vehicle Demand: Cross-Country Study","URL":"https://www.sciencedirect.com/science/article/pii/S0966692322001338","volume":"103","author":[{"family":"Chandra","given":"Minal"}],"accessed":{"date-parts":[["2024",2,28]]},"issued":{"date-parts":[["2022",7,1]]}}}],"schema":"https://github.com/citation-style-language/schema/raw/master/csl-citation.json"} </w:instrText>
      </w:r>
      <w:r w:rsidR="006A5441" w:rsidRPr="00E97BC8">
        <w:rPr>
          <w:rFonts w:cs="Times New Roman"/>
          <w:sz w:val="22"/>
          <w:szCs w:val="22"/>
        </w:rPr>
        <w:fldChar w:fldCharType="separate"/>
      </w:r>
      <w:r w:rsidR="001E6A07" w:rsidRPr="00E97BC8">
        <w:rPr>
          <w:rFonts w:cs="Times New Roman"/>
          <w:sz w:val="22"/>
          <w:szCs w:val="22"/>
        </w:rPr>
        <w:t>(Mukherjee and Ryan, 2020; Chandra, 2022)</w:t>
      </w:r>
      <w:r w:rsidR="006A5441" w:rsidRPr="00E97BC8">
        <w:rPr>
          <w:rFonts w:cs="Times New Roman"/>
          <w:sz w:val="22"/>
          <w:szCs w:val="22"/>
        </w:rPr>
        <w:fldChar w:fldCharType="end"/>
      </w:r>
      <w:r w:rsidR="004B3F76" w:rsidRPr="00E97BC8">
        <w:rPr>
          <w:rFonts w:cs="Times New Roman"/>
          <w:sz w:val="22"/>
          <w:szCs w:val="22"/>
        </w:rPr>
        <w:t xml:space="preserve">. </w:t>
      </w:r>
      <w:r w:rsidR="00F13FC1" w:rsidRPr="00E97BC8">
        <w:rPr>
          <w:rFonts w:cs="Times New Roman"/>
          <w:sz w:val="22"/>
          <w:szCs w:val="22"/>
        </w:rPr>
        <w:t>Finally, individuals living in areas with high charging densities are also more likely to adopt EVs</w:t>
      </w:r>
      <w:r w:rsidR="00374947" w:rsidRPr="00E97BC8">
        <w:rPr>
          <w:rFonts w:cs="Times New Roman"/>
          <w:sz w:val="22"/>
          <w:szCs w:val="22"/>
        </w:rPr>
        <w:t xml:space="preserve">. The fact that these individuals also </w:t>
      </w:r>
      <w:r w:rsidR="00F444AB" w:rsidRPr="00E97BC8">
        <w:rPr>
          <w:rFonts w:cs="Times New Roman"/>
          <w:sz w:val="22"/>
          <w:szCs w:val="22"/>
        </w:rPr>
        <w:t>report</w:t>
      </w:r>
      <w:r w:rsidR="000336C0" w:rsidRPr="00E97BC8">
        <w:rPr>
          <w:rFonts w:cs="Times New Roman"/>
          <w:sz w:val="22"/>
          <w:szCs w:val="22"/>
        </w:rPr>
        <w:t xml:space="preserve"> that</w:t>
      </w:r>
      <w:r w:rsidR="00374947" w:rsidRPr="00E97BC8">
        <w:rPr>
          <w:rFonts w:cs="Times New Roman"/>
          <w:sz w:val="22"/>
          <w:szCs w:val="22"/>
        </w:rPr>
        <w:t xml:space="preserve"> hearing about EVs from friends and family</w:t>
      </w:r>
      <w:r w:rsidR="008813A0" w:rsidRPr="00E97BC8">
        <w:rPr>
          <w:rFonts w:cs="Times New Roman"/>
          <w:sz w:val="22"/>
          <w:szCs w:val="22"/>
        </w:rPr>
        <w:t xml:space="preserve"> attracts them to EVs </w:t>
      </w:r>
      <w:r w:rsidR="00374947" w:rsidRPr="00E97BC8">
        <w:rPr>
          <w:rFonts w:cs="Times New Roman"/>
          <w:sz w:val="22"/>
          <w:szCs w:val="22"/>
        </w:rPr>
        <w:t xml:space="preserve">suggests that improving charging infrastructure may also be an important way to increase awareness about EVs, beyond the direct impacts on </w:t>
      </w:r>
      <w:r w:rsidR="00CC7949" w:rsidRPr="00E97BC8">
        <w:rPr>
          <w:rFonts w:cs="Times New Roman"/>
          <w:sz w:val="22"/>
          <w:szCs w:val="22"/>
        </w:rPr>
        <w:t xml:space="preserve">actual charging abilities </w:t>
      </w:r>
      <w:r w:rsidR="00501F43" w:rsidRPr="00E97BC8">
        <w:rPr>
          <w:rFonts w:cs="Times New Roman"/>
          <w:sz w:val="22"/>
          <w:szCs w:val="22"/>
        </w:rPr>
        <w:fldChar w:fldCharType="begin"/>
      </w:r>
      <w:r w:rsidR="00DE77B7" w:rsidRPr="00E97BC8">
        <w:rPr>
          <w:rFonts w:cs="Times New Roman"/>
          <w:sz w:val="22"/>
          <w:szCs w:val="22"/>
        </w:rPr>
        <w:instrText xml:space="preserve"> ADDIN ZOTERO_ITEM CSL_CITATION {"citationID":"z1B6MuHp","properties":{"formattedCitation":"(Bailey et al., 2015)","plainCitation":"(Bailey et al., 2015)","dontUpdate":true,"noteIndex":0},"citationItems":[{"id":3761,"uris":["http://zotero.org/users/12832277/items/ZRVPNLPU"],"itemData":{"id":3761,"type":"article-journal","abstract":"Policymakers often seek to increase the visibility of plug-in electric vehicle (PEV) chargers in public locations in effort to build familiarity and interest in PEVs. However, it is not clear if the visibility of public charging stations actually has an impact on PEV demand. The purposes of the present study are to (1) assess the current levels of visibility for public PEV charging infrastructure within Canada and (2) identify whether or not a statistically significant relationship exists between consumer awareness of public charging infrastructure and interest in purchasing a PEV. We use data collected from a sample of 1739 Canadian new-vehicle buyers in 2013. About 18% of Canadian respondents have seen at least one public charger, while the proportion is highest in British Columbia (31%). We find a significant bivariate relationship between public charger awareness and PEV interest. However, when controlling for multiple explanatory variables in regression analyses, the relationship is weak or non-existent. While perceived existence of at least one charger exhibits no significant relationship with PEV interest, perceived existence of multiple chargers can have a weak but significant relationship. Thus, public charger awareness is not a strong predictor of PEV interest; other variables are more important, such as the availability of level 1 (110/120-volt) charging at home.","container-title":"Transportation Research Part D: Transport and Environment","DOI":"10.1016/j.trd.2015.02.001","ISSN":"1361-9209","page":"1-9","source":"ScienceDirect","title":"Is Awareness of Public Charging Associated with Consumer Interest in Plug-in Electric Vehicles?","volume":"36","author":[{"family":"Bailey","given":"Joseph"},{"family":"Miele","given":"Amy"},{"family":"Axsen","given":"Jonn"}],"issued":{"date-parts":[["2015",5,1]]}}}],"schema":"https://github.com/citation-style-language/schema/raw/master/csl-citation.json"} </w:instrText>
      </w:r>
      <w:r w:rsidR="00501F43" w:rsidRPr="00E97BC8">
        <w:rPr>
          <w:rFonts w:cs="Times New Roman"/>
          <w:sz w:val="22"/>
          <w:szCs w:val="22"/>
        </w:rPr>
        <w:fldChar w:fldCharType="separate"/>
      </w:r>
      <w:r w:rsidR="00501F43" w:rsidRPr="00E97BC8">
        <w:rPr>
          <w:rFonts w:cs="Times New Roman"/>
          <w:sz w:val="22"/>
          <w:szCs w:val="22"/>
        </w:rPr>
        <w:t>(</w:t>
      </w:r>
      <w:r w:rsidR="00486C40" w:rsidRPr="00E97BC8">
        <w:rPr>
          <w:rFonts w:cs="Times New Roman"/>
          <w:sz w:val="22"/>
          <w:szCs w:val="22"/>
        </w:rPr>
        <w:t xml:space="preserve">see </w:t>
      </w:r>
      <w:r w:rsidR="00501F43" w:rsidRPr="00E97BC8">
        <w:rPr>
          <w:rFonts w:cs="Times New Roman"/>
          <w:sz w:val="22"/>
          <w:szCs w:val="22"/>
        </w:rPr>
        <w:t>Bailey et al., 2015)</w:t>
      </w:r>
      <w:r w:rsidR="00501F43" w:rsidRPr="00E97BC8">
        <w:rPr>
          <w:rFonts w:cs="Times New Roman"/>
          <w:sz w:val="22"/>
          <w:szCs w:val="22"/>
        </w:rPr>
        <w:fldChar w:fldCharType="end"/>
      </w:r>
      <w:r w:rsidR="00486C40" w:rsidRPr="00E97BC8">
        <w:rPr>
          <w:rFonts w:cs="Times New Roman"/>
          <w:sz w:val="22"/>
          <w:szCs w:val="22"/>
        </w:rPr>
        <w:t>.</w:t>
      </w:r>
    </w:p>
    <w:p w14:paraId="3F3D4CFC" w14:textId="77777777" w:rsidR="00F70EEA" w:rsidRPr="00E97BC8" w:rsidRDefault="00F70EEA" w:rsidP="00E85093">
      <w:pPr>
        <w:spacing w:after="0" w:line="240" w:lineRule="auto"/>
        <w:jc w:val="both"/>
        <w:rPr>
          <w:rFonts w:cs="Times New Roman"/>
          <w:b/>
          <w:bCs/>
          <w:sz w:val="22"/>
          <w:szCs w:val="22"/>
        </w:rPr>
      </w:pPr>
    </w:p>
    <w:p w14:paraId="76B2F7EF" w14:textId="53866037" w:rsidR="00F70EEA" w:rsidRPr="00E97BC8" w:rsidRDefault="00C11A87" w:rsidP="00E85093">
      <w:pPr>
        <w:spacing w:after="0" w:line="240" w:lineRule="auto"/>
        <w:jc w:val="both"/>
        <w:rPr>
          <w:rFonts w:cs="Times New Roman"/>
          <w:b/>
          <w:bCs/>
          <w:i/>
          <w:iCs/>
          <w:sz w:val="22"/>
          <w:szCs w:val="22"/>
        </w:rPr>
      </w:pPr>
      <w:r w:rsidRPr="00E97BC8">
        <w:rPr>
          <w:rFonts w:cs="Times New Roman"/>
          <w:b/>
          <w:bCs/>
          <w:i/>
          <w:iCs/>
          <w:sz w:val="22"/>
          <w:szCs w:val="22"/>
        </w:rPr>
        <w:t>4.</w:t>
      </w:r>
      <w:r w:rsidR="006A6FCE" w:rsidRPr="00E97BC8">
        <w:rPr>
          <w:rFonts w:cs="Times New Roman"/>
          <w:b/>
          <w:bCs/>
          <w:i/>
          <w:iCs/>
          <w:sz w:val="22"/>
          <w:szCs w:val="22"/>
        </w:rPr>
        <w:t>2.</w:t>
      </w:r>
      <w:r w:rsidR="007A4397" w:rsidRPr="00E97BC8">
        <w:rPr>
          <w:rFonts w:cs="Times New Roman"/>
          <w:b/>
          <w:bCs/>
          <w:i/>
          <w:iCs/>
          <w:sz w:val="22"/>
          <w:szCs w:val="22"/>
        </w:rPr>
        <w:t>4</w:t>
      </w:r>
      <w:r w:rsidRPr="00E97BC8">
        <w:rPr>
          <w:rFonts w:cs="Times New Roman"/>
          <w:b/>
          <w:bCs/>
          <w:i/>
          <w:iCs/>
          <w:sz w:val="22"/>
          <w:szCs w:val="22"/>
        </w:rPr>
        <w:t xml:space="preserve"> Correlations </w:t>
      </w:r>
      <w:r w:rsidR="000F0E28" w:rsidRPr="00E97BC8">
        <w:rPr>
          <w:rFonts w:cs="Times New Roman"/>
          <w:b/>
          <w:bCs/>
          <w:i/>
          <w:iCs/>
          <w:sz w:val="22"/>
          <w:szCs w:val="22"/>
        </w:rPr>
        <w:t>Between Main Outcomes and Latent Constructs</w:t>
      </w:r>
      <w:r w:rsidR="00F70EEA" w:rsidRPr="00E97BC8">
        <w:rPr>
          <w:rFonts w:cs="Times New Roman"/>
          <w:b/>
          <w:bCs/>
          <w:i/>
          <w:iCs/>
          <w:sz w:val="22"/>
          <w:szCs w:val="22"/>
        </w:rPr>
        <w:t xml:space="preserve"> </w:t>
      </w:r>
    </w:p>
    <w:p w14:paraId="409AAD2A" w14:textId="685F45D6" w:rsidR="00F70EEA" w:rsidRPr="00E97BC8" w:rsidRDefault="000F0E28" w:rsidP="00E85093">
      <w:pPr>
        <w:spacing w:after="0" w:line="240" w:lineRule="auto"/>
        <w:jc w:val="both"/>
        <w:rPr>
          <w:rFonts w:cs="Times New Roman"/>
          <w:sz w:val="22"/>
          <w:szCs w:val="22"/>
        </w:rPr>
      </w:pPr>
      <w:r w:rsidRPr="00E97BC8">
        <w:rPr>
          <w:rFonts w:cs="Times New Roman"/>
          <w:sz w:val="22"/>
          <w:szCs w:val="22"/>
        </w:rPr>
        <w:t xml:space="preserve">In addition to the correlations among the </w:t>
      </w:r>
      <w:r w:rsidR="001629D2" w:rsidRPr="00E97BC8">
        <w:rPr>
          <w:rFonts w:cs="Times New Roman"/>
          <w:sz w:val="22"/>
          <w:szCs w:val="22"/>
        </w:rPr>
        <w:t xml:space="preserve">stochastic </w:t>
      </w:r>
      <w:r w:rsidRPr="00E97BC8">
        <w:rPr>
          <w:rFonts w:cs="Times New Roman"/>
          <w:sz w:val="22"/>
          <w:szCs w:val="22"/>
        </w:rPr>
        <w:t xml:space="preserve">latent constructs (discussed in Section 4.1) and the correlations among the main outcomes engendered by the latent constructs, </w:t>
      </w:r>
      <w:r w:rsidR="001405F0" w:rsidRPr="00E97BC8">
        <w:rPr>
          <w:rFonts w:cs="Times New Roman"/>
          <w:sz w:val="22"/>
          <w:szCs w:val="22"/>
        </w:rPr>
        <w:t xml:space="preserve">we consider the latent constructs themselves to be endogenous </w:t>
      </w:r>
      <w:r w:rsidR="008C4658" w:rsidRPr="00E97BC8">
        <w:rPr>
          <w:rFonts w:cs="Times New Roman"/>
          <w:sz w:val="22"/>
          <w:szCs w:val="22"/>
        </w:rPr>
        <w:t>with</w:t>
      </w:r>
      <w:r w:rsidR="001405F0" w:rsidRPr="00E97BC8">
        <w:rPr>
          <w:rFonts w:cs="Times New Roman"/>
          <w:sz w:val="22"/>
          <w:szCs w:val="22"/>
        </w:rPr>
        <w:t xml:space="preserve"> the main outcomes. </w:t>
      </w:r>
      <w:r w:rsidR="002274B1" w:rsidRPr="00E97BC8">
        <w:rPr>
          <w:rFonts w:cs="Times New Roman"/>
          <w:sz w:val="22"/>
          <w:szCs w:val="22"/>
        </w:rPr>
        <w:t>Six</w:t>
      </w:r>
      <w:r w:rsidR="0013611E" w:rsidRPr="00E97BC8">
        <w:rPr>
          <w:rFonts w:cs="Times New Roman"/>
          <w:sz w:val="22"/>
          <w:szCs w:val="22"/>
        </w:rPr>
        <w:t xml:space="preserve"> of the</w:t>
      </w:r>
      <w:r w:rsidR="009151A1" w:rsidRPr="00E97BC8">
        <w:rPr>
          <w:rFonts w:cs="Times New Roman"/>
          <w:sz w:val="22"/>
          <w:szCs w:val="22"/>
        </w:rPr>
        <w:t xml:space="preserve">se correlation terms turn out to be significant. </w:t>
      </w:r>
      <w:r w:rsidR="00DD444C" w:rsidRPr="00E97BC8">
        <w:rPr>
          <w:rFonts w:cs="Times New Roman"/>
          <w:sz w:val="22"/>
          <w:szCs w:val="22"/>
        </w:rPr>
        <w:t xml:space="preserve">EV ownership is </w:t>
      </w:r>
      <w:r w:rsidR="00CE1BF8" w:rsidRPr="00E97BC8">
        <w:rPr>
          <w:rFonts w:cs="Times New Roman"/>
          <w:sz w:val="22"/>
          <w:szCs w:val="22"/>
        </w:rPr>
        <w:t xml:space="preserve">positively </w:t>
      </w:r>
      <w:r w:rsidR="00DD444C" w:rsidRPr="00E97BC8">
        <w:rPr>
          <w:rFonts w:cs="Times New Roman"/>
          <w:sz w:val="22"/>
          <w:szCs w:val="22"/>
        </w:rPr>
        <w:t>correlated with GLP</w:t>
      </w:r>
      <w:r w:rsidR="001F4EE3" w:rsidRPr="00E97BC8">
        <w:rPr>
          <w:rFonts w:cs="Times New Roman"/>
          <w:sz w:val="22"/>
          <w:szCs w:val="22"/>
        </w:rPr>
        <w:t xml:space="preserve"> (correlation of 0.</w:t>
      </w:r>
      <w:r w:rsidR="002E74C6" w:rsidRPr="00E97BC8">
        <w:rPr>
          <w:rFonts w:cs="Times New Roman"/>
          <w:sz w:val="22"/>
          <w:szCs w:val="22"/>
        </w:rPr>
        <w:t>1</w:t>
      </w:r>
      <w:r w:rsidR="00680873" w:rsidRPr="00E97BC8">
        <w:rPr>
          <w:rFonts w:cs="Times New Roman"/>
          <w:sz w:val="22"/>
          <w:szCs w:val="22"/>
        </w:rPr>
        <w:t>3</w:t>
      </w:r>
      <w:r w:rsidR="001F4EE3" w:rsidRPr="00E97BC8">
        <w:rPr>
          <w:rFonts w:cs="Times New Roman"/>
          <w:sz w:val="22"/>
          <w:szCs w:val="22"/>
        </w:rPr>
        <w:t xml:space="preserve"> with a t-statistic of </w:t>
      </w:r>
      <w:r w:rsidR="002E74C6" w:rsidRPr="00E97BC8">
        <w:rPr>
          <w:rFonts w:cs="Times New Roman"/>
          <w:sz w:val="22"/>
          <w:szCs w:val="22"/>
        </w:rPr>
        <w:t>1</w:t>
      </w:r>
      <w:r w:rsidR="001F4EE3" w:rsidRPr="00E97BC8">
        <w:rPr>
          <w:rFonts w:cs="Times New Roman"/>
          <w:sz w:val="22"/>
          <w:szCs w:val="22"/>
        </w:rPr>
        <w:t>.</w:t>
      </w:r>
      <w:r w:rsidR="00680873" w:rsidRPr="00E97BC8">
        <w:rPr>
          <w:rFonts w:cs="Times New Roman"/>
          <w:sz w:val="22"/>
          <w:szCs w:val="22"/>
        </w:rPr>
        <w:t>92</w:t>
      </w:r>
      <w:r w:rsidR="001F4EE3" w:rsidRPr="00E97BC8">
        <w:rPr>
          <w:rFonts w:cs="Times New Roman"/>
          <w:sz w:val="22"/>
          <w:szCs w:val="22"/>
        </w:rPr>
        <w:t>)</w:t>
      </w:r>
      <w:r w:rsidR="00DD444C" w:rsidRPr="00E97BC8">
        <w:rPr>
          <w:rFonts w:cs="Times New Roman"/>
          <w:sz w:val="22"/>
          <w:szCs w:val="22"/>
        </w:rPr>
        <w:t xml:space="preserve">, </w:t>
      </w:r>
      <w:r w:rsidR="003C2E81" w:rsidRPr="00E97BC8">
        <w:rPr>
          <w:rFonts w:cs="Times New Roman"/>
          <w:sz w:val="22"/>
          <w:szCs w:val="22"/>
        </w:rPr>
        <w:t>suggesting that additional unobserved factors influence both EV ownership and green lifestyle preferences.</w:t>
      </w:r>
      <w:r w:rsidR="00F3218E" w:rsidRPr="00E97BC8">
        <w:rPr>
          <w:rFonts w:cs="Times New Roman"/>
          <w:sz w:val="22"/>
          <w:szCs w:val="22"/>
        </w:rPr>
        <w:t xml:space="preserve"> Positive </w:t>
      </w:r>
      <w:r w:rsidR="000C6881" w:rsidRPr="00E97BC8">
        <w:rPr>
          <w:rFonts w:cs="Times New Roman"/>
          <w:sz w:val="22"/>
          <w:szCs w:val="22"/>
        </w:rPr>
        <w:t xml:space="preserve">correlations </w:t>
      </w:r>
      <w:r w:rsidR="00BF37CA" w:rsidRPr="00E97BC8">
        <w:rPr>
          <w:rFonts w:cs="Times New Roman"/>
          <w:sz w:val="22"/>
          <w:szCs w:val="22"/>
        </w:rPr>
        <w:t xml:space="preserve">are also found </w:t>
      </w:r>
      <w:r w:rsidR="000C6881" w:rsidRPr="00E97BC8">
        <w:rPr>
          <w:rFonts w:cs="Times New Roman"/>
          <w:sz w:val="22"/>
          <w:szCs w:val="22"/>
        </w:rPr>
        <w:t xml:space="preserve">between EV ownership </w:t>
      </w:r>
      <w:r w:rsidR="00913C2A" w:rsidRPr="00E97BC8">
        <w:rPr>
          <w:rFonts w:cs="Times New Roman"/>
          <w:sz w:val="22"/>
          <w:szCs w:val="22"/>
        </w:rPr>
        <w:t>and CMP (correlation of 0.</w:t>
      </w:r>
      <w:r w:rsidR="00307BA3" w:rsidRPr="00E97BC8">
        <w:rPr>
          <w:rFonts w:cs="Times New Roman"/>
          <w:sz w:val="22"/>
          <w:szCs w:val="22"/>
        </w:rPr>
        <w:t>19</w:t>
      </w:r>
      <w:r w:rsidR="00913C2A" w:rsidRPr="00E97BC8">
        <w:rPr>
          <w:rFonts w:cs="Times New Roman"/>
          <w:sz w:val="22"/>
          <w:szCs w:val="22"/>
        </w:rPr>
        <w:t xml:space="preserve"> with a t-statistic of </w:t>
      </w:r>
      <w:r w:rsidR="002E74C6" w:rsidRPr="00E97BC8">
        <w:rPr>
          <w:rFonts w:cs="Times New Roman"/>
          <w:sz w:val="22"/>
          <w:szCs w:val="22"/>
        </w:rPr>
        <w:t>2.6</w:t>
      </w:r>
      <w:r w:rsidR="00307BA3" w:rsidRPr="00E97BC8">
        <w:rPr>
          <w:rFonts w:cs="Times New Roman"/>
          <w:sz w:val="22"/>
          <w:szCs w:val="22"/>
        </w:rPr>
        <w:t>2</w:t>
      </w:r>
      <w:r w:rsidR="00913C2A" w:rsidRPr="00E97BC8">
        <w:rPr>
          <w:rFonts w:cs="Times New Roman"/>
          <w:sz w:val="22"/>
          <w:szCs w:val="22"/>
        </w:rPr>
        <w:t>) as well as between EV ownership and BRP (correlation of 0.</w:t>
      </w:r>
      <w:r w:rsidR="002E74C6" w:rsidRPr="00E97BC8">
        <w:rPr>
          <w:rFonts w:cs="Times New Roman"/>
          <w:sz w:val="22"/>
          <w:szCs w:val="22"/>
        </w:rPr>
        <w:t>11</w:t>
      </w:r>
      <w:r w:rsidR="00913C2A" w:rsidRPr="00E97BC8">
        <w:rPr>
          <w:rFonts w:cs="Times New Roman"/>
          <w:sz w:val="22"/>
          <w:szCs w:val="22"/>
        </w:rPr>
        <w:t xml:space="preserve"> with a t-statistic of </w:t>
      </w:r>
      <w:r w:rsidR="002E74C6" w:rsidRPr="00E97BC8">
        <w:rPr>
          <w:rFonts w:cs="Times New Roman"/>
          <w:sz w:val="22"/>
          <w:szCs w:val="22"/>
        </w:rPr>
        <w:t>2.</w:t>
      </w:r>
      <w:r w:rsidR="004F0CD9" w:rsidRPr="00E97BC8">
        <w:rPr>
          <w:rFonts w:cs="Times New Roman"/>
          <w:sz w:val="22"/>
          <w:szCs w:val="22"/>
        </w:rPr>
        <w:t>8</w:t>
      </w:r>
      <w:r w:rsidR="002E74C6" w:rsidRPr="00E97BC8">
        <w:rPr>
          <w:rFonts w:cs="Times New Roman"/>
          <w:sz w:val="22"/>
          <w:szCs w:val="22"/>
        </w:rPr>
        <w:t>0</w:t>
      </w:r>
      <w:r w:rsidR="00913C2A" w:rsidRPr="00E97BC8">
        <w:rPr>
          <w:rFonts w:cs="Times New Roman"/>
          <w:sz w:val="22"/>
          <w:szCs w:val="22"/>
        </w:rPr>
        <w:t>)</w:t>
      </w:r>
      <w:r w:rsidR="00BF37CA" w:rsidRPr="00E97BC8">
        <w:rPr>
          <w:rFonts w:cs="Times New Roman"/>
          <w:sz w:val="22"/>
          <w:szCs w:val="22"/>
        </w:rPr>
        <w:t>.</w:t>
      </w:r>
      <w:r w:rsidR="00786D11" w:rsidRPr="00E97BC8">
        <w:rPr>
          <w:rFonts w:cs="Times New Roman"/>
          <w:sz w:val="22"/>
          <w:szCs w:val="22"/>
        </w:rPr>
        <w:t xml:space="preserve"> These positive correlations indicate that intrinsic factors, such as interest in technology, may </w:t>
      </w:r>
      <w:r w:rsidR="001D74CE" w:rsidRPr="00E97BC8">
        <w:rPr>
          <w:rFonts w:cs="Times New Roman"/>
          <w:sz w:val="22"/>
          <w:szCs w:val="22"/>
        </w:rPr>
        <w:t xml:space="preserve">not only </w:t>
      </w:r>
      <w:r w:rsidR="00FA6D2A" w:rsidRPr="00E97BC8">
        <w:rPr>
          <w:rFonts w:cs="Times New Roman"/>
          <w:sz w:val="22"/>
          <w:szCs w:val="22"/>
        </w:rPr>
        <w:t>influence</w:t>
      </w:r>
      <w:r w:rsidR="00786D11" w:rsidRPr="00E97BC8">
        <w:rPr>
          <w:rFonts w:cs="Times New Roman"/>
          <w:sz w:val="22"/>
          <w:szCs w:val="22"/>
        </w:rPr>
        <w:t xml:space="preserve"> how individuals perceive specific EV characteristics</w:t>
      </w:r>
      <w:r w:rsidR="00B979BC" w:rsidRPr="00E97BC8">
        <w:rPr>
          <w:rFonts w:cs="Times New Roman"/>
          <w:sz w:val="22"/>
          <w:szCs w:val="22"/>
        </w:rPr>
        <w:t>, but</w:t>
      </w:r>
      <w:r w:rsidR="00786D11" w:rsidRPr="00E97BC8">
        <w:rPr>
          <w:rFonts w:cs="Times New Roman"/>
          <w:sz w:val="22"/>
          <w:szCs w:val="22"/>
        </w:rPr>
        <w:t xml:space="preserve"> their overall </w:t>
      </w:r>
      <w:r w:rsidR="006C3CCF" w:rsidRPr="00E97BC8">
        <w:rPr>
          <w:rFonts w:cs="Times New Roman"/>
          <w:sz w:val="22"/>
          <w:szCs w:val="22"/>
        </w:rPr>
        <w:t>propensity for adoption</w:t>
      </w:r>
      <w:r w:rsidR="00B979BC" w:rsidRPr="00E97BC8">
        <w:rPr>
          <w:rFonts w:cs="Times New Roman"/>
          <w:sz w:val="22"/>
          <w:szCs w:val="22"/>
        </w:rPr>
        <w:t xml:space="preserve"> as well</w:t>
      </w:r>
      <w:r w:rsidR="006C3CCF" w:rsidRPr="00E97BC8">
        <w:rPr>
          <w:rFonts w:cs="Times New Roman"/>
          <w:sz w:val="22"/>
          <w:szCs w:val="22"/>
        </w:rPr>
        <w:t xml:space="preserve">. </w:t>
      </w:r>
      <w:r w:rsidR="00BF2FCE" w:rsidRPr="00E97BC8">
        <w:rPr>
          <w:rFonts w:cs="Times New Roman"/>
          <w:sz w:val="22"/>
          <w:szCs w:val="22"/>
        </w:rPr>
        <w:t xml:space="preserve">Since </w:t>
      </w:r>
      <w:r w:rsidR="00B979BC" w:rsidRPr="00E97BC8">
        <w:rPr>
          <w:rFonts w:cs="Times New Roman"/>
          <w:sz w:val="22"/>
          <w:szCs w:val="22"/>
        </w:rPr>
        <w:t xml:space="preserve">each of </w:t>
      </w:r>
      <w:r w:rsidR="00BF2FCE" w:rsidRPr="00E97BC8">
        <w:rPr>
          <w:rFonts w:cs="Times New Roman"/>
          <w:sz w:val="22"/>
          <w:szCs w:val="22"/>
        </w:rPr>
        <w:t xml:space="preserve">these correlations between the latent constructs and the EV ownership dimension match the signs of the direct effects, </w:t>
      </w:r>
      <w:r w:rsidR="008475FF" w:rsidRPr="00E97BC8">
        <w:rPr>
          <w:rFonts w:cs="Times New Roman"/>
          <w:sz w:val="22"/>
          <w:szCs w:val="22"/>
        </w:rPr>
        <w:t>the implication is that if th</w:t>
      </w:r>
      <w:r w:rsidR="00CA16FD" w:rsidRPr="00E97BC8">
        <w:rPr>
          <w:rFonts w:cs="Times New Roman"/>
          <w:sz w:val="22"/>
          <w:szCs w:val="22"/>
        </w:rPr>
        <w:t>e</w:t>
      </w:r>
      <w:r w:rsidR="00CC531E" w:rsidRPr="00E97BC8">
        <w:rPr>
          <w:rFonts w:cs="Times New Roman"/>
          <w:sz w:val="22"/>
          <w:szCs w:val="22"/>
        </w:rPr>
        <w:t>y</w:t>
      </w:r>
      <w:r w:rsidR="008475FF" w:rsidRPr="00E97BC8">
        <w:rPr>
          <w:rFonts w:cs="Times New Roman"/>
          <w:sz w:val="22"/>
          <w:szCs w:val="22"/>
        </w:rPr>
        <w:t xml:space="preserve"> were ignored in estimation, the magnitude of the direct effects would be overestimated. </w:t>
      </w:r>
      <w:r w:rsidR="00B84EF3" w:rsidRPr="00E97BC8">
        <w:rPr>
          <w:rFonts w:cs="Times New Roman"/>
          <w:sz w:val="22"/>
          <w:szCs w:val="22"/>
        </w:rPr>
        <w:t xml:space="preserve">Three correlation terms between the </w:t>
      </w:r>
      <w:r w:rsidR="004B6E6A" w:rsidRPr="00E97BC8">
        <w:rPr>
          <w:rFonts w:cs="Times New Roman"/>
          <w:sz w:val="22"/>
          <w:szCs w:val="22"/>
        </w:rPr>
        <w:t xml:space="preserve">stochastic </w:t>
      </w:r>
      <w:r w:rsidR="00B84EF3" w:rsidRPr="00E97BC8">
        <w:rPr>
          <w:rFonts w:cs="Times New Roman"/>
          <w:sz w:val="22"/>
          <w:szCs w:val="22"/>
        </w:rPr>
        <w:t xml:space="preserve">latent constructs and the error differences </w:t>
      </w:r>
      <w:r w:rsidR="004B6E6A" w:rsidRPr="00E97BC8">
        <w:rPr>
          <w:rFonts w:cs="Times New Roman"/>
          <w:sz w:val="22"/>
          <w:szCs w:val="22"/>
        </w:rPr>
        <w:t>in the</w:t>
      </w:r>
      <w:r w:rsidR="00B84EF3" w:rsidRPr="00E97BC8">
        <w:rPr>
          <w:rFonts w:cs="Times New Roman"/>
          <w:sz w:val="22"/>
          <w:szCs w:val="22"/>
        </w:rPr>
        <w:t xml:space="preserve"> </w:t>
      </w:r>
      <w:r w:rsidR="004B6E6A" w:rsidRPr="00E97BC8">
        <w:rPr>
          <w:rFonts w:cs="Times New Roman"/>
          <w:sz w:val="22"/>
          <w:szCs w:val="22"/>
        </w:rPr>
        <w:t xml:space="preserve">ranked motivating reasons outcome are also significant. </w:t>
      </w:r>
      <w:r w:rsidR="00902BC6" w:rsidRPr="00E97BC8">
        <w:rPr>
          <w:rFonts w:cs="Times New Roman"/>
          <w:sz w:val="22"/>
          <w:szCs w:val="22"/>
        </w:rPr>
        <w:t xml:space="preserve">For the rank-ordered outcome only error differences are estimable, so the correlations are estimated for the errors differenced with </w:t>
      </w:r>
      <w:r w:rsidR="004374C4" w:rsidRPr="00E97BC8">
        <w:rPr>
          <w:rFonts w:cs="Times New Roman"/>
          <w:sz w:val="22"/>
          <w:szCs w:val="22"/>
        </w:rPr>
        <w:t xml:space="preserve">“rising gas prices.” </w:t>
      </w:r>
      <w:r w:rsidR="003E2350" w:rsidRPr="00E97BC8">
        <w:rPr>
          <w:rFonts w:cs="Times New Roman"/>
          <w:sz w:val="22"/>
          <w:szCs w:val="22"/>
        </w:rPr>
        <w:t xml:space="preserve">We observe positive correlations between </w:t>
      </w:r>
      <w:r w:rsidR="003E08EE" w:rsidRPr="00E97BC8">
        <w:rPr>
          <w:rFonts w:cs="Times New Roman"/>
          <w:sz w:val="22"/>
          <w:szCs w:val="22"/>
        </w:rPr>
        <w:t xml:space="preserve">VFP </w:t>
      </w:r>
      <w:r w:rsidR="00FE4913" w:rsidRPr="00E97BC8">
        <w:rPr>
          <w:rFonts w:cs="Times New Roman"/>
          <w:sz w:val="22"/>
          <w:szCs w:val="22"/>
        </w:rPr>
        <w:t xml:space="preserve">and </w:t>
      </w:r>
      <w:r w:rsidR="003A1486" w:rsidRPr="00E97BC8">
        <w:rPr>
          <w:rFonts w:cs="Times New Roman"/>
          <w:sz w:val="22"/>
          <w:szCs w:val="22"/>
        </w:rPr>
        <w:t xml:space="preserve">with both the </w:t>
      </w:r>
      <w:r w:rsidR="003C63BD" w:rsidRPr="00E97BC8">
        <w:rPr>
          <w:rFonts w:cs="Times New Roman"/>
          <w:sz w:val="22"/>
          <w:szCs w:val="22"/>
        </w:rPr>
        <w:t>“</w:t>
      </w:r>
      <w:r w:rsidR="003A1486" w:rsidRPr="00E97BC8">
        <w:rPr>
          <w:rFonts w:cs="Times New Roman"/>
          <w:sz w:val="22"/>
          <w:szCs w:val="22"/>
        </w:rPr>
        <w:t xml:space="preserve">ability to charge </w:t>
      </w:r>
      <w:r w:rsidR="003A1486" w:rsidRPr="00E97BC8">
        <w:rPr>
          <w:rFonts w:cs="Times New Roman"/>
          <w:sz w:val="22"/>
          <w:szCs w:val="22"/>
        </w:rPr>
        <w:lastRenderedPageBreak/>
        <w:t>at home</w:t>
      </w:r>
      <w:r w:rsidR="003C63BD" w:rsidRPr="00E97BC8">
        <w:rPr>
          <w:rFonts w:cs="Times New Roman"/>
          <w:sz w:val="22"/>
          <w:szCs w:val="22"/>
        </w:rPr>
        <w:t>”</w:t>
      </w:r>
      <w:r w:rsidR="003A1486" w:rsidRPr="00E97BC8">
        <w:rPr>
          <w:rFonts w:cs="Times New Roman"/>
          <w:sz w:val="22"/>
          <w:szCs w:val="22"/>
        </w:rPr>
        <w:t xml:space="preserve"> (correlation of 0.22 with a t-statistic of 1.81) and </w:t>
      </w:r>
      <w:r w:rsidR="003C63BD" w:rsidRPr="00E97BC8">
        <w:rPr>
          <w:rFonts w:cs="Times New Roman"/>
          <w:sz w:val="22"/>
          <w:szCs w:val="22"/>
        </w:rPr>
        <w:t>“</w:t>
      </w:r>
      <w:r w:rsidR="003A1486" w:rsidRPr="00E97BC8">
        <w:rPr>
          <w:rFonts w:cs="Times New Roman"/>
          <w:sz w:val="22"/>
          <w:szCs w:val="22"/>
        </w:rPr>
        <w:t>take advantage of available incentives</w:t>
      </w:r>
      <w:r w:rsidR="003C63BD" w:rsidRPr="00E97BC8">
        <w:rPr>
          <w:rFonts w:cs="Times New Roman"/>
          <w:sz w:val="22"/>
          <w:szCs w:val="22"/>
        </w:rPr>
        <w:t>”</w:t>
      </w:r>
      <w:r w:rsidR="003A1486" w:rsidRPr="00E97BC8">
        <w:rPr>
          <w:rFonts w:cs="Times New Roman"/>
          <w:sz w:val="22"/>
          <w:szCs w:val="22"/>
        </w:rPr>
        <w:t xml:space="preserve"> (correlation of 0.</w:t>
      </w:r>
      <w:r w:rsidR="00D1516B" w:rsidRPr="00E97BC8">
        <w:rPr>
          <w:rFonts w:cs="Times New Roman"/>
          <w:sz w:val="22"/>
          <w:szCs w:val="22"/>
        </w:rPr>
        <w:t>25</w:t>
      </w:r>
      <w:r w:rsidR="003A1486" w:rsidRPr="00E97BC8">
        <w:rPr>
          <w:rFonts w:cs="Times New Roman"/>
          <w:sz w:val="22"/>
          <w:szCs w:val="22"/>
        </w:rPr>
        <w:t xml:space="preserve"> with a t-statistic of 1.44).</w:t>
      </w:r>
      <w:r w:rsidR="00D1516B" w:rsidRPr="00E97BC8">
        <w:rPr>
          <w:rFonts w:cs="Times New Roman"/>
          <w:sz w:val="22"/>
          <w:szCs w:val="22"/>
        </w:rPr>
        <w:t xml:space="preserve"> </w:t>
      </w:r>
      <w:r w:rsidR="00B90CB5" w:rsidRPr="00E97BC8">
        <w:rPr>
          <w:rFonts w:cs="Times New Roman"/>
          <w:sz w:val="22"/>
          <w:szCs w:val="22"/>
        </w:rPr>
        <w:t>This suggests that underlying attitudes</w:t>
      </w:r>
      <w:r w:rsidR="000354D1" w:rsidRPr="00E97BC8">
        <w:rPr>
          <w:rFonts w:cs="Times New Roman"/>
          <w:sz w:val="22"/>
          <w:szCs w:val="22"/>
        </w:rPr>
        <w:t xml:space="preserve"> </w:t>
      </w:r>
      <w:r w:rsidR="00B90CB5" w:rsidRPr="00E97BC8">
        <w:rPr>
          <w:rFonts w:cs="Times New Roman"/>
          <w:sz w:val="22"/>
          <w:szCs w:val="22"/>
        </w:rPr>
        <w:t>lead some individuals</w:t>
      </w:r>
      <w:r w:rsidR="000354D1" w:rsidRPr="00E97BC8">
        <w:rPr>
          <w:rFonts w:cs="Times New Roman"/>
          <w:sz w:val="22"/>
          <w:szCs w:val="22"/>
        </w:rPr>
        <w:t xml:space="preserve">, such as those with higher interest in consumer innovation, </w:t>
      </w:r>
      <w:r w:rsidR="00B90CB5" w:rsidRPr="00E97BC8">
        <w:rPr>
          <w:rFonts w:cs="Times New Roman"/>
          <w:sz w:val="22"/>
          <w:szCs w:val="22"/>
        </w:rPr>
        <w:t xml:space="preserve">to focus more on vehicle functionality </w:t>
      </w:r>
      <w:r w:rsidR="000354D1" w:rsidRPr="00E97BC8">
        <w:rPr>
          <w:rFonts w:cs="Times New Roman"/>
          <w:sz w:val="22"/>
          <w:szCs w:val="22"/>
        </w:rPr>
        <w:t xml:space="preserve">(as they have higher performance expectations) </w:t>
      </w:r>
      <w:r w:rsidR="00B90CB5" w:rsidRPr="00E97BC8">
        <w:rPr>
          <w:rFonts w:cs="Times New Roman"/>
          <w:sz w:val="22"/>
          <w:szCs w:val="22"/>
        </w:rPr>
        <w:t>while also prioritizing being able to charge at home or take advantage of incentives in their purchase decision</w:t>
      </w:r>
      <w:r w:rsidR="000354D1" w:rsidRPr="00E97BC8">
        <w:rPr>
          <w:rFonts w:cs="Times New Roman"/>
          <w:sz w:val="22"/>
          <w:szCs w:val="22"/>
        </w:rPr>
        <w:t xml:space="preserve"> (as they are more likely to have high appreciation for these specific features and seek out information about available government support). I</w:t>
      </w:r>
      <w:r w:rsidR="00B90CB5" w:rsidRPr="00E97BC8">
        <w:rPr>
          <w:rFonts w:cs="Times New Roman"/>
          <w:sz w:val="22"/>
          <w:szCs w:val="22"/>
        </w:rPr>
        <w:t xml:space="preserve">gnoring this correlation would lead to overestimation of the effects of VFP on these specific motivating reasons. </w:t>
      </w:r>
      <w:r w:rsidR="00D1516B" w:rsidRPr="00E97BC8">
        <w:rPr>
          <w:rFonts w:cs="Times New Roman"/>
          <w:sz w:val="22"/>
          <w:szCs w:val="22"/>
        </w:rPr>
        <w:t xml:space="preserve">The final significant correlation is between </w:t>
      </w:r>
      <w:r w:rsidR="003C63BD" w:rsidRPr="00E97BC8">
        <w:rPr>
          <w:rFonts w:cs="Times New Roman"/>
          <w:sz w:val="22"/>
          <w:szCs w:val="22"/>
        </w:rPr>
        <w:t>GLP and the error term for “take advantage of incentives” (</w:t>
      </w:r>
      <w:r w:rsidR="007118DA" w:rsidRPr="00E97BC8">
        <w:rPr>
          <w:rFonts w:cs="Times New Roman"/>
          <w:sz w:val="22"/>
          <w:szCs w:val="22"/>
        </w:rPr>
        <w:t>correlation of 0.19 with a t-statistic of 1.9</w:t>
      </w:r>
      <w:r w:rsidR="00C873FF" w:rsidRPr="00E97BC8">
        <w:rPr>
          <w:rFonts w:cs="Times New Roman"/>
          <w:sz w:val="22"/>
          <w:szCs w:val="22"/>
        </w:rPr>
        <w:t>7</w:t>
      </w:r>
      <w:r w:rsidR="003C63BD" w:rsidRPr="00E97BC8">
        <w:rPr>
          <w:rFonts w:cs="Times New Roman"/>
          <w:sz w:val="22"/>
          <w:szCs w:val="22"/>
        </w:rPr>
        <w:t>).</w:t>
      </w:r>
      <w:r w:rsidR="007118DA" w:rsidRPr="00E97BC8">
        <w:rPr>
          <w:rFonts w:cs="Times New Roman"/>
          <w:sz w:val="22"/>
          <w:szCs w:val="22"/>
        </w:rPr>
        <w:t xml:space="preserve"> </w:t>
      </w:r>
      <w:r w:rsidR="00EE01F0" w:rsidRPr="00E97BC8">
        <w:rPr>
          <w:rFonts w:cs="Times New Roman"/>
          <w:sz w:val="22"/>
          <w:szCs w:val="22"/>
        </w:rPr>
        <w:t xml:space="preserve">This correlation indicates that </w:t>
      </w:r>
      <w:r w:rsidR="008D58EE" w:rsidRPr="00E97BC8">
        <w:rPr>
          <w:rFonts w:cs="Times New Roman"/>
          <w:sz w:val="22"/>
          <w:szCs w:val="22"/>
        </w:rPr>
        <w:t xml:space="preserve">unobserved factors influence both </w:t>
      </w:r>
      <w:r w:rsidR="007118DA" w:rsidRPr="00E97BC8">
        <w:rPr>
          <w:rFonts w:cs="Times New Roman"/>
          <w:sz w:val="22"/>
          <w:szCs w:val="22"/>
        </w:rPr>
        <w:t>sustainability preferences</w:t>
      </w:r>
      <w:r w:rsidR="008D58EE" w:rsidRPr="00E97BC8">
        <w:rPr>
          <w:rFonts w:cs="Times New Roman"/>
          <w:sz w:val="22"/>
          <w:szCs w:val="22"/>
        </w:rPr>
        <w:t xml:space="preserve"> and </w:t>
      </w:r>
      <w:r w:rsidR="00401910" w:rsidRPr="00E97BC8">
        <w:rPr>
          <w:rFonts w:cs="Times New Roman"/>
          <w:sz w:val="22"/>
          <w:szCs w:val="22"/>
        </w:rPr>
        <w:t xml:space="preserve">the ability to take advantage of </w:t>
      </w:r>
      <w:r w:rsidR="000354D1" w:rsidRPr="00E97BC8">
        <w:rPr>
          <w:rFonts w:cs="Times New Roman"/>
          <w:sz w:val="22"/>
          <w:szCs w:val="22"/>
        </w:rPr>
        <w:t xml:space="preserve">financial </w:t>
      </w:r>
      <w:r w:rsidR="00401910" w:rsidRPr="00E97BC8">
        <w:rPr>
          <w:rFonts w:cs="Times New Roman"/>
          <w:sz w:val="22"/>
          <w:szCs w:val="22"/>
        </w:rPr>
        <w:t>incentives, possibly linked to differential access to incentives based on location and self-selection effect</w:t>
      </w:r>
      <w:r w:rsidR="000354D1" w:rsidRPr="00E97BC8">
        <w:rPr>
          <w:rFonts w:cs="Times New Roman"/>
          <w:sz w:val="22"/>
          <w:szCs w:val="22"/>
        </w:rPr>
        <w:t>s</w:t>
      </w:r>
      <w:r w:rsidR="00401910" w:rsidRPr="00E97BC8">
        <w:rPr>
          <w:rFonts w:cs="Times New Roman"/>
          <w:sz w:val="22"/>
          <w:szCs w:val="22"/>
        </w:rPr>
        <w:t xml:space="preserve"> that tend to lead people to co-locate based, in part, on </w:t>
      </w:r>
      <w:r w:rsidR="00EF4159" w:rsidRPr="00E97BC8">
        <w:rPr>
          <w:rFonts w:cs="Times New Roman"/>
          <w:sz w:val="22"/>
          <w:szCs w:val="22"/>
        </w:rPr>
        <w:t>lifestyle preferences, like those for sustainability</w:t>
      </w:r>
      <w:r w:rsidR="00992765" w:rsidRPr="00E97BC8">
        <w:rPr>
          <w:rFonts w:cs="Times New Roman"/>
          <w:sz w:val="22"/>
          <w:szCs w:val="22"/>
        </w:rPr>
        <w:t xml:space="preserve"> </w:t>
      </w:r>
      <w:r w:rsidR="00992765" w:rsidRPr="00E97BC8">
        <w:rPr>
          <w:rFonts w:cs="Times New Roman"/>
          <w:sz w:val="22"/>
          <w:szCs w:val="22"/>
        </w:rPr>
        <w:fldChar w:fldCharType="begin"/>
      </w:r>
      <w:r w:rsidR="00DE77B7" w:rsidRPr="00E97BC8">
        <w:rPr>
          <w:rFonts w:cs="Times New Roman"/>
          <w:sz w:val="22"/>
          <w:szCs w:val="22"/>
        </w:rPr>
        <w:instrText xml:space="preserve"> ADDIN ZOTERO_ITEM CSL_CITATION {"citationID":"H41yGDqU","properties":{"unsorted":true,"formattedCitation":"(Guan et al., 2020; Chakraborty et al., 2022)","plainCitation":"(Guan et al., 2020; Chakraborty et al., 2022)","dontUpdate":true,"noteIndex":0},"citationItems":[{"id":3775,"uris":["http://zotero.org/users/12832277/items/6C42RGMW"],"itemData":{"id":3775,"type":"article-journal","abstract":"Residential self-selection (RSS) is an important concern in the land use-travel research. Although many studies have addressed RSS during the past two decades, empirical results are inconsistent in terms of the existence, magnitude, and direction of self-selection bias. Moreover, recent studies substantiated other plausible associations within the theoretical framework of RSS, such as the endogeneity of travel attitudes. These further complicate the role of RSS in the land use-travel relationship. To improve understanding, this paper summarises recent progress in the RSS research, especially the studies published in the last decade. Specifically, we review three types of influences among the built environment, attitudes, and travel behaviour, and discuss unsolved problems within each type. We also discuss measurement issues of the built environment and attitudes in the RSS research. Because attitudes could be confounders, moderators, and mediators of the link between the built environment and travel behaviour, we recommend panel data with at least three waves of household travel surveys to address the complicated influences of attitudes. Future research needs to be more process-oriented to better understand the nature of RSS and its complex roles in the land use-travel research.","container-title":"Transport Reviews","DOI":"10.1080/01441647.2019.1692965","ISSN":"0144-1647","issue":"3","note":"publisher: Routledge\n_eprint: https://doi.org/10.1080/01441647.2019.1692965","page":"267-287","source":"Taylor and Francis+NEJM","title":"The Role of Residential Self-Selection in Land Use-Travel Research: A Review of Recent Findings","volume":"40","author":[{"family":"Guan","given":"Xiaodong"},{"family":"Wang","given":"Donggen"},{"family":"Jason Cao","given":"Xinyu"}],"issued":{"date-parts":[["2020",5,3]]}}},{"id":2650,"uris":["http://zotero.org/users/12832277/items/MW3GHYKH"],"itemData":{"id":2650,"type":"article-journal","abstract":"The market for plug-in electric vehicles (PEVs) --including both battery electric vehicles (BEVs) and plug-in hybrid vehicles (PHEVs)--has been rapidly growing in California for the past few years. Given the targets for PEV penetration in the state, it is important to have a better understanding of the pattern of technology diffusion and the factors that are driving the process. Using spatial analysis and Poisson count models we identify the importance of a neighborhood effect (at home locations) and a workplace effect (at commute destinations) in supporting the diffusion of PEV technology in California between 2014 and 2016. In the case of new BEV sales, we find that exposure to one additional BEV or PHEV within a 1-mile radius of a census block group centroid is associated with a 0.2% increase in BEV sales in the block group. Interestingly, for new PHEV sales- the neighborhood effect of BEV sales is negative, suggesting that enhanced exposure to this type of technology (which is differentiated in distinctive ways from PHEVs) may impact new PHEV sales through a substitution effect. Specifically, higher BEV concentration in an area can have an overall negative effect on new PHEV sales. While the neighborhood effect at residential locations is important, a workplace effect also has a notably important influence on new PEV sales. Both effects work in combination with socioeconomic, demographic, policy, and built environment factors in encouraging PEV adoption. These results, insightful not just for California but other regions in early phases of the PEV market, suggest that policymakers should consider targeted programs and investments that can attract a wider group of early adopters (in terms of sociodemographic characteristics and spatial location) to boost the impact of neighborhood and workplace effects on PEV sales.","container-title":"Transportation Research Part A: Policy and Practice","DOI":"10.1016/j.tra.2021.12.005","ISSN":"0965-8564","page":"133-151","source":"ScienceDirect","title":"Plug-in Electric Vehicle Diffusion in California: Role of Exposure to New Technology at Home and Work","volume":"156","author":[{"family":"Chakraborty","given":"Debapriya"},{"family":"Bunch","given":"David S."},{"family":"Brownstone","given":"David"},{"family":"Xu","given":"Bingzheng"},{"family":"Tal","given":"Gil"}],"issued":{"date-parts":[["2022",2,1]]}}}],"schema":"https://github.com/citation-style-language/schema/raw/master/csl-citation.json"} </w:instrText>
      </w:r>
      <w:r w:rsidR="00992765" w:rsidRPr="00E97BC8">
        <w:rPr>
          <w:rFonts w:cs="Times New Roman"/>
          <w:sz w:val="22"/>
          <w:szCs w:val="22"/>
        </w:rPr>
        <w:fldChar w:fldCharType="separate"/>
      </w:r>
      <w:r w:rsidR="00372D85" w:rsidRPr="00E97BC8">
        <w:rPr>
          <w:rFonts w:cs="Times New Roman"/>
          <w:sz w:val="22"/>
          <w:szCs w:val="22"/>
        </w:rPr>
        <w:t>(see Guan et al., 2020; Chakraborty et al., 2022)</w:t>
      </w:r>
      <w:r w:rsidR="00992765" w:rsidRPr="00E97BC8">
        <w:rPr>
          <w:rFonts w:cs="Times New Roman"/>
          <w:sz w:val="22"/>
          <w:szCs w:val="22"/>
        </w:rPr>
        <w:fldChar w:fldCharType="end"/>
      </w:r>
      <w:r w:rsidR="00EF4159" w:rsidRPr="00E97BC8">
        <w:rPr>
          <w:rFonts w:cs="Times New Roman"/>
          <w:sz w:val="22"/>
          <w:szCs w:val="22"/>
        </w:rPr>
        <w:t xml:space="preserve">. </w:t>
      </w:r>
    </w:p>
    <w:p w14:paraId="5FB32BAB" w14:textId="77777777" w:rsidR="00F70EEA" w:rsidRPr="00E97BC8" w:rsidRDefault="00F70EEA" w:rsidP="00E85093">
      <w:pPr>
        <w:spacing w:after="0" w:line="240" w:lineRule="auto"/>
        <w:jc w:val="both"/>
        <w:rPr>
          <w:rFonts w:cs="Times New Roman"/>
          <w:sz w:val="22"/>
          <w:szCs w:val="22"/>
        </w:rPr>
      </w:pPr>
    </w:p>
    <w:p w14:paraId="4050F551" w14:textId="4EB51031" w:rsidR="00601292" w:rsidRPr="00E97BC8" w:rsidRDefault="00601292" w:rsidP="00E85093">
      <w:pPr>
        <w:spacing w:after="0" w:line="240" w:lineRule="auto"/>
        <w:jc w:val="both"/>
        <w:rPr>
          <w:rFonts w:cs="Times New Roman"/>
          <w:b/>
          <w:bCs/>
          <w:sz w:val="22"/>
          <w:szCs w:val="22"/>
        </w:rPr>
      </w:pPr>
      <w:r w:rsidRPr="00E97BC8">
        <w:rPr>
          <w:rFonts w:cs="Times New Roman"/>
          <w:b/>
          <w:bCs/>
          <w:sz w:val="22"/>
          <w:szCs w:val="22"/>
        </w:rPr>
        <w:t>4.3 Model Fit</w:t>
      </w:r>
    </w:p>
    <w:p w14:paraId="67D390DC" w14:textId="359A9F2C" w:rsidR="004E1FD2" w:rsidRPr="00E97BC8" w:rsidRDefault="00D50422" w:rsidP="00E85093">
      <w:pPr>
        <w:spacing w:after="0" w:line="240" w:lineRule="auto"/>
        <w:jc w:val="both"/>
        <w:rPr>
          <w:rFonts w:cs="Times New Roman"/>
          <w:sz w:val="22"/>
          <w:szCs w:val="22"/>
        </w:rPr>
      </w:pPr>
      <w:r w:rsidRPr="00E97BC8">
        <w:rPr>
          <w:rFonts w:cs="Times New Roman"/>
          <w:sz w:val="22"/>
          <w:szCs w:val="22"/>
        </w:rPr>
        <w:t>To assess the overall fit of t</w:t>
      </w:r>
      <w:r w:rsidR="007E566A" w:rsidRPr="00E97BC8">
        <w:rPr>
          <w:rFonts w:cs="Times New Roman"/>
          <w:sz w:val="22"/>
          <w:szCs w:val="22"/>
        </w:rPr>
        <w:t>he proposed joint GHDM model</w:t>
      </w:r>
      <w:r w:rsidRPr="00E97BC8">
        <w:rPr>
          <w:rFonts w:cs="Times New Roman"/>
          <w:sz w:val="22"/>
          <w:szCs w:val="22"/>
        </w:rPr>
        <w:t>, it</w:t>
      </w:r>
      <w:r w:rsidR="007E566A" w:rsidRPr="00E97BC8">
        <w:rPr>
          <w:rFonts w:cs="Times New Roman"/>
          <w:sz w:val="22"/>
          <w:szCs w:val="22"/>
        </w:rPr>
        <w:t xml:space="preserve"> is compared with </w:t>
      </w:r>
      <w:r w:rsidR="00EC0368" w:rsidRPr="00E97BC8">
        <w:rPr>
          <w:rFonts w:cs="Times New Roman"/>
          <w:sz w:val="22"/>
          <w:szCs w:val="22"/>
        </w:rPr>
        <w:t xml:space="preserve">two </w:t>
      </w:r>
      <w:r w:rsidR="007E566A" w:rsidRPr="00E97BC8">
        <w:rPr>
          <w:rFonts w:cs="Times New Roman"/>
          <w:sz w:val="22"/>
          <w:szCs w:val="22"/>
        </w:rPr>
        <w:t>restricted</w:t>
      </w:r>
      <w:r w:rsidR="00EC0368" w:rsidRPr="00E97BC8">
        <w:rPr>
          <w:rFonts w:cs="Times New Roman"/>
          <w:sz w:val="22"/>
          <w:szCs w:val="22"/>
        </w:rPr>
        <w:t xml:space="preserve"> models. First, </w:t>
      </w:r>
      <w:r w:rsidR="006A0E42" w:rsidRPr="00E97BC8">
        <w:rPr>
          <w:rFonts w:cs="Times New Roman"/>
          <w:sz w:val="22"/>
          <w:szCs w:val="22"/>
        </w:rPr>
        <w:t xml:space="preserve">while </w:t>
      </w:r>
      <w:r w:rsidR="007149A2" w:rsidRPr="00E97BC8">
        <w:rPr>
          <w:rFonts w:cs="Times New Roman"/>
          <w:sz w:val="22"/>
          <w:szCs w:val="22"/>
        </w:rPr>
        <w:t xml:space="preserve">the significant correlations </w:t>
      </w:r>
      <w:r w:rsidR="006A0E42" w:rsidRPr="00E97BC8">
        <w:rPr>
          <w:rFonts w:cs="Times New Roman"/>
          <w:sz w:val="22"/>
          <w:szCs w:val="22"/>
        </w:rPr>
        <w:t>between the stochastic latent constructs and the main outcomes (</w:t>
      </w:r>
      <w:r w:rsidR="007149A2" w:rsidRPr="00E97BC8">
        <w:rPr>
          <w:rFonts w:cs="Times New Roman"/>
          <w:sz w:val="22"/>
          <w:szCs w:val="22"/>
        </w:rPr>
        <w:t xml:space="preserve">discussed in </w:t>
      </w:r>
      <w:r w:rsidR="006000EF" w:rsidRPr="00E97BC8">
        <w:rPr>
          <w:rFonts w:cs="Times New Roman"/>
          <w:sz w:val="22"/>
          <w:szCs w:val="22"/>
        </w:rPr>
        <w:t>S</w:t>
      </w:r>
      <w:r w:rsidR="007149A2" w:rsidRPr="00E97BC8">
        <w:rPr>
          <w:rFonts w:cs="Times New Roman"/>
          <w:sz w:val="22"/>
          <w:szCs w:val="22"/>
        </w:rPr>
        <w:t>ection</w:t>
      </w:r>
      <w:r w:rsidR="006A0E42" w:rsidRPr="00E97BC8">
        <w:rPr>
          <w:rFonts w:cs="Times New Roman"/>
          <w:sz w:val="22"/>
          <w:szCs w:val="22"/>
        </w:rPr>
        <w:t xml:space="preserve"> 4.2</w:t>
      </w:r>
      <w:r w:rsidR="00BA07D0" w:rsidRPr="00E97BC8">
        <w:rPr>
          <w:rFonts w:cs="Times New Roman"/>
          <w:sz w:val="22"/>
          <w:szCs w:val="22"/>
        </w:rPr>
        <w:t>.4</w:t>
      </w:r>
      <w:r w:rsidR="006A0E42" w:rsidRPr="00E97BC8">
        <w:rPr>
          <w:rFonts w:cs="Times New Roman"/>
          <w:sz w:val="22"/>
          <w:szCs w:val="22"/>
        </w:rPr>
        <w:t>)</w:t>
      </w:r>
      <w:r w:rsidR="007149A2" w:rsidRPr="00E97BC8">
        <w:rPr>
          <w:rFonts w:cs="Times New Roman"/>
          <w:sz w:val="22"/>
          <w:szCs w:val="22"/>
        </w:rPr>
        <w:t xml:space="preserve"> already point </w:t>
      </w:r>
      <w:r w:rsidR="006A0E42" w:rsidRPr="00E97BC8">
        <w:rPr>
          <w:rFonts w:cs="Times New Roman"/>
          <w:sz w:val="22"/>
          <w:szCs w:val="22"/>
        </w:rPr>
        <w:t xml:space="preserve">to the </w:t>
      </w:r>
      <w:r w:rsidR="003B164E" w:rsidRPr="00E97BC8">
        <w:rPr>
          <w:rFonts w:cs="Times New Roman"/>
          <w:sz w:val="22"/>
          <w:szCs w:val="22"/>
        </w:rPr>
        <w:t>need to</w:t>
      </w:r>
      <w:r w:rsidR="007149A2" w:rsidRPr="00E97BC8">
        <w:rPr>
          <w:rFonts w:cs="Times New Roman"/>
          <w:sz w:val="22"/>
          <w:szCs w:val="22"/>
        </w:rPr>
        <w:t xml:space="preserve"> consider these correlation terms,</w:t>
      </w:r>
      <w:r w:rsidR="007E566A" w:rsidRPr="00E97BC8">
        <w:rPr>
          <w:rFonts w:cs="Times New Roman"/>
          <w:sz w:val="22"/>
          <w:szCs w:val="22"/>
        </w:rPr>
        <w:t xml:space="preserve"> </w:t>
      </w:r>
      <w:r w:rsidR="006A0E42" w:rsidRPr="00E97BC8">
        <w:rPr>
          <w:rFonts w:cs="Times New Roman"/>
          <w:sz w:val="22"/>
          <w:szCs w:val="22"/>
        </w:rPr>
        <w:t xml:space="preserve">the proposed GHDM is compared with another GHDM model that ignores the correlations between the stochastic latent constructs and the main outcomes. </w:t>
      </w:r>
      <w:r w:rsidR="002243CF" w:rsidRPr="00E97BC8">
        <w:rPr>
          <w:rFonts w:cs="Times New Roman"/>
          <w:sz w:val="22"/>
          <w:szCs w:val="22"/>
        </w:rPr>
        <w:t xml:space="preserve">Several </w:t>
      </w:r>
      <w:r w:rsidR="003D5C68" w:rsidRPr="00E97BC8">
        <w:rPr>
          <w:rFonts w:cs="Times New Roman"/>
          <w:sz w:val="22"/>
          <w:szCs w:val="22"/>
        </w:rPr>
        <w:t xml:space="preserve">disaggregate fit metrics are used to compare these models as shown in the top panel of Table 5. </w:t>
      </w:r>
      <w:r w:rsidR="004E1FD2" w:rsidRPr="00E97BC8">
        <w:rPr>
          <w:rFonts w:cs="Times New Roman"/>
          <w:sz w:val="22"/>
          <w:szCs w:val="22"/>
        </w:rPr>
        <w:t xml:space="preserve">The Bayesian Information Criterion (BIC) is calculated as </w:t>
      </w:r>
    </w:p>
    <w:p w14:paraId="0A5D5A11" w14:textId="4509F008" w:rsidR="004E1FD2" w:rsidRPr="00E97BC8" w:rsidRDefault="00C55A95" w:rsidP="00E85093">
      <w:pPr>
        <w:pStyle w:val="MTDisplayEquation"/>
        <w:rPr>
          <w:rFonts w:cs="Times New Roman"/>
          <w:sz w:val="22"/>
          <w:szCs w:val="22"/>
        </w:rPr>
      </w:pPr>
      <w:r w:rsidRPr="00E97BC8">
        <w:rPr>
          <w:rFonts w:cs="Times New Roman"/>
          <w:position w:val="-14"/>
          <w:sz w:val="22"/>
          <w:szCs w:val="22"/>
        </w:rPr>
        <w:object w:dxaOrig="6080" w:dyaOrig="420" w14:anchorId="1F9C77E1">
          <v:shape id="_x0000_i1204" type="#_x0000_t75" style="width:303.85pt;height:21pt" o:ole="" o:preferrelative="f">
            <v:imagedata r:id="rId349" o:title=""/>
            <o:lock v:ext="edit" aspectratio="f"/>
          </v:shape>
          <o:OLEObject Type="Embed" ProgID="Equation.DSMT4" ShapeID="_x0000_i1204" DrawAspect="Content" ObjectID="_1811172392" r:id="rId350"/>
        </w:object>
      </w:r>
      <w:r w:rsidR="00F04AE3" w:rsidRPr="00E97BC8">
        <w:rPr>
          <w:rFonts w:cs="Times New Roman"/>
          <w:sz w:val="22"/>
          <w:szCs w:val="22"/>
        </w:rPr>
        <w:tab/>
      </w:r>
      <w:r w:rsidR="00F04AE3" w:rsidRPr="00E97BC8">
        <w:rPr>
          <w:rFonts w:cs="Times New Roman"/>
          <w:sz w:val="22"/>
          <w:szCs w:val="22"/>
        </w:rPr>
        <w:fldChar w:fldCharType="begin"/>
      </w:r>
      <w:r w:rsidR="00F04AE3" w:rsidRPr="00E97BC8">
        <w:rPr>
          <w:rFonts w:cs="Times New Roman"/>
          <w:sz w:val="22"/>
          <w:szCs w:val="22"/>
        </w:rPr>
        <w:instrText xml:space="preserve"> MACROBUTTON MTPlaceRef \* MERGEFORMAT </w:instrText>
      </w:r>
      <w:r w:rsidR="00F04AE3" w:rsidRPr="00E97BC8">
        <w:rPr>
          <w:rFonts w:cs="Times New Roman"/>
          <w:sz w:val="22"/>
          <w:szCs w:val="22"/>
        </w:rPr>
        <w:fldChar w:fldCharType="begin"/>
      </w:r>
      <w:r w:rsidR="00F04AE3" w:rsidRPr="00E97BC8">
        <w:rPr>
          <w:rFonts w:cs="Times New Roman"/>
          <w:sz w:val="22"/>
          <w:szCs w:val="22"/>
        </w:rPr>
        <w:instrText xml:space="preserve"> SEQ MTEqn \h \* MERGEFORMAT </w:instrText>
      </w:r>
      <w:r w:rsidR="00F04AE3" w:rsidRPr="00E97BC8">
        <w:rPr>
          <w:rFonts w:cs="Times New Roman"/>
          <w:sz w:val="22"/>
          <w:szCs w:val="22"/>
        </w:rPr>
        <w:fldChar w:fldCharType="end"/>
      </w:r>
      <w:r w:rsidR="00F04AE3" w:rsidRPr="00E97BC8">
        <w:rPr>
          <w:rFonts w:cs="Times New Roman"/>
          <w:sz w:val="22"/>
          <w:szCs w:val="22"/>
        </w:rPr>
        <w:instrText>(</w:instrText>
      </w:r>
      <w:r w:rsidR="008E368F" w:rsidRPr="00E97BC8">
        <w:rPr>
          <w:rFonts w:cs="Times New Roman"/>
          <w:sz w:val="22"/>
          <w:szCs w:val="22"/>
        </w:rPr>
        <w:fldChar w:fldCharType="begin"/>
      </w:r>
      <w:r w:rsidR="008E368F" w:rsidRPr="00E97BC8">
        <w:rPr>
          <w:rFonts w:cs="Times New Roman"/>
          <w:sz w:val="22"/>
          <w:szCs w:val="22"/>
        </w:rPr>
        <w:instrText xml:space="preserve"> SEQ MTEqn \c \* Arabic \* MERGEFORMAT </w:instrText>
      </w:r>
      <w:r w:rsidR="008E368F" w:rsidRPr="00E97BC8">
        <w:rPr>
          <w:rFonts w:cs="Times New Roman"/>
          <w:sz w:val="22"/>
          <w:szCs w:val="22"/>
        </w:rPr>
        <w:fldChar w:fldCharType="separate"/>
      </w:r>
      <w:r w:rsidR="00EF198F" w:rsidRPr="00E97BC8">
        <w:rPr>
          <w:rFonts w:cs="Times New Roman"/>
          <w:sz w:val="22"/>
          <w:szCs w:val="22"/>
        </w:rPr>
        <w:instrText>9</w:instrText>
      </w:r>
      <w:r w:rsidR="008E368F" w:rsidRPr="00E97BC8">
        <w:rPr>
          <w:rFonts w:cs="Times New Roman"/>
          <w:sz w:val="22"/>
          <w:szCs w:val="22"/>
        </w:rPr>
        <w:fldChar w:fldCharType="end"/>
      </w:r>
      <w:r w:rsidR="00F04AE3" w:rsidRPr="00E97BC8">
        <w:rPr>
          <w:rFonts w:cs="Times New Roman"/>
          <w:sz w:val="22"/>
          <w:szCs w:val="22"/>
        </w:rPr>
        <w:instrText>)</w:instrText>
      </w:r>
      <w:r w:rsidR="00F04AE3" w:rsidRPr="00E97BC8">
        <w:rPr>
          <w:rFonts w:cs="Times New Roman"/>
          <w:sz w:val="22"/>
          <w:szCs w:val="22"/>
        </w:rPr>
        <w:fldChar w:fldCharType="end"/>
      </w:r>
    </w:p>
    <w:p w14:paraId="2C8B8917" w14:textId="7DD6F0AC" w:rsidR="004E1FD2" w:rsidRPr="00E97BC8" w:rsidRDefault="00FD62B0" w:rsidP="00E85093">
      <w:pPr>
        <w:spacing w:after="0" w:line="240" w:lineRule="auto"/>
        <w:jc w:val="both"/>
        <w:rPr>
          <w:rFonts w:cs="Times New Roman"/>
          <w:sz w:val="22"/>
          <w:szCs w:val="22"/>
        </w:rPr>
      </w:pPr>
      <w:r w:rsidRPr="00E97BC8">
        <w:rPr>
          <w:rFonts w:cs="Times New Roman"/>
          <w:sz w:val="22"/>
          <w:szCs w:val="22"/>
        </w:rPr>
        <w:t xml:space="preserve">where </w:t>
      </w:r>
      <w:r w:rsidR="00C55A95" w:rsidRPr="00E97BC8">
        <w:rPr>
          <w:rFonts w:cs="Times New Roman"/>
          <w:position w:val="-10"/>
          <w:sz w:val="22"/>
          <w:szCs w:val="22"/>
        </w:rPr>
        <w:object w:dxaOrig="600" w:dyaOrig="380" w14:anchorId="2106450C">
          <v:shape id="_x0000_i1205" type="#_x0000_t75" style="width:30pt;height:18.85pt" o:ole="" o:preferrelative="f">
            <v:imagedata r:id="rId351" o:title=""/>
            <o:lock v:ext="edit" aspectratio="f"/>
          </v:shape>
          <o:OLEObject Type="Embed" ProgID="Equation.DSMT4" ShapeID="_x0000_i1205" DrawAspect="Content" ObjectID="_1811172393" r:id="rId352"/>
        </w:object>
      </w:r>
      <w:r w:rsidR="00CE5061" w:rsidRPr="00E97BC8">
        <w:rPr>
          <w:rFonts w:cs="Times New Roman"/>
          <w:sz w:val="22"/>
          <w:szCs w:val="22"/>
        </w:rPr>
        <w:t xml:space="preserve"> </w:t>
      </w:r>
      <w:r w:rsidR="00EF198F" w:rsidRPr="00E97BC8">
        <w:rPr>
          <w:rFonts w:cs="Times New Roman"/>
          <w:sz w:val="22"/>
          <w:szCs w:val="22"/>
        </w:rPr>
        <w:t xml:space="preserve">represents </w:t>
      </w:r>
      <w:r w:rsidR="00CE5061" w:rsidRPr="00E97BC8">
        <w:rPr>
          <w:rFonts w:cs="Times New Roman"/>
          <w:sz w:val="22"/>
          <w:szCs w:val="22"/>
        </w:rPr>
        <w:t xml:space="preserve">the log-likelihood at convergence and the adjusted likelihood ratio index is calculated as </w:t>
      </w:r>
    </w:p>
    <w:p w14:paraId="3F4EBEEB" w14:textId="372AE253" w:rsidR="00CE5061" w:rsidRPr="00E97BC8" w:rsidRDefault="00C55A95" w:rsidP="00E85093">
      <w:pPr>
        <w:pStyle w:val="MTDisplayEquation"/>
        <w:rPr>
          <w:rFonts w:cs="Times New Roman"/>
          <w:sz w:val="22"/>
          <w:szCs w:val="22"/>
        </w:rPr>
      </w:pPr>
      <w:r w:rsidRPr="00E97BC8">
        <w:rPr>
          <w:rFonts w:cs="Times New Roman"/>
          <w:position w:val="-28"/>
          <w:sz w:val="22"/>
          <w:szCs w:val="22"/>
        </w:rPr>
        <w:object w:dxaOrig="1900" w:dyaOrig="720" w14:anchorId="5E7FBD99">
          <v:shape id="_x0000_i1206" type="#_x0000_t75" style="width:95.15pt;height:36pt" o:ole="" o:preferrelative="f">
            <v:imagedata r:id="rId353" o:title=""/>
            <o:lock v:ext="edit" aspectratio="f"/>
          </v:shape>
          <o:OLEObject Type="Embed" ProgID="Equation.DSMT4" ShapeID="_x0000_i1206" DrawAspect="Content" ObjectID="_1811172394" r:id="rId354"/>
        </w:object>
      </w:r>
      <w:r w:rsidR="00CE5061" w:rsidRPr="00E97BC8">
        <w:rPr>
          <w:rFonts w:cs="Times New Roman"/>
          <w:sz w:val="22"/>
          <w:szCs w:val="22"/>
        </w:rPr>
        <w:tab/>
      </w:r>
      <w:r w:rsidR="00CE5061" w:rsidRPr="00E97BC8">
        <w:rPr>
          <w:rFonts w:cs="Times New Roman"/>
          <w:sz w:val="22"/>
          <w:szCs w:val="22"/>
        </w:rPr>
        <w:tab/>
      </w:r>
      <w:r w:rsidR="00CE5061" w:rsidRPr="00E97BC8">
        <w:rPr>
          <w:rFonts w:cs="Times New Roman"/>
          <w:sz w:val="22"/>
          <w:szCs w:val="22"/>
        </w:rPr>
        <w:fldChar w:fldCharType="begin"/>
      </w:r>
      <w:r w:rsidR="00CE5061" w:rsidRPr="00E97BC8">
        <w:rPr>
          <w:rFonts w:cs="Times New Roman"/>
          <w:sz w:val="22"/>
          <w:szCs w:val="22"/>
        </w:rPr>
        <w:instrText xml:space="preserve"> MACROBUTTON MTPlaceRef \* MERGEFORMAT </w:instrText>
      </w:r>
      <w:r w:rsidR="00CE5061" w:rsidRPr="00E97BC8">
        <w:rPr>
          <w:rFonts w:cs="Times New Roman"/>
          <w:sz w:val="22"/>
          <w:szCs w:val="22"/>
        </w:rPr>
        <w:fldChar w:fldCharType="begin"/>
      </w:r>
      <w:r w:rsidR="00CE5061" w:rsidRPr="00E97BC8">
        <w:rPr>
          <w:rFonts w:cs="Times New Roman"/>
          <w:sz w:val="22"/>
          <w:szCs w:val="22"/>
        </w:rPr>
        <w:instrText xml:space="preserve"> SEQ MTEqn \h \* MERGEFORMAT </w:instrText>
      </w:r>
      <w:r w:rsidR="00CE5061" w:rsidRPr="00E97BC8">
        <w:rPr>
          <w:rFonts w:cs="Times New Roman"/>
          <w:sz w:val="22"/>
          <w:szCs w:val="22"/>
        </w:rPr>
        <w:fldChar w:fldCharType="end"/>
      </w:r>
      <w:r w:rsidR="00CE5061" w:rsidRPr="00E97BC8">
        <w:rPr>
          <w:rFonts w:cs="Times New Roman"/>
          <w:sz w:val="22"/>
          <w:szCs w:val="22"/>
        </w:rPr>
        <w:instrText>(</w:instrText>
      </w:r>
      <w:r w:rsidR="008E368F" w:rsidRPr="00E97BC8">
        <w:rPr>
          <w:rFonts w:cs="Times New Roman"/>
          <w:sz w:val="22"/>
          <w:szCs w:val="22"/>
        </w:rPr>
        <w:fldChar w:fldCharType="begin"/>
      </w:r>
      <w:r w:rsidR="008E368F" w:rsidRPr="00E97BC8">
        <w:rPr>
          <w:rFonts w:cs="Times New Roman"/>
          <w:sz w:val="22"/>
          <w:szCs w:val="22"/>
        </w:rPr>
        <w:instrText xml:space="preserve"> SEQ MTEqn \c \* Arabic \* MERGEFORMAT </w:instrText>
      </w:r>
      <w:r w:rsidR="008E368F" w:rsidRPr="00E97BC8">
        <w:rPr>
          <w:rFonts w:cs="Times New Roman"/>
          <w:sz w:val="22"/>
          <w:szCs w:val="22"/>
        </w:rPr>
        <w:fldChar w:fldCharType="separate"/>
      </w:r>
      <w:r w:rsidR="00EF198F" w:rsidRPr="00E97BC8">
        <w:rPr>
          <w:rFonts w:cs="Times New Roman"/>
          <w:sz w:val="22"/>
          <w:szCs w:val="22"/>
        </w:rPr>
        <w:instrText>10</w:instrText>
      </w:r>
      <w:r w:rsidR="008E368F" w:rsidRPr="00E97BC8">
        <w:rPr>
          <w:rFonts w:cs="Times New Roman"/>
          <w:sz w:val="22"/>
          <w:szCs w:val="22"/>
        </w:rPr>
        <w:fldChar w:fldCharType="end"/>
      </w:r>
      <w:r w:rsidR="00CE5061" w:rsidRPr="00E97BC8">
        <w:rPr>
          <w:rFonts w:cs="Times New Roman"/>
          <w:sz w:val="22"/>
          <w:szCs w:val="22"/>
        </w:rPr>
        <w:instrText>)</w:instrText>
      </w:r>
      <w:r w:rsidR="00CE5061" w:rsidRPr="00E97BC8">
        <w:rPr>
          <w:rFonts w:cs="Times New Roman"/>
          <w:sz w:val="22"/>
          <w:szCs w:val="22"/>
        </w:rPr>
        <w:fldChar w:fldCharType="end"/>
      </w:r>
    </w:p>
    <w:p w14:paraId="6D1C71CC" w14:textId="51E49182" w:rsidR="0085044B" w:rsidRPr="00E97BC8" w:rsidRDefault="00CE5061" w:rsidP="00E85093">
      <w:pPr>
        <w:spacing w:after="0" w:line="240" w:lineRule="auto"/>
        <w:jc w:val="both"/>
        <w:rPr>
          <w:rFonts w:cs="Times New Roman"/>
          <w:sz w:val="22"/>
          <w:szCs w:val="22"/>
        </w:rPr>
      </w:pPr>
      <w:r w:rsidRPr="00E97BC8">
        <w:rPr>
          <w:rFonts w:cs="Times New Roman"/>
          <w:sz w:val="22"/>
          <w:szCs w:val="22"/>
        </w:rPr>
        <w:t xml:space="preserve">where </w:t>
      </w:r>
      <w:r w:rsidR="006000EF" w:rsidRPr="00E97BC8">
        <w:rPr>
          <w:rFonts w:cs="Times New Roman"/>
          <w:position w:val="-10"/>
          <w:sz w:val="22"/>
          <w:szCs w:val="22"/>
        </w:rPr>
        <w:object w:dxaOrig="580" w:dyaOrig="320" w14:anchorId="30DA31D6">
          <v:shape id="_x0000_i1207" type="#_x0000_t75" style="width:28.7pt;height:16.3pt" o:ole="" o:preferrelative="f">
            <v:imagedata r:id="rId355" o:title=""/>
            <o:lock v:ext="edit" aspectratio="f"/>
          </v:shape>
          <o:OLEObject Type="Embed" ProgID="Equation.DSMT4" ShapeID="_x0000_i1207" DrawAspect="Content" ObjectID="_1811172395" r:id="rId356"/>
        </w:object>
      </w:r>
      <w:r w:rsidRPr="00E97BC8">
        <w:rPr>
          <w:rFonts w:cs="Times New Roman"/>
          <w:sz w:val="22"/>
          <w:szCs w:val="22"/>
        </w:rPr>
        <w:t xml:space="preserve"> </w:t>
      </w:r>
      <w:r w:rsidR="00EF198F" w:rsidRPr="00E97BC8">
        <w:rPr>
          <w:rFonts w:cs="Times New Roman"/>
          <w:sz w:val="22"/>
          <w:szCs w:val="22"/>
        </w:rPr>
        <w:t>represents</w:t>
      </w:r>
      <w:r w:rsidRPr="00E97BC8">
        <w:rPr>
          <w:rFonts w:cs="Times New Roman"/>
          <w:sz w:val="22"/>
          <w:szCs w:val="22"/>
        </w:rPr>
        <w:t xml:space="preserve"> the log-likelihood for the constants-only model and </w:t>
      </w:r>
      <w:r w:rsidRPr="00E97BC8">
        <w:rPr>
          <w:rFonts w:cs="Times New Roman"/>
          <w:i/>
          <w:sz w:val="22"/>
          <w:szCs w:val="22"/>
        </w:rPr>
        <w:t>M</w:t>
      </w:r>
      <w:r w:rsidRPr="00E97BC8">
        <w:rPr>
          <w:rFonts w:cs="Times New Roman"/>
          <w:sz w:val="22"/>
          <w:szCs w:val="22"/>
        </w:rPr>
        <w:t xml:space="preserve"> is the</w:t>
      </w:r>
      <w:r w:rsidR="00EF198F" w:rsidRPr="00E97BC8">
        <w:rPr>
          <w:rFonts w:cs="Times New Roman"/>
          <w:sz w:val="22"/>
          <w:szCs w:val="22"/>
        </w:rPr>
        <w:t xml:space="preserve"> total</w:t>
      </w:r>
      <w:r w:rsidRPr="00E97BC8">
        <w:rPr>
          <w:rFonts w:cs="Times New Roman"/>
          <w:sz w:val="22"/>
          <w:szCs w:val="22"/>
        </w:rPr>
        <w:t xml:space="preserve"> number of parameters (excluding constants) estimated in the model. </w:t>
      </w:r>
      <w:r w:rsidR="00E70C9B" w:rsidRPr="00E97BC8">
        <w:rPr>
          <w:rFonts w:cs="Times New Roman"/>
          <w:sz w:val="22"/>
          <w:szCs w:val="22"/>
        </w:rPr>
        <w:t xml:space="preserve">Since the </w:t>
      </w:r>
      <w:r w:rsidRPr="00E97BC8">
        <w:rPr>
          <w:rFonts w:cs="Times New Roman"/>
          <w:sz w:val="22"/>
          <w:szCs w:val="22"/>
        </w:rPr>
        <w:t>BIC</w:t>
      </w:r>
      <w:r w:rsidR="00E70C9B" w:rsidRPr="00E97BC8">
        <w:rPr>
          <w:rFonts w:cs="Times New Roman"/>
          <w:sz w:val="22"/>
          <w:szCs w:val="22"/>
        </w:rPr>
        <w:t xml:space="preserve"> is lower for the proposed </w:t>
      </w:r>
      <w:r w:rsidR="00126F60" w:rsidRPr="00E97BC8">
        <w:rPr>
          <w:rFonts w:cs="Times New Roman"/>
          <w:sz w:val="22"/>
          <w:szCs w:val="22"/>
        </w:rPr>
        <w:t>GHDM and</w:t>
      </w:r>
      <w:r w:rsidR="00414F8C" w:rsidRPr="00E97BC8">
        <w:rPr>
          <w:rFonts w:cs="Times New Roman"/>
          <w:sz w:val="22"/>
          <w:szCs w:val="22"/>
        </w:rPr>
        <w:t xml:space="preserve"> the </w:t>
      </w:r>
      <w:r w:rsidR="00126F60" w:rsidRPr="00E97BC8">
        <w:rPr>
          <w:rFonts w:cs="Times New Roman"/>
          <w:sz w:val="22"/>
          <w:szCs w:val="22"/>
        </w:rPr>
        <w:t xml:space="preserve">adjusted likelihood ratio index is higher for the proposed GHDM </w:t>
      </w:r>
      <w:r w:rsidR="00E70C9B" w:rsidRPr="00E97BC8">
        <w:rPr>
          <w:rFonts w:cs="Times New Roman"/>
          <w:sz w:val="22"/>
          <w:szCs w:val="22"/>
        </w:rPr>
        <w:t xml:space="preserve">than </w:t>
      </w:r>
      <w:r w:rsidR="00094F49" w:rsidRPr="00E97BC8">
        <w:rPr>
          <w:rFonts w:cs="Times New Roman"/>
          <w:sz w:val="22"/>
          <w:szCs w:val="22"/>
        </w:rPr>
        <w:t>the GHDM model that ignores the correlations</w:t>
      </w:r>
      <w:r w:rsidR="00E70C9B" w:rsidRPr="00E97BC8">
        <w:rPr>
          <w:rFonts w:cs="Times New Roman"/>
          <w:sz w:val="22"/>
          <w:szCs w:val="22"/>
        </w:rPr>
        <w:t xml:space="preserve">, it is the preferred model. </w:t>
      </w:r>
      <w:r w:rsidR="00094F49" w:rsidRPr="00E97BC8">
        <w:rPr>
          <w:rFonts w:cs="Times New Roman"/>
          <w:sz w:val="22"/>
          <w:szCs w:val="22"/>
        </w:rPr>
        <w:t>Further</w:t>
      </w:r>
      <w:r w:rsidR="00E70C9B" w:rsidRPr="00E97BC8">
        <w:rPr>
          <w:rFonts w:cs="Times New Roman"/>
          <w:sz w:val="22"/>
          <w:szCs w:val="22"/>
        </w:rPr>
        <w:t>, since the restricted GHDM without correlations between the latent constructs and main outcomes is a nested version of the proposed GHDM, the two can be compared with a formal likelihood ratio test</w:t>
      </w:r>
      <w:r w:rsidR="008466C6" w:rsidRPr="00E97BC8">
        <w:rPr>
          <w:rFonts w:cs="Times New Roman"/>
          <w:sz w:val="22"/>
          <w:szCs w:val="22"/>
        </w:rPr>
        <w:t xml:space="preserve"> using the log-likelihood at convergence for each of the two models</w:t>
      </w:r>
      <w:r w:rsidR="00E70C9B" w:rsidRPr="00E97BC8">
        <w:rPr>
          <w:rFonts w:cs="Times New Roman"/>
          <w:sz w:val="22"/>
          <w:szCs w:val="22"/>
        </w:rPr>
        <w:t xml:space="preserve">. The likelihood ratio test statistic is greater than the chi-square value with six degrees of freedom at any reasonable level of significance. </w:t>
      </w:r>
    </w:p>
    <w:p w14:paraId="1807D0E1" w14:textId="664E874F" w:rsidR="00435A21" w:rsidRPr="00E97BC8" w:rsidRDefault="006A0E42" w:rsidP="00E85093">
      <w:pPr>
        <w:spacing w:after="0" w:line="240" w:lineRule="auto"/>
        <w:ind w:firstLine="720"/>
        <w:jc w:val="both"/>
        <w:rPr>
          <w:rFonts w:cs="Times New Roman"/>
          <w:sz w:val="22"/>
          <w:szCs w:val="22"/>
        </w:rPr>
      </w:pPr>
      <w:r w:rsidRPr="00E97BC8">
        <w:rPr>
          <w:rFonts w:cs="Times New Roman"/>
          <w:sz w:val="22"/>
          <w:szCs w:val="22"/>
        </w:rPr>
        <w:t xml:space="preserve">Second, the </w:t>
      </w:r>
      <w:r w:rsidR="003661D2" w:rsidRPr="00E97BC8">
        <w:rPr>
          <w:rFonts w:cs="Times New Roman"/>
          <w:sz w:val="22"/>
          <w:szCs w:val="22"/>
        </w:rPr>
        <w:t xml:space="preserve">predictive power of the proposed GHDM model can be assessed by comparing a similar set of metrics based only on the prediction of the main outcomes. The </w:t>
      </w:r>
      <w:r w:rsidRPr="00E97BC8">
        <w:rPr>
          <w:rFonts w:cs="Times New Roman"/>
          <w:sz w:val="22"/>
          <w:szCs w:val="22"/>
        </w:rPr>
        <w:t xml:space="preserve">proposed model is compared </w:t>
      </w:r>
      <w:r w:rsidR="003661D2" w:rsidRPr="00E97BC8">
        <w:rPr>
          <w:rFonts w:cs="Times New Roman"/>
          <w:sz w:val="22"/>
          <w:szCs w:val="22"/>
        </w:rPr>
        <w:t xml:space="preserve">again with the GHDM model that ignores the correlations between the latent constructs and the main outcomes, as well as </w:t>
      </w:r>
      <w:r w:rsidRPr="00E97BC8">
        <w:rPr>
          <w:rFonts w:cs="Times New Roman"/>
          <w:sz w:val="22"/>
          <w:szCs w:val="22"/>
        </w:rPr>
        <w:t>with a restricted independent</w:t>
      </w:r>
      <w:r w:rsidR="007E566A" w:rsidRPr="00E97BC8">
        <w:rPr>
          <w:rFonts w:cs="Times New Roman"/>
          <w:sz w:val="22"/>
          <w:szCs w:val="22"/>
        </w:rPr>
        <w:t xml:space="preserve"> heterogeneous data model </w:t>
      </w:r>
      <w:r w:rsidR="00D8434E" w:rsidRPr="00E97BC8">
        <w:rPr>
          <w:rFonts w:cs="Times New Roman"/>
          <w:sz w:val="22"/>
          <w:szCs w:val="22"/>
        </w:rPr>
        <w:t>(IHDM)</w:t>
      </w:r>
      <w:r w:rsidRPr="00E97BC8">
        <w:rPr>
          <w:rFonts w:cs="Times New Roman"/>
          <w:sz w:val="22"/>
          <w:szCs w:val="22"/>
        </w:rPr>
        <w:t xml:space="preserve"> that ignores </w:t>
      </w:r>
      <w:r w:rsidR="00DF6F1D" w:rsidRPr="00E97BC8">
        <w:rPr>
          <w:rFonts w:cs="Times New Roman"/>
          <w:sz w:val="22"/>
          <w:szCs w:val="22"/>
        </w:rPr>
        <w:t>any jointness between the main outcomes</w:t>
      </w:r>
      <w:r w:rsidR="00B94818" w:rsidRPr="00E97BC8">
        <w:rPr>
          <w:rFonts w:cs="Times New Roman"/>
          <w:sz w:val="22"/>
          <w:szCs w:val="22"/>
        </w:rPr>
        <w:t xml:space="preserve"> (does not consider any correlation between the main outcomes in the model)</w:t>
      </w:r>
      <w:r w:rsidR="00D50422" w:rsidRPr="00E97BC8">
        <w:rPr>
          <w:rFonts w:cs="Times New Roman"/>
          <w:sz w:val="22"/>
          <w:szCs w:val="22"/>
        </w:rPr>
        <w:t xml:space="preserve">. </w:t>
      </w:r>
      <w:r w:rsidR="00DF6F1D" w:rsidRPr="00E97BC8">
        <w:rPr>
          <w:rFonts w:cs="Times New Roman"/>
          <w:sz w:val="22"/>
          <w:szCs w:val="22"/>
        </w:rPr>
        <w:t>As jointness in the GHDM is engendered through the stochastic latent constructs, t</w:t>
      </w:r>
      <w:r w:rsidR="00D50422" w:rsidRPr="00E97BC8">
        <w:rPr>
          <w:rFonts w:cs="Times New Roman"/>
          <w:sz w:val="22"/>
          <w:szCs w:val="22"/>
        </w:rPr>
        <w:t>he IHDM model</w:t>
      </w:r>
      <w:r w:rsidR="0010683B" w:rsidRPr="00E97BC8">
        <w:rPr>
          <w:rFonts w:cs="Times New Roman"/>
          <w:sz w:val="22"/>
          <w:szCs w:val="22"/>
        </w:rPr>
        <w:t xml:space="preserve"> </w:t>
      </w:r>
      <w:r w:rsidR="000C5A9F" w:rsidRPr="00E97BC8">
        <w:rPr>
          <w:rFonts w:cs="Times New Roman"/>
          <w:sz w:val="22"/>
          <w:szCs w:val="22"/>
        </w:rPr>
        <w:t>ignores</w:t>
      </w:r>
      <w:r w:rsidR="00D50422" w:rsidRPr="00E97BC8">
        <w:rPr>
          <w:rFonts w:cs="Times New Roman"/>
          <w:sz w:val="22"/>
          <w:szCs w:val="22"/>
        </w:rPr>
        <w:t xml:space="preserve"> the latent constructs</w:t>
      </w:r>
      <w:r w:rsidR="00FC3C71" w:rsidRPr="00E97BC8">
        <w:rPr>
          <w:rFonts w:cs="Times New Roman"/>
          <w:sz w:val="22"/>
          <w:szCs w:val="22"/>
        </w:rPr>
        <w:t xml:space="preserve"> (and the interactions of the latent constructs with individuals/household demographics)</w:t>
      </w:r>
      <w:r w:rsidR="00D50422" w:rsidRPr="00E97BC8">
        <w:rPr>
          <w:rFonts w:cs="Times New Roman"/>
          <w:sz w:val="22"/>
          <w:szCs w:val="22"/>
        </w:rPr>
        <w:t xml:space="preserve">. </w:t>
      </w:r>
      <w:r w:rsidR="000C5A9F" w:rsidRPr="00E97BC8">
        <w:rPr>
          <w:rFonts w:cs="Times New Roman"/>
          <w:sz w:val="22"/>
          <w:szCs w:val="22"/>
        </w:rPr>
        <w:t>Thus, f</w:t>
      </w:r>
      <w:r w:rsidR="001F738B" w:rsidRPr="00E97BC8">
        <w:rPr>
          <w:rFonts w:cs="Times New Roman"/>
          <w:sz w:val="22"/>
          <w:szCs w:val="22"/>
        </w:rPr>
        <w:t>or this comparison</w:t>
      </w:r>
      <w:r w:rsidR="00B93E1E" w:rsidRPr="00E97BC8">
        <w:rPr>
          <w:rFonts w:cs="Times New Roman"/>
          <w:sz w:val="22"/>
          <w:szCs w:val="22"/>
        </w:rPr>
        <w:t xml:space="preserve">, we evaluate the predictive log-likelihood solely for the EV adoption and ranked </w:t>
      </w:r>
      <w:r w:rsidR="000C5A9F" w:rsidRPr="00E97BC8">
        <w:rPr>
          <w:rFonts w:cs="Times New Roman"/>
          <w:sz w:val="22"/>
          <w:szCs w:val="22"/>
        </w:rPr>
        <w:t>adoption motivation</w:t>
      </w:r>
      <w:r w:rsidR="00B942B4" w:rsidRPr="00E97BC8">
        <w:rPr>
          <w:rFonts w:cs="Times New Roman"/>
          <w:sz w:val="22"/>
          <w:szCs w:val="22"/>
        </w:rPr>
        <w:t xml:space="preserve"> dimension</w:t>
      </w:r>
      <w:r w:rsidR="000C5A9F" w:rsidRPr="00E97BC8">
        <w:rPr>
          <w:rFonts w:cs="Times New Roman"/>
          <w:sz w:val="22"/>
          <w:szCs w:val="22"/>
        </w:rPr>
        <w:t>s</w:t>
      </w:r>
      <w:r w:rsidR="00B93E1E" w:rsidRPr="00E97BC8">
        <w:rPr>
          <w:rFonts w:cs="Times New Roman"/>
          <w:sz w:val="22"/>
          <w:szCs w:val="22"/>
        </w:rPr>
        <w:t xml:space="preserve"> </w:t>
      </w:r>
      <w:r w:rsidR="00734B7F" w:rsidRPr="00E97BC8">
        <w:rPr>
          <w:rFonts w:cs="Times New Roman"/>
          <w:sz w:val="22"/>
          <w:szCs w:val="22"/>
        </w:rPr>
        <w:t xml:space="preserve">using the complete set of coefficients for the GHDM model. Then, </w:t>
      </w:r>
      <w:r w:rsidR="00836D07" w:rsidRPr="00E97BC8">
        <w:rPr>
          <w:rFonts w:cs="Times New Roman"/>
          <w:sz w:val="22"/>
          <w:szCs w:val="22"/>
        </w:rPr>
        <w:t xml:space="preserve">for the IHDM, </w:t>
      </w:r>
      <w:r w:rsidR="00734B7F" w:rsidRPr="00E97BC8">
        <w:rPr>
          <w:rFonts w:cs="Times New Roman"/>
          <w:sz w:val="22"/>
          <w:szCs w:val="22"/>
        </w:rPr>
        <w:t>we estimate an independent model for the same main outcomes, without the inclusion of the latent constructs</w:t>
      </w:r>
      <w:r w:rsidR="00B85FCE" w:rsidRPr="00E97BC8">
        <w:rPr>
          <w:rFonts w:cs="Times New Roman"/>
          <w:sz w:val="22"/>
          <w:szCs w:val="22"/>
        </w:rPr>
        <w:t xml:space="preserve"> but including the determinants of the latent constructs as exogenous variables in the main outcome equations.</w:t>
      </w:r>
      <w:r w:rsidR="00B34660" w:rsidRPr="00E97BC8">
        <w:rPr>
          <w:rFonts w:cs="Times New Roman"/>
          <w:sz w:val="22"/>
          <w:szCs w:val="22"/>
        </w:rPr>
        <w:t xml:space="preserve"> </w:t>
      </w:r>
    </w:p>
    <w:p w14:paraId="6ED7F9CB" w14:textId="7B1BE05F" w:rsidR="00B443C9" w:rsidRPr="00E97BC8" w:rsidRDefault="007262CC" w:rsidP="00E85093">
      <w:pPr>
        <w:spacing w:after="0" w:line="240" w:lineRule="auto"/>
        <w:ind w:firstLine="720"/>
        <w:jc w:val="both"/>
        <w:rPr>
          <w:rFonts w:cs="Times New Roman"/>
          <w:sz w:val="22"/>
          <w:szCs w:val="22"/>
        </w:rPr>
      </w:pPr>
      <w:r w:rsidRPr="00E97BC8">
        <w:rPr>
          <w:rFonts w:cs="Times New Roman"/>
          <w:sz w:val="22"/>
          <w:szCs w:val="22"/>
        </w:rPr>
        <w:t xml:space="preserve">For these models, the Bayesian Information Criterion (BIC) calculated using </w:t>
      </w:r>
      <w:r w:rsidR="00831CDC" w:rsidRPr="00E97BC8">
        <w:rPr>
          <w:rFonts w:cs="Times New Roman"/>
          <w:sz w:val="22"/>
          <w:szCs w:val="22"/>
        </w:rPr>
        <w:t>the predictive log-likelihood is lowest for the proposed GHDM model</w:t>
      </w:r>
      <w:r w:rsidR="001F6F30" w:rsidRPr="00E97BC8">
        <w:rPr>
          <w:rFonts w:cs="Times New Roman"/>
          <w:sz w:val="22"/>
          <w:szCs w:val="22"/>
        </w:rPr>
        <w:t xml:space="preserve"> while the predicti</w:t>
      </w:r>
      <w:r w:rsidR="004029D6" w:rsidRPr="00E97BC8">
        <w:rPr>
          <w:rFonts w:cs="Times New Roman"/>
          <w:sz w:val="22"/>
          <w:szCs w:val="22"/>
        </w:rPr>
        <w:t xml:space="preserve">ve adjusted likelihood ratio index is </w:t>
      </w:r>
      <w:r w:rsidR="004029D6" w:rsidRPr="00E97BC8">
        <w:rPr>
          <w:rFonts w:cs="Times New Roman"/>
          <w:sz w:val="22"/>
          <w:szCs w:val="22"/>
        </w:rPr>
        <w:lastRenderedPageBreak/>
        <w:t>highest for the proposed GHDM model</w:t>
      </w:r>
      <w:r w:rsidR="00831CDC" w:rsidRPr="00E97BC8">
        <w:rPr>
          <w:rFonts w:cs="Times New Roman"/>
          <w:sz w:val="22"/>
          <w:szCs w:val="22"/>
        </w:rPr>
        <w:t>.</w:t>
      </w:r>
      <w:r w:rsidR="000B5B86" w:rsidRPr="00E97BC8">
        <w:rPr>
          <w:rFonts w:cs="Times New Roman"/>
          <w:sz w:val="22"/>
          <w:szCs w:val="22"/>
        </w:rPr>
        <w:t xml:space="preserve"> Then, comparing the proposed GHDM and the GHDM that ignores correlations between the latent constructs and main outcomes using an informal predictive likelihood ratio test </w:t>
      </w:r>
      <w:r w:rsidR="00AC7348" w:rsidRPr="00E97BC8">
        <w:rPr>
          <w:rFonts w:cs="Times New Roman"/>
          <w:sz w:val="22"/>
          <w:szCs w:val="22"/>
        </w:rPr>
        <w:t xml:space="preserve">again favors the proposed GHDM model. </w:t>
      </w:r>
      <w:r w:rsidR="00B443C9" w:rsidRPr="00E97BC8">
        <w:rPr>
          <w:rFonts w:cs="Times New Roman"/>
          <w:sz w:val="22"/>
          <w:szCs w:val="22"/>
        </w:rPr>
        <w:t>Since the IHDM is not a nested model (as the IHDM lacks a mechanism to incorporate latent constructs), the informal predictive non-nested likelihood ratio test is used to compare the proposed GHDM and the IHDM.</w:t>
      </w:r>
      <w:r w:rsidR="00A55B0D" w:rsidRPr="00E97BC8">
        <w:rPr>
          <w:rFonts w:cs="Times New Roman"/>
          <w:sz w:val="22"/>
          <w:szCs w:val="22"/>
        </w:rPr>
        <w:t xml:space="preserve"> </w:t>
      </w:r>
      <w:r w:rsidR="00AC7348" w:rsidRPr="00E97BC8">
        <w:rPr>
          <w:rFonts w:cs="Times New Roman"/>
          <w:sz w:val="22"/>
          <w:szCs w:val="22"/>
        </w:rPr>
        <w:t>For this test</w:t>
      </w:r>
      <w:r w:rsidR="00B443C9" w:rsidRPr="00E97BC8">
        <w:rPr>
          <w:rFonts w:cs="Times New Roman"/>
          <w:sz w:val="22"/>
          <w:szCs w:val="22"/>
        </w:rPr>
        <w:t xml:space="preserve">, the probability that the difference between the </w:t>
      </w:r>
      <w:r w:rsidR="00AC7348" w:rsidRPr="00E97BC8">
        <w:rPr>
          <w:rFonts w:cs="Times New Roman"/>
          <w:sz w:val="22"/>
          <w:szCs w:val="22"/>
        </w:rPr>
        <w:t xml:space="preserve">predictive adjusted likelihood ratio </w:t>
      </w:r>
      <w:r w:rsidR="00B443C9" w:rsidRPr="00E97BC8">
        <w:rPr>
          <w:rFonts w:cs="Times New Roman"/>
          <w:sz w:val="22"/>
          <w:szCs w:val="22"/>
        </w:rPr>
        <w:t>index for the GHDM model (</w:t>
      </w:r>
      <w:r w:rsidR="006000EF" w:rsidRPr="00E97BC8">
        <w:rPr>
          <w:rFonts w:cs="Times New Roman"/>
          <w:position w:val="-12"/>
          <w:sz w:val="22"/>
          <w:szCs w:val="22"/>
        </w:rPr>
        <w:object w:dxaOrig="660" w:dyaOrig="380" w14:anchorId="1613214E">
          <v:shape id="_x0000_i1208" type="#_x0000_t75" style="width:32.15pt;height:18.85pt" o:ole="" o:preferrelative="f">
            <v:imagedata r:id="rId357" o:title=""/>
            <o:lock v:ext="edit" aspectratio="f"/>
          </v:shape>
          <o:OLEObject Type="Embed" ProgID="Equation.DSMT4" ShapeID="_x0000_i1208" DrawAspect="Content" ObjectID="_1811172396" r:id="rId358"/>
        </w:object>
      </w:r>
      <w:r w:rsidR="00B443C9" w:rsidRPr="00E97BC8">
        <w:rPr>
          <w:rFonts w:cs="Times New Roman"/>
          <w:sz w:val="22"/>
          <w:szCs w:val="22"/>
        </w:rPr>
        <w:t xml:space="preserve">) and the index for the IHDM model </w:t>
      </w:r>
      <w:r w:rsidR="006000EF" w:rsidRPr="00E97BC8">
        <w:rPr>
          <w:rFonts w:cs="Times New Roman"/>
          <w:position w:val="-12"/>
          <w:sz w:val="22"/>
          <w:szCs w:val="22"/>
        </w:rPr>
        <w:object w:dxaOrig="800" w:dyaOrig="380" w14:anchorId="63735093">
          <v:shape id="_x0000_i1209" type="#_x0000_t75" style="width:40.7pt;height:18.85pt" o:ole="" o:preferrelative="f">
            <v:imagedata r:id="rId359" o:title=""/>
            <o:lock v:ext="edit" aspectratio="f"/>
          </v:shape>
          <o:OLEObject Type="Embed" ProgID="Equation.DSMT4" ShapeID="_x0000_i1209" DrawAspect="Content" ObjectID="_1811172397" r:id="rId360"/>
        </w:object>
      </w:r>
      <w:r w:rsidR="00B443C9" w:rsidRPr="00E97BC8">
        <w:rPr>
          <w:rFonts w:cs="Times New Roman"/>
          <w:sz w:val="22"/>
          <w:szCs w:val="22"/>
        </w:rPr>
        <w:t xml:space="preserve"> could have occurred by chance is no larger than</w:t>
      </w:r>
    </w:p>
    <w:p w14:paraId="5133A930" w14:textId="2B47AA06" w:rsidR="00224EBA" w:rsidRPr="00E97BC8" w:rsidRDefault="006000EF" w:rsidP="00E85093">
      <w:pPr>
        <w:pStyle w:val="MTDisplayEquation"/>
        <w:rPr>
          <w:rFonts w:cs="Times New Roman"/>
          <w:sz w:val="22"/>
          <w:szCs w:val="22"/>
        </w:rPr>
      </w:pPr>
      <w:r w:rsidRPr="00E97BC8">
        <w:rPr>
          <w:rFonts w:cs="Times New Roman"/>
          <w:position w:val="-14"/>
          <w:sz w:val="22"/>
          <w:szCs w:val="22"/>
        </w:rPr>
        <w:object w:dxaOrig="5720" w:dyaOrig="400" w14:anchorId="369D19F9">
          <v:shape id="_x0000_i1210" type="#_x0000_t75" style="width:286.7pt;height:20.15pt" o:ole="" o:preferrelative="f">
            <v:imagedata r:id="rId361" o:title=""/>
            <o:lock v:ext="edit" aspectratio="f"/>
          </v:shape>
          <o:OLEObject Type="Embed" ProgID="Equation.DSMT4" ShapeID="_x0000_i1210" DrawAspect="Content" ObjectID="_1811172398" r:id="rId362"/>
        </w:object>
      </w:r>
      <w:r w:rsidR="00A56089" w:rsidRPr="00E97BC8">
        <w:rPr>
          <w:rFonts w:cs="Times New Roman"/>
          <w:sz w:val="22"/>
          <w:szCs w:val="22"/>
        </w:rPr>
        <w:tab/>
      </w:r>
      <w:r w:rsidR="00A56089" w:rsidRPr="00E97BC8">
        <w:rPr>
          <w:rFonts w:cs="Times New Roman"/>
          <w:sz w:val="22"/>
          <w:szCs w:val="22"/>
        </w:rPr>
        <w:fldChar w:fldCharType="begin"/>
      </w:r>
      <w:r w:rsidR="00A56089" w:rsidRPr="00E97BC8">
        <w:rPr>
          <w:rFonts w:cs="Times New Roman"/>
          <w:sz w:val="22"/>
          <w:szCs w:val="22"/>
        </w:rPr>
        <w:instrText xml:space="preserve"> MACROBUTTON MTPlaceRef \* MERGEFORMAT </w:instrText>
      </w:r>
      <w:r w:rsidR="00A56089" w:rsidRPr="00E97BC8">
        <w:rPr>
          <w:rFonts w:cs="Times New Roman"/>
          <w:sz w:val="22"/>
          <w:szCs w:val="22"/>
        </w:rPr>
        <w:fldChar w:fldCharType="begin"/>
      </w:r>
      <w:r w:rsidR="00A56089" w:rsidRPr="00E97BC8">
        <w:rPr>
          <w:rFonts w:cs="Times New Roman"/>
          <w:sz w:val="22"/>
          <w:szCs w:val="22"/>
        </w:rPr>
        <w:instrText xml:space="preserve"> SEQ MTEqn \h \* MERGEFORMAT </w:instrText>
      </w:r>
      <w:r w:rsidR="00A56089" w:rsidRPr="00E97BC8">
        <w:rPr>
          <w:rFonts w:cs="Times New Roman"/>
          <w:sz w:val="22"/>
          <w:szCs w:val="22"/>
        </w:rPr>
        <w:fldChar w:fldCharType="end"/>
      </w:r>
      <w:r w:rsidR="00A56089" w:rsidRPr="00E97BC8">
        <w:rPr>
          <w:rFonts w:cs="Times New Roman"/>
          <w:sz w:val="22"/>
          <w:szCs w:val="22"/>
        </w:rPr>
        <w:instrText>(</w:instrText>
      </w:r>
      <w:r w:rsidR="008E368F" w:rsidRPr="00E97BC8">
        <w:rPr>
          <w:rFonts w:cs="Times New Roman"/>
          <w:sz w:val="22"/>
          <w:szCs w:val="22"/>
        </w:rPr>
        <w:fldChar w:fldCharType="begin"/>
      </w:r>
      <w:r w:rsidR="008E368F" w:rsidRPr="00E97BC8">
        <w:rPr>
          <w:rFonts w:cs="Times New Roman"/>
          <w:sz w:val="22"/>
          <w:szCs w:val="22"/>
        </w:rPr>
        <w:instrText xml:space="preserve"> SEQ MTEqn \c \* Arabic \* MERGEFORMAT </w:instrText>
      </w:r>
      <w:r w:rsidR="008E368F" w:rsidRPr="00E97BC8">
        <w:rPr>
          <w:rFonts w:cs="Times New Roman"/>
          <w:sz w:val="22"/>
          <w:szCs w:val="22"/>
        </w:rPr>
        <w:fldChar w:fldCharType="separate"/>
      </w:r>
      <w:r w:rsidR="00EF198F" w:rsidRPr="00E97BC8">
        <w:rPr>
          <w:rFonts w:cs="Times New Roman"/>
          <w:sz w:val="22"/>
          <w:szCs w:val="22"/>
        </w:rPr>
        <w:instrText>11</w:instrText>
      </w:r>
      <w:r w:rsidR="008E368F" w:rsidRPr="00E97BC8">
        <w:rPr>
          <w:rFonts w:cs="Times New Roman"/>
          <w:sz w:val="22"/>
          <w:szCs w:val="22"/>
        </w:rPr>
        <w:fldChar w:fldCharType="end"/>
      </w:r>
      <w:r w:rsidR="00A56089" w:rsidRPr="00E97BC8">
        <w:rPr>
          <w:rFonts w:cs="Times New Roman"/>
          <w:sz w:val="22"/>
          <w:szCs w:val="22"/>
        </w:rPr>
        <w:instrText>)</w:instrText>
      </w:r>
      <w:r w:rsidR="00A56089" w:rsidRPr="00E97BC8">
        <w:rPr>
          <w:rFonts w:cs="Times New Roman"/>
          <w:sz w:val="22"/>
          <w:szCs w:val="22"/>
        </w:rPr>
        <w:fldChar w:fldCharType="end"/>
      </w:r>
    </w:p>
    <w:p w14:paraId="20EF07CD" w14:textId="0C36E7B0" w:rsidR="00194652" w:rsidRPr="00E97BC8" w:rsidRDefault="00B443C9" w:rsidP="00E85093">
      <w:pPr>
        <w:spacing w:after="0" w:line="240" w:lineRule="auto"/>
        <w:jc w:val="both"/>
        <w:rPr>
          <w:rFonts w:cs="Times New Roman"/>
          <w:sz w:val="22"/>
          <w:szCs w:val="22"/>
        </w:rPr>
      </w:pPr>
      <w:r w:rsidRPr="00E97BC8">
        <w:rPr>
          <w:rFonts w:cs="Times New Roman"/>
          <w:sz w:val="22"/>
          <w:szCs w:val="22"/>
        </w:rPr>
        <w:t xml:space="preserve">Given the small value of this probability for the two models, the </w:t>
      </w:r>
      <w:r w:rsidR="00595920" w:rsidRPr="00E97BC8">
        <w:rPr>
          <w:rFonts w:cs="Times New Roman"/>
          <w:sz w:val="22"/>
          <w:szCs w:val="22"/>
        </w:rPr>
        <w:t xml:space="preserve">proposed </w:t>
      </w:r>
      <w:r w:rsidRPr="00E97BC8">
        <w:rPr>
          <w:rFonts w:cs="Times New Roman"/>
          <w:sz w:val="22"/>
          <w:szCs w:val="22"/>
        </w:rPr>
        <w:t>GHDM model is preferred because it has a larger value of the adjusted likelihood ratio index.</w:t>
      </w:r>
      <w:r w:rsidR="0028694B" w:rsidRPr="00E97BC8">
        <w:rPr>
          <w:rFonts w:cs="Times New Roman"/>
          <w:sz w:val="22"/>
          <w:szCs w:val="22"/>
        </w:rPr>
        <w:t xml:space="preserve"> Finally, the </w:t>
      </w:r>
      <w:r w:rsidR="00AC7348" w:rsidRPr="00E97BC8">
        <w:rPr>
          <w:rFonts w:cs="Times New Roman"/>
          <w:sz w:val="22"/>
          <w:szCs w:val="22"/>
        </w:rPr>
        <w:t xml:space="preserve">three </w:t>
      </w:r>
      <w:r w:rsidR="0028694B" w:rsidRPr="00E97BC8">
        <w:rPr>
          <w:rFonts w:cs="Times New Roman"/>
          <w:sz w:val="22"/>
          <w:szCs w:val="22"/>
        </w:rPr>
        <w:t xml:space="preserve">models can be compared informally by computing the average (across individuals) probability of correctly predicting the observed EV adoption outcome and </w:t>
      </w:r>
      <w:r w:rsidR="0080221B" w:rsidRPr="00E97BC8">
        <w:rPr>
          <w:rFonts w:cs="Times New Roman"/>
          <w:sz w:val="22"/>
          <w:szCs w:val="22"/>
        </w:rPr>
        <w:t xml:space="preserve">set of motivating reasons for adoption (where appropriate). </w:t>
      </w:r>
      <w:r w:rsidR="008B0B3E" w:rsidRPr="00E97BC8">
        <w:rPr>
          <w:rFonts w:cs="Times New Roman"/>
          <w:sz w:val="22"/>
          <w:szCs w:val="22"/>
        </w:rPr>
        <w:t xml:space="preserve">The average probability of a correct prediction at this two-variate level is higher for the proposed GHDM model than either restricted model, again demonstrating the superior fit of the GHDM model in comparison with </w:t>
      </w:r>
      <w:r w:rsidR="00AC7348" w:rsidRPr="00E97BC8">
        <w:rPr>
          <w:rFonts w:cs="Times New Roman"/>
          <w:sz w:val="22"/>
          <w:szCs w:val="22"/>
        </w:rPr>
        <w:t>either restricted model</w:t>
      </w:r>
      <w:r w:rsidR="008B0B3E" w:rsidRPr="00E97BC8">
        <w:rPr>
          <w:rFonts w:cs="Times New Roman"/>
          <w:sz w:val="22"/>
          <w:szCs w:val="22"/>
        </w:rPr>
        <w:t>.</w:t>
      </w:r>
    </w:p>
    <w:p w14:paraId="46897771" w14:textId="1BD29BAA" w:rsidR="00BA744D" w:rsidRPr="00E97BC8" w:rsidRDefault="008B0B3E" w:rsidP="00E85093">
      <w:pPr>
        <w:spacing w:after="0" w:line="240" w:lineRule="auto"/>
        <w:ind w:firstLine="720"/>
        <w:jc w:val="both"/>
        <w:rPr>
          <w:rFonts w:cs="Times New Roman"/>
          <w:sz w:val="22"/>
          <w:szCs w:val="22"/>
        </w:rPr>
      </w:pPr>
      <w:r w:rsidRPr="00E97BC8">
        <w:rPr>
          <w:rFonts w:cs="Times New Roman"/>
          <w:sz w:val="22"/>
          <w:szCs w:val="22"/>
        </w:rPr>
        <w:t xml:space="preserve">In addition to the disaggregate measures, the three models can be compared based on their aggregate fit. </w:t>
      </w:r>
      <w:r w:rsidR="00D033DF" w:rsidRPr="00E97BC8">
        <w:rPr>
          <w:rFonts w:cs="Times New Roman"/>
          <w:sz w:val="22"/>
          <w:szCs w:val="22"/>
        </w:rPr>
        <w:t>The bottom panel of Table 5 shows the observed (weighted)</w:t>
      </w:r>
      <w:r w:rsidR="000E010E" w:rsidRPr="00E97BC8">
        <w:rPr>
          <w:rFonts w:cs="Times New Roman"/>
          <w:sz w:val="22"/>
          <w:szCs w:val="22"/>
        </w:rPr>
        <w:t xml:space="preserve"> and predicted (using each of the three models)</w:t>
      </w:r>
      <w:r w:rsidR="00D033DF" w:rsidRPr="00E97BC8">
        <w:rPr>
          <w:rFonts w:cs="Times New Roman"/>
          <w:sz w:val="22"/>
          <w:szCs w:val="22"/>
        </w:rPr>
        <w:t xml:space="preserve"> shares of individuals </w:t>
      </w:r>
      <w:r w:rsidR="00585FB1" w:rsidRPr="00E97BC8">
        <w:rPr>
          <w:rFonts w:cs="Times New Roman"/>
          <w:sz w:val="22"/>
          <w:szCs w:val="22"/>
        </w:rPr>
        <w:t>adopting</w:t>
      </w:r>
      <w:r w:rsidR="00D033DF" w:rsidRPr="00E97BC8">
        <w:rPr>
          <w:rFonts w:cs="Times New Roman"/>
          <w:sz w:val="22"/>
          <w:szCs w:val="22"/>
        </w:rPr>
        <w:t xml:space="preserve"> EVs and selecting </w:t>
      </w:r>
      <w:r w:rsidR="000E010E" w:rsidRPr="00E97BC8">
        <w:rPr>
          <w:rFonts w:cs="Times New Roman"/>
          <w:sz w:val="22"/>
          <w:szCs w:val="22"/>
        </w:rPr>
        <w:t xml:space="preserve">each of the motivating reasons for adoption as their top-ranked choice. Then, in each case, the absolute percentage error </w:t>
      </w:r>
      <w:r w:rsidR="00DA4975" w:rsidRPr="00E97BC8">
        <w:rPr>
          <w:rFonts w:cs="Times New Roman"/>
          <w:sz w:val="22"/>
          <w:szCs w:val="22"/>
        </w:rPr>
        <w:t>is calculated based on the difference between the observed and predicted shares, and an average of the absolute percentage errors for each factor is taken, weighted by the observed share. This weighted average percent error (WAPE) is lowest for the proposed GHDM compared with both restricted models, demonstrating the higher predictive power of the proposed model.</w:t>
      </w:r>
      <w:bookmarkStart w:id="38" w:name="_Hlk198719852"/>
      <w:r w:rsidR="00B94818" w:rsidRPr="00E97BC8">
        <w:rPr>
          <w:rFonts w:cs="Times New Roman"/>
          <w:sz w:val="22"/>
          <w:szCs w:val="22"/>
        </w:rPr>
        <w:t xml:space="preserve"> </w:t>
      </w:r>
      <w:r w:rsidR="00776F4C" w:rsidRPr="00E97BC8">
        <w:rPr>
          <w:rFonts w:cs="Times New Roman"/>
          <w:sz w:val="22"/>
          <w:szCs w:val="22"/>
        </w:rPr>
        <w:t xml:space="preserve">Together, these results demonstrate (at both an aggregate and disaggregate level) that the proposed GHDM model outperforms the restricted GHDM model that ignores the correlations between the latent constructs and the main outcomes as well as the IHDM model that ignores any jointness between the main outcomes themselves, confirming the importance of using the joint estimation approach. </w:t>
      </w:r>
    </w:p>
    <w:p w14:paraId="63A10E01" w14:textId="554CD9C5" w:rsidR="00776F4C" w:rsidRPr="00E97BC8" w:rsidRDefault="00BA744D" w:rsidP="00E85093">
      <w:pPr>
        <w:spacing w:after="0" w:line="240" w:lineRule="auto"/>
        <w:jc w:val="both"/>
        <w:rPr>
          <w:rFonts w:cs="Times New Roman"/>
          <w:sz w:val="22"/>
          <w:szCs w:val="22"/>
          <w:lang w:eastAsia="zh-CN"/>
        </w:rPr>
      </w:pPr>
      <w:r w:rsidRPr="00E97BC8">
        <w:rPr>
          <w:rFonts w:cs="Times New Roman"/>
          <w:sz w:val="22"/>
          <w:szCs w:val="22"/>
        </w:rPr>
        <w:tab/>
        <w:t xml:space="preserve">Finally, </w:t>
      </w:r>
      <w:r w:rsidR="008D4DB7" w:rsidRPr="00E97BC8">
        <w:rPr>
          <w:rFonts w:cs="Times New Roman"/>
          <w:sz w:val="22"/>
          <w:szCs w:val="22"/>
        </w:rPr>
        <w:t xml:space="preserve">the predictive performance of the three models is compared </w:t>
      </w:r>
      <w:r w:rsidR="008D4DB7" w:rsidRPr="00E97BC8">
        <w:rPr>
          <w:rFonts w:cs="Times New Roman"/>
          <w:sz w:val="22"/>
          <w:szCs w:val="22"/>
          <w:lang w:eastAsia="zh-CN"/>
        </w:rPr>
        <w:t xml:space="preserve">on various market segments of the estimation sample </w:t>
      </w:r>
      <w:r w:rsidR="008D4DB7" w:rsidRPr="00E97BC8">
        <w:rPr>
          <w:rFonts w:cs="Times New Roman"/>
          <w:sz w:val="22"/>
          <w:szCs w:val="22"/>
          <w:lang w:eastAsia="zh-CN"/>
        </w:rPr>
        <w:fldChar w:fldCharType="begin"/>
      </w:r>
      <w:r w:rsidR="008D4DB7" w:rsidRPr="00E97BC8">
        <w:rPr>
          <w:rFonts w:cs="Times New Roman"/>
          <w:sz w:val="22"/>
          <w:szCs w:val="22"/>
          <w:lang w:eastAsia="zh-CN"/>
        </w:rPr>
        <w:instrText xml:space="preserve"> ADDIN ZOTERO_ITEM CSL_CITATION {"citationID":"BUOMiYRT","properties":{"formattedCitation":"(Ben-Akiva and Lerman, 1985)","plainCitation":"(Ben-Akiva and Lerman, 1985)","noteIndex":0},"citationItems":[{"id":4590,"uris":["http://zotero.org/users/12832277/items/4283647M"],"itemData":{"id":4590,"type":"book","abstract":"Discrete Choice Analysis presents these results in such a way that they are fully accessible to the range of students and professionals who are involved in modelling demand and consumer behavior in general or specifically in transportation - whether from the point of view of the design of transit systems, urban and transport economics, public policy, operations research, or systems management and planning. The methods of discrete choice analysis and their applications in the modelling of transportation systems constitute a comparatively new field that has largely evolved over the past 15 years. Since its inception, however, the field has developed rapidly, and this is the first text and reference work to cover the material systematically, bringing together the scattered and often inaccessible results for graduate students and professionals. Discrete Choice Analysis presents these results in such a way that they are fully accessible to the range of students and professionals who are involved in modelling demand and consumer behavior in general or specifically in transportation - whether from the point of view of the design of transit systems, urban and transport economics, public policy, operations research, or systems management and planning. The introductory chapter presents the background of discrete choice analysis and context of transportation demand forecasting. Subsequent chapters cover, among other topics, the theories of individual choice behavior, binary and multinomial choice models, aggregate forecasting techniques, estimation methods, tests used in the process of model development, sampling theory, the nested-logit model, and systems of models. Discrete Choice Analysis is ninth in the MIT Press Series in Transportation Studies, edited by Marvin Manheim.","ISBN":"978-0-262-02217-0","language":"en","note":"Google-Books-ID: oLC6ZYPs9UoC","number-of-pages":"424","publisher":"MIT Press","source":"Google Books","title":"Discrete Choice Analysis: Theory and Application to Travel Demand","title-short":"Discrete Choice Analysis","author":[{"family":"Ben-Akiva","given":"Moshe E."},{"family":"Lerman","given":"Steven R."}],"issued":{"date-parts":[["1985"]]}}}],"schema":"https://github.com/citation-style-language/schema/raw/master/csl-citation.json"} </w:instrText>
      </w:r>
      <w:r w:rsidR="008D4DB7" w:rsidRPr="00E97BC8">
        <w:rPr>
          <w:rFonts w:cs="Times New Roman"/>
          <w:sz w:val="22"/>
          <w:szCs w:val="22"/>
          <w:lang w:eastAsia="zh-CN"/>
        </w:rPr>
        <w:fldChar w:fldCharType="separate"/>
      </w:r>
      <w:r w:rsidR="008D4DB7" w:rsidRPr="00E97BC8">
        <w:rPr>
          <w:rFonts w:cs="Times New Roman"/>
          <w:sz w:val="22"/>
          <w:szCs w:val="22"/>
        </w:rPr>
        <w:t>(Ben-Akiva and Lerman, 1985,</w:t>
      </w:r>
      <w:r w:rsidR="008D4DB7" w:rsidRPr="00E97BC8">
        <w:rPr>
          <w:rFonts w:cs="Times New Roman"/>
          <w:sz w:val="22"/>
          <w:szCs w:val="22"/>
          <w:lang w:eastAsia="zh-CN"/>
        </w:rPr>
        <w:t xml:space="preserve"> refer to such tests as market segment prediction tests</w:t>
      </w:r>
      <w:r w:rsidR="008D4DB7" w:rsidRPr="00E97BC8">
        <w:rPr>
          <w:rFonts w:cs="Times New Roman"/>
          <w:sz w:val="22"/>
          <w:szCs w:val="22"/>
        </w:rPr>
        <w:t>)</w:t>
      </w:r>
      <w:r w:rsidR="008D4DB7" w:rsidRPr="00E97BC8">
        <w:rPr>
          <w:rFonts w:cs="Times New Roman"/>
          <w:sz w:val="22"/>
          <w:szCs w:val="22"/>
          <w:lang w:eastAsia="zh-CN"/>
        </w:rPr>
        <w:fldChar w:fldCharType="end"/>
      </w:r>
      <w:r w:rsidR="008D4DB7" w:rsidRPr="00E97BC8">
        <w:rPr>
          <w:rFonts w:cs="Times New Roman"/>
          <w:sz w:val="22"/>
          <w:szCs w:val="22"/>
          <w:lang w:eastAsia="zh-CN"/>
        </w:rPr>
        <w:t xml:space="preserve">. These additional tests are performed across market segments </w:t>
      </w:r>
      <w:r w:rsidRPr="00E97BC8">
        <w:rPr>
          <w:rFonts w:cs="Times New Roman"/>
          <w:sz w:val="22"/>
          <w:szCs w:val="22"/>
        </w:rPr>
        <w:t xml:space="preserve">to </w:t>
      </w:r>
      <w:r w:rsidRPr="00E97BC8">
        <w:rPr>
          <w:rFonts w:cs="Times New Roman"/>
          <w:sz w:val="22"/>
          <w:szCs w:val="22"/>
          <w:lang w:eastAsia="zh-CN"/>
        </w:rPr>
        <w:t xml:space="preserve">ensure that the </w:t>
      </w:r>
      <w:r w:rsidR="008D4DB7" w:rsidRPr="00E97BC8">
        <w:rPr>
          <w:rFonts w:cs="Times New Roman"/>
          <w:sz w:val="22"/>
          <w:szCs w:val="22"/>
          <w:lang w:eastAsia="zh-CN"/>
        </w:rPr>
        <w:t>performance</w:t>
      </w:r>
      <w:r w:rsidRPr="00E97BC8">
        <w:rPr>
          <w:rFonts w:cs="Times New Roman"/>
          <w:sz w:val="22"/>
          <w:szCs w:val="22"/>
          <w:lang w:eastAsia="zh-CN"/>
        </w:rPr>
        <w:t xml:space="preserve"> </w:t>
      </w:r>
      <w:r w:rsidR="008D4DB7" w:rsidRPr="00E97BC8">
        <w:rPr>
          <w:rFonts w:cs="Times New Roman"/>
          <w:sz w:val="22"/>
          <w:szCs w:val="22"/>
          <w:lang w:eastAsia="zh-CN"/>
        </w:rPr>
        <w:t xml:space="preserve">of </w:t>
      </w:r>
      <w:r w:rsidRPr="00E97BC8">
        <w:rPr>
          <w:rFonts w:cs="Times New Roman"/>
          <w:sz w:val="22"/>
          <w:szCs w:val="22"/>
          <w:lang w:eastAsia="zh-CN"/>
        </w:rPr>
        <w:t xml:space="preserve">the joint model </w:t>
      </w:r>
      <w:r w:rsidR="008D4DB7" w:rsidRPr="00E97BC8">
        <w:rPr>
          <w:rFonts w:cs="Times New Roman"/>
          <w:sz w:val="22"/>
          <w:szCs w:val="22"/>
          <w:lang w:eastAsia="zh-CN"/>
        </w:rPr>
        <w:t>does not simply result from</w:t>
      </w:r>
      <w:r w:rsidRPr="00E97BC8">
        <w:rPr>
          <w:rFonts w:cs="Times New Roman"/>
          <w:sz w:val="22"/>
          <w:szCs w:val="22"/>
          <w:lang w:eastAsia="zh-CN"/>
        </w:rPr>
        <w:t xml:space="preserve"> overfitting on the estimation sample</w:t>
      </w:r>
      <w:r w:rsidR="008D4DB7" w:rsidRPr="00E97BC8">
        <w:rPr>
          <w:rFonts w:cs="Times New Roman"/>
          <w:sz w:val="22"/>
          <w:szCs w:val="22"/>
          <w:lang w:eastAsia="zh-CN"/>
        </w:rPr>
        <w:t xml:space="preserve">. </w:t>
      </w:r>
      <w:r w:rsidRPr="00E97BC8">
        <w:rPr>
          <w:rFonts w:cs="Times New Roman"/>
          <w:sz w:val="22"/>
          <w:szCs w:val="22"/>
          <w:lang w:eastAsia="zh-CN"/>
        </w:rPr>
        <w:t xml:space="preserve">Using the same methods as the evaluation for the complete sample, </w:t>
      </w:r>
      <w:r w:rsidRPr="00E97BC8">
        <w:rPr>
          <w:rFonts w:cs="Times New Roman"/>
          <w:sz w:val="22"/>
          <w:szCs w:val="22"/>
        </w:rPr>
        <w:t xml:space="preserve">the predictive power of the proposed GHDM model is compared with the GHDM model that ignores the correlations between the latent constructs and the main outcomes by evaluating the predictive log-likelihood solely for the EV adoption and ranked adoption motivations and comparing the models using an informal predictive likelihood ratio test. Similarly, the predictive power of the proposed GHDM model is compared with the IHDM model using the informal predictive non-nested likelihood ratio test, as before. Finally, at an aggregate level, the weighted average percent error (WAPE) is calculated for all three models for comparison. </w:t>
      </w:r>
      <w:r w:rsidRPr="00E97BC8">
        <w:rPr>
          <w:rFonts w:cs="Times New Roman"/>
          <w:sz w:val="22"/>
          <w:szCs w:val="22"/>
          <w:lang w:eastAsia="zh-CN"/>
        </w:rPr>
        <w:t xml:space="preserve">These data fit metrics are shown in Table 6 for 12 market segments (for each exogenous variable, the data fit for the market segment with the greatest number of observations is presented). </w:t>
      </w:r>
      <w:r w:rsidR="00776F4C" w:rsidRPr="00E97BC8">
        <w:rPr>
          <w:rFonts w:cs="Times New Roman"/>
          <w:sz w:val="22"/>
          <w:szCs w:val="22"/>
          <w:lang w:eastAsia="zh-CN"/>
        </w:rPr>
        <w:t xml:space="preserve">The results in Table 6 support the superiority of the proposed GHDM model over both restricted models (based on both aggregate and disaggregate metrics) within each market segment, providing additional verification of the robust data fit of the proposed model which is not merely attributable to overfitting. </w:t>
      </w:r>
    </w:p>
    <w:bookmarkEnd w:id="38"/>
    <w:p w14:paraId="3D14E91F" w14:textId="77777777" w:rsidR="0069565A" w:rsidRPr="00E97BC8" w:rsidRDefault="0069565A" w:rsidP="00E85093">
      <w:pPr>
        <w:spacing w:after="0" w:line="240" w:lineRule="auto"/>
        <w:jc w:val="both"/>
        <w:rPr>
          <w:rFonts w:cs="Times New Roman"/>
          <w:sz w:val="22"/>
          <w:szCs w:val="22"/>
        </w:rPr>
      </w:pPr>
    </w:p>
    <w:p w14:paraId="457C4DB4" w14:textId="32950E94" w:rsidR="0069565A" w:rsidRPr="00E97BC8" w:rsidRDefault="0069565A" w:rsidP="00E85093">
      <w:pPr>
        <w:keepNext/>
        <w:spacing w:after="0" w:line="240" w:lineRule="auto"/>
        <w:jc w:val="both"/>
        <w:rPr>
          <w:rFonts w:cs="Times New Roman"/>
          <w:b/>
          <w:bCs/>
          <w:sz w:val="22"/>
          <w:szCs w:val="22"/>
        </w:rPr>
      </w:pPr>
      <w:r w:rsidRPr="00E97BC8">
        <w:rPr>
          <w:rFonts w:cs="Times New Roman"/>
          <w:b/>
          <w:bCs/>
          <w:sz w:val="22"/>
          <w:szCs w:val="22"/>
        </w:rPr>
        <w:t>4.4 Average Treatment Effects</w:t>
      </w:r>
    </w:p>
    <w:p w14:paraId="1C338163" w14:textId="7752D3C4" w:rsidR="0069565A" w:rsidRPr="00E97BC8" w:rsidRDefault="0069565A" w:rsidP="00E85093">
      <w:pPr>
        <w:spacing w:after="0" w:line="240" w:lineRule="auto"/>
        <w:jc w:val="both"/>
        <w:rPr>
          <w:rFonts w:cs="Times New Roman"/>
          <w:sz w:val="22"/>
          <w:szCs w:val="22"/>
        </w:rPr>
      </w:pPr>
      <w:r w:rsidRPr="00E97BC8">
        <w:rPr>
          <w:rFonts w:cs="Times New Roman"/>
          <w:sz w:val="22"/>
          <w:szCs w:val="22"/>
        </w:rPr>
        <w:t xml:space="preserve">The main estimation results presented in </w:t>
      </w:r>
      <w:r w:rsidR="006000EF" w:rsidRPr="00E97BC8">
        <w:rPr>
          <w:rFonts w:cs="Times New Roman"/>
          <w:sz w:val="22"/>
          <w:szCs w:val="22"/>
        </w:rPr>
        <w:t>S</w:t>
      </w:r>
      <w:r w:rsidRPr="00E97BC8">
        <w:rPr>
          <w:rFonts w:cs="Times New Roman"/>
          <w:sz w:val="22"/>
          <w:szCs w:val="22"/>
        </w:rPr>
        <w:t xml:space="preserve">ection 4.2 provide important insights into the effects of the exogenous variables on the underlying propensity associated with EV adoption and the utilities of the ranked reasons for adoption. However, these results do not provide the magnitude effect of each variable on the actual binary adoption decision or the magnitude influence that indirectly results through each of the latent constructs. For this, we use Average Treatment Effects (ATEs), which characterize the impact on an </w:t>
      </w:r>
      <w:r w:rsidRPr="00E97BC8">
        <w:rPr>
          <w:rFonts w:cs="Times New Roman"/>
          <w:sz w:val="22"/>
          <w:szCs w:val="22"/>
        </w:rPr>
        <w:lastRenderedPageBreak/>
        <w:t xml:space="preserve">outcome variable of a change of state of an antecedent variable. For instance, if the intent is to compute the effect of gender on EV adoption, we begin by setting the gender of all individuals in the dataset to “Male” without changing the values of any other exogenous variables. Then we compute, for each individual, the bi-variate probability predictions for each combination of EV adoption outcome and first-ranked reason for adoption (for a total of 16 combinations of outcomes). By marginalizing over the combinations, we can obtain the probability that each individual would adopt an EV for the base level of the exogenous variable (“Male”). The same procedure is adopted for the treatment level of the exogenous variable by setting the gender of all individuals in the dataset to “Female” without changing the values of any other exogenous variables and calculating the probability that each individual would adopt an EV as before. The change in the share of adopters provides the magnitude and direction of the total ATE of the “Gender” variable on EV adoption. For exogenous variables with more than two levels (such as age), we compute the ATEs for a change between only the highest and lowest levels. </w:t>
      </w:r>
      <w:r w:rsidR="00276C76" w:rsidRPr="00E97BC8">
        <w:rPr>
          <w:rFonts w:cs="Times New Roman"/>
          <w:sz w:val="22"/>
          <w:szCs w:val="22"/>
        </w:rPr>
        <w:t xml:space="preserve">Essentially, these ATEs are computed using counterfactual simulations by changing variable values from the observed values. </w:t>
      </w:r>
    </w:p>
    <w:p w14:paraId="7EF768AF" w14:textId="68718AF6" w:rsidR="0069565A" w:rsidRPr="00E97BC8" w:rsidRDefault="0069565A" w:rsidP="00E85093">
      <w:pPr>
        <w:spacing w:after="0" w:line="240" w:lineRule="auto"/>
        <w:jc w:val="both"/>
        <w:rPr>
          <w:rFonts w:cs="Times New Roman"/>
          <w:sz w:val="22"/>
          <w:szCs w:val="22"/>
        </w:rPr>
      </w:pPr>
      <w:r w:rsidRPr="00E97BC8">
        <w:rPr>
          <w:rFonts w:cs="Times New Roman"/>
          <w:sz w:val="22"/>
          <w:szCs w:val="22"/>
        </w:rPr>
        <w:tab/>
        <w:t>In addition to this total ATE effect, we also partition the ATE into five sub-components based on the contributions through each of the four latent constructs and a direct effect. To compute the relative magnitude of the contributions we compute each sub-effect separately. For instance, we compute a direct effect of one exogenous variable by maintaining the values of all other exogenous variables as well as fixing the values of each of the latent constructs to those calculated as all variables are in the data. Then, for the mediating effects through the latent constructs, we maintain the values of all variables as they are in the data for the purposes of the main outcome variables but change the value of the exogenous variable of interest only in the equation for a single latent construct. To compute the relative magnitudes of the contribution of each ATE sub-component, we compute percentages of the sum of the absolute values of these sub-components (ignoring the directionality of each sub-effect). Then, the sign associated with each contribution illustrates whether the corresponding effect increases the total ATE (+) or decreases the total ATE (</w:t>
      </w:r>
      <w:r w:rsidR="006000EF" w:rsidRPr="00E97BC8">
        <w:rPr>
          <w:rFonts w:cs="Times New Roman"/>
          <w:sz w:val="22"/>
          <w:szCs w:val="22"/>
        </w:rPr>
        <w:t>-</w:t>
      </w:r>
      <w:r w:rsidRPr="00E97BC8">
        <w:rPr>
          <w:rFonts w:cs="Times New Roman"/>
          <w:sz w:val="22"/>
          <w:szCs w:val="22"/>
        </w:rPr>
        <w:t>).</w:t>
      </w:r>
    </w:p>
    <w:p w14:paraId="74780AD7" w14:textId="142A04C5" w:rsidR="0069565A" w:rsidRPr="00E97BC8" w:rsidRDefault="0069565A" w:rsidP="00E85093">
      <w:pPr>
        <w:spacing w:after="0" w:line="240" w:lineRule="auto"/>
        <w:jc w:val="both"/>
        <w:rPr>
          <w:rFonts w:cs="Times New Roman"/>
          <w:sz w:val="22"/>
          <w:szCs w:val="22"/>
        </w:rPr>
      </w:pPr>
      <w:r w:rsidRPr="00E97BC8">
        <w:rPr>
          <w:rFonts w:cs="Times New Roman"/>
          <w:sz w:val="22"/>
          <w:szCs w:val="22"/>
        </w:rPr>
        <w:tab/>
        <w:t xml:space="preserve">The final ATE effects for EV adoption are shown in Table </w:t>
      </w:r>
      <w:r w:rsidR="00C969EF">
        <w:rPr>
          <w:rFonts w:cs="Times New Roman"/>
          <w:sz w:val="22"/>
          <w:szCs w:val="22"/>
        </w:rPr>
        <w:t>7</w:t>
      </w:r>
      <w:r w:rsidRPr="00E97BC8">
        <w:rPr>
          <w:rFonts w:cs="Times New Roman"/>
          <w:sz w:val="22"/>
          <w:szCs w:val="22"/>
        </w:rPr>
        <w:t>. The entry in the final column of the table shows the total ATE of each exogenous variable on EV adoption. For instance, the first entry of</w:t>
      </w:r>
      <w:r w:rsidR="00FD20AC" w:rsidRPr="00E97BC8">
        <w:rPr>
          <w:rFonts w:cs="Times New Roman"/>
          <w:sz w:val="22"/>
          <w:szCs w:val="22"/>
        </w:rPr>
        <w:t xml:space="preserve"> </w:t>
      </w:r>
      <w:r w:rsidR="00BD740B" w:rsidRPr="00E97BC8">
        <w:rPr>
          <w:rFonts w:cs="Times New Roman"/>
          <w:sz w:val="22"/>
          <w:szCs w:val="22"/>
        </w:rPr>
        <w:t xml:space="preserve">             </w:t>
      </w:r>
      <w:r w:rsidRPr="00E97BC8">
        <w:rPr>
          <w:rFonts w:cs="Times New Roman"/>
          <w:sz w:val="22"/>
          <w:szCs w:val="22"/>
        </w:rPr>
        <w:t>“-</w:t>
      </w:r>
      <w:r w:rsidR="008550EF" w:rsidRPr="00E97BC8">
        <w:rPr>
          <w:rFonts w:cs="Times New Roman"/>
          <w:sz w:val="22"/>
          <w:szCs w:val="22"/>
        </w:rPr>
        <w:t>0</w:t>
      </w:r>
      <w:r w:rsidRPr="00E97BC8">
        <w:rPr>
          <w:rFonts w:cs="Times New Roman"/>
          <w:sz w:val="22"/>
          <w:szCs w:val="22"/>
        </w:rPr>
        <w:t>.</w:t>
      </w:r>
      <w:r w:rsidR="008550EF" w:rsidRPr="00E97BC8">
        <w:rPr>
          <w:rFonts w:cs="Times New Roman"/>
          <w:sz w:val="22"/>
          <w:szCs w:val="22"/>
        </w:rPr>
        <w:t>06</w:t>
      </w:r>
      <w:r w:rsidRPr="00E97BC8">
        <w:rPr>
          <w:rFonts w:cs="Times New Roman"/>
          <w:sz w:val="22"/>
          <w:szCs w:val="22"/>
        </w:rPr>
        <w:t>6</w:t>
      </w:r>
      <w:r w:rsidR="00A30233" w:rsidRPr="00E97BC8">
        <w:rPr>
          <w:rFonts w:cs="Times New Roman"/>
          <w:sz w:val="22"/>
          <w:szCs w:val="22"/>
        </w:rPr>
        <w:t>8</w:t>
      </w:r>
      <w:r w:rsidRPr="00E97BC8">
        <w:rPr>
          <w:rFonts w:cs="Times New Roman"/>
          <w:sz w:val="22"/>
          <w:szCs w:val="22"/>
        </w:rPr>
        <w:t>” for gender indicates that, in a pool of 100 women, one may expect about 7 fewer individuals to adopt EVs relative to a pool of 100 men. The five columns to the left of the “Total ATE” column provide the percentage splits of the ATE sub-components originating through each of the latent constructs and through a direct effect. For example, the total ATE for gender is attributable to an increased adoption rate among women due to a higher GLP (contributing +2</w:t>
      </w:r>
      <w:r w:rsidR="00A30233" w:rsidRPr="00E97BC8">
        <w:rPr>
          <w:rFonts w:cs="Times New Roman"/>
          <w:sz w:val="22"/>
          <w:szCs w:val="22"/>
        </w:rPr>
        <w:t>2</w:t>
      </w:r>
      <w:r w:rsidRPr="00E97BC8">
        <w:rPr>
          <w:rFonts w:cs="Times New Roman"/>
          <w:sz w:val="22"/>
          <w:szCs w:val="22"/>
        </w:rPr>
        <w:t>%) that is surpassed by a reduced adoption rate among women due to a higher VFP (contributing -1</w:t>
      </w:r>
      <w:r w:rsidR="00A30233" w:rsidRPr="00E97BC8">
        <w:rPr>
          <w:rFonts w:cs="Times New Roman"/>
          <w:sz w:val="22"/>
          <w:szCs w:val="22"/>
        </w:rPr>
        <w:t>7</w:t>
      </w:r>
      <w:r w:rsidRPr="00E97BC8">
        <w:rPr>
          <w:rFonts w:cs="Times New Roman"/>
          <w:sz w:val="22"/>
          <w:szCs w:val="22"/>
        </w:rPr>
        <w:t xml:space="preserve">%) and lower CMP (contributing -61%). There is no direct ATE for gender or mediating effect through BRP. In the following section, we discuss the implications of our results based on the ATE calculations shown in Table </w:t>
      </w:r>
      <w:r w:rsidR="00C969EF">
        <w:rPr>
          <w:rFonts w:cs="Times New Roman"/>
          <w:sz w:val="22"/>
          <w:szCs w:val="22"/>
        </w:rPr>
        <w:t>7</w:t>
      </w:r>
      <w:r w:rsidRPr="00E97BC8">
        <w:rPr>
          <w:rFonts w:cs="Times New Roman"/>
          <w:sz w:val="22"/>
          <w:szCs w:val="22"/>
        </w:rPr>
        <w:t xml:space="preserve"> combined with the reasons for EV adoption shown in Table 4. </w:t>
      </w:r>
    </w:p>
    <w:p w14:paraId="3B2CB2CA" w14:textId="4D8D53C8" w:rsidR="00AE3D59" w:rsidRPr="00E97BC8" w:rsidRDefault="00AE3D59" w:rsidP="00E85093">
      <w:pPr>
        <w:spacing w:after="0" w:line="240" w:lineRule="auto"/>
        <w:jc w:val="both"/>
        <w:rPr>
          <w:rFonts w:cs="Times New Roman"/>
          <w:sz w:val="22"/>
          <w:szCs w:val="22"/>
        </w:rPr>
      </w:pPr>
    </w:p>
    <w:p w14:paraId="5C3FE8DC" w14:textId="3CD3BC13" w:rsidR="00A45521" w:rsidRPr="00E97BC8" w:rsidRDefault="00A45521" w:rsidP="00E85093">
      <w:pPr>
        <w:spacing w:after="0" w:line="240" w:lineRule="auto"/>
        <w:jc w:val="both"/>
        <w:rPr>
          <w:rFonts w:cs="Times New Roman"/>
          <w:b/>
          <w:bCs/>
          <w:sz w:val="22"/>
          <w:szCs w:val="22"/>
        </w:rPr>
      </w:pPr>
      <w:r w:rsidRPr="00E97BC8">
        <w:rPr>
          <w:rFonts w:cs="Times New Roman"/>
          <w:b/>
          <w:bCs/>
          <w:sz w:val="22"/>
          <w:szCs w:val="22"/>
        </w:rPr>
        <w:t>5. IMPLICATIONS</w:t>
      </w:r>
    </w:p>
    <w:p w14:paraId="72219609" w14:textId="47389670" w:rsidR="00D96F18" w:rsidRPr="00E97BC8" w:rsidRDefault="00D96F18" w:rsidP="00E85093">
      <w:pPr>
        <w:spacing w:after="0" w:line="240" w:lineRule="auto"/>
        <w:jc w:val="both"/>
        <w:rPr>
          <w:rFonts w:cs="Times New Roman"/>
          <w:b/>
          <w:bCs/>
          <w:sz w:val="22"/>
          <w:szCs w:val="22"/>
        </w:rPr>
      </w:pPr>
      <w:r w:rsidRPr="00E97BC8">
        <w:rPr>
          <w:rFonts w:cs="Times New Roman"/>
          <w:b/>
          <w:bCs/>
          <w:sz w:val="22"/>
          <w:szCs w:val="22"/>
        </w:rPr>
        <w:t>5.</w:t>
      </w:r>
      <w:r w:rsidR="00E5072B" w:rsidRPr="00E97BC8">
        <w:rPr>
          <w:rFonts w:cs="Times New Roman"/>
          <w:b/>
          <w:bCs/>
          <w:sz w:val="22"/>
          <w:szCs w:val="22"/>
        </w:rPr>
        <w:t>1</w:t>
      </w:r>
      <w:r w:rsidRPr="00E97BC8">
        <w:rPr>
          <w:rFonts w:cs="Times New Roman"/>
          <w:b/>
          <w:bCs/>
          <w:sz w:val="22"/>
          <w:szCs w:val="22"/>
        </w:rPr>
        <w:t xml:space="preserve"> Implications for </w:t>
      </w:r>
      <w:r w:rsidR="001F738B" w:rsidRPr="00E97BC8">
        <w:rPr>
          <w:rFonts w:cs="Times New Roman"/>
          <w:b/>
          <w:bCs/>
          <w:sz w:val="22"/>
          <w:szCs w:val="22"/>
        </w:rPr>
        <w:t xml:space="preserve">Financial </w:t>
      </w:r>
      <w:r w:rsidRPr="00E97BC8">
        <w:rPr>
          <w:rFonts w:cs="Times New Roman"/>
          <w:b/>
          <w:bCs/>
          <w:sz w:val="22"/>
          <w:szCs w:val="22"/>
        </w:rPr>
        <w:t>Incentives and Policies</w:t>
      </w:r>
    </w:p>
    <w:p w14:paraId="57D0EC81" w14:textId="3BA30C02" w:rsidR="00B15C09" w:rsidRPr="00E97BC8" w:rsidRDefault="00D96F18" w:rsidP="00E85093">
      <w:pPr>
        <w:spacing w:after="0" w:line="240" w:lineRule="auto"/>
        <w:jc w:val="both"/>
        <w:rPr>
          <w:rFonts w:cs="Times New Roman"/>
          <w:sz w:val="22"/>
          <w:szCs w:val="22"/>
        </w:rPr>
      </w:pPr>
      <w:r w:rsidRPr="00E97BC8">
        <w:rPr>
          <w:rFonts w:cs="Times New Roman"/>
          <w:sz w:val="22"/>
          <w:szCs w:val="22"/>
        </w:rPr>
        <w:t xml:space="preserve">The variables that have the largest overall ATE impact on EV adoption are level of formal educational attainment and household income. </w:t>
      </w:r>
      <w:r w:rsidR="005910C0" w:rsidRPr="00E97BC8">
        <w:rPr>
          <w:rFonts w:cs="Times New Roman"/>
          <w:sz w:val="22"/>
          <w:szCs w:val="22"/>
        </w:rPr>
        <w:t>For instance, w</w:t>
      </w:r>
      <w:r w:rsidR="001F738B" w:rsidRPr="00E97BC8">
        <w:rPr>
          <w:rFonts w:cs="Times New Roman"/>
          <w:sz w:val="22"/>
          <w:szCs w:val="22"/>
        </w:rPr>
        <w:t xml:space="preserve">e find that in </w:t>
      </w:r>
      <w:r w:rsidR="005910C0" w:rsidRPr="00E97BC8">
        <w:rPr>
          <w:rFonts w:cs="Times New Roman"/>
          <w:sz w:val="22"/>
          <w:szCs w:val="22"/>
        </w:rPr>
        <w:t>a pool of 100</w:t>
      </w:r>
      <w:r w:rsidR="001F738B" w:rsidRPr="00E97BC8">
        <w:rPr>
          <w:rFonts w:cs="Times New Roman"/>
          <w:sz w:val="22"/>
          <w:szCs w:val="22"/>
        </w:rPr>
        <w:t xml:space="preserve"> </w:t>
      </w:r>
      <w:r w:rsidR="005910C0" w:rsidRPr="00E97BC8">
        <w:rPr>
          <w:rFonts w:cs="Times New Roman"/>
          <w:sz w:val="22"/>
          <w:szCs w:val="22"/>
        </w:rPr>
        <w:t xml:space="preserve">“graduate degree holders” there would be approximately 34 additional EV owners compared to a pool of </w:t>
      </w:r>
      <w:r w:rsidR="001F738B" w:rsidRPr="00E97BC8">
        <w:rPr>
          <w:rFonts w:cs="Times New Roman"/>
          <w:sz w:val="22"/>
          <w:szCs w:val="22"/>
        </w:rPr>
        <w:t>“</w:t>
      </w:r>
      <w:r w:rsidR="00B944A4" w:rsidRPr="00E97BC8">
        <w:rPr>
          <w:rFonts w:cs="Times New Roman"/>
          <w:sz w:val="22"/>
          <w:szCs w:val="22"/>
        </w:rPr>
        <w:t>l</w:t>
      </w:r>
      <w:r w:rsidR="001F738B" w:rsidRPr="00E97BC8">
        <w:rPr>
          <w:rFonts w:cs="Times New Roman"/>
          <w:sz w:val="22"/>
          <w:szCs w:val="22"/>
        </w:rPr>
        <w:t>ess than bachelor’s degree</w:t>
      </w:r>
      <w:r w:rsidR="005910C0" w:rsidRPr="00E97BC8">
        <w:rPr>
          <w:rFonts w:cs="Times New Roman"/>
          <w:sz w:val="22"/>
          <w:szCs w:val="22"/>
        </w:rPr>
        <w:t xml:space="preserve"> holders,</w:t>
      </w:r>
      <w:r w:rsidR="001F738B" w:rsidRPr="00E97BC8">
        <w:rPr>
          <w:rFonts w:cs="Times New Roman"/>
          <w:sz w:val="22"/>
          <w:szCs w:val="22"/>
        </w:rPr>
        <w:t xml:space="preserve">” while </w:t>
      </w:r>
      <w:r w:rsidR="005910C0" w:rsidRPr="00E97BC8">
        <w:rPr>
          <w:rFonts w:cs="Times New Roman"/>
          <w:sz w:val="22"/>
          <w:szCs w:val="22"/>
        </w:rPr>
        <w:t xml:space="preserve">in a group of 100 “$200,000 or more income” earning households there would be 23 additional EV owners compared to a group of 100 </w:t>
      </w:r>
      <w:r w:rsidR="001F738B" w:rsidRPr="00E97BC8">
        <w:rPr>
          <w:rFonts w:cs="Times New Roman"/>
          <w:sz w:val="22"/>
          <w:szCs w:val="22"/>
        </w:rPr>
        <w:t>“less than $</w:t>
      </w:r>
      <w:r w:rsidR="00EE4598" w:rsidRPr="00E97BC8">
        <w:rPr>
          <w:rFonts w:cs="Times New Roman"/>
          <w:sz w:val="22"/>
          <w:szCs w:val="22"/>
        </w:rPr>
        <w:t>1</w:t>
      </w:r>
      <w:r w:rsidR="001F738B" w:rsidRPr="00E97BC8">
        <w:rPr>
          <w:rFonts w:cs="Times New Roman"/>
          <w:sz w:val="22"/>
          <w:szCs w:val="22"/>
        </w:rPr>
        <w:t>00,000</w:t>
      </w:r>
      <w:r w:rsidR="005910C0" w:rsidRPr="00E97BC8">
        <w:rPr>
          <w:rFonts w:cs="Times New Roman"/>
          <w:sz w:val="22"/>
          <w:szCs w:val="22"/>
        </w:rPr>
        <w:t xml:space="preserve"> income</w:t>
      </w:r>
      <w:r w:rsidR="001F738B" w:rsidRPr="00E97BC8">
        <w:rPr>
          <w:rFonts w:cs="Times New Roman"/>
          <w:sz w:val="22"/>
          <w:szCs w:val="22"/>
        </w:rPr>
        <w:t xml:space="preserve">” </w:t>
      </w:r>
      <w:r w:rsidR="005910C0" w:rsidRPr="00E97BC8">
        <w:rPr>
          <w:rFonts w:cs="Times New Roman"/>
          <w:sz w:val="22"/>
          <w:szCs w:val="22"/>
        </w:rPr>
        <w:t>earning households</w:t>
      </w:r>
      <w:r w:rsidR="001F738B" w:rsidRPr="00E97BC8">
        <w:rPr>
          <w:rFonts w:cs="Times New Roman"/>
          <w:sz w:val="22"/>
          <w:szCs w:val="22"/>
        </w:rPr>
        <w:t xml:space="preserve">. </w:t>
      </w:r>
      <w:r w:rsidR="00217B93" w:rsidRPr="00E97BC8">
        <w:rPr>
          <w:rFonts w:cs="Times New Roman"/>
          <w:sz w:val="22"/>
          <w:szCs w:val="22"/>
        </w:rPr>
        <w:t xml:space="preserve">Although many studies have confirmed the </w:t>
      </w:r>
      <w:r w:rsidR="0015774B" w:rsidRPr="00E97BC8">
        <w:rPr>
          <w:rFonts w:cs="Times New Roman"/>
          <w:sz w:val="22"/>
          <w:szCs w:val="22"/>
        </w:rPr>
        <w:t>importance of level of education</w:t>
      </w:r>
      <w:r w:rsidR="00853927" w:rsidRPr="00E97BC8">
        <w:rPr>
          <w:rFonts w:cs="Times New Roman"/>
          <w:sz w:val="22"/>
          <w:szCs w:val="22"/>
        </w:rPr>
        <w:t xml:space="preserve"> </w:t>
      </w:r>
      <w:r w:rsidR="00853927" w:rsidRPr="00E97BC8">
        <w:rPr>
          <w:rFonts w:cs="Times New Roman"/>
          <w:sz w:val="22"/>
          <w:szCs w:val="22"/>
        </w:rPr>
        <w:fldChar w:fldCharType="begin"/>
      </w:r>
      <w:r w:rsidR="00436A73" w:rsidRPr="00E97BC8">
        <w:rPr>
          <w:rFonts w:cs="Times New Roman"/>
          <w:sz w:val="22"/>
          <w:szCs w:val="22"/>
        </w:rPr>
        <w:instrText xml:space="preserve"> ADDIN ZOTERO_ITEM CSL_CITATION {"citationID":"VupVh4CF","properties":{"formattedCitation":"(Kim et al., 2019; Singh et al., 2020)","plainCitation":"(Kim et al., 2019; Singh et al., 2020)","noteIndex":0},"citationItems":[{"id":2638,"uris":["http://zotero.org/users/12832277/items/49YAFYET"],"itemData":{"id":2638,"type":"article-journal","abstract":"In Korea, the sales of battery electric vehicles (BEVs) have increased since their introduction to the market in 2010. However, considering the government's plan to introduce BEVs, current BEVs sales in Korea are still below targeted numbers. Among several reasons for this, consumers' intentions and desired time to purchase BEVs are the most important. This study identifies the factors that affect and influence these two reasons. We used survey data containing these two reasons as stated preferences and applied a binary choice model to estimate consumers' intentions to purchase BEVs and an ordered model to estimate the desired period for purchasing BEVs. The study's results show that prior experience driving BEVs and other additional factors—including number of household vehicles, educational level, and perception of government incentives and public parking benefits—have a significant effect on consumers' intentions and desired time to purchase BEVs. Therefore, providing consumers with prior opportunities to drive BEVs is critical for BEVs' full market penetration in Korea.","container-title":"Energy Policy","DOI":"10.1016/j.enpol.2019.06.028","ISSN":"0301-4215","page":"736-743","source":"ScienceDirect","title":"Consumer Intentions to Purchase Battery Electric Vehicles in Korea","volume":"132","author":[{"family":"Kim","given":"Jae Hun"},{"family":"Lee","given":"Gunwoo"},{"family":"Park","given":"Ji Young"},{"family":"Hong","given":"Jungyeol"},{"family":"Park","given":"Juneyoung"}],"issued":{"date-parts":[["2019",9,1]]}}},{"id":1458,"uris":["http://zotero.org/users/12832277/items/NB2AU3AR"],"itemData":{"id":1458,"type":"article-journal","abstract":"The deployment of electric vehicles (EVs) may mitigate major issues such as environmental pollution and dependence on oil. However, the current market penetration of EV is still at the nascent stage despite many governments employing dynamic advertising policies. This paper empirically investigates the factors influencing a consumer’s intention to adopt an EV. A total of 211 peer-reviewed research articles published between 2009 and 2019 covering the main cate­ gories consumer intentions – adoption intention, purchase intention, behavioural intention, and usage intention, – were selected. This study categorises influential factors, into four main types, namely demographic, situational, contextual, and psychological. A comprehensive overview of the theoretical perspectives was also developed to understand adoption behaviour and a con­ sumer’s intentions towards EVs. The findings provide the most common research methodology employed for testing, analysing and comparing the relations among EV factors. A simple metaanalysis shows that the trend of studies on the influencing factors for adopting EVs has increased significantly over the past decade. Finally, this review study has managerial implications and shows future directions for EV researchers and practitioners that may help governments and the automobile industry to increase the usage share of EVs.","container-title":"Transportation Research Part D: Transport and Environment","DOI":"10.1016/j.trd.2020.102436","ISSN":"13619209","language":"en","source":"DOI.org (Crossref)","title":"A Review and Simple Meta-Analysis of Factors Influencing Adoption of Electric Vehicles","URL":"https://linkinghub.elsevier.com/retrieve/pii/S1361920920306234","volume":"86","author":[{"family":"Singh","given":"Virender"},{"family":"Singh","given":"Vedant"},{"family":"Vaibhav","given":"S."}],"accessed":{"date-parts":[["2023",12,1]]},"issued":{"date-parts":[["2020",9]]}},"label":"page"}],"schema":"https://github.com/citation-style-language/schema/raw/master/csl-citation.json"} </w:instrText>
      </w:r>
      <w:r w:rsidR="00853927" w:rsidRPr="00E97BC8">
        <w:rPr>
          <w:rFonts w:cs="Times New Roman"/>
          <w:sz w:val="22"/>
          <w:szCs w:val="22"/>
        </w:rPr>
        <w:fldChar w:fldCharType="separate"/>
      </w:r>
      <w:r w:rsidR="001E6A07" w:rsidRPr="00E97BC8">
        <w:rPr>
          <w:rFonts w:cs="Times New Roman"/>
          <w:sz w:val="22"/>
          <w:szCs w:val="22"/>
        </w:rPr>
        <w:t>(Kim et al., 2019; Singh et al., 2020)</w:t>
      </w:r>
      <w:r w:rsidR="00853927" w:rsidRPr="00E97BC8">
        <w:rPr>
          <w:rFonts w:cs="Times New Roman"/>
          <w:sz w:val="22"/>
          <w:szCs w:val="22"/>
        </w:rPr>
        <w:fldChar w:fldCharType="end"/>
      </w:r>
      <w:r w:rsidR="0015774B" w:rsidRPr="00E97BC8">
        <w:rPr>
          <w:rFonts w:cs="Times New Roman"/>
          <w:sz w:val="22"/>
          <w:szCs w:val="22"/>
        </w:rPr>
        <w:t xml:space="preserve">, the results of stated preference studies regarding income have been mixed. While some studies </w:t>
      </w:r>
      <w:r w:rsidR="00BC2916" w:rsidRPr="00E97BC8">
        <w:rPr>
          <w:rFonts w:cs="Times New Roman"/>
          <w:sz w:val="22"/>
          <w:szCs w:val="22"/>
        </w:rPr>
        <w:t xml:space="preserve">have found income to positively </w:t>
      </w:r>
      <w:r w:rsidR="005D3CFE" w:rsidRPr="00E97BC8">
        <w:rPr>
          <w:rFonts w:cs="Times New Roman"/>
          <w:sz w:val="22"/>
          <w:szCs w:val="22"/>
        </w:rPr>
        <w:t>influence</w:t>
      </w:r>
      <w:r w:rsidR="00BC2916" w:rsidRPr="00E97BC8">
        <w:rPr>
          <w:rFonts w:cs="Times New Roman"/>
          <w:sz w:val="22"/>
          <w:szCs w:val="22"/>
        </w:rPr>
        <w:t xml:space="preserve"> EV interests</w:t>
      </w:r>
      <w:r w:rsidR="00ED47F1" w:rsidRPr="00E97BC8">
        <w:rPr>
          <w:rFonts w:cs="Times New Roman"/>
          <w:sz w:val="22"/>
          <w:szCs w:val="22"/>
        </w:rPr>
        <w:t xml:space="preserve"> </w:t>
      </w:r>
      <w:r w:rsidR="00436A73" w:rsidRPr="00E97BC8">
        <w:rPr>
          <w:rFonts w:cs="Times New Roman"/>
          <w:sz w:val="22"/>
          <w:szCs w:val="22"/>
        </w:rPr>
        <w:fldChar w:fldCharType="begin"/>
      </w:r>
      <w:r w:rsidR="00436A73" w:rsidRPr="00E97BC8">
        <w:rPr>
          <w:rFonts w:cs="Times New Roman"/>
          <w:sz w:val="22"/>
          <w:szCs w:val="22"/>
        </w:rPr>
        <w:instrText xml:space="preserve"> ADDIN ZOTERO_ITEM CSL_CITATION {"citationID":"zZyCNWjW","properties":{"formattedCitation":"(Axsen et al., 2016; Kumar and Alok, 2020)","plainCitation":"(Axsen et al., 2016; Kumar and Alok, 2020)","noteIndex":0},"citationItems":[{"id":2612,"uris":["http://zotero.org/users/12832277/items/FPKMKZ7Z"],"itemData":{"id":2612,"type":"article-journal","abstract":"The entry of various plug-in electric vehicles (PEVs) into the passenger vehicle sector provides novel opportunities to learn about the potential for future PEV markets. However, early PEV buyers (or “Pioneers”) can substantially differ from present conventional vehicle owners that have interest in purchasing PEVs in the future (or the “Potential Early Mainstream buyers”). To compare the characteristics, preferences, and motivations of Pioneers and Potential Early Mainstream buyers, we draw data from the Canadian Plug-in Electric Vehicle Study, a three-part mixed-mode survey with samples of PEV owners (n=94) and conventional new vehicle buyers (n=1754). We identify several significant differences in household characteristics, including income, education, and recharge access. In terms of preferences, Pioneers express extremely high valuation of PEVs and prefer pure battery electric vehicle (BEV) designs over plug-in hybrid electric (PHEV) designs. In contrast, Potential Early Mainstream respondents prefer PHEVs. Both Pioneer and Potential Early Mainstream respondents are similarly cautious about controlled charging programs, but Pioneers place five times as much value on using electricity generated from renewable sources than the Potential Early Mainstream. Pioneers also tend to have different motivations, including significantly higher levels of environmental concern, and higher engagement in environment- and technology-oriented lifestyles. Policymakers, automakers, and electric utilities that anticipate a transition to electric mobility ought to consider how potential future PEV buyers may differ in their vehicle preferences, usage and motivations relative to current PEV owners.","container-title":"Transportation Research Part D: Transport and Environment","DOI":"10.1016/j.trd.2016.05.015","ISSN":"1361-9209","page":"357-370","source":"ScienceDirect","title":"How Might Potential Future Plug-in Electric Vehicle Buyers Differ from Current “Pioneer” Owners?","volume":"47","author":[{"family":"Axsen","given":"Jonn"},{"family":"Goldberg","given":"Suzanne"},{"family":"Bailey","given":"Joseph"}],"issued":{"date-parts":[["2016",8,1]]}}},{"id":2448,"uris":["http://zotero.org/users/12832277/items/D5E3FA3J"],"itemData":{"id":2448,"type":"article-journal","abstract":"Scholarly research on the topic of electric vehicles has witnessed a dramatic increase in the current decade; however, reviews that synthesize and integrate these findings comprehensively have been lacking. This study is an attempt at filling in that void through an integrative review methodology. It includes an integrative review of 239 articles published across Scopus Q1 journals and compiled using an integrative review protocol. It encompasses the identification of variables in five different categories: antecedents, mediators, moderators, consequences, and socio-demographics. The analysis procedure revealed many interesting insights related to research methods and region-specific developments. The review draws attention to relatively neglected topics such as dealership experience, charging infrastructure resilience, and marketing strategies as well as identifies much-studied topics such as charging infrastructure development, total cost of ownership, and purchase-based incentive policies. It also clarifies the mechanisms of electric vehicle adoption by highlighting important mediators and moderators. The findings would be beneficial to both researchers and policymakers alike, as there has been a dearth of earlier reviews that have analyzed all sustainable consequence variables simultaneously and collectively. The development of a comprehensive nomological network of electric vehicle adoption added a new dimension in this study. The segment-wise key policy recommendations provide many insights for stakeholders to envisage electric mobility.","container-title":"Journal of Cleaner Production","DOI":"10.1016/j.jclepro.2019.119911","ISSN":"0959-6526","source":"ScienceDirect","title":"Adoption of Electric Vehicle: A Literature Review and Prospects for Sustainability","URL":"https://www.sciencedirect.com/science/article/pii/S095965261934781X","volume":"253","author":[{"family":"Kumar","given":"Rajeev Ranjan"},{"family":"Alok","given":"Kumar"}],"accessed":{"date-parts":[["2024",2,15]]},"issued":{"date-parts":[["2020",4,20]]}}}],"schema":"https://github.com/citation-style-language/schema/raw/master/csl-citation.json"} </w:instrText>
      </w:r>
      <w:r w:rsidR="00436A73" w:rsidRPr="00E97BC8">
        <w:rPr>
          <w:rFonts w:cs="Times New Roman"/>
          <w:sz w:val="22"/>
          <w:szCs w:val="22"/>
        </w:rPr>
        <w:fldChar w:fldCharType="separate"/>
      </w:r>
      <w:r w:rsidR="001E6A07" w:rsidRPr="00E97BC8">
        <w:rPr>
          <w:rFonts w:cs="Times New Roman"/>
          <w:sz w:val="22"/>
          <w:szCs w:val="22"/>
        </w:rPr>
        <w:t>(Axsen et al., 2016; Kumar and Alok, 2020)</w:t>
      </w:r>
      <w:r w:rsidR="00436A73" w:rsidRPr="00E97BC8">
        <w:rPr>
          <w:rFonts w:cs="Times New Roman"/>
          <w:sz w:val="22"/>
          <w:szCs w:val="22"/>
        </w:rPr>
        <w:fldChar w:fldCharType="end"/>
      </w:r>
      <w:r w:rsidR="00BC2916" w:rsidRPr="00E97BC8">
        <w:rPr>
          <w:rFonts w:cs="Times New Roman"/>
          <w:sz w:val="22"/>
          <w:szCs w:val="22"/>
        </w:rPr>
        <w:t xml:space="preserve">, </w:t>
      </w:r>
      <w:r w:rsidR="008D461F" w:rsidRPr="00E97BC8">
        <w:rPr>
          <w:rFonts w:cs="Times New Roman"/>
          <w:sz w:val="22"/>
          <w:szCs w:val="22"/>
        </w:rPr>
        <w:t>others</w:t>
      </w:r>
      <w:r w:rsidR="00BC2916" w:rsidRPr="00E97BC8">
        <w:rPr>
          <w:rFonts w:cs="Times New Roman"/>
          <w:sz w:val="22"/>
          <w:szCs w:val="22"/>
        </w:rPr>
        <w:t xml:space="preserve"> have found insignificant</w:t>
      </w:r>
      <w:r w:rsidR="001F738B" w:rsidRPr="00E97BC8">
        <w:rPr>
          <w:rFonts w:cs="Times New Roman"/>
          <w:sz w:val="22"/>
          <w:szCs w:val="22"/>
        </w:rPr>
        <w:t>,</w:t>
      </w:r>
      <w:r w:rsidR="00BC2916" w:rsidRPr="00E97BC8">
        <w:rPr>
          <w:rFonts w:cs="Times New Roman"/>
          <w:sz w:val="22"/>
          <w:szCs w:val="22"/>
        </w:rPr>
        <w:t xml:space="preserve"> or even negative</w:t>
      </w:r>
      <w:r w:rsidR="001F738B" w:rsidRPr="00E97BC8">
        <w:rPr>
          <w:rFonts w:cs="Times New Roman"/>
          <w:sz w:val="22"/>
          <w:szCs w:val="22"/>
        </w:rPr>
        <w:t>,</w:t>
      </w:r>
      <w:r w:rsidR="00BC2916" w:rsidRPr="00E97BC8">
        <w:rPr>
          <w:rFonts w:cs="Times New Roman"/>
          <w:sz w:val="22"/>
          <w:szCs w:val="22"/>
        </w:rPr>
        <w:t xml:space="preserve"> </w:t>
      </w:r>
      <w:r w:rsidR="001F738B" w:rsidRPr="00E97BC8">
        <w:rPr>
          <w:rFonts w:cs="Times New Roman"/>
          <w:sz w:val="22"/>
          <w:szCs w:val="22"/>
        </w:rPr>
        <w:t xml:space="preserve">effects </w:t>
      </w:r>
      <w:r w:rsidR="009038BF" w:rsidRPr="00E97BC8">
        <w:rPr>
          <w:rFonts w:cs="Times New Roman"/>
          <w:sz w:val="22"/>
          <w:szCs w:val="22"/>
        </w:rPr>
        <w:fldChar w:fldCharType="begin"/>
      </w:r>
      <w:r w:rsidR="008F0947" w:rsidRPr="00E97BC8">
        <w:rPr>
          <w:rFonts w:cs="Times New Roman"/>
          <w:sz w:val="22"/>
          <w:szCs w:val="22"/>
        </w:rPr>
        <w:instrText xml:space="preserve"> ADDIN ZOTERO_ITEM CSL_CITATION {"citationID":"t7SbBeld","properties":{"unsorted":true,"formattedCitation":"(Helveston et al., 2015; Ferguson et al., 2018)","plainCitation":"(Helveston et al., 2015; Ferguson et al., 2018)","noteIndex":0},"citationItems":[{"id":3823,"uris":["http://zotero.org/users/12832277/items/VUMKCYV7"],"itemData":{"id":3823,"type":"article-journal","abstract":"We model consumer preferences for conventional, hybrid electric, plug-in hybrid electric (PHEV), and battery electric (BEV) vehicle technologies in China and the U.S. using data from choice-based conjoint surveys fielded in 2012–2013 in both countries. We find that with the combined bundle of attributes offered by vehicles available today, gasoline vehicles continue in both countries to be most attractive to consumers, and American respondents have significantly lower relative willingness-to-pay for BEV technology than Chinese respondents. While U.S. and Chinese subsidies are similar, favoring vehicles with larger battery packs, differences in consumer preferences lead to different outcomes. Our results suggest that with or without each country’s 2012–2013 subsidies, Chinese consumers are willing to adopt today’s BEVs and mid-range PHEVs at similar rates relative to their respective gasoline counterparts, whereas American consumers prefer low-range PHEVs despite subsidies. This implies potential for earlier BEV adoption in China, given adequate supply. While there are clear national security benefits for adoption of BEVs in China, the local and global social impact is unclear: With higher electricity generation emissions in China, a transition to BEVs may reduce oil consumption at the expense of increased air pollution and/or greenhouse gas emissions. On the other hand, demand from China could increase global incentives for electric vehicle technology development with the potential to reduce emissions in countries where electricity generation is associated with lower emissions.","container-title":"Transportation Research Part A: Policy and Practice","DOI":"10.1016/j.tra.2015.01.002","ISSN":"0965-8564","page":"96-112","source":"ScienceDirect","title":"Will Subsidies Drive Electric Vehicle Adoption? Measuring Consumer Preferences in the U.S. and China","volume":"73","author":[{"family":"Helveston","given":"John Paul"},{"family":"Liu","given":"Yimin"},{"family":"Feit","given":"Elea McDonnell"},{"family":"Fuchs","given":"Erica"},{"family":"Klampfl","given":"Erica"},{"family":"Michalek","given":"Jeremy J."}],"issued":{"date-parts":[["2015",3,1]]}}},{"id":3820,"uris":["http://zotero.org/users/12832277/items/LEIXPNGN"],"itemData":{"id":3820,"type":"article-journal","abstract":"This paper reports on results developed from a 2015 national survey of Canadian consumers that sought to assess attitudes and preferences towards consumer electric vehicles. A latent class discrete choice model was developed based on stated preferences choices. Four classes emerged with each being oriented to one of the primary vehicle technologies considered. The dominant characteristics of the Internal Combustion Engine (ICE)-oriented class are purchase price sensitivity, EV scepticism and an apparent resistance to change; for the Hybrid Electric Vehicle (HEV)-oriented class it is reluctance to plug-in and an unusual combination of high environmental concern and an acceptance to burn gasoline; for the suburban-oriented Plug-in Hybrid Electric Vehicle (PHEV)-oriented class it is measured optimism about plugging-in combined with an orientation to a replacement vehicle for the next purchase; and for the younger and most urban Battery Electric Vehicle (BEV)-oriented class it is the highest optimism about electric vehicles and a focus on positive aspects such as rapid acceleration and minimized maintenance costs. By orientation of household mindset, approximately 40% are ICE, 30% are PHEV, 20% are HEV and 10% are BEV.These results suggest considerable openness to electric vehicles. Willingness-to-pay for vehicle and charging attributes and incentives were calculated and are highly useful in interpreting the latent classes. The results feature interesting geographical variation which is captured at the level of Canadian metropolitan areas.","container-title":"Transportation Research Part D: Transport and Environment","DOI":"10.1016/j.trd.2017.12.006","ISSN":"1361-9209","page":"208-224","source":"ScienceDirect","title":"How Open Are Canadian Households to Electric Vehicles? A National Latent Class Choice Analysis with Willingness-to-Pay and Metropolitan Characterization","volume":"58","author":[{"family":"Ferguson","given":"Mark"},{"family":"Mohamed","given":"Moataz"},{"family":"Higgins","given":"Christopher D."},{"family":"Abotalebi","given":"Elnaz"},{"family":"Kanaroglou","given":"Pavlos"}],"issued":{"date-parts":[["2018",1,1]]}}}],"schema":"https://github.com/citation-style-language/schema/raw/master/csl-citation.json"} </w:instrText>
      </w:r>
      <w:r w:rsidR="009038BF" w:rsidRPr="00E97BC8">
        <w:rPr>
          <w:rFonts w:cs="Times New Roman"/>
          <w:sz w:val="22"/>
          <w:szCs w:val="22"/>
        </w:rPr>
        <w:fldChar w:fldCharType="separate"/>
      </w:r>
      <w:r w:rsidR="001E6A07" w:rsidRPr="00E97BC8">
        <w:rPr>
          <w:rFonts w:cs="Times New Roman"/>
          <w:sz w:val="22"/>
          <w:szCs w:val="22"/>
        </w:rPr>
        <w:t>(Helveston et al., 2015; Ferguson et al., 2018)</w:t>
      </w:r>
      <w:r w:rsidR="009038BF" w:rsidRPr="00E97BC8">
        <w:rPr>
          <w:rFonts w:cs="Times New Roman"/>
          <w:sz w:val="22"/>
          <w:szCs w:val="22"/>
        </w:rPr>
        <w:fldChar w:fldCharType="end"/>
      </w:r>
      <w:r w:rsidR="00BC2916" w:rsidRPr="00E97BC8">
        <w:rPr>
          <w:rFonts w:cs="Times New Roman"/>
          <w:sz w:val="22"/>
          <w:szCs w:val="22"/>
        </w:rPr>
        <w:t xml:space="preserve">. </w:t>
      </w:r>
      <w:r w:rsidR="008D461F" w:rsidRPr="00E97BC8">
        <w:rPr>
          <w:rFonts w:cs="Times New Roman"/>
          <w:sz w:val="22"/>
          <w:szCs w:val="22"/>
        </w:rPr>
        <w:t>The large</w:t>
      </w:r>
      <w:r w:rsidR="00ED47F1" w:rsidRPr="00E97BC8">
        <w:rPr>
          <w:rFonts w:cs="Times New Roman"/>
          <w:sz w:val="22"/>
          <w:szCs w:val="22"/>
        </w:rPr>
        <w:t xml:space="preserve"> positive</w:t>
      </w:r>
      <w:r w:rsidR="008D461F" w:rsidRPr="00E97BC8">
        <w:rPr>
          <w:rFonts w:cs="Times New Roman"/>
          <w:sz w:val="22"/>
          <w:szCs w:val="22"/>
        </w:rPr>
        <w:t xml:space="preserve"> impact of income in our revealed preference dataset suggests that, even though lower income individuals may </w:t>
      </w:r>
      <w:r w:rsidR="00ED47F1" w:rsidRPr="00E97BC8">
        <w:rPr>
          <w:rFonts w:cs="Times New Roman"/>
          <w:sz w:val="22"/>
          <w:szCs w:val="22"/>
        </w:rPr>
        <w:t>have</w:t>
      </w:r>
      <w:r w:rsidR="008D461F" w:rsidRPr="00E97BC8">
        <w:rPr>
          <w:rFonts w:cs="Times New Roman"/>
          <w:sz w:val="22"/>
          <w:szCs w:val="22"/>
        </w:rPr>
        <w:t xml:space="preserve"> interest in EVs, that does not </w:t>
      </w:r>
      <w:r w:rsidR="00AE021D" w:rsidRPr="00E97BC8">
        <w:rPr>
          <w:rFonts w:cs="Times New Roman"/>
          <w:sz w:val="22"/>
          <w:szCs w:val="22"/>
        </w:rPr>
        <w:t xml:space="preserve">currently </w:t>
      </w:r>
      <w:r w:rsidR="008D461F" w:rsidRPr="00E97BC8">
        <w:rPr>
          <w:rFonts w:cs="Times New Roman"/>
          <w:sz w:val="22"/>
          <w:szCs w:val="22"/>
        </w:rPr>
        <w:t xml:space="preserve">translate into actual adoption behaviors. </w:t>
      </w:r>
      <w:r w:rsidR="00B15C09" w:rsidRPr="00E97BC8">
        <w:rPr>
          <w:rFonts w:cs="Times New Roman"/>
          <w:sz w:val="22"/>
          <w:szCs w:val="22"/>
        </w:rPr>
        <w:t xml:space="preserve">The importance of household income as a determinant of EV adoption </w:t>
      </w:r>
      <w:r w:rsidR="00AE021D" w:rsidRPr="00E97BC8">
        <w:rPr>
          <w:rFonts w:cs="Times New Roman"/>
          <w:sz w:val="22"/>
          <w:szCs w:val="22"/>
        </w:rPr>
        <w:t xml:space="preserve">may point </w:t>
      </w:r>
      <w:r w:rsidR="00091A5D" w:rsidRPr="00E97BC8">
        <w:rPr>
          <w:rFonts w:cs="Times New Roman"/>
          <w:sz w:val="22"/>
          <w:szCs w:val="22"/>
        </w:rPr>
        <w:t xml:space="preserve">to </w:t>
      </w:r>
      <w:r w:rsidR="00AE021D" w:rsidRPr="00E97BC8">
        <w:rPr>
          <w:rFonts w:cs="Times New Roman"/>
          <w:sz w:val="22"/>
          <w:szCs w:val="22"/>
        </w:rPr>
        <w:t xml:space="preserve">the early stage of the EV </w:t>
      </w:r>
      <w:r w:rsidR="00AE021D" w:rsidRPr="00E97BC8">
        <w:rPr>
          <w:rFonts w:cs="Times New Roman"/>
          <w:sz w:val="22"/>
          <w:szCs w:val="22"/>
        </w:rPr>
        <w:lastRenderedPageBreak/>
        <w:t xml:space="preserve">market, high purchase prices of EVs, and </w:t>
      </w:r>
      <w:r w:rsidR="00B15C09" w:rsidRPr="00E97BC8">
        <w:rPr>
          <w:rFonts w:cs="Times New Roman"/>
          <w:sz w:val="22"/>
          <w:szCs w:val="22"/>
        </w:rPr>
        <w:t xml:space="preserve">the necessity of </w:t>
      </w:r>
      <w:r w:rsidR="00AE021D" w:rsidRPr="00E97BC8">
        <w:rPr>
          <w:rFonts w:cs="Times New Roman"/>
          <w:sz w:val="22"/>
          <w:szCs w:val="22"/>
        </w:rPr>
        <w:t xml:space="preserve">providing </w:t>
      </w:r>
      <w:r w:rsidR="00B15C09" w:rsidRPr="00E97BC8">
        <w:rPr>
          <w:rFonts w:cs="Times New Roman"/>
          <w:sz w:val="22"/>
          <w:szCs w:val="22"/>
        </w:rPr>
        <w:t>incentive</w:t>
      </w:r>
      <w:r w:rsidR="00AE021D" w:rsidRPr="00E97BC8">
        <w:rPr>
          <w:rFonts w:cs="Times New Roman"/>
          <w:sz w:val="22"/>
          <w:szCs w:val="22"/>
        </w:rPr>
        <w:t>s</w:t>
      </w:r>
      <w:r w:rsidR="00B15C09" w:rsidRPr="00E97BC8">
        <w:rPr>
          <w:rFonts w:cs="Times New Roman"/>
          <w:sz w:val="22"/>
          <w:szCs w:val="22"/>
        </w:rPr>
        <w:t xml:space="preserve"> </w:t>
      </w:r>
      <w:r w:rsidR="00AE021D" w:rsidRPr="00E97BC8">
        <w:rPr>
          <w:rFonts w:cs="Times New Roman"/>
          <w:sz w:val="22"/>
          <w:szCs w:val="22"/>
        </w:rPr>
        <w:t>that meet the</w:t>
      </w:r>
      <w:r w:rsidR="00B15C09" w:rsidRPr="00E97BC8">
        <w:rPr>
          <w:rFonts w:cs="Times New Roman"/>
          <w:sz w:val="22"/>
          <w:szCs w:val="22"/>
        </w:rPr>
        <w:t xml:space="preserve"> needs of middle and lower-income households.</w:t>
      </w:r>
      <w:r w:rsidR="00E86C74" w:rsidRPr="00E97BC8">
        <w:rPr>
          <w:rFonts w:cs="Times New Roman"/>
          <w:sz w:val="22"/>
          <w:szCs w:val="22"/>
        </w:rPr>
        <w:t xml:space="preserve"> </w:t>
      </w:r>
      <w:r w:rsidR="00691F79" w:rsidRPr="00E97BC8">
        <w:rPr>
          <w:rFonts w:cs="Times New Roman"/>
          <w:sz w:val="22"/>
          <w:szCs w:val="22"/>
        </w:rPr>
        <w:t xml:space="preserve">Expanding the availability of </w:t>
      </w:r>
      <w:r w:rsidR="00A20748" w:rsidRPr="00E97BC8">
        <w:rPr>
          <w:rFonts w:cs="Times New Roman"/>
          <w:sz w:val="22"/>
          <w:szCs w:val="22"/>
        </w:rPr>
        <w:t xml:space="preserve">incentive structures </w:t>
      </w:r>
      <w:r w:rsidR="0047764D" w:rsidRPr="00E97BC8">
        <w:rPr>
          <w:rFonts w:cs="Times New Roman"/>
          <w:sz w:val="22"/>
          <w:szCs w:val="22"/>
        </w:rPr>
        <w:t>direct</w:t>
      </w:r>
      <w:r w:rsidR="00E075D0" w:rsidRPr="00E97BC8">
        <w:rPr>
          <w:rFonts w:cs="Times New Roman"/>
          <w:sz w:val="22"/>
          <w:szCs w:val="22"/>
        </w:rPr>
        <w:t>ed</w:t>
      </w:r>
      <w:r w:rsidR="0047764D" w:rsidRPr="00E97BC8">
        <w:rPr>
          <w:rFonts w:cs="Times New Roman"/>
          <w:sz w:val="22"/>
          <w:szCs w:val="22"/>
        </w:rPr>
        <w:t xml:space="preserve"> toward low-income consumers, </w:t>
      </w:r>
      <w:r w:rsidR="00997269" w:rsidRPr="00E97BC8">
        <w:rPr>
          <w:rFonts w:cs="Times New Roman"/>
          <w:sz w:val="22"/>
          <w:szCs w:val="22"/>
        </w:rPr>
        <w:t>which</w:t>
      </w:r>
      <w:r w:rsidR="00E075D0" w:rsidRPr="00E97BC8">
        <w:rPr>
          <w:rFonts w:cs="Times New Roman"/>
          <w:sz w:val="22"/>
          <w:szCs w:val="22"/>
        </w:rPr>
        <w:t xml:space="preserve"> </w:t>
      </w:r>
      <w:r w:rsidR="0047764D" w:rsidRPr="00E97BC8">
        <w:rPr>
          <w:rFonts w:cs="Times New Roman"/>
          <w:sz w:val="22"/>
          <w:szCs w:val="22"/>
        </w:rPr>
        <w:t>provide point-of-sale support</w:t>
      </w:r>
      <w:r w:rsidR="002C2346" w:rsidRPr="00E97BC8">
        <w:rPr>
          <w:rFonts w:cs="Times New Roman"/>
          <w:sz w:val="22"/>
          <w:szCs w:val="22"/>
        </w:rPr>
        <w:t xml:space="preserve"> and are specifically targeted towards lower-cost vehicles</w:t>
      </w:r>
      <w:r w:rsidR="0047764D" w:rsidRPr="00E97BC8">
        <w:rPr>
          <w:rFonts w:cs="Times New Roman"/>
          <w:sz w:val="22"/>
          <w:szCs w:val="22"/>
        </w:rPr>
        <w:t>, will more effectively incentivize adoption for a broader population. At the same time, t</w:t>
      </w:r>
      <w:r w:rsidR="00E86C74" w:rsidRPr="00E97BC8">
        <w:rPr>
          <w:rFonts w:cs="Times New Roman"/>
          <w:sz w:val="22"/>
          <w:szCs w:val="22"/>
        </w:rPr>
        <w:t>he development of a robust secondary market for EVs represents a</w:t>
      </w:r>
      <w:r w:rsidR="00082FF4" w:rsidRPr="00E97BC8">
        <w:rPr>
          <w:rFonts w:cs="Times New Roman"/>
          <w:sz w:val="22"/>
          <w:szCs w:val="22"/>
        </w:rPr>
        <w:t xml:space="preserve">n important </w:t>
      </w:r>
      <w:r w:rsidR="00E86C74" w:rsidRPr="00E97BC8">
        <w:rPr>
          <w:rFonts w:cs="Times New Roman"/>
          <w:sz w:val="22"/>
          <w:szCs w:val="22"/>
        </w:rPr>
        <w:t xml:space="preserve">pathway for expanding adoption among lower-income households, who might otherwise be excluded from the EV market due to </w:t>
      </w:r>
      <w:r w:rsidR="00B944A4" w:rsidRPr="00E97BC8">
        <w:rPr>
          <w:rFonts w:cs="Times New Roman"/>
          <w:sz w:val="22"/>
          <w:szCs w:val="22"/>
        </w:rPr>
        <w:t xml:space="preserve">the </w:t>
      </w:r>
      <w:r w:rsidR="00E86C74" w:rsidRPr="00E97BC8">
        <w:rPr>
          <w:rFonts w:cs="Times New Roman"/>
          <w:sz w:val="22"/>
          <w:szCs w:val="22"/>
        </w:rPr>
        <w:t xml:space="preserve">high initial purchase </w:t>
      </w:r>
      <w:r w:rsidR="00B944A4" w:rsidRPr="00E97BC8">
        <w:rPr>
          <w:rFonts w:cs="Times New Roman"/>
          <w:sz w:val="22"/>
          <w:szCs w:val="22"/>
        </w:rPr>
        <w:t>price</w:t>
      </w:r>
      <w:r w:rsidR="00F865D3" w:rsidRPr="00E97BC8">
        <w:rPr>
          <w:rFonts w:cs="Times New Roman"/>
          <w:sz w:val="22"/>
          <w:szCs w:val="22"/>
        </w:rPr>
        <w:t xml:space="preserve"> of new vehicles</w:t>
      </w:r>
      <w:r w:rsidR="00E86C74" w:rsidRPr="00E97BC8">
        <w:rPr>
          <w:rFonts w:cs="Times New Roman"/>
          <w:sz w:val="22"/>
          <w:szCs w:val="22"/>
        </w:rPr>
        <w:t xml:space="preserve">. </w:t>
      </w:r>
      <w:r w:rsidR="00F865D3" w:rsidRPr="00E97BC8">
        <w:rPr>
          <w:rFonts w:cs="Times New Roman"/>
          <w:sz w:val="22"/>
          <w:szCs w:val="22"/>
        </w:rPr>
        <w:t>Thus, strategies specifically designed to facilitate the development of a healthy used</w:t>
      </w:r>
      <w:r w:rsidR="009E1B91" w:rsidRPr="00E97BC8">
        <w:rPr>
          <w:rFonts w:cs="Times New Roman"/>
          <w:sz w:val="22"/>
          <w:szCs w:val="22"/>
        </w:rPr>
        <w:t xml:space="preserve"> (pre-owned)</w:t>
      </w:r>
      <w:r w:rsidR="00F865D3" w:rsidRPr="00E97BC8">
        <w:rPr>
          <w:rFonts w:cs="Times New Roman"/>
          <w:sz w:val="22"/>
          <w:szCs w:val="22"/>
        </w:rPr>
        <w:t xml:space="preserve"> EV market through mechanisms such as battery warranty programs and certified pre-owned initiatives</w:t>
      </w:r>
      <w:r w:rsidR="006429C8" w:rsidRPr="00E97BC8">
        <w:rPr>
          <w:rFonts w:cs="Times New Roman"/>
          <w:sz w:val="22"/>
          <w:szCs w:val="22"/>
        </w:rPr>
        <w:t xml:space="preserve"> that reduce the risks for consumers </w:t>
      </w:r>
      <w:r w:rsidR="002A29C1" w:rsidRPr="00E97BC8">
        <w:rPr>
          <w:rFonts w:cs="Times New Roman"/>
          <w:sz w:val="22"/>
          <w:szCs w:val="22"/>
        </w:rPr>
        <w:fldChar w:fldCharType="begin"/>
      </w:r>
      <w:r w:rsidR="002A29C1" w:rsidRPr="00E97BC8">
        <w:rPr>
          <w:rFonts w:cs="Times New Roman"/>
          <w:sz w:val="22"/>
          <w:szCs w:val="22"/>
        </w:rPr>
        <w:instrText xml:space="preserve"> ADDIN ZOTERO_ITEM CSL_CITATION {"citationID":"BmBAQj7h","properties":{"formattedCitation":"(Zou et al., 2024)","plainCitation":"(Zou et al., 2024)","noteIndex":0},"citationItems":[{"id":3790,"uris":["http://zotero.org/users/12832277/items/7Z5LL8YL"],"itemData":{"id":3790,"type":"article-journal","abstract":"A thriving electric vehicles (EVs) market serves as a pivotal embodiment of the global push towards sustainable mobility. As one of the leading global EV sellers, China owns a huge used EV market, which should be spotlighted. While most studies focus on the mechanism of new EV purchases, few put their insight into the trade of used EVs. To fill this gap, this paper aims to clarify the mechanism of consumption behaviour towards used EVs. First, we identified 11 variables that have a direct or indirect impact on consumers’ purchase intention and constructed a conceptual framework. Then, we checked the structural relationships of the model through an empirical study (n = 431). The results showed that purchase intention was determined by two variables: perceived risk and attitude. We also observed an association between income and purchase intention. Functional risk had a direct and significant impact on perceived risk. Economic value, brand trust, and after-sales service were crucial predictors of attitude. Education could moderate the relationship between attitudes and purchase intention. Based on theoretical findings, we present the design strategies to enhance consumers’ purchase willingness from car companies’ and policymakers’ viewpoints. In practical situations, this article offers valuable insights for stakeholders related to the used EV industry, providing a critical reference for advancing sustainable mobility.","container-title":"Sustainability","DOI":"10.3390/su16198588","ISSN":"2071-1050","issue":"19","language":"en","license":"http://creativecommons.org/licenses/by/3.0/","note":"number: 19\npublisher: Multidisciplinary Digital Publishing Institute","page":"8588","source":"www.mdpi.com","title":"Towards Sustainable Mobility: Determinants of Intention to Purchase Used Electric Vehicles in China","volume":"16","author":[{"family":"Zou","given":"Jinzhi"},{"family":"Kamarudin","given":"Khairul Manami"},{"family":"Liu","given":"Jing"},{"family":"Zhang","given":"Jiaqi"}],"issued":{"date-parts":[["2024",1]]}}}],"schema":"https://github.com/citation-style-language/schema/raw/master/csl-citation.json"} </w:instrText>
      </w:r>
      <w:r w:rsidR="002A29C1" w:rsidRPr="00E97BC8">
        <w:rPr>
          <w:rFonts w:cs="Times New Roman"/>
          <w:sz w:val="22"/>
          <w:szCs w:val="22"/>
        </w:rPr>
        <w:fldChar w:fldCharType="separate"/>
      </w:r>
      <w:r w:rsidR="001E6A07" w:rsidRPr="00E97BC8">
        <w:rPr>
          <w:rFonts w:cs="Times New Roman"/>
          <w:sz w:val="22"/>
          <w:szCs w:val="22"/>
        </w:rPr>
        <w:t>(Zou et al., 2024)</w:t>
      </w:r>
      <w:r w:rsidR="002A29C1" w:rsidRPr="00E97BC8">
        <w:rPr>
          <w:rFonts w:cs="Times New Roman"/>
          <w:sz w:val="22"/>
          <w:szCs w:val="22"/>
        </w:rPr>
        <w:fldChar w:fldCharType="end"/>
      </w:r>
      <w:r w:rsidR="00F865D3" w:rsidRPr="00E97BC8">
        <w:rPr>
          <w:rFonts w:cs="Times New Roman"/>
          <w:sz w:val="22"/>
          <w:szCs w:val="22"/>
        </w:rPr>
        <w:t xml:space="preserve"> may be more effective </w:t>
      </w:r>
      <w:r w:rsidR="00FB4A33" w:rsidRPr="00E97BC8">
        <w:rPr>
          <w:rFonts w:cs="Times New Roman"/>
          <w:sz w:val="22"/>
          <w:szCs w:val="22"/>
        </w:rPr>
        <w:t xml:space="preserve">for lower-income </w:t>
      </w:r>
      <w:r w:rsidR="000E1B9D" w:rsidRPr="00E97BC8">
        <w:rPr>
          <w:rFonts w:cs="Times New Roman"/>
          <w:sz w:val="22"/>
          <w:szCs w:val="22"/>
        </w:rPr>
        <w:t>households and</w:t>
      </w:r>
      <w:r w:rsidR="00FB4A33" w:rsidRPr="00E97BC8">
        <w:rPr>
          <w:rFonts w:cs="Times New Roman"/>
          <w:sz w:val="22"/>
          <w:szCs w:val="22"/>
        </w:rPr>
        <w:t xml:space="preserve"> should be implemented alongside existing </w:t>
      </w:r>
      <w:r w:rsidR="00A227A0" w:rsidRPr="00E97BC8">
        <w:rPr>
          <w:rFonts w:cs="Times New Roman"/>
          <w:sz w:val="22"/>
          <w:szCs w:val="22"/>
        </w:rPr>
        <w:t xml:space="preserve">incentive programs for new EVs. </w:t>
      </w:r>
      <w:r w:rsidR="009B0614" w:rsidRPr="00E97BC8">
        <w:rPr>
          <w:rFonts w:cs="Times New Roman"/>
          <w:sz w:val="22"/>
          <w:szCs w:val="22"/>
        </w:rPr>
        <w:t>Supporting lower</w:t>
      </w:r>
      <w:r w:rsidR="00091A5D" w:rsidRPr="00E97BC8">
        <w:rPr>
          <w:rFonts w:cs="Times New Roman"/>
          <w:sz w:val="22"/>
          <w:szCs w:val="22"/>
        </w:rPr>
        <w:t>-</w:t>
      </w:r>
      <w:r w:rsidR="009B0614" w:rsidRPr="00E97BC8">
        <w:rPr>
          <w:rFonts w:cs="Times New Roman"/>
          <w:sz w:val="22"/>
          <w:szCs w:val="22"/>
        </w:rPr>
        <w:t>income households could also include providing incentives to he</w:t>
      </w:r>
      <w:r w:rsidR="00091A5D" w:rsidRPr="00E97BC8">
        <w:rPr>
          <w:rFonts w:cs="Times New Roman"/>
          <w:sz w:val="22"/>
          <w:szCs w:val="22"/>
        </w:rPr>
        <w:t>l</w:t>
      </w:r>
      <w:r w:rsidR="009B0614" w:rsidRPr="00E97BC8">
        <w:rPr>
          <w:rFonts w:cs="Times New Roman"/>
          <w:sz w:val="22"/>
          <w:szCs w:val="22"/>
        </w:rPr>
        <w:t>p cover the costs of home charger installation and supporting and developing programs that install chargers in multi-unit housing.</w:t>
      </w:r>
    </w:p>
    <w:p w14:paraId="017818D6" w14:textId="455BB2F0" w:rsidR="00047C21" w:rsidRPr="00E97BC8" w:rsidRDefault="003E5476" w:rsidP="00E85093">
      <w:pPr>
        <w:spacing w:after="0" w:line="240" w:lineRule="auto"/>
        <w:ind w:firstLine="720"/>
        <w:jc w:val="both"/>
        <w:rPr>
          <w:rFonts w:cs="Times New Roman"/>
          <w:b/>
          <w:bCs/>
          <w:sz w:val="22"/>
          <w:szCs w:val="22"/>
        </w:rPr>
      </w:pPr>
      <w:r w:rsidRPr="00E97BC8">
        <w:rPr>
          <w:rFonts w:cs="Times New Roman"/>
          <w:sz w:val="22"/>
          <w:szCs w:val="22"/>
        </w:rPr>
        <w:t>Further</w:t>
      </w:r>
      <w:r w:rsidR="00C73D84" w:rsidRPr="00E97BC8">
        <w:rPr>
          <w:rFonts w:cs="Times New Roman"/>
          <w:sz w:val="22"/>
          <w:szCs w:val="22"/>
        </w:rPr>
        <w:t>, we are able to partition</w:t>
      </w:r>
      <w:r w:rsidRPr="00E97BC8">
        <w:rPr>
          <w:rFonts w:cs="Times New Roman"/>
          <w:sz w:val="22"/>
          <w:szCs w:val="22"/>
        </w:rPr>
        <w:t xml:space="preserve"> the education and income effects </w:t>
      </w:r>
      <w:r w:rsidR="00C73D84" w:rsidRPr="00E97BC8">
        <w:rPr>
          <w:rFonts w:cs="Times New Roman"/>
          <w:sz w:val="22"/>
          <w:szCs w:val="22"/>
        </w:rPr>
        <w:t xml:space="preserve">into </w:t>
      </w:r>
      <w:r w:rsidR="006C1FB0" w:rsidRPr="00E97BC8">
        <w:rPr>
          <w:rFonts w:cs="Times New Roman"/>
          <w:sz w:val="22"/>
          <w:szCs w:val="22"/>
        </w:rPr>
        <w:t xml:space="preserve">several </w:t>
      </w:r>
      <w:r w:rsidR="00C73D84" w:rsidRPr="00E97BC8">
        <w:rPr>
          <w:rFonts w:cs="Times New Roman"/>
          <w:sz w:val="22"/>
          <w:szCs w:val="22"/>
        </w:rPr>
        <w:t xml:space="preserve">attitudinal </w:t>
      </w:r>
      <w:r w:rsidR="007E0CAB" w:rsidRPr="00E97BC8">
        <w:rPr>
          <w:rFonts w:cs="Times New Roman"/>
          <w:sz w:val="22"/>
          <w:szCs w:val="22"/>
        </w:rPr>
        <w:t>pathways</w:t>
      </w:r>
      <w:r w:rsidRPr="00E97BC8">
        <w:rPr>
          <w:rFonts w:cs="Times New Roman"/>
          <w:sz w:val="22"/>
          <w:szCs w:val="22"/>
        </w:rPr>
        <w:t xml:space="preserve"> that reveal </w:t>
      </w:r>
      <w:r w:rsidR="00742CAA" w:rsidRPr="00E97BC8">
        <w:rPr>
          <w:rFonts w:cs="Times New Roman"/>
          <w:sz w:val="22"/>
          <w:szCs w:val="22"/>
        </w:rPr>
        <w:t>how attitudes influence adoption</w:t>
      </w:r>
      <w:r w:rsidR="00C73D84" w:rsidRPr="00E97BC8">
        <w:rPr>
          <w:rFonts w:cs="Times New Roman"/>
          <w:sz w:val="22"/>
          <w:szCs w:val="22"/>
        </w:rPr>
        <w:t xml:space="preserve">. </w:t>
      </w:r>
      <w:r w:rsidR="00E075D0" w:rsidRPr="00E97BC8">
        <w:rPr>
          <w:rFonts w:cs="Times New Roman"/>
          <w:sz w:val="22"/>
          <w:szCs w:val="22"/>
        </w:rPr>
        <w:t>In particular</w:t>
      </w:r>
      <w:r w:rsidR="00C73D84" w:rsidRPr="00E97BC8">
        <w:rPr>
          <w:rFonts w:cs="Times New Roman"/>
          <w:sz w:val="22"/>
          <w:szCs w:val="22"/>
        </w:rPr>
        <w:t xml:space="preserve">, higher EV adoption rates for those living in higher-income households and those with more formal education are due </w:t>
      </w:r>
      <w:r w:rsidR="002C2346" w:rsidRPr="00E97BC8">
        <w:rPr>
          <w:rFonts w:cs="Times New Roman"/>
          <w:sz w:val="22"/>
          <w:szCs w:val="22"/>
        </w:rPr>
        <w:t xml:space="preserve">in large part to higher CMP and GLP. The importance of cost perceptions </w:t>
      </w:r>
      <w:r w:rsidR="0041353E" w:rsidRPr="00E97BC8">
        <w:rPr>
          <w:rFonts w:cs="Times New Roman"/>
          <w:sz w:val="22"/>
          <w:szCs w:val="22"/>
        </w:rPr>
        <w:t>for</w:t>
      </w:r>
      <w:r w:rsidR="002C2346" w:rsidRPr="00E97BC8">
        <w:rPr>
          <w:rFonts w:cs="Times New Roman"/>
          <w:sz w:val="22"/>
          <w:szCs w:val="22"/>
        </w:rPr>
        <w:t xml:space="preserve"> EV adoption decision</w:t>
      </w:r>
      <w:r w:rsidR="0041353E" w:rsidRPr="00E97BC8">
        <w:rPr>
          <w:rFonts w:cs="Times New Roman"/>
          <w:sz w:val="22"/>
          <w:szCs w:val="22"/>
        </w:rPr>
        <w:t>s</w:t>
      </w:r>
      <w:r w:rsidR="002C2346" w:rsidRPr="00E97BC8">
        <w:rPr>
          <w:rFonts w:cs="Times New Roman"/>
          <w:sz w:val="22"/>
          <w:szCs w:val="22"/>
        </w:rPr>
        <w:t xml:space="preserve"> </w:t>
      </w:r>
      <w:r w:rsidR="00B40CD3" w:rsidRPr="00E97BC8">
        <w:rPr>
          <w:rFonts w:cs="Times New Roman"/>
          <w:sz w:val="22"/>
          <w:szCs w:val="22"/>
        </w:rPr>
        <w:t>(which may improve as</w:t>
      </w:r>
      <w:r w:rsidR="0041353E" w:rsidRPr="00E97BC8">
        <w:rPr>
          <w:rFonts w:cs="Times New Roman"/>
          <w:sz w:val="22"/>
          <w:szCs w:val="22"/>
        </w:rPr>
        <w:t xml:space="preserve"> EV buyers learn more about cost savings</w:t>
      </w:r>
      <w:r w:rsidR="00B6567B" w:rsidRPr="00E97BC8">
        <w:rPr>
          <w:rFonts w:cs="Times New Roman"/>
          <w:sz w:val="22"/>
          <w:szCs w:val="22"/>
        </w:rPr>
        <w:t xml:space="preserve"> after adoption</w:t>
      </w:r>
      <w:r w:rsidR="00B40CD3" w:rsidRPr="00E97BC8">
        <w:rPr>
          <w:rFonts w:cs="Times New Roman"/>
          <w:sz w:val="22"/>
          <w:szCs w:val="22"/>
        </w:rPr>
        <w:t xml:space="preserve">) </w:t>
      </w:r>
      <w:r w:rsidR="002C2346" w:rsidRPr="00E97BC8">
        <w:rPr>
          <w:rFonts w:cs="Times New Roman"/>
          <w:sz w:val="22"/>
          <w:szCs w:val="22"/>
        </w:rPr>
        <w:t xml:space="preserve">points to the need for targeted educational campaigns </w:t>
      </w:r>
      <w:r w:rsidR="00B40CD3" w:rsidRPr="00E97BC8">
        <w:rPr>
          <w:rFonts w:cs="Times New Roman"/>
          <w:sz w:val="22"/>
          <w:szCs w:val="22"/>
        </w:rPr>
        <w:t>that</w:t>
      </w:r>
      <w:r w:rsidR="002C2346" w:rsidRPr="00E97BC8">
        <w:rPr>
          <w:rFonts w:cs="Times New Roman"/>
          <w:sz w:val="22"/>
          <w:szCs w:val="22"/>
        </w:rPr>
        <w:t xml:space="preserve"> emphasize total cost of ownership advantages</w:t>
      </w:r>
      <w:r w:rsidR="009B49E0" w:rsidRPr="00E97BC8">
        <w:rPr>
          <w:rFonts w:cs="Times New Roman"/>
          <w:sz w:val="22"/>
          <w:szCs w:val="22"/>
        </w:rPr>
        <w:t xml:space="preserve">, </w:t>
      </w:r>
      <w:r w:rsidR="005431EF" w:rsidRPr="00E97BC8">
        <w:rPr>
          <w:rFonts w:cs="Times New Roman"/>
          <w:sz w:val="22"/>
          <w:szCs w:val="22"/>
        </w:rPr>
        <w:t>especially</w:t>
      </w:r>
      <w:r w:rsidR="009B49E0" w:rsidRPr="00E97BC8">
        <w:rPr>
          <w:rFonts w:cs="Times New Roman"/>
          <w:sz w:val="22"/>
          <w:szCs w:val="22"/>
        </w:rPr>
        <w:t xml:space="preserve"> in regions with lower </w:t>
      </w:r>
      <w:r w:rsidR="005431EF" w:rsidRPr="00E97BC8">
        <w:rPr>
          <w:rFonts w:cs="Times New Roman"/>
          <w:sz w:val="22"/>
          <w:szCs w:val="22"/>
        </w:rPr>
        <w:t>electricity</w:t>
      </w:r>
      <w:r w:rsidR="009B49E0" w:rsidRPr="00E97BC8">
        <w:rPr>
          <w:rFonts w:cs="Times New Roman"/>
          <w:sz w:val="22"/>
          <w:szCs w:val="22"/>
        </w:rPr>
        <w:t xml:space="preserve"> rates,</w:t>
      </w:r>
      <w:r w:rsidR="0041353E" w:rsidRPr="00E97BC8">
        <w:rPr>
          <w:rFonts w:cs="Times New Roman"/>
          <w:sz w:val="22"/>
          <w:szCs w:val="22"/>
        </w:rPr>
        <w:t xml:space="preserve"> for households who have not yet adopted an EV</w:t>
      </w:r>
      <w:r w:rsidR="002C2346" w:rsidRPr="00E97BC8">
        <w:rPr>
          <w:rFonts w:cs="Times New Roman"/>
          <w:sz w:val="22"/>
          <w:szCs w:val="22"/>
        </w:rPr>
        <w:t xml:space="preserve">. </w:t>
      </w:r>
      <w:r w:rsidR="007B5D10" w:rsidRPr="00E97BC8">
        <w:rPr>
          <w:rFonts w:cs="Times New Roman"/>
          <w:sz w:val="22"/>
          <w:szCs w:val="22"/>
        </w:rPr>
        <w:t xml:space="preserve">Specifically, given that lower-income individuals seem to be motivated more by the rising cost of gas prices, these campaigns should emphasize the financial benefits of EV charging relative to fueling ICEVs. </w:t>
      </w:r>
      <w:r w:rsidR="002C2346" w:rsidRPr="00E97BC8">
        <w:rPr>
          <w:rFonts w:cs="Times New Roman"/>
          <w:sz w:val="22"/>
          <w:szCs w:val="22"/>
        </w:rPr>
        <w:t>Similarly, given the substantial influence of GLP, t</w:t>
      </w:r>
      <w:r w:rsidR="00402BC1" w:rsidRPr="00E97BC8">
        <w:rPr>
          <w:rFonts w:cs="Times New Roman"/>
          <w:sz w:val="22"/>
          <w:szCs w:val="22"/>
        </w:rPr>
        <w:t xml:space="preserve">he importance of </w:t>
      </w:r>
      <w:r w:rsidR="00636D73" w:rsidRPr="00E97BC8">
        <w:rPr>
          <w:rFonts w:cs="Times New Roman"/>
          <w:sz w:val="22"/>
          <w:szCs w:val="22"/>
        </w:rPr>
        <w:t xml:space="preserve">environmental consciousness to the EV adoption decision </w:t>
      </w:r>
      <w:r w:rsidR="002C2346" w:rsidRPr="00E97BC8">
        <w:rPr>
          <w:rFonts w:cs="Times New Roman"/>
          <w:sz w:val="22"/>
          <w:szCs w:val="22"/>
        </w:rPr>
        <w:t xml:space="preserve">should not be overlooked. </w:t>
      </w:r>
      <w:r w:rsidR="00D138B4" w:rsidRPr="00E97BC8">
        <w:rPr>
          <w:rFonts w:cs="Times New Roman"/>
          <w:sz w:val="22"/>
          <w:szCs w:val="22"/>
        </w:rPr>
        <w:t xml:space="preserve">Concurrently, higher income individuals are more heavily influenced by their level of GLP (as seen by the interactions in Table 4) while lower-income individuals </w:t>
      </w:r>
      <w:r w:rsidR="00DD4BED" w:rsidRPr="00E97BC8">
        <w:rPr>
          <w:rFonts w:cs="Times New Roman"/>
          <w:sz w:val="22"/>
          <w:szCs w:val="22"/>
        </w:rPr>
        <w:t>are</w:t>
      </w:r>
      <w:r w:rsidR="00D138B4" w:rsidRPr="00E97BC8">
        <w:rPr>
          <w:rFonts w:cs="Times New Roman"/>
          <w:sz w:val="22"/>
          <w:szCs w:val="22"/>
        </w:rPr>
        <w:t xml:space="preserve"> more motivated by more immediate economic concerns even if they have high levels of GLP. Therefore, i</w:t>
      </w:r>
      <w:r w:rsidR="002C2346" w:rsidRPr="00E97BC8">
        <w:rPr>
          <w:rFonts w:cs="Times New Roman"/>
          <w:sz w:val="22"/>
          <w:szCs w:val="22"/>
        </w:rPr>
        <w:t xml:space="preserve">nformation provision </w:t>
      </w:r>
      <w:r w:rsidR="003F2070" w:rsidRPr="00E97BC8">
        <w:rPr>
          <w:rFonts w:cs="Times New Roman"/>
          <w:sz w:val="22"/>
          <w:szCs w:val="22"/>
        </w:rPr>
        <w:t>strategies</w:t>
      </w:r>
      <w:r w:rsidR="00D138B4" w:rsidRPr="00E97BC8">
        <w:rPr>
          <w:rFonts w:cs="Times New Roman"/>
          <w:sz w:val="22"/>
          <w:szCs w:val="22"/>
        </w:rPr>
        <w:t xml:space="preserve"> should be designed</w:t>
      </w:r>
      <w:r w:rsidR="003F2070" w:rsidRPr="00E97BC8">
        <w:rPr>
          <w:rFonts w:cs="Times New Roman"/>
          <w:sz w:val="22"/>
          <w:szCs w:val="22"/>
        </w:rPr>
        <w:t xml:space="preserve"> </w:t>
      </w:r>
      <w:r w:rsidR="00D138B4" w:rsidRPr="00E97BC8">
        <w:rPr>
          <w:rFonts w:cs="Times New Roman"/>
          <w:sz w:val="22"/>
          <w:szCs w:val="22"/>
        </w:rPr>
        <w:t>to highlight</w:t>
      </w:r>
      <w:r w:rsidR="00E931E9" w:rsidRPr="00E97BC8">
        <w:rPr>
          <w:rFonts w:cs="Times New Roman"/>
          <w:sz w:val="22"/>
          <w:szCs w:val="22"/>
        </w:rPr>
        <w:t xml:space="preserve"> the </w:t>
      </w:r>
      <w:r w:rsidR="005B23AF" w:rsidRPr="00E97BC8">
        <w:rPr>
          <w:rFonts w:cs="Times New Roman"/>
          <w:sz w:val="22"/>
          <w:szCs w:val="22"/>
        </w:rPr>
        <w:t>immediate</w:t>
      </w:r>
      <w:r w:rsidR="00E931E9" w:rsidRPr="00E97BC8">
        <w:rPr>
          <w:rFonts w:cs="Times New Roman"/>
          <w:sz w:val="22"/>
          <w:szCs w:val="22"/>
        </w:rPr>
        <w:t xml:space="preserve"> environmental benefits of EVs</w:t>
      </w:r>
      <w:r w:rsidR="005B23AF" w:rsidRPr="00E97BC8">
        <w:rPr>
          <w:rFonts w:cs="Times New Roman"/>
          <w:sz w:val="22"/>
          <w:szCs w:val="22"/>
        </w:rPr>
        <w:t xml:space="preserve">, </w:t>
      </w:r>
      <w:r w:rsidR="00A0127E" w:rsidRPr="00E97BC8">
        <w:rPr>
          <w:rFonts w:cs="Times New Roman"/>
          <w:sz w:val="22"/>
          <w:szCs w:val="22"/>
        </w:rPr>
        <w:t>placing these impacts in the context of</w:t>
      </w:r>
      <w:r w:rsidR="005B23AF" w:rsidRPr="00E97BC8">
        <w:rPr>
          <w:rFonts w:cs="Times New Roman"/>
          <w:sz w:val="22"/>
          <w:szCs w:val="22"/>
        </w:rPr>
        <w:t xml:space="preserve"> </w:t>
      </w:r>
      <w:r w:rsidR="003C2900" w:rsidRPr="00E97BC8">
        <w:rPr>
          <w:rFonts w:cs="Times New Roman"/>
          <w:sz w:val="22"/>
          <w:szCs w:val="22"/>
        </w:rPr>
        <w:t>specific communit</w:t>
      </w:r>
      <w:r w:rsidR="00506283" w:rsidRPr="00E97BC8">
        <w:rPr>
          <w:rFonts w:cs="Times New Roman"/>
          <w:sz w:val="22"/>
          <w:szCs w:val="22"/>
        </w:rPr>
        <w:t>ies</w:t>
      </w:r>
      <w:r w:rsidR="00D138B4" w:rsidRPr="00E97BC8">
        <w:rPr>
          <w:rFonts w:cs="Times New Roman"/>
          <w:sz w:val="22"/>
          <w:szCs w:val="22"/>
        </w:rPr>
        <w:t xml:space="preserve">. </w:t>
      </w:r>
      <w:r w:rsidR="007B5D10" w:rsidRPr="00E97BC8">
        <w:rPr>
          <w:rFonts w:cs="Times New Roman"/>
          <w:sz w:val="22"/>
          <w:szCs w:val="22"/>
        </w:rPr>
        <w:t xml:space="preserve">This is especially so for older individuals, who are much more likely to adopt EVs overall and due specifically to the motivation of concerns of climate change, when they have a higher level of GLP. </w:t>
      </w:r>
      <w:r w:rsidR="00D138B4" w:rsidRPr="00E97BC8">
        <w:rPr>
          <w:rFonts w:cs="Times New Roman"/>
          <w:sz w:val="22"/>
          <w:szCs w:val="22"/>
        </w:rPr>
        <w:t xml:space="preserve">Providing targeted information in this way may help to </w:t>
      </w:r>
      <w:r w:rsidR="003F2070" w:rsidRPr="00E97BC8">
        <w:rPr>
          <w:rFonts w:cs="Times New Roman"/>
          <w:sz w:val="22"/>
          <w:szCs w:val="22"/>
        </w:rPr>
        <w:t>improve the perceived benefits of EVs</w:t>
      </w:r>
      <w:r w:rsidR="003C2900" w:rsidRPr="00E97BC8">
        <w:rPr>
          <w:rFonts w:cs="Times New Roman"/>
          <w:sz w:val="22"/>
          <w:szCs w:val="22"/>
        </w:rPr>
        <w:t xml:space="preserve"> for those who</w:t>
      </w:r>
      <w:r w:rsidR="00A01610" w:rsidRPr="00E97BC8">
        <w:rPr>
          <w:rFonts w:cs="Times New Roman"/>
          <w:sz w:val="22"/>
          <w:szCs w:val="22"/>
        </w:rPr>
        <w:t xml:space="preserve"> place less emphasis on the broader long-term environmental consequences</w:t>
      </w:r>
      <w:r w:rsidR="00EF6AE1" w:rsidRPr="00E97BC8">
        <w:rPr>
          <w:rFonts w:cs="Times New Roman"/>
          <w:sz w:val="22"/>
          <w:szCs w:val="22"/>
        </w:rPr>
        <w:t>.</w:t>
      </w:r>
      <w:r w:rsidR="00EF6AE1" w:rsidRPr="00E97BC8">
        <w:rPr>
          <w:rFonts w:cs="Times New Roman"/>
          <w:b/>
          <w:bCs/>
          <w:sz w:val="22"/>
          <w:szCs w:val="22"/>
        </w:rPr>
        <w:t xml:space="preserve"> </w:t>
      </w:r>
      <w:r w:rsidR="00506283" w:rsidRPr="00E97BC8">
        <w:rPr>
          <w:rFonts w:cs="Times New Roman"/>
          <w:sz w:val="22"/>
          <w:szCs w:val="22"/>
        </w:rPr>
        <w:t>However, since</w:t>
      </w:r>
      <w:r w:rsidR="00091A5D" w:rsidRPr="00E97BC8">
        <w:rPr>
          <w:rFonts w:cs="Times New Roman"/>
          <w:sz w:val="22"/>
          <w:szCs w:val="22"/>
        </w:rPr>
        <w:t xml:space="preserve"> not</w:t>
      </w:r>
      <w:r w:rsidR="00506283" w:rsidRPr="00E97BC8">
        <w:rPr>
          <w:rFonts w:cs="Times New Roman"/>
          <w:sz w:val="22"/>
          <w:szCs w:val="22"/>
        </w:rPr>
        <w:t xml:space="preserve"> all consumers are</w:t>
      </w:r>
      <w:r w:rsidR="00091A5D" w:rsidRPr="00E97BC8">
        <w:rPr>
          <w:rFonts w:cs="Times New Roman"/>
          <w:sz w:val="22"/>
          <w:szCs w:val="22"/>
        </w:rPr>
        <w:t xml:space="preserve"> </w:t>
      </w:r>
      <w:r w:rsidR="00506283" w:rsidRPr="00E97BC8">
        <w:rPr>
          <w:rFonts w:cs="Times New Roman"/>
          <w:sz w:val="22"/>
          <w:szCs w:val="22"/>
        </w:rPr>
        <w:t xml:space="preserve">motivated by pro-environmental attitudes, at some point </w:t>
      </w:r>
      <w:r w:rsidR="00091A5D" w:rsidRPr="00E97BC8">
        <w:rPr>
          <w:rFonts w:cs="Times New Roman"/>
          <w:sz w:val="22"/>
          <w:szCs w:val="22"/>
        </w:rPr>
        <w:t xml:space="preserve">developing other forms of messaging </w:t>
      </w:r>
      <w:r w:rsidR="00506283" w:rsidRPr="00E97BC8">
        <w:rPr>
          <w:rFonts w:cs="Times New Roman"/>
          <w:sz w:val="22"/>
          <w:szCs w:val="22"/>
        </w:rPr>
        <w:t>to appeal to those who are not interested in the environment</w:t>
      </w:r>
      <w:r w:rsidR="00091A5D" w:rsidRPr="00E97BC8">
        <w:rPr>
          <w:rFonts w:cs="Times New Roman"/>
          <w:sz w:val="22"/>
          <w:szCs w:val="22"/>
        </w:rPr>
        <w:t>al benefits will become increasingly necessary</w:t>
      </w:r>
      <w:r w:rsidR="00506283" w:rsidRPr="00E97BC8">
        <w:rPr>
          <w:rFonts w:cs="Times New Roman"/>
          <w:sz w:val="22"/>
          <w:szCs w:val="22"/>
        </w:rPr>
        <w:t>.</w:t>
      </w:r>
    </w:p>
    <w:p w14:paraId="694BD79D" w14:textId="77777777" w:rsidR="00636D73" w:rsidRPr="00E97BC8" w:rsidRDefault="00636D73" w:rsidP="00E85093">
      <w:pPr>
        <w:spacing w:after="0" w:line="240" w:lineRule="auto"/>
        <w:jc w:val="both"/>
        <w:rPr>
          <w:rFonts w:cs="Times New Roman"/>
          <w:sz w:val="22"/>
          <w:szCs w:val="22"/>
        </w:rPr>
      </w:pPr>
    </w:p>
    <w:p w14:paraId="5950F8E8" w14:textId="2375F833" w:rsidR="00E02B26" w:rsidRPr="00E97BC8" w:rsidRDefault="00E02B26" w:rsidP="00E85093">
      <w:pPr>
        <w:spacing w:after="0" w:line="240" w:lineRule="auto"/>
        <w:jc w:val="both"/>
        <w:rPr>
          <w:rFonts w:cs="Times New Roman"/>
          <w:b/>
          <w:bCs/>
          <w:sz w:val="22"/>
          <w:szCs w:val="22"/>
        </w:rPr>
      </w:pPr>
      <w:r w:rsidRPr="00E97BC8">
        <w:rPr>
          <w:rFonts w:cs="Times New Roman"/>
          <w:b/>
          <w:bCs/>
          <w:sz w:val="22"/>
          <w:szCs w:val="22"/>
        </w:rPr>
        <w:t>5.</w:t>
      </w:r>
      <w:r w:rsidR="00E5072B" w:rsidRPr="00E97BC8">
        <w:rPr>
          <w:rFonts w:cs="Times New Roman"/>
          <w:b/>
          <w:bCs/>
          <w:sz w:val="22"/>
          <w:szCs w:val="22"/>
        </w:rPr>
        <w:t>2</w:t>
      </w:r>
      <w:r w:rsidRPr="00E97BC8">
        <w:rPr>
          <w:rFonts w:cs="Times New Roman"/>
          <w:b/>
          <w:bCs/>
          <w:sz w:val="22"/>
          <w:szCs w:val="22"/>
        </w:rPr>
        <w:t xml:space="preserve"> Implications for Vehicle Developers and Market</w:t>
      </w:r>
      <w:r w:rsidR="00B944A4" w:rsidRPr="00E97BC8">
        <w:rPr>
          <w:rFonts w:cs="Times New Roman"/>
          <w:b/>
          <w:bCs/>
          <w:sz w:val="22"/>
          <w:szCs w:val="22"/>
        </w:rPr>
        <w:t>ing</w:t>
      </w:r>
    </w:p>
    <w:p w14:paraId="63DF0FC7" w14:textId="48293327" w:rsidR="00A0700E" w:rsidRPr="00E97BC8" w:rsidRDefault="003D3CDD" w:rsidP="00E85093">
      <w:pPr>
        <w:spacing w:after="0" w:line="240" w:lineRule="auto"/>
        <w:jc w:val="both"/>
        <w:rPr>
          <w:rFonts w:cs="Times New Roman"/>
          <w:sz w:val="22"/>
          <w:szCs w:val="22"/>
        </w:rPr>
      </w:pPr>
      <w:r w:rsidRPr="00E97BC8">
        <w:rPr>
          <w:rFonts w:cs="Times New Roman"/>
          <w:sz w:val="22"/>
          <w:szCs w:val="22"/>
        </w:rPr>
        <w:t>EV developers and manufacturers</w:t>
      </w:r>
      <w:r w:rsidR="006B7330" w:rsidRPr="00E97BC8">
        <w:rPr>
          <w:rFonts w:cs="Times New Roman"/>
          <w:sz w:val="22"/>
          <w:szCs w:val="22"/>
        </w:rPr>
        <w:t xml:space="preserve"> can use the results</w:t>
      </w:r>
      <w:r w:rsidRPr="00E97BC8">
        <w:rPr>
          <w:rFonts w:cs="Times New Roman"/>
          <w:sz w:val="22"/>
          <w:szCs w:val="22"/>
        </w:rPr>
        <w:t xml:space="preserve"> </w:t>
      </w:r>
      <w:r w:rsidR="006B7330" w:rsidRPr="00E97BC8">
        <w:rPr>
          <w:rFonts w:cs="Times New Roman"/>
          <w:sz w:val="22"/>
          <w:szCs w:val="22"/>
        </w:rPr>
        <w:t>of this study</w:t>
      </w:r>
      <w:r w:rsidRPr="00E97BC8">
        <w:rPr>
          <w:rFonts w:cs="Times New Roman"/>
          <w:sz w:val="22"/>
          <w:szCs w:val="22"/>
        </w:rPr>
        <w:t xml:space="preserve"> </w:t>
      </w:r>
      <w:r w:rsidR="006B7330" w:rsidRPr="00E97BC8">
        <w:rPr>
          <w:rFonts w:cs="Times New Roman"/>
          <w:sz w:val="22"/>
          <w:szCs w:val="22"/>
        </w:rPr>
        <w:t xml:space="preserve">to tailor their marketing toward specific </w:t>
      </w:r>
      <w:r w:rsidR="007A6E8C" w:rsidRPr="00E97BC8">
        <w:rPr>
          <w:rFonts w:cs="Times New Roman"/>
          <w:sz w:val="22"/>
          <w:szCs w:val="22"/>
        </w:rPr>
        <w:t xml:space="preserve">population </w:t>
      </w:r>
      <w:r w:rsidR="006B7330" w:rsidRPr="00E97BC8">
        <w:rPr>
          <w:rFonts w:cs="Times New Roman"/>
          <w:sz w:val="22"/>
          <w:szCs w:val="22"/>
        </w:rPr>
        <w:t>segments</w:t>
      </w:r>
      <w:r w:rsidR="007A6E8C" w:rsidRPr="00E97BC8">
        <w:rPr>
          <w:rFonts w:cs="Times New Roman"/>
          <w:sz w:val="22"/>
          <w:szCs w:val="22"/>
        </w:rPr>
        <w:t xml:space="preserve">. For instance, while focusing marketing on environmental benefits may be effective for high income and </w:t>
      </w:r>
      <w:r w:rsidR="005A7845" w:rsidRPr="00E97BC8">
        <w:rPr>
          <w:rFonts w:cs="Times New Roman"/>
          <w:sz w:val="22"/>
          <w:szCs w:val="22"/>
        </w:rPr>
        <w:t>highly educated</w:t>
      </w:r>
      <w:r w:rsidR="001E11C1" w:rsidRPr="00E97BC8">
        <w:rPr>
          <w:rFonts w:cs="Times New Roman"/>
          <w:sz w:val="22"/>
          <w:szCs w:val="22"/>
        </w:rPr>
        <w:t xml:space="preserve"> </w:t>
      </w:r>
      <w:r w:rsidR="007A6E8C" w:rsidRPr="00E97BC8">
        <w:rPr>
          <w:rFonts w:cs="Times New Roman"/>
          <w:sz w:val="22"/>
          <w:szCs w:val="22"/>
        </w:rPr>
        <w:t>populations</w:t>
      </w:r>
      <w:r w:rsidR="001E11C1" w:rsidRPr="00E97BC8">
        <w:rPr>
          <w:rFonts w:cs="Times New Roman"/>
          <w:sz w:val="22"/>
          <w:szCs w:val="22"/>
        </w:rPr>
        <w:t>,</w:t>
      </w:r>
      <w:r w:rsidR="007A6E8C" w:rsidRPr="00E97BC8">
        <w:rPr>
          <w:rFonts w:cs="Times New Roman"/>
          <w:sz w:val="22"/>
          <w:szCs w:val="22"/>
        </w:rPr>
        <w:t xml:space="preserve"> who have higher GLP, focusing on improvements to other features of the technology </w:t>
      </w:r>
      <w:r w:rsidR="00A94BAA" w:rsidRPr="00E97BC8">
        <w:rPr>
          <w:rFonts w:cs="Times New Roman"/>
          <w:sz w:val="22"/>
          <w:szCs w:val="22"/>
        </w:rPr>
        <w:t>may be</w:t>
      </w:r>
      <w:r w:rsidR="007A6E8C" w:rsidRPr="00E97BC8">
        <w:rPr>
          <w:rFonts w:cs="Times New Roman"/>
          <w:sz w:val="22"/>
          <w:szCs w:val="22"/>
        </w:rPr>
        <w:t xml:space="preserve"> </w:t>
      </w:r>
      <w:r w:rsidR="001E11C1" w:rsidRPr="00E97BC8">
        <w:rPr>
          <w:rFonts w:cs="Times New Roman"/>
          <w:sz w:val="22"/>
          <w:szCs w:val="22"/>
        </w:rPr>
        <w:t>more effective for other groups</w:t>
      </w:r>
      <w:r w:rsidR="007A6E8C" w:rsidRPr="00E97BC8">
        <w:rPr>
          <w:rFonts w:cs="Times New Roman"/>
          <w:sz w:val="22"/>
          <w:szCs w:val="22"/>
        </w:rPr>
        <w:t xml:space="preserve">. </w:t>
      </w:r>
      <w:r w:rsidR="00A94BAA" w:rsidRPr="00E97BC8">
        <w:rPr>
          <w:rFonts w:cs="Times New Roman"/>
          <w:sz w:val="22"/>
          <w:szCs w:val="22"/>
        </w:rPr>
        <w:t>Th</w:t>
      </w:r>
      <w:r w:rsidR="00F72DCD" w:rsidRPr="00E97BC8">
        <w:rPr>
          <w:rFonts w:cs="Times New Roman"/>
          <w:sz w:val="22"/>
          <w:szCs w:val="22"/>
        </w:rPr>
        <w:t>os</w:t>
      </w:r>
      <w:r w:rsidR="00A94BAA" w:rsidRPr="00E97BC8">
        <w:rPr>
          <w:rFonts w:cs="Times New Roman"/>
          <w:sz w:val="22"/>
          <w:szCs w:val="22"/>
        </w:rPr>
        <w:t>e</w:t>
      </w:r>
      <w:r w:rsidR="00F72DCD" w:rsidRPr="00E97BC8">
        <w:rPr>
          <w:rFonts w:cs="Times New Roman"/>
          <w:sz w:val="22"/>
          <w:szCs w:val="22"/>
        </w:rPr>
        <w:t xml:space="preserve"> who consider vehicles primarily to serve a functional purpose, such as </w:t>
      </w:r>
      <w:r w:rsidR="006D4FDE" w:rsidRPr="00E97BC8">
        <w:rPr>
          <w:rFonts w:cs="Times New Roman"/>
          <w:sz w:val="22"/>
          <w:szCs w:val="22"/>
        </w:rPr>
        <w:t>women</w:t>
      </w:r>
      <w:r w:rsidR="00EF453F" w:rsidRPr="00E97BC8">
        <w:rPr>
          <w:rFonts w:cs="Times New Roman"/>
          <w:sz w:val="22"/>
          <w:szCs w:val="22"/>
        </w:rPr>
        <w:t xml:space="preserve">, older adults, </w:t>
      </w:r>
      <w:r w:rsidR="00F72DCD" w:rsidRPr="00E97BC8">
        <w:rPr>
          <w:rFonts w:cs="Times New Roman"/>
          <w:sz w:val="22"/>
          <w:szCs w:val="22"/>
        </w:rPr>
        <w:t xml:space="preserve">and </w:t>
      </w:r>
      <w:r w:rsidR="00EF453F" w:rsidRPr="00E97BC8">
        <w:rPr>
          <w:rFonts w:cs="Times New Roman"/>
          <w:sz w:val="22"/>
          <w:szCs w:val="22"/>
        </w:rPr>
        <w:t>Hispanic individuals</w:t>
      </w:r>
      <w:r w:rsidR="00C47ACD" w:rsidRPr="00E97BC8">
        <w:rPr>
          <w:rFonts w:cs="Times New Roman"/>
          <w:sz w:val="22"/>
          <w:szCs w:val="22"/>
        </w:rPr>
        <w:t>,</w:t>
      </w:r>
      <w:r w:rsidR="00F72DCD" w:rsidRPr="00E97BC8">
        <w:rPr>
          <w:rFonts w:cs="Times New Roman"/>
          <w:sz w:val="22"/>
          <w:szCs w:val="22"/>
        </w:rPr>
        <w:t xml:space="preserve"> are less likely to adopt </w:t>
      </w:r>
      <w:r w:rsidR="000B49EE" w:rsidRPr="00E97BC8">
        <w:rPr>
          <w:rFonts w:cs="Times New Roman"/>
          <w:sz w:val="22"/>
          <w:szCs w:val="22"/>
        </w:rPr>
        <w:t>B</w:t>
      </w:r>
      <w:r w:rsidR="00F72DCD" w:rsidRPr="00E97BC8">
        <w:rPr>
          <w:rFonts w:cs="Times New Roman"/>
          <w:sz w:val="22"/>
          <w:szCs w:val="22"/>
        </w:rPr>
        <w:t xml:space="preserve">EVs, suggesting </w:t>
      </w:r>
      <w:r w:rsidR="00A94BAA" w:rsidRPr="00E97BC8">
        <w:rPr>
          <w:rFonts w:cs="Times New Roman"/>
          <w:sz w:val="22"/>
          <w:szCs w:val="22"/>
        </w:rPr>
        <w:t>a misalignment between current EV offerings and the perceived practical needs of significant market segments</w:t>
      </w:r>
      <w:r w:rsidR="005A5D9F" w:rsidRPr="00E97BC8">
        <w:rPr>
          <w:rFonts w:cs="Times New Roman"/>
          <w:sz w:val="22"/>
          <w:szCs w:val="22"/>
        </w:rPr>
        <w:t xml:space="preserve">. The lack of interest in </w:t>
      </w:r>
      <w:r w:rsidR="005B0B59" w:rsidRPr="00E97BC8">
        <w:rPr>
          <w:rFonts w:cs="Times New Roman"/>
          <w:sz w:val="22"/>
          <w:szCs w:val="22"/>
        </w:rPr>
        <w:t>B</w:t>
      </w:r>
      <w:r w:rsidR="005A5D9F" w:rsidRPr="00E97BC8">
        <w:rPr>
          <w:rFonts w:cs="Times New Roman"/>
          <w:sz w:val="22"/>
          <w:szCs w:val="22"/>
        </w:rPr>
        <w:t>EVs among those whose decisions are more functionally driven could also be indicative of the early stage of the EV market</w:t>
      </w:r>
      <w:r w:rsidR="005B0B59" w:rsidRPr="00E97BC8">
        <w:rPr>
          <w:rFonts w:cs="Times New Roman"/>
          <w:sz w:val="22"/>
          <w:szCs w:val="22"/>
        </w:rPr>
        <w:t>, and particularly a lack of confidence in BEVs compared with PHEVs</w:t>
      </w:r>
      <w:r w:rsidR="00A94BAA" w:rsidRPr="00E97BC8">
        <w:rPr>
          <w:rFonts w:cs="Times New Roman"/>
          <w:sz w:val="22"/>
          <w:szCs w:val="22"/>
        </w:rPr>
        <w:t xml:space="preserve">. Developers </w:t>
      </w:r>
      <w:r w:rsidR="005A7845" w:rsidRPr="00E97BC8">
        <w:rPr>
          <w:rFonts w:cs="Times New Roman"/>
          <w:sz w:val="22"/>
          <w:szCs w:val="22"/>
        </w:rPr>
        <w:t>should</w:t>
      </w:r>
      <w:r w:rsidR="005A5D9F" w:rsidRPr="00E97BC8">
        <w:rPr>
          <w:rFonts w:cs="Times New Roman"/>
          <w:sz w:val="22"/>
          <w:szCs w:val="22"/>
        </w:rPr>
        <w:t xml:space="preserve"> </w:t>
      </w:r>
      <w:r w:rsidR="00A94BAA" w:rsidRPr="00E97BC8">
        <w:rPr>
          <w:rFonts w:cs="Times New Roman"/>
          <w:sz w:val="22"/>
          <w:szCs w:val="22"/>
        </w:rPr>
        <w:t xml:space="preserve">prioritize addressing the specific concerns of these </w:t>
      </w:r>
      <w:r w:rsidR="0079778E" w:rsidRPr="00E97BC8">
        <w:rPr>
          <w:rFonts w:cs="Times New Roman"/>
          <w:sz w:val="22"/>
          <w:szCs w:val="22"/>
        </w:rPr>
        <w:t>individuals</w:t>
      </w:r>
      <w:r w:rsidR="00A94BAA" w:rsidRPr="00E97BC8">
        <w:rPr>
          <w:rFonts w:cs="Times New Roman"/>
          <w:sz w:val="22"/>
          <w:szCs w:val="22"/>
        </w:rPr>
        <w:t>, such as enhancing battery performance and range capabilities to alleviate anxieties prevalent among older adults</w:t>
      </w:r>
      <w:r w:rsidR="0004639A" w:rsidRPr="00E97BC8">
        <w:rPr>
          <w:rFonts w:cs="Times New Roman"/>
          <w:sz w:val="22"/>
          <w:szCs w:val="22"/>
        </w:rPr>
        <w:t xml:space="preserve"> or highlighting the longer-term maintenance benefits for women or Hispanic individuals</w:t>
      </w:r>
      <w:r w:rsidR="00A94BAA" w:rsidRPr="00E97BC8">
        <w:rPr>
          <w:rFonts w:cs="Times New Roman"/>
          <w:sz w:val="22"/>
          <w:szCs w:val="22"/>
        </w:rPr>
        <w:t>.</w:t>
      </w:r>
      <w:r w:rsidR="00D138B4" w:rsidRPr="00E97BC8">
        <w:rPr>
          <w:rFonts w:cs="Times New Roman"/>
          <w:b/>
          <w:bCs/>
          <w:sz w:val="22"/>
          <w:szCs w:val="22"/>
        </w:rPr>
        <w:t xml:space="preserve"> </w:t>
      </w:r>
      <w:r w:rsidR="007B5D10" w:rsidRPr="00E97BC8">
        <w:rPr>
          <w:rFonts w:cs="Times New Roman"/>
          <w:sz w:val="22"/>
          <w:szCs w:val="22"/>
        </w:rPr>
        <w:t xml:space="preserve">Additionally, given that those with higher levels of VFP are more likely to adopt due to the ability to charge at home, emphasizing the benefits of home charging, ensuring that charging processes are simplified and easy to use, and providing mechanisms to familiarize those who are uncomfortable with the technologies to the charging process would be beneficial. </w:t>
      </w:r>
      <w:r w:rsidR="00A94BAA" w:rsidRPr="00E97BC8">
        <w:rPr>
          <w:rFonts w:cs="Times New Roman"/>
          <w:sz w:val="22"/>
          <w:szCs w:val="22"/>
        </w:rPr>
        <w:t xml:space="preserve">Simultaneously, marketers should craft targeted </w:t>
      </w:r>
      <w:r w:rsidR="00A94BAA" w:rsidRPr="00E97BC8">
        <w:rPr>
          <w:rFonts w:cs="Times New Roman"/>
          <w:sz w:val="22"/>
          <w:szCs w:val="22"/>
        </w:rPr>
        <w:lastRenderedPageBreak/>
        <w:t xml:space="preserve">messaging that emphasizes the real-world functionality of </w:t>
      </w:r>
      <w:r w:rsidR="00863733" w:rsidRPr="00E97BC8">
        <w:rPr>
          <w:rFonts w:cs="Times New Roman"/>
          <w:sz w:val="22"/>
          <w:szCs w:val="22"/>
        </w:rPr>
        <w:t>B</w:t>
      </w:r>
      <w:r w:rsidR="00A94BAA" w:rsidRPr="00E97BC8">
        <w:rPr>
          <w:rFonts w:cs="Times New Roman"/>
          <w:sz w:val="22"/>
          <w:szCs w:val="22"/>
        </w:rPr>
        <w:t xml:space="preserve">EVs, moving beyond </w:t>
      </w:r>
      <w:r w:rsidR="0048637E" w:rsidRPr="00E97BC8">
        <w:rPr>
          <w:rFonts w:cs="Times New Roman"/>
          <w:sz w:val="22"/>
          <w:szCs w:val="22"/>
        </w:rPr>
        <w:t xml:space="preserve">the </w:t>
      </w:r>
      <w:r w:rsidR="00E075D0" w:rsidRPr="00E97BC8">
        <w:rPr>
          <w:rFonts w:cs="Times New Roman"/>
          <w:sz w:val="22"/>
          <w:szCs w:val="22"/>
        </w:rPr>
        <w:t xml:space="preserve">longer-term </w:t>
      </w:r>
      <w:r w:rsidR="00A94BAA" w:rsidRPr="00E97BC8">
        <w:rPr>
          <w:rFonts w:cs="Times New Roman"/>
          <w:sz w:val="22"/>
          <w:szCs w:val="22"/>
        </w:rPr>
        <w:t xml:space="preserve">environmental appeals to demonstrate how these vehicles can integrate into </w:t>
      </w:r>
      <w:r w:rsidR="0048637E" w:rsidRPr="00E97BC8">
        <w:rPr>
          <w:rFonts w:cs="Times New Roman"/>
          <w:sz w:val="22"/>
          <w:szCs w:val="22"/>
        </w:rPr>
        <w:t xml:space="preserve">the daily lives of potential adopters. </w:t>
      </w:r>
      <w:r w:rsidR="0081180F" w:rsidRPr="00E97BC8">
        <w:rPr>
          <w:rFonts w:cs="Times New Roman"/>
          <w:sz w:val="22"/>
          <w:szCs w:val="22"/>
        </w:rPr>
        <w:t xml:space="preserve">Specifically, given that low-income individuals may be more likely to be motivated to buy EVs due to economic factors, like rising gas prices (see the motivating reasons for adoption in Table 4), continuing to improve these qualities of EVs and emphasizing these benefits in messaging may be effective strategies to improve adoption rates for a broader segment of the population. </w:t>
      </w:r>
      <w:r w:rsidR="0004639A" w:rsidRPr="00E97BC8">
        <w:rPr>
          <w:rFonts w:cs="Times New Roman"/>
          <w:sz w:val="22"/>
          <w:szCs w:val="22"/>
        </w:rPr>
        <w:t xml:space="preserve">Additionally, in contrast to most other individuals, families with children seem to be slightly more likely to adopt EVs when they consider the role of the vehicle to be practical rather than social. This may be due to the different functional needs of families with children, including prioritization of safety as well as additional space in the interior of the vehicle. Vehicle manufacturers should emphasize these attributes more heavily, particularly when marketing to parents, but also when addressing broader populations who have an interest in vehicle functionality but may be less likely to seek out information about these specific attributes. </w:t>
      </w:r>
    </w:p>
    <w:p w14:paraId="25B44F72" w14:textId="20D77A14" w:rsidR="00B43DAD" w:rsidRPr="00E97BC8" w:rsidRDefault="0048637E" w:rsidP="00E85093">
      <w:pPr>
        <w:spacing w:after="0" w:line="240" w:lineRule="auto"/>
        <w:ind w:firstLine="720"/>
        <w:jc w:val="both"/>
        <w:rPr>
          <w:rFonts w:cs="Times New Roman"/>
          <w:sz w:val="22"/>
          <w:szCs w:val="22"/>
        </w:rPr>
      </w:pPr>
      <w:r w:rsidRPr="00E97BC8">
        <w:rPr>
          <w:rFonts w:cs="Times New Roman"/>
          <w:sz w:val="22"/>
          <w:szCs w:val="22"/>
        </w:rPr>
        <w:t xml:space="preserve">Furthermore, </w:t>
      </w:r>
      <w:r w:rsidR="009330C2" w:rsidRPr="00E97BC8">
        <w:rPr>
          <w:rFonts w:cs="Times New Roman"/>
          <w:sz w:val="22"/>
          <w:szCs w:val="22"/>
        </w:rPr>
        <w:t>the results of the</w:t>
      </w:r>
      <w:r w:rsidR="0004639A" w:rsidRPr="00E97BC8">
        <w:rPr>
          <w:rFonts w:cs="Times New Roman"/>
          <w:sz w:val="22"/>
          <w:szCs w:val="22"/>
        </w:rPr>
        <w:t xml:space="preserve"> motivating</w:t>
      </w:r>
      <w:r w:rsidR="009330C2" w:rsidRPr="00E97BC8">
        <w:rPr>
          <w:rFonts w:cs="Times New Roman"/>
          <w:sz w:val="22"/>
          <w:szCs w:val="22"/>
        </w:rPr>
        <w:t xml:space="preserve"> reasons for adoption (see Table 4) </w:t>
      </w:r>
      <w:r w:rsidR="00747C52" w:rsidRPr="00E97BC8">
        <w:rPr>
          <w:rFonts w:cs="Times New Roman"/>
          <w:sz w:val="22"/>
          <w:szCs w:val="22"/>
        </w:rPr>
        <w:t xml:space="preserve">demonstrate the important </w:t>
      </w:r>
      <w:r w:rsidRPr="00E97BC8">
        <w:rPr>
          <w:rFonts w:cs="Times New Roman"/>
          <w:sz w:val="22"/>
          <w:szCs w:val="22"/>
        </w:rPr>
        <w:t xml:space="preserve">role of practical experience in EV </w:t>
      </w:r>
      <w:r w:rsidR="00E075D0" w:rsidRPr="00E97BC8">
        <w:rPr>
          <w:rFonts w:cs="Times New Roman"/>
          <w:sz w:val="22"/>
          <w:szCs w:val="22"/>
        </w:rPr>
        <w:t>appeal</w:t>
      </w:r>
      <w:r w:rsidRPr="00E97BC8">
        <w:rPr>
          <w:rFonts w:cs="Times New Roman"/>
          <w:sz w:val="22"/>
          <w:szCs w:val="22"/>
        </w:rPr>
        <w:t xml:space="preserve">. </w:t>
      </w:r>
      <w:r w:rsidR="00A0700E" w:rsidRPr="00E97BC8">
        <w:rPr>
          <w:rFonts w:cs="Times New Roman"/>
          <w:sz w:val="22"/>
          <w:szCs w:val="22"/>
        </w:rPr>
        <w:t>T</w:t>
      </w:r>
      <w:r w:rsidRPr="00E97BC8">
        <w:rPr>
          <w:rFonts w:cs="Times New Roman"/>
          <w:sz w:val="22"/>
          <w:szCs w:val="22"/>
        </w:rPr>
        <w:t>he significant influence of hands-on experience in mitigating range anxiety and fostering adoption, particularly among high-income individuals and older adults, points to the potential efficacy of experiential marketing techniques.</w:t>
      </w:r>
      <w:r w:rsidR="00A0700E" w:rsidRPr="00E97BC8">
        <w:rPr>
          <w:rFonts w:cs="Times New Roman"/>
          <w:sz w:val="22"/>
          <w:szCs w:val="22"/>
        </w:rPr>
        <w:t xml:space="preserve"> </w:t>
      </w:r>
      <w:r w:rsidRPr="00E97BC8">
        <w:rPr>
          <w:rFonts w:cs="Times New Roman"/>
          <w:sz w:val="22"/>
          <w:szCs w:val="22"/>
        </w:rPr>
        <w:t xml:space="preserve">Implementing widespread test drive programs, interactive demonstrations, and community-based EV sharing initiatives could provide the practical exposure necessary to demystify EV technology and address misconceptions across a broader spectrum of potential adopters. By combining </w:t>
      </w:r>
      <w:r w:rsidR="00E075D0" w:rsidRPr="00E97BC8">
        <w:rPr>
          <w:rFonts w:cs="Times New Roman"/>
          <w:sz w:val="22"/>
          <w:szCs w:val="22"/>
        </w:rPr>
        <w:t xml:space="preserve">pointed </w:t>
      </w:r>
      <w:r w:rsidRPr="00E97BC8">
        <w:rPr>
          <w:rFonts w:cs="Times New Roman"/>
          <w:sz w:val="22"/>
          <w:szCs w:val="22"/>
        </w:rPr>
        <w:t xml:space="preserve">messaging with opportunities for direct engagement, the EV industry can create a more inclusive narrative that addresses the diverse concerns and preferences of various consumer segments, potentially </w:t>
      </w:r>
      <w:r w:rsidR="00CE0211" w:rsidRPr="00E97BC8">
        <w:rPr>
          <w:rFonts w:cs="Times New Roman"/>
          <w:sz w:val="22"/>
          <w:szCs w:val="22"/>
        </w:rPr>
        <w:t xml:space="preserve">spurring </w:t>
      </w:r>
      <w:r w:rsidRPr="00E97BC8">
        <w:rPr>
          <w:rFonts w:cs="Times New Roman"/>
          <w:sz w:val="22"/>
          <w:szCs w:val="22"/>
        </w:rPr>
        <w:t>a more rapid and widespread transition to electric mobility.</w:t>
      </w:r>
    </w:p>
    <w:p w14:paraId="26366C12" w14:textId="77777777" w:rsidR="003921D1" w:rsidRPr="00E97BC8" w:rsidRDefault="003921D1" w:rsidP="00E85093">
      <w:pPr>
        <w:spacing w:after="0" w:line="240" w:lineRule="auto"/>
        <w:jc w:val="both"/>
        <w:rPr>
          <w:rFonts w:cs="Times New Roman"/>
          <w:b/>
          <w:bCs/>
          <w:sz w:val="22"/>
          <w:szCs w:val="22"/>
        </w:rPr>
      </w:pPr>
    </w:p>
    <w:p w14:paraId="0AF50A12" w14:textId="3491DC09" w:rsidR="00E02B26" w:rsidRPr="00E97BC8" w:rsidRDefault="00E02B26" w:rsidP="00E85093">
      <w:pPr>
        <w:spacing w:after="0" w:line="240" w:lineRule="auto"/>
        <w:jc w:val="both"/>
        <w:rPr>
          <w:rFonts w:cs="Times New Roman"/>
          <w:b/>
          <w:bCs/>
          <w:sz w:val="22"/>
          <w:szCs w:val="22"/>
        </w:rPr>
      </w:pPr>
      <w:r w:rsidRPr="00E97BC8">
        <w:rPr>
          <w:rFonts w:cs="Times New Roman"/>
          <w:b/>
          <w:bCs/>
          <w:sz w:val="22"/>
          <w:szCs w:val="22"/>
        </w:rPr>
        <w:t>5.3 Implications for Planning and Infrastructure Development</w:t>
      </w:r>
    </w:p>
    <w:p w14:paraId="438B88AC" w14:textId="328AB76D" w:rsidR="00FC1DC6" w:rsidRPr="00E97BC8" w:rsidRDefault="004F1D71" w:rsidP="00E85093">
      <w:pPr>
        <w:spacing w:after="0" w:line="240" w:lineRule="auto"/>
        <w:jc w:val="both"/>
        <w:rPr>
          <w:rFonts w:cs="Times New Roman"/>
          <w:b/>
          <w:bCs/>
          <w:sz w:val="22"/>
          <w:szCs w:val="22"/>
        </w:rPr>
      </w:pPr>
      <w:r w:rsidRPr="00E97BC8">
        <w:rPr>
          <w:rFonts w:cs="Times New Roman"/>
          <w:sz w:val="22"/>
          <w:szCs w:val="22"/>
        </w:rPr>
        <w:t xml:space="preserve">Several results relating to charging station availability as well as perceptions of EV batteries and range have important implications for </w:t>
      </w:r>
      <w:r w:rsidR="009D6C13" w:rsidRPr="00E97BC8">
        <w:rPr>
          <w:rFonts w:cs="Times New Roman"/>
          <w:sz w:val="22"/>
          <w:szCs w:val="22"/>
        </w:rPr>
        <w:t xml:space="preserve">transportation planning and infrastructure development strategies. </w:t>
      </w:r>
      <w:r w:rsidR="00542611" w:rsidRPr="00E97BC8">
        <w:rPr>
          <w:rFonts w:cs="Times New Roman"/>
          <w:sz w:val="22"/>
          <w:szCs w:val="22"/>
        </w:rPr>
        <w:t xml:space="preserve">We find that </w:t>
      </w:r>
      <w:r w:rsidR="005A7E2D" w:rsidRPr="00E97BC8">
        <w:rPr>
          <w:rFonts w:cs="Times New Roman"/>
          <w:sz w:val="22"/>
          <w:szCs w:val="22"/>
        </w:rPr>
        <w:t xml:space="preserve">about 44% of the total ATE of charging station density on EV adoption is </w:t>
      </w:r>
      <w:r w:rsidR="003834B9" w:rsidRPr="00E97BC8">
        <w:rPr>
          <w:rFonts w:cs="Times New Roman"/>
          <w:sz w:val="22"/>
          <w:szCs w:val="22"/>
        </w:rPr>
        <w:t xml:space="preserve">an indirect effect </w:t>
      </w:r>
      <w:r w:rsidR="005A7E2D" w:rsidRPr="00E97BC8">
        <w:rPr>
          <w:rFonts w:cs="Times New Roman"/>
          <w:sz w:val="22"/>
          <w:szCs w:val="22"/>
        </w:rPr>
        <w:t xml:space="preserve">through </w:t>
      </w:r>
      <w:r w:rsidR="005D2EDB" w:rsidRPr="00E97BC8">
        <w:rPr>
          <w:rFonts w:cs="Times New Roman"/>
          <w:sz w:val="22"/>
          <w:szCs w:val="22"/>
        </w:rPr>
        <w:t>BRP</w:t>
      </w:r>
      <w:r w:rsidR="005A5F58" w:rsidRPr="00E97BC8">
        <w:rPr>
          <w:rFonts w:cs="Times New Roman"/>
          <w:sz w:val="22"/>
          <w:szCs w:val="22"/>
        </w:rPr>
        <w:t>,</w:t>
      </w:r>
      <w:r w:rsidR="00F027E9" w:rsidRPr="00E97BC8">
        <w:rPr>
          <w:rFonts w:cs="Times New Roman"/>
          <w:sz w:val="22"/>
          <w:szCs w:val="22"/>
        </w:rPr>
        <w:t xml:space="preserve"> while the remaining 56% is through a direct effect. </w:t>
      </w:r>
      <w:r w:rsidR="00D72EDE" w:rsidRPr="00E97BC8">
        <w:rPr>
          <w:rFonts w:cs="Times New Roman"/>
          <w:sz w:val="22"/>
          <w:szCs w:val="22"/>
        </w:rPr>
        <w:t>Although the effect of charging density may, in part, reflect that charging providers prioritize development in areas with high adoption rates, t</w:t>
      </w:r>
      <w:r w:rsidR="00462C9E" w:rsidRPr="00E97BC8">
        <w:rPr>
          <w:rFonts w:cs="Times New Roman"/>
          <w:sz w:val="22"/>
          <w:szCs w:val="22"/>
        </w:rPr>
        <w:t xml:space="preserve">his shows that infrastructure alone </w:t>
      </w:r>
      <w:r w:rsidR="00D72EDE" w:rsidRPr="00E97BC8">
        <w:rPr>
          <w:rFonts w:cs="Times New Roman"/>
          <w:sz w:val="22"/>
          <w:szCs w:val="22"/>
        </w:rPr>
        <w:t>does</w:t>
      </w:r>
      <w:r w:rsidR="00462C9E" w:rsidRPr="00E97BC8">
        <w:rPr>
          <w:rFonts w:cs="Times New Roman"/>
          <w:sz w:val="22"/>
          <w:szCs w:val="22"/>
        </w:rPr>
        <w:t xml:space="preserve"> not influence EV adoption</w:t>
      </w:r>
      <w:r w:rsidR="00091A5D" w:rsidRPr="00E97BC8">
        <w:rPr>
          <w:rFonts w:cs="Times New Roman"/>
          <w:sz w:val="22"/>
          <w:szCs w:val="22"/>
        </w:rPr>
        <w:t>,</w:t>
      </w:r>
      <w:r w:rsidR="00462C9E" w:rsidRPr="00E97BC8">
        <w:rPr>
          <w:rFonts w:cs="Times New Roman"/>
          <w:sz w:val="22"/>
          <w:szCs w:val="22"/>
        </w:rPr>
        <w:t xml:space="preserve"> and that perceptions of range and charging are an important mediator. </w:t>
      </w:r>
      <w:r w:rsidR="00F027E9" w:rsidRPr="00E97BC8">
        <w:rPr>
          <w:rFonts w:cs="Times New Roman"/>
          <w:sz w:val="22"/>
          <w:szCs w:val="22"/>
        </w:rPr>
        <w:t>This suggests</w:t>
      </w:r>
      <w:r w:rsidR="005A7E2D" w:rsidRPr="00E97BC8">
        <w:rPr>
          <w:rFonts w:cs="Times New Roman"/>
          <w:sz w:val="22"/>
          <w:szCs w:val="22"/>
        </w:rPr>
        <w:t xml:space="preserve"> that </w:t>
      </w:r>
      <w:r w:rsidR="00B212EF" w:rsidRPr="00E97BC8">
        <w:rPr>
          <w:rFonts w:cs="Times New Roman"/>
          <w:sz w:val="22"/>
          <w:szCs w:val="22"/>
        </w:rPr>
        <w:t xml:space="preserve">infrastructure deployment should be approached </w:t>
      </w:r>
      <w:r w:rsidR="00715967" w:rsidRPr="00E97BC8">
        <w:rPr>
          <w:rFonts w:cs="Times New Roman"/>
          <w:sz w:val="22"/>
          <w:szCs w:val="22"/>
        </w:rPr>
        <w:t xml:space="preserve">both as a tool </w:t>
      </w:r>
      <w:r w:rsidR="00B212EF" w:rsidRPr="00E97BC8">
        <w:rPr>
          <w:rFonts w:cs="Times New Roman"/>
          <w:sz w:val="22"/>
          <w:szCs w:val="22"/>
        </w:rPr>
        <w:t>for addressing range anxiety</w:t>
      </w:r>
      <w:r w:rsidR="00715967" w:rsidRPr="00E97BC8">
        <w:rPr>
          <w:rFonts w:cs="Times New Roman"/>
          <w:sz w:val="22"/>
          <w:szCs w:val="22"/>
        </w:rPr>
        <w:t xml:space="preserve"> </w:t>
      </w:r>
      <w:r w:rsidR="005A5F58" w:rsidRPr="00E97BC8">
        <w:rPr>
          <w:rFonts w:cs="Times New Roman"/>
          <w:sz w:val="22"/>
          <w:szCs w:val="22"/>
        </w:rPr>
        <w:t>as well</w:t>
      </w:r>
      <w:r w:rsidR="00715967" w:rsidRPr="00E97BC8">
        <w:rPr>
          <w:rFonts w:cs="Times New Roman"/>
          <w:sz w:val="22"/>
          <w:szCs w:val="22"/>
        </w:rPr>
        <w:t xml:space="preserve"> as influencing adoption in other ways. </w:t>
      </w:r>
      <w:r w:rsidR="00FA24F0" w:rsidRPr="00E97BC8">
        <w:rPr>
          <w:rFonts w:cs="Times New Roman"/>
          <w:sz w:val="22"/>
          <w:szCs w:val="22"/>
        </w:rPr>
        <w:t xml:space="preserve">Notably, individuals living in areas with high charging station density tend to attribute adoption </w:t>
      </w:r>
      <w:r w:rsidR="00727DAB" w:rsidRPr="00E97BC8">
        <w:rPr>
          <w:rFonts w:cs="Times New Roman"/>
          <w:sz w:val="22"/>
          <w:szCs w:val="22"/>
        </w:rPr>
        <w:t xml:space="preserve">to having heard about EVs from family members or friends. </w:t>
      </w:r>
      <w:r w:rsidR="00E62C48" w:rsidRPr="00E97BC8">
        <w:rPr>
          <w:rFonts w:cs="Times New Roman"/>
          <w:sz w:val="22"/>
          <w:szCs w:val="22"/>
        </w:rPr>
        <w:t xml:space="preserve">Similarly, those with higher BRP are more likely to adopt due to the specific motivating reason of having heard about EVs from friends or family members. </w:t>
      </w:r>
      <w:r w:rsidR="00727DAB" w:rsidRPr="00E97BC8">
        <w:rPr>
          <w:rFonts w:cs="Times New Roman"/>
          <w:sz w:val="22"/>
          <w:szCs w:val="22"/>
        </w:rPr>
        <w:t xml:space="preserve">This indicates that </w:t>
      </w:r>
      <w:r w:rsidR="00652BC3" w:rsidRPr="00E97BC8">
        <w:rPr>
          <w:rFonts w:cs="Times New Roman"/>
          <w:sz w:val="22"/>
          <w:szCs w:val="22"/>
        </w:rPr>
        <w:t xml:space="preserve">charging infrastructure appears to serve a dual purpose, providing practical </w:t>
      </w:r>
      <w:r w:rsidR="00864B8F" w:rsidRPr="00E97BC8">
        <w:rPr>
          <w:rFonts w:cs="Times New Roman"/>
          <w:sz w:val="22"/>
          <w:szCs w:val="22"/>
        </w:rPr>
        <w:t>benefits by</w:t>
      </w:r>
      <w:r w:rsidR="00C17AC0" w:rsidRPr="00E97BC8">
        <w:rPr>
          <w:rFonts w:cs="Times New Roman"/>
          <w:sz w:val="22"/>
          <w:szCs w:val="22"/>
        </w:rPr>
        <w:t xml:space="preserve"> alleviating range concerns </w:t>
      </w:r>
      <w:r w:rsidR="00652BC3" w:rsidRPr="00E97BC8">
        <w:rPr>
          <w:rFonts w:cs="Times New Roman"/>
          <w:sz w:val="22"/>
          <w:szCs w:val="22"/>
        </w:rPr>
        <w:t>while simultaneously functioning as a form of passive marketing that normalizes EV usage within the urban landscape</w:t>
      </w:r>
      <w:r w:rsidR="00C17AC0" w:rsidRPr="00E97BC8">
        <w:rPr>
          <w:rFonts w:cs="Times New Roman"/>
          <w:sz w:val="22"/>
          <w:szCs w:val="22"/>
        </w:rPr>
        <w:t xml:space="preserve">. </w:t>
      </w:r>
      <w:r w:rsidR="00FC1DC6" w:rsidRPr="00E97BC8">
        <w:rPr>
          <w:rFonts w:cs="Times New Roman"/>
          <w:sz w:val="22"/>
          <w:szCs w:val="22"/>
        </w:rPr>
        <w:t>Therefore, transportation planners should consider both the functional and psychological dimensions of charging infrastructure placement, prioritizing high-visibility locations that can maximize both practical utility and public awareness.</w:t>
      </w:r>
      <w:r w:rsidR="005B23DB" w:rsidRPr="00E97BC8">
        <w:rPr>
          <w:rFonts w:cs="Times New Roman"/>
          <w:sz w:val="22"/>
          <w:szCs w:val="22"/>
        </w:rPr>
        <w:t xml:space="preserve"> </w:t>
      </w:r>
    </w:p>
    <w:p w14:paraId="50B4999A" w14:textId="79FDEF26" w:rsidR="00F70EEA" w:rsidRPr="00E97BC8" w:rsidRDefault="00FC1DC6" w:rsidP="00E85093">
      <w:pPr>
        <w:spacing w:after="0" w:line="240" w:lineRule="auto"/>
        <w:jc w:val="both"/>
        <w:rPr>
          <w:rFonts w:cs="Times New Roman"/>
          <w:sz w:val="22"/>
          <w:szCs w:val="22"/>
        </w:rPr>
      </w:pPr>
      <w:r w:rsidRPr="00E97BC8">
        <w:rPr>
          <w:rFonts w:cs="Times New Roman"/>
          <w:sz w:val="22"/>
          <w:szCs w:val="22"/>
        </w:rPr>
        <w:tab/>
      </w:r>
      <w:r w:rsidR="00783C57" w:rsidRPr="00E97BC8">
        <w:rPr>
          <w:rFonts w:cs="Times New Roman"/>
          <w:sz w:val="22"/>
          <w:szCs w:val="22"/>
        </w:rPr>
        <w:t xml:space="preserve">The ATE results also reveal </w:t>
      </w:r>
      <w:r w:rsidR="00B90CB5" w:rsidRPr="00E97BC8">
        <w:rPr>
          <w:rFonts w:cs="Times New Roman"/>
          <w:sz w:val="22"/>
          <w:szCs w:val="22"/>
        </w:rPr>
        <w:t xml:space="preserve">that charging perceptions vary significantly across different populations with </w:t>
      </w:r>
      <w:r w:rsidR="00783C57" w:rsidRPr="00E97BC8">
        <w:rPr>
          <w:rFonts w:cs="Times New Roman"/>
          <w:sz w:val="22"/>
          <w:szCs w:val="22"/>
        </w:rPr>
        <w:t xml:space="preserve">a </w:t>
      </w:r>
      <w:r w:rsidR="00B90CB5" w:rsidRPr="00E97BC8">
        <w:rPr>
          <w:rFonts w:cs="Times New Roman"/>
          <w:sz w:val="22"/>
          <w:szCs w:val="22"/>
        </w:rPr>
        <w:t xml:space="preserve">notable </w:t>
      </w:r>
      <w:r w:rsidR="00783C57" w:rsidRPr="00E97BC8">
        <w:rPr>
          <w:rFonts w:cs="Times New Roman"/>
          <w:sz w:val="22"/>
          <w:szCs w:val="22"/>
        </w:rPr>
        <w:t xml:space="preserve">disconnect between </w:t>
      </w:r>
      <w:r w:rsidR="005D2EDB" w:rsidRPr="00E97BC8">
        <w:rPr>
          <w:rFonts w:cs="Times New Roman"/>
          <w:sz w:val="22"/>
          <w:szCs w:val="22"/>
        </w:rPr>
        <w:t>charging</w:t>
      </w:r>
      <w:r w:rsidR="00783C57" w:rsidRPr="00E97BC8">
        <w:rPr>
          <w:rFonts w:cs="Times New Roman"/>
          <w:sz w:val="22"/>
          <w:szCs w:val="22"/>
        </w:rPr>
        <w:t xml:space="preserve"> perceptions and actual adoption rates for non-white individuals and </w:t>
      </w:r>
      <w:r w:rsidR="0095394E" w:rsidRPr="00E97BC8">
        <w:rPr>
          <w:rFonts w:cs="Times New Roman"/>
          <w:sz w:val="22"/>
          <w:szCs w:val="22"/>
        </w:rPr>
        <w:t>those living in multifamily</w:t>
      </w:r>
      <w:r w:rsidR="00783C57" w:rsidRPr="00E97BC8">
        <w:rPr>
          <w:rFonts w:cs="Times New Roman"/>
          <w:sz w:val="22"/>
          <w:szCs w:val="22"/>
        </w:rPr>
        <w:t xml:space="preserve"> dwell</w:t>
      </w:r>
      <w:r w:rsidR="0095394E" w:rsidRPr="00E97BC8">
        <w:rPr>
          <w:rFonts w:cs="Times New Roman"/>
          <w:sz w:val="22"/>
          <w:szCs w:val="22"/>
        </w:rPr>
        <w:t>ings</w:t>
      </w:r>
      <w:r w:rsidR="008047AB" w:rsidRPr="00E97BC8">
        <w:rPr>
          <w:rFonts w:cs="Times New Roman"/>
          <w:sz w:val="22"/>
          <w:szCs w:val="22"/>
        </w:rPr>
        <w:t>.</w:t>
      </w:r>
      <w:r w:rsidR="005B23DB" w:rsidRPr="00E97BC8">
        <w:rPr>
          <w:rFonts w:cs="Times New Roman"/>
          <w:b/>
          <w:bCs/>
          <w:sz w:val="22"/>
          <w:szCs w:val="22"/>
        </w:rPr>
        <w:t xml:space="preserve"> </w:t>
      </w:r>
      <w:r w:rsidR="008047AB" w:rsidRPr="00E97BC8">
        <w:rPr>
          <w:rFonts w:cs="Times New Roman"/>
          <w:sz w:val="22"/>
          <w:szCs w:val="22"/>
        </w:rPr>
        <w:t>Despite having more favorable perceptions of EV capabilities</w:t>
      </w:r>
      <w:r w:rsidR="00495355" w:rsidRPr="00E97BC8">
        <w:rPr>
          <w:rFonts w:cs="Times New Roman"/>
          <w:sz w:val="22"/>
          <w:szCs w:val="22"/>
        </w:rPr>
        <w:t xml:space="preserve">, neither of these groups seem to adopt EVs at higher rates than others. </w:t>
      </w:r>
      <w:r w:rsidR="0024136A" w:rsidRPr="00E97BC8">
        <w:rPr>
          <w:rFonts w:cs="Times New Roman"/>
          <w:sz w:val="22"/>
          <w:szCs w:val="22"/>
        </w:rPr>
        <w:t xml:space="preserve">This finding highlights an important gap in current charging infrastructure planning </w:t>
      </w:r>
      <w:r w:rsidR="00AE18F8" w:rsidRPr="00E97BC8">
        <w:rPr>
          <w:rFonts w:cs="Times New Roman"/>
          <w:sz w:val="22"/>
          <w:szCs w:val="22"/>
        </w:rPr>
        <w:t>and highlights the need to consider different approaches, particularly in urban areas with high concentrations of apartment complexes</w:t>
      </w:r>
      <w:r w:rsidR="0095394E" w:rsidRPr="00E97BC8">
        <w:rPr>
          <w:rFonts w:cs="Times New Roman"/>
          <w:sz w:val="22"/>
          <w:szCs w:val="22"/>
        </w:rPr>
        <w:t xml:space="preserve"> and other multifamily units</w:t>
      </w:r>
      <w:r w:rsidR="00AE18F8" w:rsidRPr="00E97BC8">
        <w:rPr>
          <w:rFonts w:cs="Times New Roman"/>
          <w:sz w:val="22"/>
          <w:szCs w:val="22"/>
        </w:rPr>
        <w:t xml:space="preserve">. </w:t>
      </w:r>
      <w:r w:rsidR="00B90CB5" w:rsidRPr="00E97BC8">
        <w:rPr>
          <w:rFonts w:cs="Times New Roman"/>
          <w:sz w:val="22"/>
          <w:szCs w:val="22"/>
        </w:rPr>
        <w:t xml:space="preserve">These residents may have more access to public charging infrastructure but lack cheap and convenient home charging infrastructure more readily available for </w:t>
      </w:r>
      <w:r w:rsidR="003834B9" w:rsidRPr="00E97BC8">
        <w:rPr>
          <w:rFonts w:cs="Times New Roman"/>
          <w:sz w:val="22"/>
          <w:szCs w:val="22"/>
        </w:rPr>
        <w:t>those living in single</w:t>
      </w:r>
      <w:r w:rsidR="0095394E" w:rsidRPr="00E97BC8">
        <w:rPr>
          <w:rFonts w:cs="Times New Roman"/>
          <w:sz w:val="22"/>
          <w:szCs w:val="22"/>
        </w:rPr>
        <w:t>-</w:t>
      </w:r>
      <w:r w:rsidR="003834B9" w:rsidRPr="00E97BC8">
        <w:rPr>
          <w:rFonts w:cs="Times New Roman"/>
          <w:sz w:val="22"/>
          <w:szCs w:val="22"/>
        </w:rPr>
        <w:t>family homes</w:t>
      </w:r>
      <w:r w:rsidR="00B90CB5" w:rsidRPr="00E97BC8">
        <w:rPr>
          <w:rFonts w:cs="Times New Roman"/>
          <w:sz w:val="22"/>
          <w:szCs w:val="22"/>
        </w:rPr>
        <w:t xml:space="preserve">. </w:t>
      </w:r>
      <w:r w:rsidR="00B45B13" w:rsidRPr="00E97BC8">
        <w:rPr>
          <w:rFonts w:cs="Times New Roman"/>
          <w:sz w:val="22"/>
          <w:szCs w:val="22"/>
        </w:rPr>
        <w:t>Transportation planners should consider implementing comprehensive charging solutions that specifically target multi-unit residential developments</w:t>
      </w:r>
      <w:r w:rsidR="00201525" w:rsidRPr="00E97BC8">
        <w:rPr>
          <w:rFonts w:cs="Times New Roman"/>
          <w:sz w:val="22"/>
          <w:szCs w:val="22"/>
        </w:rPr>
        <w:t xml:space="preserve">. </w:t>
      </w:r>
      <w:r w:rsidR="00B45B13" w:rsidRPr="00E97BC8">
        <w:rPr>
          <w:rFonts w:cs="Times New Roman"/>
          <w:sz w:val="22"/>
          <w:szCs w:val="22"/>
        </w:rPr>
        <w:t xml:space="preserve">Such </w:t>
      </w:r>
      <w:r w:rsidR="00201525" w:rsidRPr="00E97BC8">
        <w:rPr>
          <w:rFonts w:cs="Times New Roman"/>
          <w:sz w:val="22"/>
          <w:szCs w:val="22"/>
        </w:rPr>
        <w:t>policies</w:t>
      </w:r>
      <w:r w:rsidR="00B45B13" w:rsidRPr="00E97BC8">
        <w:rPr>
          <w:rFonts w:cs="Times New Roman"/>
          <w:sz w:val="22"/>
          <w:szCs w:val="22"/>
        </w:rPr>
        <w:t xml:space="preserve"> could include</w:t>
      </w:r>
      <w:r w:rsidR="00201525" w:rsidRPr="00E97BC8">
        <w:rPr>
          <w:rFonts w:cs="Times New Roman"/>
          <w:sz w:val="22"/>
          <w:szCs w:val="22"/>
        </w:rPr>
        <w:t xml:space="preserve"> requirements for</w:t>
      </w:r>
      <w:r w:rsidR="00B45B13" w:rsidRPr="00E97BC8">
        <w:rPr>
          <w:rFonts w:cs="Times New Roman"/>
          <w:sz w:val="22"/>
          <w:szCs w:val="22"/>
        </w:rPr>
        <w:t xml:space="preserve"> </w:t>
      </w:r>
      <w:r w:rsidR="00CE62F8" w:rsidRPr="00E97BC8">
        <w:rPr>
          <w:rFonts w:cs="Times New Roman"/>
          <w:sz w:val="22"/>
          <w:szCs w:val="22"/>
        </w:rPr>
        <w:t xml:space="preserve">the provision of </w:t>
      </w:r>
      <w:r w:rsidR="00B45B13" w:rsidRPr="00E97BC8">
        <w:rPr>
          <w:rFonts w:cs="Times New Roman"/>
          <w:sz w:val="22"/>
          <w:szCs w:val="22"/>
        </w:rPr>
        <w:t xml:space="preserve">dedicated charging </w:t>
      </w:r>
      <w:r w:rsidR="00201525" w:rsidRPr="00E97BC8">
        <w:rPr>
          <w:rFonts w:cs="Times New Roman"/>
          <w:sz w:val="22"/>
          <w:szCs w:val="22"/>
        </w:rPr>
        <w:t>spaces</w:t>
      </w:r>
      <w:r w:rsidR="00B45B13" w:rsidRPr="00E97BC8">
        <w:rPr>
          <w:rFonts w:cs="Times New Roman"/>
          <w:sz w:val="22"/>
          <w:szCs w:val="22"/>
        </w:rPr>
        <w:t xml:space="preserve"> within apartment complex</w:t>
      </w:r>
      <w:r w:rsidR="00201525" w:rsidRPr="00E97BC8">
        <w:rPr>
          <w:rFonts w:cs="Times New Roman"/>
          <w:sz w:val="22"/>
          <w:szCs w:val="22"/>
        </w:rPr>
        <w:t xml:space="preserve"> parking facilities and</w:t>
      </w:r>
      <w:r w:rsidR="00B45B13" w:rsidRPr="00E97BC8">
        <w:rPr>
          <w:rFonts w:cs="Times New Roman"/>
          <w:sz w:val="22"/>
          <w:szCs w:val="22"/>
        </w:rPr>
        <w:t xml:space="preserve"> </w:t>
      </w:r>
      <w:r w:rsidR="00201525" w:rsidRPr="00E97BC8">
        <w:rPr>
          <w:rFonts w:cs="Times New Roman"/>
          <w:sz w:val="22"/>
          <w:szCs w:val="22"/>
        </w:rPr>
        <w:t xml:space="preserve">the development of </w:t>
      </w:r>
      <w:r w:rsidR="00B45B13" w:rsidRPr="00E97BC8">
        <w:rPr>
          <w:rFonts w:cs="Times New Roman"/>
          <w:sz w:val="22"/>
          <w:szCs w:val="22"/>
        </w:rPr>
        <w:t xml:space="preserve">shared charging facilities in </w:t>
      </w:r>
      <w:r w:rsidR="00B45B13" w:rsidRPr="00E97BC8">
        <w:rPr>
          <w:rFonts w:cs="Times New Roman"/>
          <w:sz w:val="22"/>
          <w:szCs w:val="22"/>
        </w:rPr>
        <w:lastRenderedPageBreak/>
        <w:t>residential neighborhoods</w:t>
      </w:r>
      <w:r w:rsidR="00201525" w:rsidRPr="00E97BC8">
        <w:rPr>
          <w:rFonts w:cs="Times New Roman"/>
          <w:sz w:val="22"/>
          <w:szCs w:val="22"/>
        </w:rPr>
        <w:t>. Additionally</w:t>
      </w:r>
      <w:r w:rsidR="00B45B13" w:rsidRPr="00E97BC8">
        <w:rPr>
          <w:rFonts w:cs="Times New Roman"/>
          <w:sz w:val="22"/>
          <w:szCs w:val="22"/>
        </w:rPr>
        <w:t>,</w:t>
      </w:r>
      <w:r w:rsidR="00F228ED" w:rsidRPr="00E97BC8">
        <w:rPr>
          <w:rFonts w:cs="Times New Roman"/>
          <w:sz w:val="22"/>
          <w:szCs w:val="22"/>
        </w:rPr>
        <w:t xml:space="preserve"> </w:t>
      </w:r>
      <w:r w:rsidR="0038278F" w:rsidRPr="00E97BC8">
        <w:rPr>
          <w:rFonts w:cs="Times New Roman"/>
          <w:sz w:val="22"/>
          <w:szCs w:val="22"/>
        </w:rPr>
        <w:t xml:space="preserve">innovative solutions such </w:t>
      </w:r>
      <w:r w:rsidR="00DF05EE" w:rsidRPr="00E97BC8">
        <w:rPr>
          <w:rFonts w:cs="Times New Roman"/>
          <w:sz w:val="22"/>
          <w:szCs w:val="22"/>
        </w:rPr>
        <w:t>as removable batteries, battery swaps, and</w:t>
      </w:r>
      <w:r w:rsidR="00B45B13" w:rsidRPr="00E97BC8">
        <w:rPr>
          <w:rFonts w:cs="Times New Roman"/>
          <w:sz w:val="22"/>
          <w:szCs w:val="22"/>
        </w:rPr>
        <w:t xml:space="preserve"> mobile charging services</w:t>
      </w:r>
      <w:r w:rsidR="00DF05EE" w:rsidRPr="00E97BC8">
        <w:rPr>
          <w:rFonts w:cs="Times New Roman"/>
          <w:sz w:val="22"/>
          <w:szCs w:val="22"/>
        </w:rPr>
        <w:t xml:space="preserve"> should be explored for those without regular</w:t>
      </w:r>
      <w:r w:rsidR="006A49D4" w:rsidRPr="00E97BC8">
        <w:rPr>
          <w:rFonts w:cs="Times New Roman"/>
          <w:sz w:val="22"/>
          <w:szCs w:val="22"/>
        </w:rPr>
        <w:t xml:space="preserve"> access to </w:t>
      </w:r>
      <w:r w:rsidR="00DF05EE" w:rsidRPr="00E97BC8">
        <w:rPr>
          <w:rFonts w:cs="Times New Roman"/>
          <w:sz w:val="22"/>
          <w:szCs w:val="22"/>
        </w:rPr>
        <w:t>electrified parking spaces</w:t>
      </w:r>
      <w:r w:rsidR="006A49D4" w:rsidRPr="00E97BC8">
        <w:rPr>
          <w:rFonts w:cs="Times New Roman"/>
          <w:sz w:val="22"/>
          <w:szCs w:val="22"/>
        </w:rPr>
        <w:t xml:space="preserve"> at their residence</w:t>
      </w:r>
      <w:r w:rsidR="00B45B13" w:rsidRPr="00E97BC8">
        <w:rPr>
          <w:rFonts w:cs="Times New Roman"/>
          <w:sz w:val="22"/>
          <w:szCs w:val="22"/>
        </w:rPr>
        <w:t xml:space="preserve">. </w:t>
      </w:r>
      <w:r w:rsidR="00E62C48" w:rsidRPr="00E97BC8">
        <w:rPr>
          <w:rFonts w:cs="Times New Roman"/>
          <w:sz w:val="22"/>
          <w:szCs w:val="22"/>
        </w:rPr>
        <w:t>Further, although there is no significant difference in BRP between men and women, the fact that men seem more likely to adopt because of the ability to charge at home is notable</w:t>
      </w:r>
      <w:r w:rsidR="0063635E" w:rsidRPr="00E97BC8">
        <w:rPr>
          <w:rFonts w:cs="Times New Roman"/>
          <w:sz w:val="22"/>
          <w:szCs w:val="22"/>
        </w:rPr>
        <w:t xml:space="preserve"> and suggests that women may be less convinced by the in-home charging convenience of EVs even as range improves. It may also suggest that women, who have a higher VFP and generally desire more mobility control </w:t>
      </w:r>
      <w:r w:rsidR="0063635E" w:rsidRPr="00E97BC8">
        <w:rPr>
          <w:rFonts w:cs="Times New Roman"/>
          <w:sz w:val="22"/>
          <w:szCs w:val="22"/>
        </w:rPr>
        <w:fldChar w:fldCharType="begin"/>
      </w:r>
      <w:r w:rsidR="005A775A" w:rsidRPr="00E97BC8">
        <w:rPr>
          <w:rFonts w:cs="Times New Roman"/>
          <w:sz w:val="22"/>
          <w:szCs w:val="22"/>
        </w:rPr>
        <w:instrText xml:space="preserve"> ADDIN ZOTERO_ITEM CSL_CITATION {"citationID":"llFik3Dw","properties":{"formattedCitation":"(Hjorthol, 2008)","plainCitation":"(Hjorthol, 2008)","dontUpdate":true,"noteIndex":0},"citationItems":[{"id":3609,"uris":["http://zotero.org/users/12832277/items/B9VBY926"],"itemData":{"id":3609,"type":"chapter","abstract":"Sweden is currently putting a great deal of effort into discussions regarding how gender equality can be achieved in the transport sector. This is due to a political strategy that began in 2001, with the addition of a gender equality subsidiary goal to Swedish transport policy. This chapter describes and analyses the current position of gender mainstreaming in the transport sector in Sweden. It provides a history of legislation in Sweden on gender mainstreaming in transport policy. The chapter presents an analysis of why gender equality has not had more success, through the identification of a number of barriers to gender mainstreaming that currently exist in the sector. It analyses the consequences of the new legislation in light of these barriers and applied to a discussion regarding the research that is needed to overcome obstacles to change. Gender mainstreaming involves an increased responsibility for gender equality politics for all governmental agencies.","container-title":"Gendered Mobilities","ISBN":"978-1-315-58420-1","note":"number-of-pages: 18","publisher":"Routledge","title":"Daily Mobility of Men and Women – A Barometer of Gender Equality?","author":[{"family":"Hjorthol","given":"Randi"}],"issued":{"date-parts":[["2008"]]}}}],"schema":"https://github.com/citation-style-language/schema/raw/master/csl-citation.json"} </w:instrText>
      </w:r>
      <w:r w:rsidR="0063635E" w:rsidRPr="00E97BC8">
        <w:rPr>
          <w:rFonts w:cs="Times New Roman"/>
          <w:sz w:val="22"/>
          <w:szCs w:val="22"/>
        </w:rPr>
        <w:fldChar w:fldCharType="separate"/>
      </w:r>
      <w:r w:rsidR="0063635E" w:rsidRPr="00E97BC8">
        <w:rPr>
          <w:rFonts w:cs="Times New Roman"/>
          <w:sz w:val="22"/>
          <w:szCs w:val="22"/>
        </w:rPr>
        <w:t>(see Hjorthol, 2008)</w:t>
      </w:r>
      <w:r w:rsidR="0063635E" w:rsidRPr="00E97BC8">
        <w:rPr>
          <w:rFonts w:cs="Times New Roman"/>
          <w:sz w:val="22"/>
          <w:szCs w:val="22"/>
        </w:rPr>
        <w:fldChar w:fldCharType="end"/>
      </w:r>
      <w:r w:rsidR="0063635E" w:rsidRPr="00E97BC8">
        <w:rPr>
          <w:rFonts w:cs="Times New Roman"/>
          <w:sz w:val="22"/>
          <w:szCs w:val="22"/>
        </w:rPr>
        <w:t xml:space="preserve"> may place a higher premium on out-of-home charging to maintain this control. Thus, the improvement of out-of-home charging infrastructure may be a particularly important step to encourage adoption among women. </w:t>
      </w:r>
    </w:p>
    <w:p w14:paraId="14F65DD6" w14:textId="77777777" w:rsidR="002E06E3" w:rsidRPr="00E97BC8" w:rsidRDefault="002E06E3" w:rsidP="00E85093">
      <w:pPr>
        <w:spacing w:after="0" w:line="240" w:lineRule="auto"/>
        <w:jc w:val="both"/>
        <w:rPr>
          <w:rFonts w:cs="Times New Roman"/>
          <w:b/>
          <w:bCs/>
          <w:sz w:val="22"/>
          <w:szCs w:val="22"/>
        </w:rPr>
      </w:pPr>
    </w:p>
    <w:p w14:paraId="1886D25A" w14:textId="77777777" w:rsidR="002E06E3" w:rsidRPr="00E97BC8" w:rsidRDefault="002E06E3" w:rsidP="00E85093">
      <w:pPr>
        <w:keepNext/>
        <w:spacing w:after="0" w:line="240" w:lineRule="auto"/>
        <w:jc w:val="both"/>
        <w:rPr>
          <w:rFonts w:cs="Times New Roman"/>
          <w:b/>
          <w:bCs/>
          <w:sz w:val="22"/>
          <w:szCs w:val="22"/>
        </w:rPr>
      </w:pPr>
      <w:r w:rsidRPr="00E97BC8">
        <w:rPr>
          <w:rFonts w:cs="Times New Roman"/>
          <w:b/>
          <w:bCs/>
          <w:sz w:val="22"/>
          <w:szCs w:val="22"/>
        </w:rPr>
        <w:t>6. CONCLUSIONS</w:t>
      </w:r>
    </w:p>
    <w:p w14:paraId="51704693" w14:textId="18B83930" w:rsidR="002E06E3" w:rsidRPr="00E97BC8" w:rsidRDefault="00317F1B" w:rsidP="00E85093">
      <w:pPr>
        <w:keepNext/>
        <w:spacing w:after="0" w:line="240" w:lineRule="auto"/>
        <w:jc w:val="both"/>
        <w:rPr>
          <w:rFonts w:cs="Times New Roman"/>
          <w:sz w:val="22"/>
          <w:szCs w:val="22"/>
        </w:rPr>
      </w:pPr>
      <w:r w:rsidRPr="00E97BC8">
        <w:rPr>
          <w:rFonts w:cs="Times New Roman"/>
          <w:sz w:val="22"/>
          <w:szCs w:val="22"/>
        </w:rPr>
        <w:t xml:space="preserve">This </w:t>
      </w:r>
      <w:r w:rsidR="00872BD0" w:rsidRPr="00E97BC8">
        <w:rPr>
          <w:rFonts w:cs="Times New Roman"/>
          <w:sz w:val="22"/>
          <w:szCs w:val="22"/>
        </w:rPr>
        <w:t>research</w:t>
      </w:r>
      <w:r w:rsidRPr="00E97BC8">
        <w:rPr>
          <w:rFonts w:cs="Times New Roman"/>
          <w:sz w:val="22"/>
          <w:szCs w:val="22"/>
        </w:rPr>
        <w:t xml:space="preserve"> </w:t>
      </w:r>
      <w:r w:rsidR="00315AB3" w:rsidRPr="00E97BC8">
        <w:rPr>
          <w:rFonts w:cs="Times New Roman"/>
          <w:sz w:val="22"/>
          <w:szCs w:val="22"/>
        </w:rPr>
        <w:t xml:space="preserve">demonstrates that </w:t>
      </w:r>
      <w:r w:rsidRPr="00E97BC8">
        <w:rPr>
          <w:rFonts w:cs="Times New Roman"/>
          <w:sz w:val="22"/>
          <w:szCs w:val="22"/>
        </w:rPr>
        <w:t>e</w:t>
      </w:r>
      <w:r w:rsidR="002E06E3" w:rsidRPr="00E97BC8">
        <w:rPr>
          <w:rFonts w:cs="Times New Roman"/>
          <w:sz w:val="22"/>
          <w:szCs w:val="22"/>
        </w:rPr>
        <w:t xml:space="preserve">lectric vehicle adoption rates are influenced by a wide range of factors, including individual-level demographics, attitudes and lifestyle preferences, </w:t>
      </w:r>
      <w:r w:rsidR="00872BD0" w:rsidRPr="00E97BC8">
        <w:rPr>
          <w:rFonts w:cs="Times New Roman"/>
          <w:sz w:val="22"/>
          <w:szCs w:val="22"/>
        </w:rPr>
        <w:t xml:space="preserve">perceptions </w:t>
      </w:r>
      <w:r w:rsidR="002E06E3" w:rsidRPr="00E97BC8">
        <w:rPr>
          <w:rFonts w:cs="Times New Roman"/>
          <w:sz w:val="22"/>
          <w:szCs w:val="22"/>
        </w:rPr>
        <w:t>of EV</w:t>
      </w:r>
      <w:r w:rsidR="00872BD0" w:rsidRPr="00E97BC8">
        <w:rPr>
          <w:rFonts w:cs="Times New Roman"/>
          <w:sz w:val="22"/>
          <w:szCs w:val="22"/>
        </w:rPr>
        <w:t>s</w:t>
      </w:r>
      <w:r w:rsidR="002E06E3" w:rsidRPr="00E97BC8">
        <w:rPr>
          <w:rFonts w:cs="Times New Roman"/>
          <w:sz w:val="22"/>
          <w:szCs w:val="22"/>
        </w:rPr>
        <w:t xml:space="preserve"> </w:t>
      </w:r>
      <w:r w:rsidR="00315AB3" w:rsidRPr="00E97BC8">
        <w:rPr>
          <w:rFonts w:cs="Times New Roman"/>
          <w:sz w:val="22"/>
          <w:szCs w:val="22"/>
        </w:rPr>
        <w:t>capabilities</w:t>
      </w:r>
      <w:r w:rsidR="002E06E3" w:rsidRPr="00E97BC8">
        <w:rPr>
          <w:rFonts w:cs="Times New Roman"/>
          <w:sz w:val="22"/>
          <w:szCs w:val="22"/>
        </w:rPr>
        <w:t xml:space="preserve">, and infrastructure </w:t>
      </w:r>
      <w:r w:rsidR="00AC6692" w:rsidRPr="00E97BC8">
        <w:rPr>
          <w:rFonts w:cs="Times New Roman"/>
          <w:sz w:val="22"/>
          <w:szCs w:val="22"/>
        </w:rPr>
        <w:t>availability</w:t>
      </w:r>
      <w:r w:rsidR="002E06E3" w:rsidRPr="00E97BC8">
        <w:rPr>
          <w:rFonts w:cs="Times New Roman"/>
          <w:sz w:val="22"/>
          <w:szCs w:val="22"/>
        </w:rPr>
        <w:t xml:space="preserve">. In this paper, we examine this individual-level adoption decision using revealed preference data from California residents. Jointly, we examine the </w:t>
      </w:r>
      <w:r w:rsidR="00E83AD8" w:rsidRPr="00E97BC8">
        <w:rPr>
          <w:rFonts w:cs="Times New Roman"/>
          <w:sz w:val="22"/>
          <w:szCs w:val="22"/>
        </w:rPr>
        <w:t xml:space="preserve">motivations </w:t>
      </w:r>
      <w:r w:rsidR="002E06E3" w:rsidRPr="00E97BC8">
        <w:rPr>
          <w:rFonts w:cs="Times New Roman"/>
          <w:sz w:val="22"/>
          <w:szCs w:val="22"/>
        </w:rPr>
        <w:t xml:space="preserve">for adoption, revealing the multitude of pathways that lead different individuals to choose EVs. The results highlight the need for a multifaceted approach to promoting EVs that accounts for the different needs of diverse populations. Specifically, while environmental issues play a significant role in adoption decisions for many individuals, we find that vehicle functionality is an area that should be emphasized to better correspond with the interests of women, older individuals, and Hispanic individuals. We also find that income plays a large role in EV adoption decisions, </w:t>
      </w:r>
      <w:r w:rsidR="00C6748D" w:rsidRPr="00E97BC8">
        <w:rPr>
          <w:rFonts w:cs="Times New Roman"/>
          <w:sz w:val="22"/>
          <w:szCs w:val="22"/>
        </w:rPr>
        <w:t>perhaps because of the early stage of the EV market</w:t>
      </w:r>
      <w:r w:rsidR="00315AB3" w:rsidRPr="00E97BC8">
        <w:rPr>
          <w:rFonts w:cs="Times New Roman"/>
          <w:sz w:val="22"/>
          <w:szCs w:val="22"/>
        </w:rPr>
        <w:t xml:space="preserve"> and</w:t>
      </w:r>
      <w:r w:rsidR="00C6748D" w:rsidRPr="00E97BC8">
        <w:rPr>
          <w:rFonts w:cs="Times New Roman"/>
          <w:sz w:val="22"/>
          <w:szCs w:val="22"/>
        </w:rPr>
        <w:t xml:space="preserve"> higher prices for EVs compared to ICEVs, both of which highlight the need for </w:t>
      </w:r>
      <w:r w:rsidR="00315AB3" w:rsidRPr="00E97BC8">
        <w:rPr>
          <w:rFonts w:cs="Times New Roman"/>
          <w:sz w:val="22"/>
          <w:szCs w:val="22"/>
        </w:rPr>
        <w:t xml:space="preserve">increased </w:t>
      </w:r>
      <w:r w:rsidR="002E06E3" w:rsidRPr="00E97BC8">
        <w:rPr>
          <w:rFonts w:cs="Times New Roman"/>
          <w:sz w:val="22"/>
          <w:szCs w:val="22"/>
        </w:rPr>
        <w:t>incentive</w:t>
      </w:r>
      <w:r w:rsidR="00C6748D" w:rsidRPr="00E97BC8">
        <w:rPr>
          <w:rFonts w:cs="Times New Roman"/>
          <w:sz w:val="22"/>
          <w:szCs w:val="22"/>
        </w:rPr>
        <w:t xml:space="preserve">s. </w:t>
      </w:r>
      <w:r w:rsidR="00144741" w:rsidRPr="00E97BC8">
        <w:rPr>
          <w:rFonts w:cs="Times New Roman"/>
          <w:sz w:val="22"/>
          <w:szCs w:val="22"/>
        </w:rPr>
        <w:t>In addition</w:t>
      </w:r>
      <w:r w:rsidR="002E06E3" w:rsidRPr="00E97BC8">
        <w:rPr>
          <w:rFonts w:cs="Times New Roman"/>
          <w:sz w:val="22"/>
          <w:szCs w:val="22"/>
        </w:rPr>
        <w:t xml:space="preserve">, charging infrastructure seems to play </w:t>
      </w:r>
      <w:r w:rsidR="00315AB3" w:rsidRPr="00E97BC8">
        <w:rPr>
          <w:rFonts w:cs="Times New Roman"/>
          <w:sz w:val="22"/>
          <w:szCs w:val="22"/>
        </w:rPr>
        <w:t xml:space="preserve">a </w:t>
      </w:r>
      <w:r w:rsidR="002E06E3" w:rsidRPr="00E97BC8">
        <w:rPr>
          <w:rFonts w:cs="Times New Roman"/>
          <w:sz w:val="22"/>
          <w:szCs w:val="22"/>
        </w:rPr>
        <w:t>role in EV adoption both by improving perceptions of EV range performance and through additional social mechanisms that make EV technologies more visible.</w:t>
      </w:r>
      <w:r w:rsidR="00144741" w:rsidRPr="00E97BC8">
        <w:rPr>
          <w:rFonts w:cs="Times New Roman"/>
          <w:sz w:val="22"/>
          <w:szCs w:val="22"/>
        </w:rPr>
        <w:t xml:space="preserve"> </w:t>
      </w:r>
      <w:r w:rsidR="00D72EDE" w:rsidRPr="00E97BC8">
        <w:rPr>
          <w:rFonts w:cs="Times New Roman"/>
          <w:sz w:val="22"/>
          <w:szCs w:val="22"/>
        </w:rPr>
        <w:t>Further</w:t>
      </w:r>
      <w:r w:rsidR="002E06E3" w:rsidRPr="00E97BC8">
        <w:rPr>
          <w:rFonts w:cs="Times New Roman"/>
          <w:sz w:val="22"/>
          <w:szCs w:val="22"/>
        </w:rPr>
        <w:t xml:space="preserve">, existing studies have noted a disconnect between the ease of home charging and heightened preferences for EVs among </w:t>
      </w:r>
      <w:r w:rsidR="00315AB3" w:rsidRPr="00E97BC8">
        <w:rPr>
          <w:rFonts w:cs="Times New Roman"/>
          <w:sz w:val="22"/>
          <w:szCs w:val="22"/>
        </w:rPr>
        <w:t>those living in single</w:t>
      </w:r>
      <w:r w:rsidR="00F355DF" w:rsidRPr="00E97BC8">
        <w:rPr>
          <w:rFonts w:cs="Times New Roman"/>
          <w:sz w:val="22"/>
          <w:szCs w:val="22"/>
        </w:rPr>
        <w:t>-</w:t>
      </w:r>
      <w:r w:rsidR="00315AB3" w:rsidRPr="00E97BC8">
        <w:rPr>
          <w:rFonts w:cs="Times New Roman"/>
          <w:sz w:val="22"/>
          <w:szCs w:val="22"/>
        </w:rPr>
        <w:t>family</w:t>
      </w:r>
      <w:r w:rsidR="00F355DF" w:rsidRPr="00E97BC8">
        <w:rPr>
          <w:rFonts w:cs="Times New Roman"/>
          <w:sz w:val="22"/>
          <w:szCs w:val="22"/>
        </w:rPr>
        <w:t xml:space="preserve"> </w:t>
      </w:r>
      <w:r w:rsidR="00315AB3" w:rsidRPr="00E97BC8">
        <w:rPr>
          <w:rFonts w:cs="Times New Roman"/>
          <w:sz w:val="22"/>
          <w:szCs w:val="22"/>
        </w:rPr>
        <w:t xml:space="preserve">homes </w:t>
      </w:r>
      <w:r w:rsidR="002E06E3" w:rsidRPr="00E97BC8">
        <w:rPr>
          <w:rFonts w:cs="Times New Roman"/>
          <w:sz w:val="22"/>
          <w:szCs w:val="22"/>
        </w:rPr>
        <w:t xml:space="preserve">in stated preference surveys and higher adoption rates in urban areas with greater proportions of </w:t>
      </w:r>
      <w:r w:rsidR="00874CFC" w:rsidRPr="00E97BC8">
        <w:rPr>
          <w:rFonts w:cs="Times New Roman"/>
          <w:sz w:val="22"/>
          <w:szCs w:val="22"/>
        </w:rPr>
        <w:t>multifamily dwellings</w:t>
      </w:r>
      <w:r w:rsidR="00315AB3" w:rsidRPr="00E97BC8">
        <w:rPr>
          <w:rFonts w:cs="Times New Roman"/>
          <w:sz w:val="22"/>
          <w:szCs w:val="22"/>
        </w:rPr>
        <w:t xml:space="preserve"> </w:t>
      </w:r>
      <w:r w:rsidR="002E06E3" w:rsidRPr="00E97BC8">
        <w:rPr>
          <w:rFonts w:cs="Times New Roman"/>
          <w:sz w:val="22"/>
          <w:szCs w:val="22"/>
        </w:rPr>
        <w:t xml:space="preserve">in aggregate studies. </w:t>
      </w:r>
      <w:r w:rsidR="00924844" w:rsidRPr="00E97BC8">
        <w:rPr>
          <w:rFonts w:cs="Times New Roman"/>
          <w:sz w:val="22"/>
          <w:szCs w:val="22"/>
        </w:rPr>
        <w:t>W</w:t>
      </w:r>
      <w:r w:rsidR="002E06E3" w:rsidRPr="00E97BC8">
        <w:rPr>
          <w:rFonts w:cs="Times New Roman"/>
          <w:sz w:val="22"/>
          <w:szCs w:val="22"/>
        </w:rPr>
        <w:t xml:space="preserve">e explore the factors that lead to adoption for these two groups and find that different factors influence adoption for </w:t>
      </w:r>
      <w:r w:rsidR="00DA1063" w:rsidRPr="00E97BC8">
        <w:rPr>
          <w:rFonts w:cs="Times New Roman"/>
          <w:sz w:val="22"/>
          <w:szCs w:val="22"/>
        </w:rPr>
        <w:t>each group</w:t>
      </w:r>
      <w:r w:rsidR="002E06E3" w:rsidRPr="00E97BC8">
        <w:rPr>
          <w:rFonts w:cs="Times New Roman"/>
          <w:sz w:val="22"/>
          <w:szCs w:val="22"/>
        </w:rPr>
        <w:t xml:space="preserve">. Our findings confirm a heightened interest in home-charging for </w:t>
      </w:r>
      <w:r w:rsidR="00315AB3" w:rsidRPr="00E97BC8">
        <w:rPr>
          <w:rFonts w:cs="Times New Roman"/>
          <w:sz w:val="22"/>
          <w:szCs w:val="22"/>
        </w:rPr>
        <w:t>those living in single</w:t>
      </w:r>
      <w:r w:rsidR="00874CFC" w:rsidRPr="00E97BC8">
        <w:rPr>
          <w:rFonts w:cs="Times New Roman"/>
          <w:sz w:val="22"/>
          <w:szCs w:val="22"/>
        </w:rPr>
        <w:t>-</w:t>
      </w:r>
      <w:r w:rsidR="00315AB3" w:rsidRPr="00E97BC8">
        <w:rPr>
          <w:rFonts w:cs="Times New Roman"/>
          <w:sz w:val="22"/>
          <w:szCs w:val="22"/>
        </w:rPr>
        <w:t>family homes</w:t>
      </w:r>
      <w:r w:rsidR="00144741" w:rsidRPr="00E97BC8">
        <w:rPr>
          <w:rFonts w:cs="Times New Roman"/>
          <w:sz w:val="22"/>
          <w:szCs w:val="22"/>
        </w:rPr>
        <w:t>,</w:t>
      </w:r>
      <w:r w:rsidR="002E06E3" w:rsidRPr="00E97BC8">
        <w:rPr>
          <w:rFonts w:cs="Times New Roman"/>
          <w:sz w:val="22"/>
          <w:szCs w:val="22"/>
        </w:rPr>
        <w:t xml:space="preserve"> while a more positive perception of EV range and battery technology (likely related to access to and knowledge of charging stations) influences </w:t>
      </w:r>
      <w:r w:rsidR="00315AB3" w:rsidRPr="00E97BC8">
        <w:rPr>
          <w:rFonts w:cs="Times New Roman"/>
          <w:sz w:val="22"/>
          <w:szCs w:val="22"/>
        </w:rPr>
        <w:t xml:space="preserve">those living in </w:t>
      </w:r>
      <w:r w:rsidR="00874CFC" w:rsidRPr="00E97BC8">
        <w:rPr>
          <w:rFonts w:cs="Times New Roman"/>
          <w:sz w:val="22"/>
          <w:szCs w:val="22"/>
        </w:rPr>
        <w:t>multifamily dwellings</w:t>
      </w:r>
      <w:r w:rsidR="008F6C37" w:rsidRPr="00E97BC8">
        <w:rPr>
          <w:rFonts w:cs="Times New Roman"/>
          <w:sz w:val="22"/>
          <w:szCs w:val="22"/>
        </w:rPr>
        <w:t xml:space="preserve"> or apartments</w:t>
      </w:r>
      <w:r w:rsidR="002E06E3" w:rsidRPr="00E97BC8">
        <w:rPr>
          <w:rFonts w:cs="Times New Roman"/>
          <w:sz w:val="22"/>
          <w:szCs w:val="22"/>
        </w:rPr>
        <w:t xml:space="preserve">. </w:t>
      </w:r>
    </w:p>
    <w:p w14:paraId="6078ABF2" w14:textId="1877AF02" w:rsidR="009D10D6" w:rsidRPr="00E97BC8" w:rsidRDefault="002E06E3" w:rsidP="00E85093">
      <w:pPr>
        <w:spacing w:after="0" w:line="240" w:lineRule="auto"/>
        <w:jc w:val="both"/>
        <w:rPr>
          <w:rFonts w:cs="Times New Roman"/>
          <w:sz w:val="22"/>
          <w:szCs w:val="22"/>
        </w:rPr>
      </w:pPr>
      <w:r w:rsidRPr="00E97BC8">
        <w:rPr>
          <w:rFonts w:cs="Times New Roman"/>
          <w:sz w:val="22"/>
          <w:szCs w:val="22"/>
        </w:rPr>
        <w:tab/>
      </w:r>
      <w:r w:rsidR="00924844" w:rsidRPr="00E97BC8">
        <w:rPr>
          <w:rFonts w:cs="Times New Roman"/>
          <w:sz w:val="22"/>
          <w:szCs w:val="22"/>
        </w:rPr>
        <w:t>While this research presents new findings related to the decision to adopt an EV</w:t>
      </w:r>
      <w:r w:rsidR="00315AB3" w:rsidRPr="00E97BC8">
        <w:rPr>
          <w:rFonts w:cs="Times New Roman"/>
          <w:sz w:val="22"/>
          <w:szCs w:val="22"/>
        </w:rPr>
        <w:t>,</w:t>
      </w:r>
      <w:r w:rsidR="00924844" w:rsidRPr="00E97BC8">
        <w:rPr>
          <w:rFonts w:cs="Times New Roman"/>
          <w:sz w:val="22"/>
          <w:szCs w:val="22"/>
        </w:rPr>
        <w:t xml:space="preserve"> there are </w:t>
      </w:r>
      <w:r w:rsidRPr="00E97BC8">
        <w:rPr>
          <w:rFonts w:cs="Times New Roman"/>
          <w:sz w:val="22"/>
          <w:szCs w:val="22"/>
        </w:rPr>
        <w:t xml:space="preserve">many </w:t>
      </w:r>
      <w:r w:rsidR="00144741" w:rsidRPr="00E97BC8">
        <w:rPr>
          <w:rFonts w:cs="Times New Roman"/>
          <w:sz w:val="22"/>
          <w:szCs w:val="22"/>
        </w:rPr>
        <w:t xml:space="preserve">possible </w:t>
      </w:r>
      <w:r w:rsidRPr="00E97BC8">
        <w:rPr>
          <w:rFonts w:cs="Times New Roman"/>
          <w:sz w:val="22"/>
          <w:szCs w:val="22"/>
        </w:rPr>
        <w:t xml:space="preserve">directions </w:t>
      </w:r>
      <w:r w:rsidR="00144741" w:rsidRPr="00E97BC8">
        <w:rPr>
          <w:rFonts w:cs="Times New Roman"/>
          <w:sz w:val="22"/>
          <w:szCs w:val="22"/>
        </w:rPr>
        <w:t xml:space="preserve">for </w:t>
      </w:r>
      <w:r w:rsidRPr="00E97BC8">
        <w:rPr>
          <w:rFonts w:cs="Times New Roman"/>
          <w:sz w:val="22"/>
          <w:szCs w:val="22"/>
        </w:rPr>
        <w:t xml:space="preserve">future research. </w:t>
      </w:r>
      <w:r w:rsidR="00924844" w:rsidRPr="00E97BC8">
        <w:rPr>
          <w:rFonts w:cs="Times New Roman"/>
          <w:sz w:val="22"/>
          <w:szCs w:val="22"/>
        </w:rPr>
        <w:t xml:space="preserve">Due to the small sample of PHEV </w:t>
      </w:r>
      <w:r w:rsidR="00315AB3" w:rsidRPr="00E97BC8">
        <w:rPr>
          <w:rFonts w:cs="Times New Roman"/>
          <w:sz w:val="22"/>
          <w:szCs w:val="22"/>
        </w:rPr>
        <w:t>adopters,</w:t>
      </w:r>
      <w:r w:rsidR="00924844" w:rsidRPr="00E97BC8">
        <w:rPr>
          <w:rFonts w:cs="Times New Roman"/>
          <w:sz w:val="22"/>
          <w:szCs w:val="22"/>
        </w:rPr>
        <w:t xml:space="preserve"> we were </w:t>
      </w:r>
      <w:r w:rsidR="00BD6520" w:rsidRPr="00E97BC8">
        <w:rPr>
          <w:rFonts w:cs="Times New Roman"/>
          <w:sz w:val="22"/>
          <w:szCs w:val="22"/>
        </w:rPr>
        <w:t xml:space="preserve">only </w:t>
      </w:r>
      <w:r w:rsidR="00A81D97" w:rsidRPr="00E97BC8">
        <w:rPr>
          <w:rFonts w:cs="Times New Roman"/>
          <w:sz w:val="22"/>
          <w:szCs w:val="22"/>
        </w:rPr>
        <w:t xml:space="preserve">able </w:t>
      </w:r>
      <w:r w:rsidR="00924844" w:rsidRPr="00E97BC8">
        <w:rPr>
          <w:rFonts w:cs="Times New Roman"/>
          <w:sz w:val="22"/>
          <w:szCs w:val="22"/>
        </w:rPr>
        <w:t xml:space="preserve">to model </w:t>
      </w:r>
      <w:r w:rsidR="00BD6520" w:rsidRPr="00E97BC8">
        <w:rPr>
          <w:rFonts w:cs="Times New Roman"/>
          <w:sz w:val="22"/>
          <w:szCs w:val="22"/>
        </w:rPr>
        <w:t xml:space="preserve">differences in propensities for </w:t>
      </w:r>
      <w:r w:rsidR="00924844" w:rsidRPr="00E97BC8">
        <w:rPr>
          <w:rFonts w:cs="Times New Roman"/>
          <w:sz w:val="22"/>
          <w:szCs w:val="22"/>
        </w:rPr>
        <w:t xml:space="preserve">BEV and PHEV </w:t>
      </w:r>
      <w:r w:rsidR="00BD6520" w:rsidRPr="00E97BC8">
        <w:rPr>
          <w:rFonts w:cs="Times New Roman"/>
          <w:sz w:val="22"/>
          <w:szCs w:val="22"/>
        </w:rPr>
        <w:t>adoption in a limited way</w:t>
      </w:r>
      <w:r w:rsidR="00315AB3" w:rsidRPr="00E97BC8">
        <w:rPr>
          <w:rFonts w:cs="Times New Roman"/>
          <w:sz w:val="22"/>
          <w:szCs w:val="22"/>
        </w:rPr>
        <w:t>. F</w:t>
      </w:r>
      <w:r w:rsidR="00924844" w:rsidRPr="00E97BC8">
        <w:rPr>
          <w:rFonts w:cs="Times New Roman"/>
          <w:sz w:val="22"/>
          <w:szCs w:val="22"/>
        </w:rPr>
        <w:t>uture studies could break</w:t>
      </w:r>
      <w:r w:rsidRPr="00E97BC8">
        <w:rPr>
          <w:rFonts w:cs="Times New Roman"/>
          <w:sz w:val="22"/>
          <w:szCs w:val="22"/>
        </w:rPr>
        <w:t xml:space="preserve"> down</w:t>
      </w:r>
      <w:r w:rsidR="00924844" w:rsidRPr="00E97BC8">
        <w:rPr>
          <w:rFonts w:cs="Times New Roman"/>
          <w:sz w:val="22"/>
          <w:szCs w:val="22"/>
        </w:rPr>
        <w:t xml:space="preserve"> choices</w:t>
      </w:r>
      <w:r w:rsidRPr="00E97BC8">
        <w:rPr>
          <w:rFonts w:cs="Times New Roman"/>
          <w:sz w:val="22"/>
          <w:szCs w:val="22"/>
        </w:rPr>
        <w:t xml:space="preserve"> based on different EV types (BEV versus PHEV)</w:t>
      </w:r>
      <w:r w:rsidR="00315AB3" w:rsidRPr="00E97BC8">
        <w:rPr>
          <w:rFonts w:cs="Times New Roman"/>
          <w:sz w:val="22"/>
          <w:szCs w:val="22"/>
        </w:rPr>
        <w:t xml:space="preserve"> as well as examine how preferences for different vehicle attributes (such as body type or model) relate to the fuel type decision</w:t>
      </w:r>
      <w:r w:rsidR="00924844" w:rsidRPr="00E97BC8">
        <w:rPr>
          <w:rFonts w:cs="Times New Roman"/>
          <w:sz w:val="22"/>
          <w:szCs w:val="22"/>
        </w:rPr>
        <w:t>.</w:t>
      </w:r>
      <w:r w:rsidRPr="00E97BC8">
        <w:rPr>
          <w:rFonts w:cs="Times New Roman"/>
          <w:sz w:val="22"/>
          <w:szCs w:val="22"/>
        </w:rPr>
        <w:t xml:space="preserve"> </w:t>
      </w:r>
      <w:r w:rsidR="00315AB3" w:rsidRPr="00E97BC8">
        <w:rPr>
          <w:rFonts w:cs="Times New Roman"/>
          <w:sz w:val="22"/>
          <w:szCs w:val="22"/>
        </w:rPr>
        <w:t>Additionally, while o</w:t>
      </w:r>
      <w:r w:rsidR="00924844" w:rsidRPr="00E97BC8">
        <w:rPr>
          <w:rFonts w:cs="Times New Roman"/>
          <w:sz w:val="22"/>
          <w:szCs w:val="22"/>
        </w:rPr>
        <w:t>ur study was limited to California</w:t>
      </w:r>
      <w:r w:rsidR="00D8762C" w:rsidRPr="00E97BC8">
        <w:rPr>
          <w:rFonts w:cs="Times New Roman"/>
          <w:sz w:val="22"/>
          <w:szCs w:val="22"/>
        </w:rPr>
        <w:t xml:space="preserve">, </w:t>
      </w:r>
      <w:r w:rsidR="00315AB3" w:rsidRPr="00E97BC8">
        <w:rPr>
          <w:rFonts w:cs="Times New Roman"/>
          <w:sz w:val="22"/>
          <w:szCs w:val="22"/>
        </w:rPr>
        <w:t>f</w:t>
      </w:r>
      <w:r w:rsidR="00D8762C" w:rsidRPr="00E97BC8">
        <w:rPr>
          <w:rFonts w:cs="Times New Roman"/>
          <w:sz w:val="22"/>
          <w:szCs w:val="22"/>
        </w:rPr>
        <w:t xml:space="preserve">uture </w:t>
      </w:r>
      <w:r w:rsidR="008C5408" w:rsidRPr="00E97BC8">
        <w:rPr>
          <w:rFonts w:cs="Times New Roman"/>
          <w:sz w:val="22"/>
          <w:szCs w:val="22"/>
        </w:rPr>
        <w:t>research</w:t>
      </w:r>
      <w:r w:rsidR="00D8762C" w:rsidRPr="00E97BC8">
        <w:rPr>
          <w:rFonts w:cs="Times New Roman"/>
          <w:sz w:val="22"/>
          <w:szCs w:val="22"/>
        </w:rPr>
        <w:t xml:space="preserve"> may consider whether the decision to adopt an EV is related to similar factors in other US states</w:t>
      </w:r>
      <w:r w:rsidR="009D10D6" w:rsidRPr="00E97BC8">
        <w:rPr>
          <w:rFonts w:cs="Times New Roman"/>
          <w:sz w:val="22"/>
          <w:szCs w:val="22"/>
        </w:rPr>
        <w:t xml:space="preserve">, including regions with less EV charging infrastructure </w:t>
      </w:r>
      <w:r w:rsidR="00315AB3" w:rsidRPr="00E97BC8">
        <w:rPr>
          <w:rFonts w:cs="Times New Roman"/>
          <w:sz w:val="22"/>
          <w:szCs w:val="22"/>
        </w:rPr>
        <w:t>or fewer</w:t>
      </w:r>
      <w:r w:rsidR="009D10D6" w:rsidRPr="00E97BC8">
        <w:rPr>
          <w:rFonts w:cs="Times New Roman"/>
          <w:sz w:val="22"/>
          <w:szCs w:val="22"/>
        </w:rPr>
        <w:t xml:space="preserve"> incentives. </w:t>
      </w:r>
      <w:r w:rsidR="00DE02AB" w:rsidRPr="00E97BC8">
        <w:rPr>
          <w:rFonts w:cs="Times New Roman"/>
          <w:sz w:val="22"/>
          <w:szCs w:val="22"/>
        </w:rPr>
        <w:t>Considering a broader set of geographies and including a more comprehensive representation of local and regional charging infrastructure would provide valuable insights into the continued development of infrastructure at a local, national, and global level.</w:t>
      </w:r>
      <w:bookmarkStart w:id="39" w:name="_Hlk198727034"/>
      <w:r w:rsidR="00DE02AB" w:rsidRPr="00E97BC8">
        <w:rPr>
          <w:rFonts w:cs="Times New Roman"/>
          <w:sz w:val="22"/>
          <w:szCs w:val="22"/>
        </w:rPr>
        <w:t xml:space="preserve"> </w:t>
      </w:r>
      <w:r w:rsidR="00A34CC8" w:rsidRPr="00E97BC8">
        <w:rPr>
          <w:rFonts w:cs="Times New Roman"/>
          <w:sz w:val="22"/>
          <w:szCs w:val="22"/>
        </w:rPr>
        <w:t xml:space="preserve">Further, </w:t>
      </w:r>
      <w:r w:rsidR="00CF2366" w:rsidRPr="00E97BC8">
        <w:rPr>
          <w:rFonts w:cs="Times New Roman"/>
          <w:sz w:val="22"/>
          <w:szCs w:val="22"/>
        </w:rPr>
        <w:t>an investigation of</w:t>
      </w:r>
      <w:r w:rsidR="00A34CC8" w:rsidRPr="00E97BC8">
        <w:rPr>
          <w:rFonts w:cs="Times New Roman"/>
          <w:sz w:val="22"/>
          <w:szCs w:val="22"/>
        </w:rPr>
        <w:t xml:space="preserve"> how preferences for EVs are impacted by existing and planned travel needs and travel patterns (including commute distance) would be of interest, particularly due to the close connection between these travel patterns and specific needs for battery range and charging capabilities.</w:t>
      </w:r>
      <w:bookmarkEnd w:id="39"/>
      <w:r w:rsidR="00A34CC8" w:rsidRPr="00E97BC8">
        <w:rPr>
          <w:rFonts w:cs="Times New Roman"/>
          <w:sz w:val="22"/>
          <w:szCs w:val="22"/>
        </w:rPr>
        <w:t xml:space="preserve"> </w:t>
      </w:r>
      <w:r w:rsidR="000A1793" w:rsidRPr="00E97BC8">
        <w:rPr>
          <w:rFonts w:cs="Times New Roman"/>
          <w:sz w:val="22"/>
          <w:szCs w:val="22"/>
        </w:rPr>
        <w:t>Finally</w:t>
      </w:r>
      <w:r w:rsidR="009D10D6" w:rsidRPr="00E97BC8">
        <w:rPr>
          <w:rFonts w:cs="Times New Roman"/>
          <w:sz w:val="22"/>
          <w:szCs w:val="22"/>
        </w:rPr>
        <w:t xml:space="preserve">, as the EV market evolves and the EV secondary market grows, future research could investigate decisions </w:t>
      </w:r>
      <w:r w:rsidR="00315AB3" w:rsidRPr="00E97BC8">
        <w:rPr>
          <w:rFonts w:cs="Times New Roman"/>
          <w:sz w:val="22"/>
          <w:szCs w:val="22"/>
        </w:rPr>
        <w:t xml:space="preserve">regarding the adoption of </w:t>
      </w:r>
      <w:r w:rsidR="009D10D6" w:rsidRPr="00E97BC8">
        <w:rPr>
          <w:rFonts w:cs="Times New Roman"/>
          <w:sz w:val="22"/>
          <w:szCs w:val="22"/>
        </w:rPr>
        <w:t>used EVs.</w:t>
      </w:r>
      <w:r w:rsidR="00F22969" w:rsidRPr="00E97BC8">
        <w:rPr>
          <w:rFonts w:cs="Times New Roman"/>
          <w:sz w:val="22"/>
          <w:szCs w:val="22"/>
        </w:rPr>
        <w:t xml:space="preserve"> </w:t>
      </w:r>
    </w:p>
    <w:p w14:paraId="73C239A2" w14:textId="77777777" w:rsidR="00607A9B" w:rsidRPr="00E97BC8" w:rsidRDefault="00607A9B" w:rsidP="00E85093">
      <w:pPr>
        <w:spacing w:after="0" w:line="240" w:lineRule="auto"/>
        <w:jc w:val="both"/>
        <w:rPr>
          <w:rFonts w:cs="Times New Roman"/>
          <w:sz w:val="22"/>
          <w:szCs w:val="22"/>
        </w:rPr>
      </w:pPr>
    </w:p>
    <w:p w14:paraId="4F91ED01" w14:textId="5D9F4D9A" w:rsidR="00607A9B" w:rsidRPr="00E97BC8" w:rsidRDefault="00607A9B" w:rsidP="00E85093">
      <w:pPr>
        <w:keepNext/>
        <w:spacing w:after="0" w:line="240" w:lineRule="auto"/>
        <w:jc w:val="both"/>
        <w:rPr>
          <w:rFonts w:cs="Times New Roman"/>
          <w:b/>
          <w:bCs/>
          <w:sz w:val="22"/>
          <w:szCs w:val="22"/>
        </w:rPr>
      </w:pPr>
      <w:r w:rsidRPr="00E97BC8">
        <w:rPr>
          <w:rFonts w:cs="Times New Roman"/>
          <w:b/>
          <w:bCs/>
          <w:sz w:val="22"/>
          <w:szCs w:val="22"/>
        </w:rPr>
        <w:t>ACKNOWLEDGEMENTS</w:t>
      </w:r>
    </w:p>
    <w:p w14:paraId="5DB15A6C" w14:textId="126C9AF3" w:rsidR="00607A9B" w:rsidRPr="00E97BC8" w:rsidRDefault="00567C0B" w:rsidP="00E85093">
      <w:pPr>
        <w:spacing w:after="0" w:line="240" w:lineRule="auto"/>
        <w:jc w:val="both"/>
        <w:rPr>
          <w:rFonts w:cs="Times New Roman"/>
          <w:sz w:val="22"/>
          <w:szCs w:val="22"/>
        </w:rPr>
      </w:pPr>
      <w:r w:rsidRPr="00E97BC8">
        <w:rPr>
          <w:rFonts w:cs="Times New Roman"/>
          <w:sz w:val="22"/>
          <w:szCs w:val="22"/>
        </w:rPr>
        <w:t xml:space="preserve">This research was partially supported by the U.S. Department of Transportation through the Center for Understanding Future Travel Behavior and Demand (TBD) (Grant No. 69A3552344815 and No. 69A3552348320). </w:t>
      </w:r>
      <w:r w:rsidR="008C345E" w:rsidRPr="00E97BC8">
        <w:rPr>
          <w:rFonts w:cs="Times New Roman"/>
          <w:sz w:val="22"/>
          <w:szCs w:val="22"/>
        </w:rPr>
        <w:t xml:space="preserve">The data used in this research was collected in a project funded by a Department of </w:t>
      </w:r>
      <w:r w:rsidR="008C345E" w:rsidRPr="00E97BC8">
        <w:rPr>
          <w:rFonts w:cs="Times New Roman"/>
          <w:sz w:val="22"/>
          <w:szCs w:val="22"/>
        </w:rPr>
        <w:lastRenderedPageBreak/>
        <w:t>Energy SETO 2020 SEEDS 3 award - No. DE-EE09362. The authors acknowledge the members of the research team including George Parsons and Debapriya Chakraborty in survey questionnaire design</w:t>
      </w:r>
      <w:r w:rsidR="00284124" w:rsidRPr="00E97BC8">
        <w:rPr>
          <w:rFonts w:cs="Times New Roman"/>
          <w:sz w:val="22"/>
          <w:szCs w:val="22"/>
        </w:rPr>
        <w:t>;</w:t>
      </w:r>
      <w:r w:rsidR="008C345E" w:rsidRPr="00E97BC8">
        <w:rPr>
          <w:rFonts w:cs="Times New Roman"/>
          <w:sz w:val="22"/>
          <w:szCs w:val="22"/>
        </w:rPr>
        <w:t xml:space="preserve"> Lance Noel and Stephen Bull in survey sampling and survey administration</w:t>
      </w:r>
      <w:r w:rsidR="00284124" w:rsidRPr="00E97BC8">
        <w:rPr>
          <w:rFonts w:cs="Times New Roman"/>
          <w:sz w:val="22"/>
          <w:szCs w:val="22"/>
        </w:rPr>
        <w:t>;</w:t>
      </w:r>
      <w:r w:rsidR="008C345E" w:rsidRPr="00E97BC8">
        <w:rPr>
          <w:rFonts w:cs="Times New Roman"/>
          <w:sz w:val="22"/>
          <w:szCs w:val="22"/>
        </w:rPr>
        <w:t xml:space="preserve"> and Ben Hoen, Lawrence Berkeley National Lab, on overall project approach.</w:t>
      </w:r>
      <w:r w:rsidRPr="00E97BC8">
        <w:rPr>
          <w:rFonts w:cs="Times New Roman"/>
          <w:sz w:val="22"/>
          <w:szCs w:val="22"/>
        </w:rPr>
        <w:t xml:space="preserve"> The authors are grateful to Lisa Macias for her help in formatting this document</w:t>
      </w:r>
      <w:r w:rsidR="00FF4837">
        <w:rPr>
          <w:rFonts w:cs="Times New Roman"/>
          <w:sz w:val="22"/>
          <w:szCs w:val="22"/>
        </w:rPr>
        <w:t xml:space="preserve">, and to </w:t>
      </w:r>
      <w:r w:rsidR="00FF4837" w:rsidRPr="00FF4837">
        <w:rPr>
          <w:rFonts w:cs="Times New Roman"/>
          <w:sz w:val="22"/>
          <w:szCs w:val="22"/>
        </w:rPr>
        <w:t xml:space="preserve">three anonymous reviewers who provided useful </w:t>
      </w:r>
      <w:r w:rsidR="00FF4837">
        <w:rPr>
          <w:rFonts w:cs="Times New Roman"/>
          <w:sz w:val="22"/>
          <w:szCs w:val="22"/>
        </w:rPr>
        <w:t>suggestions</w:t>
      </w:r>
      <w:r w:rsidR="00FF4837" w:rsidRPr="00FF4837">
        <w:rPr>
          <w:rFonts w:cs="Times New Roman"/>
          <w:sz w:val="22"/>
          <w:szCs w:val="22"/>
        </w:rPr>
        <w:t xml:space="preserve"> on an</w:t>
      </w:r>
      <w:r w:rsidR="00FF4837">
        <w:rPr>
          <w:rFonts w:cs="Times New Roman"/>
          <w:sz w:val="22"/>
          <w:szCs w:val="22"/>
        </w:rPr>
        <w:t xml:space="preserve"> </w:t>
      </w:r>
      <w:r w:rsidR="00FF4837" w:rsidRPr="00FF4837">
        <w:rPr>
          <w:rFonts w:cs="Times New Roman"/>
          <w:sz w:val="22"/>
          <w:szCs w:val="22"/>
        </w:rPr>
        <w:t xml:space="preserve">earlier version of </w:t>
      </w:r>
      <w:r w:rsidR="00FF4837">
        <w:rPr>
          <w:rFonts w:cs="Times New Roman"/>
          <w:sz w:val="22"/>
          <w:szCs w:val="22"/>
        </w:rPr>
        <w:t>this</w:t>
      </w:r>
      <w:r w:rsidR="00FF4837" w:rsidRPr="00FF4837">
        <w:rPr>
          <w:rFonts w:cs="Times New Roman"/>
          <w:sz w:val="22"/>
          <w:szCs w:val="22"/>
        </w:rPr>
        <w:t xml:space="preserve"> paper.</w:t>
      </w:r>
    </w:p>
    <w:p w14:paraId="5F199983" w14:textId="77777777" w:rsidR="0039433E" w:rsidRPr="00E97BC8" w:rsidRDefault="0039433E" w:rsidP="00E85093">
      <w:pPr>
        <w:spacing w:after="0" w:line="240" w:lineRule="auto"/>
        <w:jc w:val="both"/>
        <w:rPr>
          <w:rFonts w:cs="Times New Roman"/>
          <w:sz w:val="22"/>
          <w:szCs w:val="22"/>
        </w:rPr>
      </w:pPr>
    </w:p>
    <w:p w14:paraId="74231260" w14:textId="77777777" w:rsidR="0039433E" w:rsidRPr="00E97BC8" w:rsidRDefault="0039433E" w:rsidP="00E85093">
      <w:pPr>
        <w:spacing w:after="0" w:line="240" w:lineRule="auto"/>
        <w:jc w:val="both"/>
        <w:rPr>
          <w:rFonts w:cs="Times New Roman"/>
          <w:b/>
          <w:bCs/>
          <w:sz w:val="22"/>
          <w:szCs w:val="22"/>
        </w:rPr>
      </w:pPr>
      <w:r w:rsidRPr="00E97BC8">
        <w:rPr>
          <w:rFonts w:cs="Times New Roman"/>
          <w:b/>
          <w:bCs/>
          <w:sz w:val="22"/>
          <w:szCs w:val="22"/>
        </w:rPr>
        <w:t>REFERENCES</w:t>
      </w:r>
    </w:p>
    <w:p w14:paraId="4056D9EF" w14:textId="77777777" w:rsidR="00BA744D" w:rsidRPr="00E97BC8" w:rsidRDefault="005C6CDF" w:rsidP="00E85093">
      <w:pPr>
        <w:pStyle w:val="Bibliography"/>
        <w:rPr>
          <w:rFonts w:cs="Times New Roman"/>
          <w:sz w:val="22"/>
          <w:szCs w:val="22"/>
        </w:rPr>
      </w:pPr>
      <w:r w:rsidRPr="00E97BC8">
        <w:rPr>
          <w:rFonts w:cs="Times New Roman"/>
          <w:sz w:val="22"/>
          <w:szCs w:val="22"/>
        </w:rPr>
        <w:fldChar w:fldCharType="begin"/>
      </w:r>
      <w:r w:rsidR="00335382" w:rsidRPr="00E97BC8">
        <w:rPr>
          <w:rFonts w:cs="Times New Roman"/>
          <w:sz w:val="22"/>
          <w:szCs w:val="22"/>
        </w:rPr>
        <w:instrText xml:space="preserve"> ADDIN ZOTERO_BIBL {"uncited":[],"omitted":[],"custom":[]} CSL_BIBLIOGRAPHY </w:instrText>
      </w:r>
      <w:r w:rsidRPr="00E97BC8">
        <w:rPr>
          <w:rFonts w:cs="Times New Roman"/>
          <w:sz w:val="22"/>
          <w:szCs w:val="22"/>
        </w:rPr>
        <w:fldChar w:fldCharType="separate"/>
      </w:r>
      <w:r w:rsidR="00BA744D" w:rsidRPr="00E97BC8">
        <w:rPr>
          <w:rFonts w:cs="Times New Roman"/>
          <w:sz w:val="22"/>
          <w:szCs w:val="22"/>
        </w:rPr>
        <w:t>Abadie, M., Gavard, E., Guillaume, F., 2021. Verbatim and Gist Memory in Aging. Psychology and Aging 36, 891–901. https://doi.org/10.1037/pag0000635</w:t>
      </w:r>
    </w:p>
    <w:p w14:paraId="5EF3795E" w14:textId="77777777" w:rsidR="00BA744D" w:rsidRPr="00E97BC8" w:rsidRDefault="00BA744D" w:rsidP="00E85093">
      <w:pPr>
        <w:pStyle w:val="Bibliography"/>
        <w:rPr>
          <w:rFonts w:cs="Times New Roman"/>
          <w:sz w:val="22"/>
          <w:szCs w:val="22"/>
        </w:rPr>
      </w:pPr>
      <w:r w:rsidRPr="00E97BC8">
        <w:rPr>
          <w:rFonts w:cs="Times New Roman"/>
          <w:sz w:val="22"/>
          <w:szCs w:val="22"/>
        </w:rPr>
        <w:t>Ackaah, W., Kanton, A.T., Osei, K.K., 2022. Factors Influencing Consumers’ Intentions to Purchase Electric Vehicles in Ghana. Transportation Letters 14, 1031–1042. https://doi.org/10.1080/19427867.2021.1990828</w:t>
      </w:r>
    </w:p>
    <w:p w14:paraId="3D83F94B" w14:textId="77777777" w:rsidR="00BA744D" w:rsidRPr="00E97BC8" w:rsidRDefault="00BA744D" w:rsidP="00E85093">
      <w:pPr>
        <w:pStyle w:val="Bibliography"/>
        <w:rPr>
          <w:rFonts w:cs="Times New Roman"/>
          <w:sz w:val="22"/>
          <w:szCs w:val="22"/>
        </w:rPr>
      </w:pPr>
      <w:r w:rsidRPr="00E97BC8">
        <w:rPr>
          <w:rFonts w:cs="Times New Roman"/>
          <w:sz w:val="22"/>
          <w:szCs w:val="22"/>
        </w:rPr>
        <w:t>Adhikari, M., Ghimire, L.P., Kim, Y., Aryal, P., Khadka, S.B., 2020. Identification and Analysis of Barriers Against Electric Vehicle Use. Sustainability 12. https://doi.org/10.3390/su12124850</w:t>
      </w:r>
    </w:p>
    <w:p w14:paraId="0AFF8C8A" w14:textId="77777777" w:rsidR="00BA744D" w:rsidRPr="00E97BC8" w:rsidRDefault="00BA744D" w:rsidP="00E85093">
      <w:pPr>
        <w:pStyle w:val="Bibliography"/>
        <w:rPr>
          <w:rFonts w:cs="Times New Roman"/>
          <w:sz w:val="22"/>
          <w:szCs w:val="22"/>
        </w:rPr>
      </w:pPr>
      <w:r w:rsidRPr="00E97BC8">
        <w:rPr>
          <w:rFonts w:cs="Times New Roman"/>
          <w:sz w:val="22"/>
          <w:szCs w:val="22"/>
        </w:rPr>
        <w:t>Adnan, N., Md Nordin, S., Hadi Amini, M., Langove, N., 2018. What Make Consumer Sign up to PHEVs? Predicting Malaysian Consumer Behavior in Adoption of PHEVs. Transportation Research Part A: Policy and Practice 113, 259–278. https://doi.org/10.1016/j.tra.2018.04.007</w:t>
      </w:r>
    </w:p>
    <w:p w14:paraId="08BF38E4" w14:textId="77777777" w:rsidR="00BA744D" w:rsidRPr="00E97BC8" w:rsidRDefault="00BA744D" w:rsidP="00E85093">
      <w:pPr>
        <w:pStyle w:val="Bibliography"/>
        <w:rPr>
          <w:rFonts w:cs="Times New Roman"/>
          <w:sz w:val="22"/>
          <w:szCs w:val="22"/>
        </w:rPr>
      </w:pPr>
      <w:r w:rsidRPr="00E97BC8">
        <w:rPr>
          <w:rFonts w:cs="Times New Roman"/>
          <w:sz w:val="22"/>
          <w:szCs w:val="22"/>
        </w:rPr>
        <w:t>Ajzen, I., 1991. The Theory of Planned Behavior. Organizational Behavior and Human Decision Processes 50, 179–211. https://doi.org/10.1016/0749-5978(91)90020-T</w:t>
      </w:r>
    </w:p>
    <w:p w14:paraId="2AF6437E" w14:textId="77777777" w:rsidR="00BA744D" w:rsidRPr="00E97BC8" w:rsidRDefault="00BA744D" w:rsidP="00E85093">
      <w:pPr>
        <w:pStyle w:val="Bibliography"/>
        <w:rPr>
          <w:rFonts w:cs="Times New Roman"/>
          <w:sz w:val="22"/>
          <w:szCs w:val="22"/>
        </w:rPr>
      </w:pPr>
      <w:r w:rsidRPr="00E97BC8">
        <w:rPr>
          <w:rFonts w:cs="Times New Roman"/>
          <w:sz w:val="22"/>
          <w:szCs w:val="22"/>
        </w:rPr>
        <w:t>Ali, I., Naushad, M., 2022. A Study to Investigate What Tempts Consumers to Adopt Electric Vehicles. World Electric Vehicle Journal 13, 26. https://doi.org/10.3390/wevj13020026</w:t>
      </w:r>
    </w:p>
    <w:p w14:paraId="4488093F" w14:textId="77777777" w:rsidR="00BA744D" w:rsidRPr="00E97BC8" w:rsidRDefault="00BA744D" w:rsidP="00E85093">
      <w:pPr>
        <w:pStyle w:val="Bibliography"/>
        <w:rPr>
          <w:rFonts w:cs="Times New Roman"/>
          <w:sz w:val="22"/>
          <w:szCs w:val="22"/>
        </w:rPr>
      </w:pPr>
      <w:r w:rsidRPr="00E97BC8">
        <w:rPr>
          <w:rFonts w:cs="Times New Roman"/>
          <w:sz w:val="22"/>
          <w:szCs w:val="22"/>
        </w:rPr>
        <w:t>Anfinsen, M., Lagesen, V.A., Ryghaug, M., 2019. Green and Gendered? Cultural Perspectives on the Road Towards Electric Vehicles in Norway. Transportation Research Part D: Transport and Environment, The Roles of Users in Low-Carbon Transport Innovations: Electrified, Automated, and Shared Mobility 71, 37–46. https://doi.org/10.1016/j.trd.2018.12.003</w:t>
      </w:r>
    </w:p>
    <w:p w14:paraId="31D792E0" w14:textId="77777777" w:rsidR="00BA744D" w:rsidRPr="00E97BC8" w:rsidRDefault="00BA744D" w:rsidP="00E85093">
      <w:pPr>
        <w:pStyle w:val="Bibliography"/>
        <w:rPr>
          <w:rFonts w:cs="Times New Roman"/>
          <w:sz w:val="22"/>
          <w:szCs w:val="22"/>
        </w:rPr>
      </w:pPr>
      <w:r w:rsidRPr="00E97BC8">
        <w:rPr>
          <w:rFonts w:cs="Times New Roman"/>
          <w:sz w:val="22"/>
          <w:szCs w:val="22"/>
        </w:rPr>
        <w:t>Asadi, S., Nilashi, M., Samad, S., Abdullah, R., Mahmoud, M., Alkinani, M.H., Yadegaridehkordi, E., 2021. Factors Impacting Consumers’ Intention Toward Adoption of Electric Vehicles in Malaysia. Journal of Cleaner Production 282. https://doi.org/10.1016/j.jclepro.2020.124474</w:t>
      </w:r>
    </w:p>
    <w:p w14:paraId="362A5ED0" w14:textId="77777777" w:rsidR="00BA744D" w:rsidRPr="00E97BC8" w:rsidRDefault="00BA744D" w:rsidP="00E85093">
      <w:pPr>
        <w:pStyle w:val="Bibliography"/>
        <w:rPr>
          <w:rFonts w:cs="Times New Roman"/>
          <w:sz w:val="22"/>
          <w:szCs w:val="22"/>
        </w:rPr>
      </w:pPr>
      <w:r w:rsidRPr="00E97BC8">
        <w:rPr>
          <w:rFonts w:cs="Times New Roman"/>
          <w:sz w:val="22"/>
          <w:szCs w:val="22"/>
        </w:rPr>
        <w:t>Astroza, S., Garikapati, V.M., Bhat, C.R., Pendyala, R.M., Lavieri, P.S., Dias, F.F., 2017. Analysis of the Impact of Technology Use on Multimodality and Activity Travel Characteristics. Transportation Research Record 2666, 19–28. https://doi.org/10.3141/2666-03</w:t>
      </w:r>
    </w:p>
    <w:p w14:paraId="12841753" w14:textId="77777777" w:rsidR="00BA744D" w:rsidRPr="00E97BC8" w:rsidRDefault="00BA744D" w:rsidP="00E85093">
      <w:pPr>
        <w:pStyle w:val="Bibliography"/>
        <w:rPr>
          <w:rFonts w:cs="Times New Roman"/>
          <w:sz w:val="22"/>
          <w:szCs w:val="22"/>
        </w:rPr>
      </w:pPr>
      <w:r w:rsidRPr="00E97BC8">
        <w:rPr>
          <w:rFonts w:cs="Times New Roman"/>
          <w:sz w:val="22"/>
          <w:szCs w:val="22"/>
        </w:rPr>
        <w:t>Austmann, L.M., 2021. Drivers of the Electric Vehicle Market: A Systematic Literature Review of Empirical Studies. Finance Research Letters 41. https://doi.org/10.1016/j.frl.2020.101846</w:t>
      </w:r>
    </w:p>
    <w:p w14:paraId="707F82BF" w14:textId="77777777" w:rsidR="00BA744D" w:rsidRPr="00E97BC8" w:rsidRDefault="00BA744D" w:rsidP="00E85093">
      <w:pPr>
        <w:pStyle w:val="Bibliography"/>
        <w:rPr>
          <w:rFonts w:cs="Times New Roman"/>
          <w:sz w:val="22"/>
          <w:szCs w:val="22"/>
        </w:rPr>
      </w:pPr>
      <w:r w:rsidRPr="00E97BC8">
        <w:rPr>
          <w:rFonts w:cs="Times New Roman"/>
          <w:sz w:val="22"/>
          <w:szCs w:val="22"/>
        </w:rPr>
        <w:t>Axsen, J., Goldberg, S., Bailey, J., 2016. How Might Potential Future Plug-in Electric Vehicle Buyers Differ from Current “Pioneer” Owners? Transportation Research Part D: Transport and Environment 47, 357–370. https://doi.org/10.1016/j.trd.2016.05.015</w:t>
      </w:r>
    </w:p>
    <w:p w14:paraId="66C7D10C" w14:textId="77777777" w:rsidR="00BA744D" w:rsidRPr="00E97BC8" w:rsidRDefault="00BA744D" w:rsidP="00E85093">
      <w:pPr>
        <w:pStyle w:val="Bibliography"/>
        <w:rPr>
          <w:rFonts w:cs="Times New Roman"/>
          <w:sz w:val="22"/>
          <w:szCs w:val="22"/>
        </w:rPr>
      </w:pPr>
      <w:r w:rsidRPr="00E97BC8">
        <w:rPr>
          <w:rFonts w:cs="Times New Roman"/>
          <w:sz w:val="22"/>
          <w:szCs w:val="22"/>
        </w:rPr>
        <w:t>Ayetor, G.K., Dzebre, D.K.E., Mensah, L.D., Boahen, S., Amoabeng, K.O., Tay, G.F.K., 2023. Comparing the Cost Per Mile of Electric Vehicles and Internal Combustion Engine Vehicles in Ghana. Transportation Research Record 2677, 682–693. https://doi.org/10.1177/03611981221135804</w:t>
      </w:r>
    </w:p>
    <w:p w14:paraId="1AAB9659" w14:textId="77777777" w:rsidR="00BA744D" w:rsidRPr="00E97BC8" w:rsidRDefault="00BA744D" w:rsidP="00E85093">
      <w:pPr>
        <w:pStyle w:val="Bibliography"/>
        <w:rPr>
          <w:rFonts w:cs="Times New Roman"/>
          <w:sz w:val="22"/>
          <w:szCs w:val="22"/>
        </w:rPr>
      </w:pPr>
      <w:r w:rsidRPr="00E97BC8">
        <w:rPr>
          <w:rFonts w:cs="Times New Roman"/>
          <w:sz w:val="22"/>
          <w:szCs w:val="22"/>
        </w:rPr>
        <w:t>Bailey, J., Miele, A., Axsen, J., 2015. Is Awareness of Public Charging Associated with Consumer Interest in Plug-in Electric Vehicles? Transportation Research Part D: Transport and Environment 36, 1–9. https://doi.org/10.1016/j.trd.2015.02.001</w:t>
      </w:r>
    </w:p>
    <w:p w14:paraId="43B397C5" w14:textId="77777777" w:rsidR="00BA744D" w:rsidRPr="00E97BC8" w:rsidRDefault="00BA744D" w:rsidP="00E85093">
      <w:pPr>
        <w:pStyle w:val="Bibliography"/>
        <w:rPr>
          <w:rFonts w:cs="Times New Roman"/>
          <w:sz w:val="22"/>
          <w:szCs w:val="22"/>
        </w:rPr>
      </w:pPr>
      <w:r w:rsidRPr="00E97BC8">
        <w:rPr>
          <w:rFonts w:cs="Times New Roman"/>
          <w:sz w:val="22"/>
          <w:szCs w:val="22"/>
        </w:rPr>
        <w:t>Bay Area Air Quality Management District, 2023. Clean Cars for All [WWW Document]. URL https://www.baaqmd.gov/en/funding-and-incentives/residents/clean-cars-for-all (accessed 10.13.24).</w:t>
      </w:r>
    </w:p>
    <w:p w14:paraId="5BD22653" w14:textId="77777777" w:rsidR="00BA744D" w:rsidRPr="00E97BC8" w:rsidRDefault="00BA744D" w:rsidP="00E85093">
      <w:pPr>
        <w:pStyle w:val="Bibliography"/>
        <w:rPr>
          <w:rFonts w:cs="Times New Roman"/>
          <w:sz w:val="22"/>
          <w:szCs w:val="22"/>
        </w:rPr>
      </w:pPr>
      <w:r w:rsidRPr="00E97BC8">
        <w:rPr>
          <w:rFonts w:cs="Times New Roman"/>
          <w:sz w:val="22"/>
          <w:szCs w:val="22"/>
        </w:rPr>
        <w:t>Ben Ali, M., Boukettaya, G., 2023. Analysis of Barriers and Opportunities in the Transition Towards Sustainable Electric Mobility in Tunisia: An Experimental Survey. Research in Transportation Business &amp; Management 50. https://doi.org/10.1016/j.rtbm.2023.101022</w:t>
      </w:r>
    </w:p>
    <w:p w14:paraId="28151C1D" w14:textId="77777777" w:rsidR="00BA744D" w:rsidRPr="00E97BC8" w:rsidRDefault="00BA744D" w:rsidP="00E85093">
      <w:pPr>
        <w:pStyle w:val="Bibliography"/>
        <w:rPr>
          <w:rFonts w:cs="Times New Roman"/>
          <w:sz w:val="22"/>
          <w:szCs w:val="22"/>
        </w:rPr>
      </w:pPr>
      <w:r w:rsidRPr="00E97BC8">
        <w:rPr>
          <w:rFonts w:cs="Times New Roman"/>
          <w:sz w:val="22"/>
          <w:szCs w:val="22"/>
        </w:rPr>
        <w:t>Ben-Akiva, M.E., Lerman, S.R., 1985. Discrete Choice Analysis: Theory and Application to Travel Demand. MIT Press.</w:t>
      </w:r>
    </w:p>
    <w:p w14:paraId="4CE455D5"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Berkowsky, R.W., Sharit, J., Czaja, S.J., 2017. Factors Predicting Decisions About Technology Adoption Among Older Adults. Innovation in Aging 1, igy002. https://doi.org/10.1093/geroni/igy002</w:t>
      </w:r>
    </w:p>
    <w:p w14:paraId="6EBDA94A" w14:textId="77777777" w:rsidR="00BA744D" w:rsidRPr="00E97BC8" w:rsidRDefault="00BA744D" w:rsidP="00E85093">
      <w:pPr>
        <w:pStyle w:val="Bibliography"/>
        <w:rPr>
          <w:rFonts w:cs="Times New Roman"/>
          <w:sz w:val="22"/>
          <w:szCs w:val="22"/>
        </w:rPr>
      </w:pPr>
      <w:r w:rsidRPr="00E97BC8">
        <w:rPr>
          <w:rFonts w:cs="Times New Roman"/>
          <w:sz w:val="22"/>
          <w:szCs w:val="22"/>
        </w:rPr>
        <w:t>Bhat, C.R., 2018. New Matrix-Based Methods for the Analytic Evaluation of the Multivariate Cumulative Normal Distribution Function. Transportation Research Part B: Methodological 109, 238–256. https://doi.org/10.1016/j.trb.2018.01.011</w:t>
      </w:r>
    </w:p>
    <w:p w14:paraId="7D145EB6" w14:textId="77777777" w:rsidR="00BA744D" w:rsidRPr="00E97BC8" w:rsidRDefault="00BA744D" w:rsidP="00E85093">
      <w:pPr>
        <w:pStyle w:val="Bibliography"/>
        <w:rPr>
          <w:rFonts w:cs="Times New Roman"/>
          <w:sz w:val="22"/>
          <w:szCs w:val="22"/>
        </w:rPr>
      </w:pPr>
      <w:r w:rsidRPr="00E97BC8">
        <w:rPr>
          <w:rFonts w:cs="Times New Roman"/>
          <w:sz w:val="22"/>
          <w:szCs w:val="22"/>
        </w:rPr>
        <w:t>Bhat, C.R., 2015. A New Generalized Heterogeneous Data Model (GHDM) to Jointly Model Mixed Types of Dependent Variables. Transportation Research Part B: Methodological 79, 50–77. https://doi.org/10.1016/j.trb.2015.05.017</w:t>
      </w:r>
    </w:p>
    <w:p w14:paraId="11825C70" w14:textId="77777777" w:rsidR="00BA744D" w:rsidRPr="00E97BC8" w:rsidRDefault="00BA744D" w:rsidP="00E85093">
      <w:pPr>
        <w:pStyle w:val="Bibliography"/>
        <w:rPr>
          <w:rFonts w:cs="Times New Roman"/>
          <w:sz w:val="22"/>
          <w:szCs w:val="22"/>
        </w:rPr>
      </w:pPr>
      <w:r w:rsidRPr="00E97BC8">
        <w:rPr>
          <w:rFonts w:cs="Times New Roman"/>
          <w:sz w:val="22"/>
          <w:szCs w:val="22"/>
        </w:rPr>
        <w:t>Bhat, C.R., Mondal, A., 2022. A New Flexible Generalized Heterogeneous Data Model (GHDM) with an Application to Examine the Effect of High Density Neighborhood Living on Bicycling Frequency. Transportation Research Part B: Methodological 164, 244–266. https://doi.org/10.1016/j.trb.2022.09.004</w:t>
      </w:r>
    </w:p>
    <w:p w14:paraId="5120F2F4" w14:textId="77777777" w:rsidR="00BA744D" w:rsidRPr="00E97BC8" w:rsidRDefault="00BA744D" w:rsidP="00E85093">
      <w:pPr>
        <w:pStyle w:val="Bibliography"/>
        <w:rPr>
          <w:rFonts w:cs="Times New Roman"/>
          <w:sz w:val="22"/>
          <w:szCs w:val="22"/>
        </w:rPr>
      </w:pPr>
      <w:r w:rsidRPr="00E97BC8">
        <w:rPr>
          <w:rFonts w:cs="Times New Roman"/>
          <w:sz w:val="22"/>
          <w:szCs w:val="22"/>
        </w:rPr>
        <w:t>Bhat, F.A., Verma, M., Verma, A., 2024. Who Will Buy Electric Vehicles? Segmenting the Young Indian Buyers Using Cluster Analysis. Case Studies on Transport Policy 15. https://doi.org/10.1016/j.cstp.2024.101147</w:t>
      </w:r>
    </w:p>
    <w:p w14:paraId="7815524E" w14:textId="77777777" w:rsidR="00BA744D" w:rsidRPr="00E97BC8" w:rsidRDefault="00BA744D" w:rsidP="00E85093">
      <w:pPr>
        <w:pStyle w:val="Bibliography"/>
        <w:rPr>
          <w:rFonts w:cs="Times New Roman"/>
          <w:sz w:val="22"/>
          <w:szCs w:val="22"/>
        </w:rPr>
      </w:pPr>
      <w:r w:rsidRPr="00E97BC8">
        <w:rPr>
          <w:rFonts w:cs="Times New Roman"/>
          <w:sz w:val="22"/>
          <w:szCs w:val="22"/>
        </w:rPr>
        <w:t>Bhattacharyya, S.S., Thakre, S., 2020. Exploring the Factors Influencing Electric Vehicle Adoption: An Empirical Investigation in the Emerging Economy Context of India. Foresight 23, 311–326. https://doi.org/10.1108/FS-04-2020-0037</w:t>
      </w:r>
    </w:p>
    <w:p w14:paraId="6503681B" w14:textId="77777777" w:rsidR="00BA744D" w:rsidRPr="00E97BC8" w:rsidRDefault="00BA744D" w:rsidP="00E85093">
      <w:pPr>
        <w:pStyle w:val="Bibliography"/>
        <w:rPr>
          <w:rFonts w:cs="Times New Roman"/>
          <w:sz w:val="22"/>
          <w:szCs w:val="22"/>
        </w:rPr>
      </w:pPr>
      <w:r w:rsidRPr="00E97BC8">
        <w:rPr>
          <w:rFonts w:cs="Times New Roman"/>
          <w:sz w:val="22"/>
          <w:szCs w:val="22"/>
        </w:rPr>
        <w:t>Biresselioglu, M.E., Demirbag Kaplan, M., Yilmaz, B.K., 2018. Electric Mobility in Europe: A Comprehensive Review of Motivators and Barriers in Decision Making Processes. Transportation Research Part A: Policy and Practice 109, 1–13. https://doi.org/10.1016/j.tra.2018.01.017</w:t>
      </w:r>
    </w:p>
    <w:p w14:paraId="4EBDB1B1" w14:textId="77777777" w:rsidR="00BA744D" w:rsidRPr="00E97BC8" w:rsidRDefault="00BA744D" w:rsidP="00E85093">
      <w:pPr>
        <w:pStyle w:val="Bibliography"/>
        <w:rPr>
          <w:rFonts w:cs="Times New Roman"/>
          <w:sz w:val="22"/>
          <w:szCs w:val="22"/>
        </w:rPr>
      </w:pPr>
      <w:r w:rsidRPr="00E97BC8">
        <w:rPr>
          <w:rFonts w:cs="Times New Roman"/>
          <w:sz w:val="22"/>
          <w:szCs w:val="22"/>
        </w:rPr>
        <w:t>Bloodhart, B., Swim, J.K., 2020. Sustainability and Consumption: What’s Gender Got to Do with It? Journal of Social Issues 76, 101–113. https://doi.org/10.1111/josi.12370</w:t>
      </w:r>
    </w:p>
    <w:p w14:paraId="5E56C3FE" w14:textId="77777777" w:rsidR="00BA744D" w:rsidRPr="00E97BC8" w:rsidRDefault="00BA744D" w:rsidP="00E85093">
      <w:pPr>
        <w:pStyle w:val="Bibliography"/>
        <w:rPr>
          <w:rFonts w:cs="Times New Roman"/>
          <w:sz w:val="22"/>
          <w:szCs w:val="22"/>
        </w:rPr>
      </w:pPr>
      <w:r w:rsidRPr="00E97BC8">
        <w:rPr>
          <w:rFonts w:cs="Times New Roman"/>
          <w:sz w:val="22"/>
          <w:szCs w:val="22"/>
        </w:rPr>
        <w:t>Brückmann, G., Willibald, F., Blanco, V., 2021. Battery Electric Vehicle Adoption in Regions Without Strong Policies. Transportation Research Part D: Transport and Environment 90. https://doi.org/10.1016/j.trd.2020.102615</w:t>
      </w:r>
    </w:p>
    <w:p w14:paraId="41A9C84E" w14:textId="77777777" w:rsidR="00BA744D" w:rsidRPr="00E97BC8" w:rsidRDefault="00BA744D" w:rsidP="00E85093">
      <w:pPr>
        <w:pStyle w:val="Bibliography"/>
        <w:rPr>
          <w:rFonts w:cs="Times New Roman"/>
          <w:sz w:val="22"/>
          <w:szCs w:val="22"/>
        </w:rPr>
      </w:pPr>
      <w:r w:rsidRPr="00E97BC8">
        <w:rPr>
          <w:rFonts w:cs="Times New Roman"/>
          <w:sz w:val="22"/>
          <w:szCs w:val="22"/>
        </w:rPr>
        <w:t>Brugge, D., Durant, J.L., Rioux, C., 2007. Near-Highway Pollutants in Motor Vehicle Exhaust: A Review of Epidemiologic Evidence of Cardiac and Pulmonary Health Risks. Environmental Health 6. https://doi.org/10.1186/1476-069X-6-23</w:t>
      </w:r>
    </w:p>
    <w:p w14:paraId="29763ACB" w14:textId="77777777" w:rsidR="00BA744D" w:rsidRPr="00E97BC8" w:rsidRDefault="00BA744D" w:rsidP="00E85093">
      <w:pPr>
        <w:pStyle w:val="Bibliography"/>
        <w:rPr>
          <w:rFonts w:cs="Times New Roman"/>
          <w:sz w:val="22"/>
          <w:szCs w:val="22"/>
        </w:rPr>
      </w:pPr>
      <w:r w:rsidRPr="00E97BC8">
        <w:rPr>
          <w:rFonts w:cs="Times New Roman"/>
          <w:sz w:val="22"/>
          <w:szCs w:val="22"/>
        </w:rPr>
        <w:t>Brunner, K.-M., Spitzer, M., Christanell, A., 2012. Experiencing Fuel Poverty. Coping Strategies of Low-Income Households in Vienna/Austria. Energy Policy 49, 53–59. https://doi.org/10.1016/j.enpol.2011.11.076</w:t>
      </w:r>
    </w:p>
    <w:p w14:paraId="37BA4B26" w14:textId="77777777" w:rsidR="00BA744D" w:rsidRPr="00E97BC8" w:rsidRDefault="00BA744D" w:rsidP="00E85093">
      <w:pPr>
        <w:pStyle w:val="Bibliography"/>
        <w:rPr>
          <w:rFonts w:cs="Times New Roman"/>
          <w:sz w:val="22"/>
          <w:szCs w:val="22"/>
        </w:rPr>
      </w:pPr>
      <w:r w:rsidRPr="00E97BC8">
        <w:rPr>
          <w:rFonts w:cs="Times New Roman"/>
          <w:sz w:val="22"/>
          <w:szCs w:val="22"/>
        </w:rPr>
        <w:t>Buhmann, K.M., Rialp-Criado, J., Rialp-Criado, A., 2024. Predicting Consumer Intention to Adopt Battery Electric Vehicles: Extending the Theory of Planned Behavior. Sustainability 16. https://doi.org/10.3390/su16031284</w:t>
      </w:r>
    </w:p>
    <w:p w14:paraId="00E1BCA3" w14:textId="77777777" w:rsidR="00BA744D" w:rsidRPr="00E97BC8" w:rsidRDefault="00BA744D" w:rsidP="00E85093">
      <w:pPr>
        <w:pStyle w:val="Bibliography"/>
        <w:rPr>
          <w:rFonts w:cs="Times New Roman"/>
          <w:sz w:val="22"/>
          <w:szCs w:val="22"/>
        </w:rPr>
      </w:pPr>
      <w:r w:rsidRPr="00E97BC8">
        <w:rPr>
          <w:rFonts w:cs="Times New Roman"/>
          <w:sz w:val="22"/>
          <w:szCs w:val="22"/>
        </w:rPr>
        <w:t>BuildZoom, 2022. BuildZoom Building Permit Data and Analysis.</w:t>
      </w:r>
    </w:p>
    <w:p w14:paraId="6F0E65CB" w14:textId="77777777" w:rsidR="00BA744D" w:rsidRPr="00E97BC8" w:rsidRDefault="00BA744D" w:rsidP="00E85093">
      <w:pPr>
        <w:pStyle w:val="Bibliography"/>
        <w:rPr>
          <w:rFonts w:cs="Times New Roman"/>
          <w:sz w:val="22"/>
          <w:szCs w:val="22"/>
        </w:rPr>
      </w:pPr>
      <w:r w:rsidRPr="00E97BC8">
        <w:rPr>
          <w:rFonts w:cs="Times New Roman"/>
          <w:sz w:val="22"/>
          <w:szCs w:val="22"/>
        </w:rPr>
        <w:t>Bull, S., Buch, K., Freling, C., Hardman, S., Firestone, J., 2025. Electric Vehicles and Rooftop Solar Energy: Consumption Values Influencing Decisions and Barriers to Co-Adoption in the United States. Energy Research &amp; Social Science 122. https://doi.org/10.1016/j.erss.2025.103990</w:t>
      </w:r>
    </w:p>
    <w:p w14:paraId="16641FE0" w14:textId="77777777" w:rsidR="00BA744D" w:rsidRPr="00E97BC8" w:rsidRDefault="00BA744D" w:rsidP="00E85093">
      <w:pPr>
        <w:pStyle w:val="Bibliography"/>
        <w:rPr>
          <w:rFonts w:cs="Times New Roman"/>
          <w:sz w:val="22"/>
          <w:szCs w:val="22"/>
        </w:rPr>
      </w:pPr>
      <w:r w:rsidRPr="00E97BC8">
        <w:rPr>
          <w:rFonts w:cs="Times New Roman"/>
          <w:sz w:val="22"/>
          <w:szCs w:val="22"/>
        </w:rPr>
        <w:t>Burs, L., Roemer, E., Worm, S., Masini, A., 2020. Are They All Equal? Uncovering Adopter Groups of Battery Electric Vehicles. Sustainability 12. https://doi.org/10.3390/su12072815</w:t>
      </w:r>
    </w:p>
    <w:p w14:paraId="1A278E72" w14:textId="77777777" w:rsidR="00BA744D" w:rsidRPr="00E97BC8" w:rsidRDefault="00BA744D" w:rsidP="00E85093">
      <w:pPr>
        <w:pStyle w:val="Bibliography"/>
        <w:rPr>
          <w:rFonts w:cs="Times New Roman"/>
          <w:sz w:val="22"/>
          <w:szCs w:val="22"/>
        </w:rPr>
      </w:pPr>
      <w:r w:rsidRPr="00E97BC8">
        <w:rPr>
          <w:rFonts w:cs="Times New Roman"/>
          <w:sz w:val="22"/>
          <w:szCs w:val="22"/>
        </w:rPr>
        <w:t>Bushnell, J.B., Muehlegger, E., Rapson, D.S., 2022. Energy Prices and Electric Vehicle Adoption. Working Paper Series. https://doi.org/10.3386/w29842</w:t>
      </w:r>
    </w:p>
    <w:p w14:paraId="7A907C7C" w14:textId="77777777" w:rsidR="00BA744D" w:rsidRPr="00E97BC8" w:rsidRDefault="00BA744D" w:rsidP="00E85093">
      <w:pPr>
        <w:pStyle w:val="Bibliography"/>
        <w:rPr>
          <w:rFonts w:cs="Times New Roman"/>
          <w:sz w:val="22"/>
          <w:szCs w:val="22"/>
        </w:rPr>
      </w:pPr>
      <w:r w:rsidRPr="00E97BC8">
        <w:rPr>
          <w:rFonts w:cs="Times New Roman"/>
          <w:sz w:val="22"/>
          <w:szCs w:val="22"/>
        </w:rPr>
        <w:t>California Energy Commission, 2024. California Energy Commission Zero Emission Vehicle and Infrastructure Statistics.</w:t>
      </w:r>
    </w:p>
    <w:p w14:paraId="14048F6B" w14:textId="77777777" w:rsidR="00BA744D" w:rsidRPr="00E97BC8" w:rsidRDefault="00BA744D" w:rsidP="00E85093">
      <w:pPr>
        <w:pStyle w:val="Bibliography"/>
        <w:rPr>
          <w:rFonts w:cs="Times New Roman"/>
          <w:sz w:val="22"/>
          <w:szCs w:val="22"/>
        </w:rPr>
      </w:pPr>
      <w:r w:rsidRPr="00E97BC8">
        <w:rPr>
          <w:rFonts w:cs="Times New Roman"/>
          <w:sz w:val="22"/>
          <w:szCs w:val="22"/>
        </w:rPr>
        <w:t>Chakraborty, D., Bunch, D.S., Brownstone, D., Xu, B., Tal, G., 2022. Plug-in Electric Vehicle Diffusion in California: Role of Exposure to New Technology at Home and Work. Transportation Research Part A: Policy and Practice 156, 133–151. https://doi.org/10.1016/j.tra.2021.12.005</w:t>
      </w:r>
    </w:p>
    <w:p w14:paraId="0DFEC4C8" w14:textId="77777777" w:rsidR="00BA744D" w:rsidRPr="00E97BC8" w:rsidRDefault="00BA744D" w:rsidP="00E85093">
      <w:pPr>
        <w:pStyle w:val="Bibliography"/>
        <w:rPr>
          <w:rFonts w:cs="Times New Roman"/>
          <w:sz w:val="22"/>
          <w:szCs w:val="22"/>
        </w:rPr>
      </w:pPr>
      <w:r w:rsidRPr="00E97BC8">
        <w:rPr>
          <w:rFonts w:cs="Times New Roman"/>
          <w:sz w:val="22"/>
          <w:szCs w:val="22"/>
        </w:rPr>
        <w:t>Chandra, M., 2022. Investigating the Impact of Policies, Socio-Demography and National Commitments on Electric-Vehicle Demand: Cross-Country Study. Journal of Transport Geography 103. https://doi.org/10.1016/j.jtrangeo.2022.103410</w:t>
      </w:r>
    </w:p>
    <w:p w14:paraId="01CFD605"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Chapman, J., Fox, E., Bachman, W., Frank, L., 2021. Smart Location Database Technical Documentation and User Guide Version 3.0. U.S. Environment Protection Agency.</w:t>
      </w:r>
    </w:p>
    <w:p w14:paraId="1D523B7C" w14:textId="77777777" w:rsidR="00BA744D" w:rsidRPr="00E97BC8" w:rsidRDefault="00BA744D" w:rsidP="00E85093">
      <w:pPr>
        <w:pStyle w:val="Bibliography"/>
        <w:rPr>
          <w:rFonts w:cs="Times New Roman"/>
          <w:sz w:val="22"/>
          <w:szCs w:val="22"/>
        </w:rPr>
      </w:pPr>
      <w:r w:rsidRPr="00E97BC8">
        <w:rPr>
          <w:rFonts w:cs="Times New Roman"/>
          <w:sz w:val="22"/>
          <w:szCs w:val="22"/>
        </w:rPr>
        <w:t>Chen, C., Zarazua de Rubens, G., Noel, L., Kester, J., Sovacool, B.K., 2020. Assessing the Socio-Demographic, Technical, Economic and Behavioral Factors of Nordic Electric Vehicle Adoption and the Influence of Vehicle-to-Grid Preferences. Renewable and Sustainable Energy Reviews 121. https://doi.org/10.1016/j.rser.2019.109692</w:t>
      </w:r>
    </w:p>
    <w:p w14:paraId="76C0CA54" w14:textId="77777777" w:rsidR="00BA744D" w:rsidRPr="00E97BC8" w:rsidRDefault="00BA744D" w:rsidP="00E85093">
      <w:pPr>
        <w:pStyle w:val="Bibliography"/>
        <w:rPr>
          <w:rFonts w:cs="Times New Roman"/>
          <w:sz w:val="22"/>
          <w:szCs w:val="22"/>
        </w:rPr>
      </w:pPr>
      <w:r w:rsidRPr="00E97BC8">
        <w:rPr>
          <w:rFonts w:cs="Times New Roman"/>
          <w:sz w:val="22"/>
          <w:szCs w:val="22"/>
        </w:rPr>
        <w:t>Chen, T.D., Wang, Y., Kockelman, K.M., 2015. Where Are the Electric Vehicles? A Spatial Model for Vehicle-Choice Count Data. Journal of Transport Geography 43, 181–188. https://doi.org/10.1016/j.jtrangeo.2015.02.005</w:t>
      </w:r>
    </w:p>
    <w:p w14:paraId="5D1EF7E4" w14:textId="77777777" w:rsidR="00BA744D" w:rsidRPr="00E97BC8" w:rsidRDefault="00BA744D" w:rsidP="00E85093">
      <w:pPr>
        <w:pStyle w:val="Bibliography"/>
        <w:rPr>
          <w:rFonts w:cs="Times New Roman"/>
          <w:sz w:val="22"/>
          <w:szCs w:val="22"/>
        </w:rPr>
      </w:pPr>
      <w:r w:rsidRPr="00E97BC8">
        <w:rPr>
          <w:rFonts w:cs="Times New Roman"/>
          <w:sz w:val="22"/>
          <w:szCs w:val="22"/>
        </w:rPr>
        <w:t>Chen, W.-A., Chen, C.-F., Tomasik, S., Pournaras, E., Liu, M., 2024. Flexibility Justice: Exploring the Relationship Between Electrical Vehicle Charging Behaviors, Demand Flexibility and Psychological Factors. Energy Research &amp; Social Science 118, 103753. https://doi.org/10.1016/j.erss.2024.103753</w:t>
      </w:r>
    </w:p>
    <w:p w14:paraId="0818DDF1" w14:textId="77777777" w:rsidR="00BA744D" w:rsidRPr="00E97BC8" w:rsidRDefault="00BA744D" w:rsidP="00E85093">
      <w:pPr>
        <w:pStyle w:val="Bibliography"/>
        <w:rPr>
          <w:rFonts w:cs="Times New Roman"/>
          <w:sz w:val="22"/>
          <w:szCs w:val="22"/>
        </w:rPr>
      </w:pPr>
      <w:r w:rsidRPr="00E97BC8">
        <w:rPr>
          <w:rFonts w:cs="Times New Roman"/>
          <w:sz w:val="22"/>
          <w:szCs w:val="22"/>
        </w:rPr>
        <w:t>Clinton, B.C., Steinberg, D.C., 2019. Providing the Spark: Impact of Financial Incentives on Battery Electric Vehicle Adoption. Journal of Environmental Economics and Management 98. https://doi.org/10.1016/j.jeem.2019.102255</w:t>
      </w:r>
    </w:p>
    <w:p w14:paraId="3D07208C" w14:textId="77777777" w:rsidR="00BA744D" w:rsidRPr="00E97BC8" w:rsidRDefault="00BA744D" w:rsidP="00E85093">
      <w:pPr>
        <w:pStyle w:val="Bibliography"/>
        <w:rPr>
          <w:rFonts w:cs="Times New Roman"/>
          <w:sz w:val="22"/>
          <w:szCs w:val="22"/>
        </w:rPr>
      </w:pPr>
      <w:r w:rsidRPr="00E97BC8">
        <w:rPr>
          <w:rFonts w:cs="Times New Roman"/>
          <w:sz w:val="22"/>
          <w:szCs w:val="22"/>
        </w:rPr>
        <w:t>Collins, M.J., Urban, C., 2020. Measuring Financial Well-Being Over the Lifecourse. The European Journal of Finance 26, 341–359. https://doi.org/10.1080/1351847X.2019.1682631</w:t>
      </w:r>
    </w:p>
    <w:p w14:paraId="557864F6" w14:textId="77777777" w:rsidR="00BA744D" w:rsidRPr="00E97BC8" w:rsidRDefault="00BA744D" w:rsidP="00E85093">
      <w:pPr>
        <w:pStyle w:val="Bibliography"/>
        <w:rPr>
          <w:rFonts w:cs="Times New Roman"/>
          <w:sz w:val="22"/>
          <w:szCs w:val="22"/>
        </w:rPr>
      </w:pPr>
      <w:r w:rsidRPr="00E97BC8">
        <w:rPr>
          <w:rFonts w:cs="Times New Roman"/>
          <w:sz w:val="22"/>
          <w:szCs w:val="22"/>
        </w:rPr>
        <w:t>Cui, L., Wang, Y., Chen, W., Wen, W., Han, M.S., 2021. Predicting Determinants of Consumers’ Purchase Motivation for Electric Vehicles: An Application of Maslow’s Hierarchy of Needs Model. Energy Policy 151. https://doi.org/10.1016/j.enpol.2021.112167</w:t>
      </w:r>
    </w:p>
    <w:p w14:paraId="06C623DD" w14:textId="77777777" w:rsidR="00BA744D" w:rsidRPr="00E97BC8" w:rsidRDefault="00BA744D" w:rsidP="00E85093">
      <w:pPr>
        <w:pStyle w:val="Bibliography"/>
        <w:rPr>
          <w:rFonts w:cs="Times New Roman"/>
          <w:sz w:val="22"/>
          <w:szCs w:val="22"/>
        </w:rPr>
      </w:pPr>
      <w:r w:rsidRPr="00E97BC8">
        <w:rPr>
          <w:rFonts w:cs="Times New Roman"/>
          <w:sz w:val="22"/>
          <w:szCs w:val="22"/>
        </w:rPr>
        <w:t>Davis, F.D., 1989. Perceived Usefulness, Perceived Ease of Use, and User Acceptance of Information Technology. MIS Quarterly 13, 319–340. https://doi.org/10.2307/249008</w:t>
      </w:r>
    </w:p>
    <w:p w14:paraId="7A5A7760" w14:textId="77777777" w:rsidR="00BA744D" w:rsidRPr="00E97BC8" w:rsidRDefault="00BA744D" w:rsidP="00E85093">
      <w:pPr>
        <w:pStyle w:val="Bibliography"/>
        <w:rPr>
          <w:rFonts w:cs="Times New Roman"/>
          <w:sz w:val="22"/>
          <w:szCs w:val="22"/>
        </w:rPr>
      </w:pPr>
      <w:r w:rsidRPr="00E97BC8">
        <w:rPr>
          <w:rFonts w:cs="Times New Roman"/>
          <w:sz w:val="22"/>
          <w:szCs w:val="22"/>
        </w:rPr>
        <w:t>Davis, J.L., Rusbult, C.E., 2001. Attitude Alignment in Close Relationships. Journal of Personality and Social Psychology 81, 65–84. https://doi.org/10.1037/0022-3514.81.1.65</w:t>
      </w:r>
    </w:p>
    <w:p w14:paraId="7BA29083" w14:textId="77777777" w:rsidR="00BA744D" w:rsidRPr="00E97BC8" w:rsidRDefault="00BA744D" w:rsidP="00E85093">
      <w:pPr>
        <w:pStyle w:val="Bibliography"/>
        <w:rPr>
          <w:rFonts w:cs="Times New Roman"/>
          <w:sz w:val="22"/>
          <w:szCs w:val="22"/>
        </w:rPr>
      </w:pPr>
      <w:r w:rsidRPr="00E97BC8">
        <w:rPr>
          <w:rFonts w:cs="Times New Roman"/>
          <w:sz w:val="22"/>
          <w:szCs w:val="22"/>
        </w:rPr>
        <w:t>Deka, C., Dutta, M.K., Yazdanpanah, M., Komendantova, N., 2023. Can Gain Motivation Induce Indians to Adopt Electric Vehicles? Application of an Extended Theory of Planned Behavior to Map EV Adoption Intention. Energy Policy 182. https://doi.org/10.1016/j.enpol.2023.113724</w:t>
      </w:r>
    </w:p>
    <w:p w14:paraId="268EEE7F" w14:textId="77777777" w:rsidR="00BA744D" w:rsidRPr="00E97BC8" w:rsidRDefault="00BA744D" w:rsidP="00E85093">
      <w:pPr>
        <w:pStyle w:val="Bibliography"/>
        <w:rPr>
          <w:rFonts w:cs="Times New Roman"/>
          <w:sz w:val="22"/>
          <w:szCs w:val="22"/>
        </w:rPr>
      </w:pPr>
      <w:r w:rsidRPr="00E97BC8">
        <w:rPr>
          <w:rFonts w:cs="Times New Roman"/>
          <w:sz w:val="22"/>
          <w:szCs w:val="22"/>
        </w:rPr>
        <w:t>Dilevski, N., Paterson, P., Helen M., Walker, S.A., and van Golde, C., 2021. Adult Memory for Specific Instances of a Repeated Event: A Preliminary Review. Psychiatry, Psychology and Law 28, 711–732. https://doi.org/10.1080/13218719.2020.1837031</w:t>
      </w:r>
    </w:p>
    <w:p w14:paraId="5460502F" w14:textId="77777777" w:rsidR="00BA744D" w:rsidRPr="00E97BC8" w:rsidRDefault="00BA744D" w:rsidP="00E85093">
      <w:pPr>
        <w:pStyle w:val="Bibliography"/>
        <w:rPr>
          <w:rFonts w:cs="Times New Roman"/>
          <w:sz w:val="22"/>
          <w:szCs w:val="22"/>
        </w:rPr>
      </w:pPr>
      <w:r w:rsidRPr="00E97BC8">
        <w:rPr>
          <w:rFonts w:cs="Times New Roman"/>
          <w:sz w:val="22"/>
          <w:szCs w:val="22"/>
        </w:rPr>
        <w:t>Dong, X., Zhang, B., Wang, B., Wang, Z., 2020. Urban Households’ Purchase Intentions for Pure Electric Vehicles Under Subsidy Contexts in China: Do Cost Factors Matter? Transportation Research Part A: Policy and Practice 135, 183–197. https://doi.org/10.1016/j.tra.2020.03.012</w:t>
      </w:r>
    </w:p>
    <w:p w14:paraId="0DF0F0F2" w14:textId="77777777" w:rsidR="00BA744D" w:rsidRPr="00E97BC8" w:rsidRDefault="00BA744D" w:rsidP="00E85093">
      <w:pPr>
        <w:pStyle w:val="Bibliography"/>
        <w:rPr>
          <w:rFonts w:cs="Times New Roman"/>
          <w:sz w:val="22"/>
          <w:szCs w:val="22"/>
        </w:rPr>
      </w:pPr>
      <w:r w:rsidRPr="00E97BC8">
        <w:rPr>
          <w:rFonts w:cs="Times New Roman"/>
          <w:sz w:val="22"/>
          <w:szCs w:val="22"/>
        </w:rPr>
        <w:t>Dutta, B., Hwang, H.-G., 2021. Consumers Purchase Intentions of Green Electric Vehicles: The Influence of Consumers Technological and Environmental Considerations. Sustainability 13. https://doi.org/10.3390/su132112025</w:t>
      </w:r>
    </w:p>
    <w:p w14:paraId="6F582D88" w14:textId="77777777" w:rsidR="00BA744D" w:rsidRPr="00E97BC8" w:rsidRDefault="00BA744D" w:rsidP="00E85093">
      <w:pPr>
        <w:pStyle w:val="Bibliography"/>
        <w:rPr>
          <w:rFonts w:cs="Times New Roman"/>
          <w:sz w:val="22"/>
          <w:szCs w:val="22"/>
        </w:rPr>
      </w:pPr>
      <w:r w:rsidRPr="00E97BC8">
        <w:rPr>
          <w:rFonts w:cs="Times New Roman"/>
          <w:sz w:val="22"/>
          <w:szCs w:val="22"/>
        </w:rPr>
        <w:t>Egbue, O., Long, S., 2012. Barriers to Widespread Adoption of Electric Vehicles: An Analysis of Consumer Attitudes and Perceptions. Energy Policy, Special Section: Frontiers of Sustainability 48, 717–729. https://doi.org/10.1016/j.enpol.2012.06.009</w:t>
      </w:r>
    </w:p>
    <w:p w14:paraId="24D7AE66" w14:textId="77777777" w:rsidR="00BA744D" w:rsidRPr="00E97BC8" w:rsidRDefault="00BA744D" w:rsidP="00E85093">
      <w:pPr>
        <w:pStyle w:val="Bibliography"/>
        <w:rPr>
          <w:rFonts w:cs="Times New Roman"/>
          <w:sz w:val="22"/>
          <w:szCs w:val="22"/>
        </w:rPr>
      </w:pPr>
      <w:r w:rsidRPr="00E97BC8">
        <w:rPr>
          <w:rFonts w:cs="Times New Roman"/>
          <w:sz w:val="22"/>
          <w:szCs w:val="22"/>
        </w:rPr>
        <w:t>Egnér, F., Trosvik, L., 2018. Electric Vehicle Adoption in Sweden and the Impact of Local Policy Instruments. Energy Policy 121, 584–596. https://doi.org/10.1016/j.enpol.2018.06.040</w:t>
      </w:r>
    </w:p>
    <w:p w14:paraId="014A396E" w14:textId="77777777" w:rsidR="00BA744D" w:rsidRPr="00E97BC8" w:rsidRDefault="00BA744D" w:rsidP="00E85093">
      <w:pPr>
        <w:pStyle w:val="Bibliography"/>
        <w:rPr>
          <w:rFonts w:cs="Times New Roman"/>
          <w:sz w:val="22"/>
          <w:szCs w:val="22"/>
        </w:rPr>
      </w:pPr>
      <w:r w:rsidRPr="00E97BC8">
        <w:rPr>
          <w:rFonts w:cs="Times New Roman"/>
          <w:sz w:val="22"/>
          <w:szCs w:val="22"/>
        </w:rPr>
        <w:t>EIA, 2023. State Energy Data System 2023. U.S. Energy Information Administration.</w:t>
      </w:r>
    </w:p>
    <w:p w14:paraId="1789D12F" w14:textId="77777777" w:rsidR="00BA744D" w:rsidRPr="00E97BC8" w:rsidRDefault="00BA744D" w:rsidP="00E85093">
      <w:pPr>
        <w:pStyle w:val="Bibliography"/>
        <w:rPr>
          <w:rFonts w:cs="Times New Roman"/>
          <w:sz w:val="22"/>
          <w:szCs w:val="22"/>
        </w:rPr>
      </w:pPr>
      <w:r w:rsidRPr="00E97BC8">
        <w:rPr>
          <w:rFonts w:cs="Times New Roman"/>
          <w:sz w:val="22"/>
          <w:szCs w:val="22"/>
        </w:rPr>
        <w:t>EPA, 2024. Draft Inventory of U.S. Greenhouse Gas Emissions and Sinks 1990-2022 (No. EPA 430-D-24-001). United States Environmental Protection Agency.</w:t>
      </w:r>
    </w:p>
    <w:p w14:paraId="1D2AAF9A" w14:textId="77777777" w:rsidR="00BA744D" w:rsidRPr="00E97BC8" w:rsidRDefault="00BA744D" w:rsidP="00E85093">
      <w:pPr>
        <w:pStyle w:val="Bibliography"/>
        <w:rPr>
          <w:rFonts w:cs="Times New Roman"/>
          <w:sz w:val="22"/>
          <w:szCs w:val="22"/>
        </w:rPr>
      </w:pPr>
      <w:r w:rsidRPr="00E97BC8">
        <w:rPr>
          <w:rFonts w:cs="Times New Roman"/>
          <w:sz w:val="22"/>
          <w:szCs w:val="22"/>
        </w:rPr>
        <w:t>Ferguson, M., Mohamed, M., Higgins, C.D., Abotalebi, E., Kanaroglou, P., 2018. How Open Are Canadian Households to Electric Vehicles? A National Latent Class Choice Analysis with Willingness-to-Pay and Metropolitan Characterization. Transportation Research Part D: Transport and Environment 58, 208–224. https://doi.org/10.1016/j.trd.2017.12.006</w:t>
      </w:r>
    </w:p>
    <w:p w14:paraId="099F566B"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Fifer, S., Rose, J., Greaves, S., 2014. Hypothetical Bias in Stated Choice Experiments: Is It a Problem? And If so, How Do We Deal with It? Transportation Research Part A: Policy and Practice 61, 164–177. https://doi.org/10.1016/j.tra.2013.12.010</w:t>
      </w:r>
    </w:p>
    <w:p w14:paraId="40C2E9D3" w14:textId="77777777" w:rsidR="00BA744D" w:rsidRPr="00E97BC8" w:rsidRDefault="00BA744D" w:rsidP="00E85093">
      <w:pPr>
        <w:pStyle w:val="Bibliography"/>
        <w:rPr>
          <w:rFonts w:cs="Times New Roman"/>
          <w:sz w:val="22"/>
          <w:szCs w:val="22"/>
        </w:rPr>
      </w:pPr>
      <w:r w:rsidRPr="00E97BC8">
        <w:rPr>
          <w:rFonts w:cs="Times New Roman"/>
          <w:sz w:val="22"/>
          <w:szCs w:val="22"/>
        </w:rPr>
        <w:t>Findley, D., Davis, J., McCaleb, E., Cobb, M., North Carolina State University. Institute for Transportation Research &amp; Education, 2022. Public Perceptions of Transportation Fees, Taxes and Electric Vehicles in North Carolina (No. FHWA/NC/2022-30).</w:t>
      </w:r>
    </w:p>
    <w:p w14:paraId="10912686" w14:textId="77777777" w:rsidR="00BA744D" w:rsidRPr="00E97BC8" w:rsidRDefault="00BA744D" w:rsidP="00E85093">
      <w:pPr>
        <w:pStyle w:val="Bibliography"/>
        <w:rPr>
          <w:rFonts w:cs="Times New Roman"/>
          <w:sz w:val="22"/>
          <w:szCs w:val="22"/>
        </w:rPr>
      </w:pPr>
      <w:r w:rsidRPr="00E97BC8">
        <w:rPr>
          <w:rFonts w:cs="Times New Roman"/>
          <w:sz w:val="22"/>
          <w:szCs w:val="22"/>
        </w:rPr>
        <w:t>Firestone, J., 2022. Rooftop Photovoltaics and Electric Vehicle CoAdoption: Attitudes, Norms, Diffusion, and Economics (No. DE-EE0009362). Department of Energy, University of Deleware.</w:t>
      </w:r>
    </w:p>
    <w:p w14:paraId="2B7F9CD3" w14:textId="73A15BFD" w:rsidR="00BA744D" w:rsidRPr="00E97BC8" w:rsidRDefault="00BA744D" w:rsidP="00E85093">
      <w:pPr>
        <w:pStyle w:val="Bibliography"/>
        <w:rPr>
          <w:rFonts w:cs="Times New Roman"/>
          <w:sz w:val="22"/>
          <w:szCs w:val="22"/>
        </w:rPr>
      </w:pPr>
      <w:r w:rsidRPr="00E97BC8">
        <w:rPr>
          <w:rFonts w:cs="Times New Roman"/>
          <w:sz w:val="22"/>
          <w:szCs w:val="22"/>
        </w:rPr>
        <w:t xml:space="preserve">Foroudi, P., Jin, Z., Gupta, S., Foroudi, M.M., Kitchen, P.J., 2018. Perceptional </w:t>
      </w:r>
      <w:r w:rsidR="00456C87">
        <w:rPr>
          <w:rFonts w:cs="Times New Roman"/>
          <w:sz w:val="22"/>
          <w:szCs w:val="22"/>
        </w:rPr>
        <w:t>C</w:t>
      </w:r>
      <w:r w:rsidRPr="00E97BC8">
        <w:rPr>
          <w:rFonts w:cs="Times New Roman"/>
          <w:sz w:val="22"/>
          <w:szCs w:val="22"/>
        </w:rPr>
        <w:t xml:space="preserve">omponents of </w:t>
      </w:r>
      <w:r w:rsidR="00456C87">
        <w:rPr>
          <w:rFonts w:cs="Times New Roman"/>
          <w:sz w:val="22"/>
          <w:szCs w:val="22"/>
        </w:rPr>
        <w:t>B</w:t>
      </w:r>
      <w:r w:rsidRPr="00E97BC8">
        <w:rPr>
          <w:rFonts w:cs="Times New Roman"/>
          <w:sz w:val="22"/>
          <w:szCs w:val="22"/>
        </w:rPr>
        <w:t xml:space="preserve">rand </w:t>
      </w:r>
      <w:r w:rsidR="00456C87">
        <w:rPr>
          <w:rFonts w:cs="Times New Roman"/>
          <w:sz w:val="22"/>
          <w:szCs w:val="22"/>
        </w:rPr>
        <w:t>E</w:t>
      </w:r>
      <w:r w:rsidRPr="00E97BC8">
        <w:rPr>
          <w:rFonts w:cs="Times New Roman"/>
          <w:sz w:val="22"/>
          <w:szCs w:val="22"/>
        </w:rPr>
        <w:t xml:space="preserve">quity: Configuring the Symmetrical and Asymmetrical Paths to </w:t>
      </w:r>
      <w:r w:rsidR="00456C87">
        <w:rPr>
          <w:rFonts w:cs="Times New Roman"/>
          <w:sz w:val="22"/>
          <w:szCs w:val="22"/>
        </w:rPr>
        <w:t>B</w:t>
      </w:r>
      <w:r w:rsidRPr="00E97BC8">
        <w:rPr>
          <w:rFonts w:cs="Times New Roman"/>
          <w:sz w:val="22"/>
          <w:szCs w:val="22"/>
        </w:rPr>
        <w:t xml:space="preserve">rand </w:t>
      </w:r>
      <w:r w:rsidR="00456C87">
        <w:rPr>
          <w:rFonts w:cs="Times New Roman"/>
          <w:sz w:val="22"/>
          <w:szCs w:val="22"/>
        </w:rPr>
        <w:t>L</w:t>
      </w:r>
      <w:r w:rsidRPr="00E97BC8">
        <w:rPr>
          <w:rFonts w:cs="Times New Roman"/>
          <w:sz w:val="22"/>
          <w:szCs w:val="22"/>
        </w:rPr>
        <w:t xml:space="preserve">oyalty and </w:t>
      </w:r>
      <w:r w:rsidR="00456C87">
        <w:rPr>
          <w:rFonts w:cs="Times New Roman"/>
          <w:sz w:val="22"/>
          <w:szCs w:val="22"/>
        </w:rPr>
        <w:t>B</w:t>
      </w:r>
      <w:r w:rsidRPr="00E97BC8">
        <w:rPr>
          <w:rFonts w:cs="Times New Roman"/>
          <w:sz w:val="22"/>
          <w:szCs w:val="22"/>
        </w:rPr>
        <w:t xml:space="preserve">rand </w:t>
      </w:r>
      <w:r w:rsidR="00456C87">
        <w:rPr>
          <w:rFonts w:cs="Times New Roman"/>
          <w:sz w:val="22"/>
          <w:szCs w:val="22"/>
        </w:rPr>
        <w:t>P</w:t>
      </w:r>
      <w:r w:rsidRPr="00E97BC8">
        <w:rPr>
          <w:rFonts w:cs="Times New Roman"/>
          <w:sz w:val="22"/>
          <w:szCs w:val="22"/>
        </w:rPr>
        <w:t xml:space="preserve">urchase </w:t>
      </w:r>
      <w:r w:rsidR="00456C87">
        <w:rPr>
          <w:rFonts w:cs="Times New Roman"/>
          <w:sz w:val="22"/>
          <w:szCs w:val="22"/>
        </w:rPr>
        <w:t>I</w:t>
      </w:r>
      <w:r w:rsidRPr="00E97BC8">
        <w:rPr>
          <w:rFonts w:cs="Times New Roman"/>
          <w:sz w:val="22"/>
          <w:szCs w:val="22"/>
        </w:rPr>
        <w:t>ntention. Journal of Business Research 89, 462–474. https://doi.org/10.1016/j.jbusres.2018.01.031</w:t>
      </w:r>
    </w:p>
    <w:p w14:paraId="59B022B1" w14:textId="77777777" w:rsidR="00BA744D" w:rsidRPr="00E97BC8" w:rsidRDefault="00BA744D" w:rsidP="00E85093">
      <w:pPr>
        <w:pStyle w:val="Bibliography"/>
        <w:rPr>
          <w:rFonts w:cs="Times New Roman"/>
          <w:sz w:val="22"/>
          <w:szCs w:val="22"/>
        </w:rPr>
      </w:pPr>
      <w:r w:rsidRPr="00E97BC8">
        <w:rPr>
          <w:rFonts w:cs="Times New Roman"/>
          <w:sz w:val="22"/>
          <w:szCs w:val="22"/>
        </w:rPr>
        <w:t>Gehrke, S.R., Reardon, T.G., 2022. Patterns and Predictors of Early Electric Vehicle Adoption in Massachusetts. International Journal of Sustainable Transportation 16, 514–525. https://doi.org/10.1080/15568318.2021.1912223</w:t>
      </w:r>
    </w:p>
    <w:p w14:paraId="552FCA8C" w14:textId="77777777" w:rsidR="00BA744D" w:rsidRPr="00E97BC8" w:rsidRDefault="00BA744D" w:rsidP="00E85093">
      <w:pPr>
        <w:pStyle w:val="Bibliography"/>
        <w:rPr>
          <w:rFonts w:cs="Times New Roman"/>
          <w:sz w:val="22"/>
          <w:szCs w:val="22"/>
        </w:rPr>
      </w:pPr>
      <w:r w:rsidRPr="00E97BC8">
        <w:rPr>
          <w:rFonts w:cs="Times New Roman"/>
          <w:sz w:val="22"/>
          <w:szCs w:val="22"/>
        </w:rPr>
        <w:t>Guan, X., Wang, D., Jason Cao, X., 2020. The Role of Residential Self-Selection in Land Use-Travel Research: A Review of Recent Findings. Transport Reviews 40, 267–287. https://doi.org/10.1080/01441647.2019.1692965</w:t>
      </w:r>
    </w:p>
    <w:p w14:paraId="257A4C6E" w14:textId="5ED9D721" w:rsidR="00BA744D" w:rsidRPr="00E97BC8" w:rsidRDefault="00BA744D" w:rsidP="00E85093">
      <w:pPr>
        <w:pStyle w:val="Bibliography"/>
        <w:rPr>
          <w:rFonts w:cs="Times New Roman"/>
          <w:sz w:val="22"/>
          <w:szCs w:val="22"/>
        </w:rPr>
      </w:pPr>
      <w:r w:rsidRPr="00E97BC8">
        <w:rPr>
          <w:rFonts w:cs="Times New Roman"/>
          <w:sz w:val="22"/>
          <w:szCs w:val="22"/>
        </w:rPr>
        <w:t xml:space="preserve">Gunden, N., Morosan, C., DeFranco, A., 2020. Consumers’ </w:t>
      </w:r>
      <w:r w:rsidR="00456C87">
        <w:rPr>
          <w:rFonts w:cs="Times New Roman"/>
          <w:sz w:val="22"/>
          <w:szCs w:val="22"/>
        </w:rPr>
        <w:t>I</w:t>
      </w:r>
      <w:r w:rsidRPr="00E97BC8">
        <w:rPr>
          <w:rFonts w:cs="Times New Roman"/>
          <w:sz w:val="22"/>
          <w:szCs w:val="22"/>
        </w:rPr>
        <w:t xml:space="preserve">ntentions to </w:t>
      </w:r>
      <w:r w:rsidR="00456C87">
        <w:rPr>
          <w:rFonts w:cs="Times New Roman"/>
          <w:sz w:val="22"/>
          <w:szCs w:val="22"/>
        </w:rPr>
        <w:t>U</w:t>
      </w:r>
      <w:r w:rsidRPr="00E97BC8">
        <w:rPr>
          <w:rFonts w:cs="Times New Roman"/>
          <w:sz w:val="22"/>
          <w:szCs w:val="22"/>
        </w:rPr>
        <w:t xml:space="preserve">se </w:t>
      </w:r>
      <w:r w:rsidR="00456C87">
        <w:rPr>
          <w:rFonts w:cs="Times New Roman"/>
          <w:sz w:val="22"/>
          <w:szCs w:val="22"/>
        </w:rPr>
        <w:t>O</w:t>
      </w:r>
      <w:r w:rsidRPr="00E97BC8">
        <w:rPr>
          <w:rFonts w:cs="Times New Roman"/>
          <w:sz w:val="22"/>
          <w:szCs w:val="22"/>
        </w:rPr>
        <w:t xml:space="preserve">nline </w:t>
      </w:r>
      <w:r w:rsidR="00456C87">
        <w:rPr>
          <w:rFonts w:cs="Times New Roman"/>
          <w:sz w:val="22"/>
          <w:szCs w:val="22"/>
        </w:rPr>
        <w:t>F</w:t>
      </w:r>
      <w:r w:rsidRPr="00E97BC8">
        <w:rPr>
          <w:rFonts w:cs="Times New Roman"/>
          <w:sz w:val="22"/>
          <w:szCs w:val="22"/>
        </w:rPr>
        <w:t xml:space="preserve">ood </w:t>
      </w:r>
      <w:r w:rsidR="00456C87">
        <w:rPr>
          <w:rFonts w:cs="Times New Roman"/>
          <w:sz w:val="22"/>
          <w:szCs w:val="22"/>
        </w:rPr>
        <w:t>D</w:t>
      </w:r>
      <w:r w:rsidRPr="00E97BC8">
        <w:rPr>
          <w:rFonts w:cs="Times New Roman"/>
          <w:sz w:val="22"/>
          <w:szCs w:val="22"/>
        </w:rPr>
        <w:t xml:space="preserve">elivery </w:t>
      </w:r>
      <w:r w:rsidR="00456C87">
        <w:rPr>
          <w:rFonts w:cs="Times New Roman"/>
          <w:sz w:val="22"/>
          <w:szCs w:val="22"/>
        </w:rPr>
        <w:t>S</w:t>
      </w:r>
      <w:r w:rsidRPr="00E97BC8">
        <w:rPr>
          <w:rFonts w:cs="Times New Roman"/>
          <w:sz w:val="22"/>
          <w:szCs w:val="22"/>
        </w:rPr>
        <w:t>ystems in the USA. International Journal of Contemporary Hospitality Management 32, 1325–1345. https://doi.org/10.1108/IJCHM-06-2019-0595</w:t>
      </w:r>
    </w:p>
    <w:p w14:paraId="5FD2DD31" w14:textId="77777777" w:rsidR="00BA744D" w:rsidRPr="00E97BC8" w:rsidRDefault="00BA744D" w:rsidP="00E85093">
      <w:pPr>
        <w:pStyle w:val="Bibliography"/>
        <w:rPr>
          <w:rFonts w:cs="Times New Roman"/>
          <w:sz w:val="22"/>
          <w:szCs w:val="22"/>
        </w:rPr>
      </w:pPr>
      <w:r w:rsidRPr="00E97BC8">
        <w:rPr>
          <w:rFonts w:cs="Times New Roman"/>
          <w:sz w:val="22"/>
          <w:szCs w:val="22"/>
        </w:rPr>
        <w:t>Habich-Sobiegalla, S., Kostka, G., Anzinger, N., 2019. Citizens’ Electric Vehicle Purchase Intentions in China: An Analysis of Micro-Level and Macro-Level Factors. Transport Policy 79, 223–233. https://doi.org/10.1016/j.tranpol.2019.05.008</w:t>
      </w:r>
    </w:p>
    <w:p w14:paraId="377C9AB6" w14:textId="77777777" w:rsidR="00BA744D" w:rsidRPr="00E97BC8" w:rsidRDefault="00BA744D" w:rsidP="00E85093">
      <w:pPr>
        <w:pStyle w:val="Bibliography"/>
        <w:rPr>
          <w:rFonts w:cs="Times New Roman"/>
          <w:sz w:val="22"/>
          <w:szCs w:val="22"/>
        </w:rPr>
      </w:pPr>
      <w:r w:rsidRPr="00E97BC8">
        <w:rPr>
          <w:rFonts w:cs="Times New Roman"/>
          <w:sz w:val="22"/>
          <w:szCs w:val="22"/>
        </w:rPr>
        <w:t>Hanni, U. e, Yamamoto, T., Nakamura, T., 2024. An Analysis of Electric Vehicle Charging Intentions in Japan. Sustainability 16. https://doi.org/10.3390/su16031177</w:t>
      </w:r>
    </w:p>
    <w:p w14:paraId="4247FFE6" w14:textId="77777777" w:rsidR="00BA744D" w:rsidRPr="00E97BC8" w:rsidRDefault="00BA744D" w:rsidP="00E85093">
      <w:pPr>
        <w:pStyle w:val="Bibliography"/>
        <w:rPr>
          <w:rFonts w:cs="Times New Roman"/>
          <w:sz w:val="22"/>
          <w:szCs w:val="22"/>
        </w:rPr>
      </w:pPr>
      <w:r w:rsidRPr="00E97BC8">
        <w:rPr>
          <w:rFonts w:cs="Times New Roman"/>
          <w:sz w:val="22"/>
          <w:szCs w:val="22"/>
        </w:rPr>
        <w:t>Hardman, S., Chandan, A., Tal, G., Turrentine, T., 2017. The Effectiveness of Financial Purchase Incentives for Battery Electric Vehicles – a Review of the Evidence. Renewable and Sustainable Energy Reviews 80, 1100–1111. https://doi.org/10.1016/j.rser.2017.05.255</w:t>
      </w:r>
    </w:p>
    <w:p w14:paraId="5F30F4D7" w14:textId="6F2AA37D" w:rsidR="00BA744D" w:rsidRPr="00E97BC8" w:rsidRDefault="00BA744D" w:rsidP="00E85093">
      <w:pPr>
        <w:pStyle w:val="Bibliography"/>
        <w:rPr>
          <w:rFonts w:cs="Times New Roman"/>
          <w:sz w:val="22"/>
          <w:szCs w:val="22"/>
        </w:rPr>
      </w:pPr>
      <w:r w:rsidRPr="00E97BC8">
        <w:rPr>
          <w:rFonts w:cs="Times New Roman"/>
          <w:sz w:val="22"/>
          <w:szCs w:val="22"/>
        </w:rPr>
        <w:t xml:space="preserve">Hardman, S., Jenn, A., Tal, G., Axsen, J., Beard, G., Daina, N., Figenbaum, E., Jakobsson, N., Jochem, P., Kinnear, N., Plötz, P., Pontes, J., Refa, N., Sprei, F., Turrentine, T., Witkamp, B., 2018. A </w:t>
      </w:r>
      <w:r w:rsidR="00456C87">
        <w:rPr>
          <w:rFonts w:cs="Times New Roman"/>
          <w:sz w:val="22"/>
          <w:szCs w:val="22"/>
        </w:rPr>
        <w:t>R</w:t>
      </w:r>
      <w:r w:rsidRPr="00E97BC8">
        <w:rPr>
          <w:rFonts w:cs="Times New Roman"/>
          <w:sz w:val="22"/>
          <w:szCs w:val="22"/>
        </w:rPr>
        <w:t xml:space="preserve">eview of </w:t>
      </w:r>
      <w:r w:rsidR="00456C87">
        <w:rPr>
          <w:rFonts w:cs="Times New Roman"/>
          <w:sz w:val="22"/>
          <w:szCs w:val="22"/>
        </w:rPr>
        <w:t>C</w:t>
      </w:r>
      <w:r w:rsidRPr="00E97BC8">
        <w:rPr>
          <w:rFonts w:cs="Times New Roman"/>
          <w:sz w:val="22"/>
          <w:szCs w:val="22"/>
        </w:rPr>
        <w:t xml:space="preserve">onsumer </w:t>
      </w:r>
      <w:r w:rsidR="00456C87">
        <w:rPr>
          <w:rFonts w:cs="Times New Roman"/>
          <w:sz w:val="22"/>
          <w:szCs w:val="22"/>
        </w:rPr>
        <w:t>P</w:t>
      </w:r>
      <w:r w:rsidRPr="00E97BC8">
        <w:rPr>
          <w:rFonts w:cs="Times New Roman"/>
          <w:sz w:val="22"/>
          <w:szCs w:val="22"/>
        </w:rPr>
        <w:t xml:space="preserve">references of and </w:t>
      </w:r>
      <w:r w:rsidR="00456C87">
        <w:rPr>
          <w:rFonts w:cs="Times New Roman"/>
          <w:sz w:val="22"/>
          <w:szCs w:val="22"/>
        </w:rPr>
        <w:t>I</w:t>
      </w:r>
      <w:r w:rsidRPr="00E97BC8">
        <w:rPr>
          <w:rFonts w:cs="Times New Roman"/>
          <w:sz w:val="22"/>
          <w:szCs w:val="22"/>
        </w:rPr>
        <w:t xml:space="preserve">nteractions with </w:t>
      </w:r>
      <w:r w:rsidR="00456C87">
        <w:rPr>
          <w:rFonts w:cs="Times New Roman"/>
          <w:sz w:val="22"/>
          <w:szCs w:val="22"/>
        </w:rPr>
        <w:t>E</w:t>
      </w:r>
      <w:r w:rsidRPr="00E97BC8">
        <w:rPr>
          <w:rFonts w:cs="Times New Roman"/>
          <w:sz w:val="22"/>
          <w:szCs w:val="22"/>
        </w:rPr>
        <w:t xml:space="preserve">lectric </w:t>
      </w:r>
      <w:r w:rsidR="00456C87">
        <w:rPr>
          <w:rFonts w:cs="Times New Roman"/>
          <w:sz w:val="22"/>
          <w:szCs w:val="22"/>
        </w:rPr>
        <w:t>V</w:t>
      </w:r>
      <w:r w:rsidRPr="00E97BC8">
        <w:rPr>
          <w:rFonts w:cs="Times New Roman"/>
          <w:sz w:val="22"/>
          <w:szCs w:val="22"/>
        </w:rPr>
        <w:t xml:space="preserve">ehicle </w:t>
      </w:r>
      <w:r w:rsidR="00456C87">
        <w:rPr>
          <w:rFonts w:cs="Times New Roman"/>
          <w:sz w:val="22"/>
          <w:szCs w:val="22"/>
        </w:rPr>
        <w:t>C</w:t>
      </w:r>
      <w:r w:rsidRPr="00E97BC8">
        <w:rPr>
          <w:rFonts w:cs="Times New Roman"/>
          <w:sz w:val="22"/>
          <w:szCs w:val="22"/>
        </w:rPr>
        <w:t xml:space="preserve">harging </w:t>
      </w:r>
      <w:r w:rsidR="00456C87">
        <w:rPr>
          <w:rFonts w:cs="Times New Roman"/>
          <w:sz w:val="22"/>
          <w:szCs w:val="22"/>
        </w:rPr>
        <w:t>I</w:t>
      </w:r>
      <w:r w:rsidRPr="00E97BC8">
        <w:rPr>
          <w:rFonts w:cs="Times New Roman"/>
          <w:sz w:val="22"/>
          <w:szCs w:val="22"/>
        </w:rPr>
        <w:t>nfrastructure. Transportation Research Part D: Transport and Environment 62, 508–523. https://doi.org/10.1016/j.trd.2018.04.002</w:t>
      </w:r>
    </w:p>
    <w:p w14:paraId="742DD796" w14:textId="77777777" w:rsidR="00BA744D" w:rsidRPr="00E97BC8" w:rsidRDefault="00BA744D" w:rsidP="00E85093">
      <w:pPr>
        <w:pStyle w:val="Bibliography"/>
        <w:rPr>
          <w:rFonts w:cs="Times New Roman"/>
          <w:sz w:val="22"/>
          <w:szCs w:val="22"/>
        </w:rPr>
      </w:pPr>
      <w:r w:rsidRPr="00E97BC8">
        <w:rPr>
          <w:rFonts w:cs="Times New Roman"/>
          <w:sz w:val="22"/>
          <w:szCs w:val="22"/>
        </w:rPr>
        <w:t>Haustein, S., Jensen, A.F., Cherchi, E., 2021. Battery Electric Vehicle Adoption in Denmark and Sweden: Recent Changes, Related Factors and Policy Implications. Energy Policy 149. https://doi.org/10.1016/j.enpol.2020.112096</w:t>
      </w:r>
    </w:p>
    <w:p w14:paraId="1DB47C85" w14:textId="77777777" w:rsidR="00BA744D" w:rsidRPr="00E97BC8" w:rsidRDefault="00BA744D" w:rsidP="00E85093">
      <w:pPr>
        <w:pStyle w:val="Bibliography"/>
        <w:rPr>
          <w:rFonts w:cs="Times New Roman"/>
          <w:sz w:val="22"/>
          <w:szCs w:val="22"/>
        </w:rPr>
      </w:pPr>
      <w:r w:rsidRPr="00E97BC8">
        <w:rPr>
          <w:rFonts w:cs="Times New Roman"/>
          <w:sz w:val="22"/>
          <w:szCs w:val="22"/>
        </w:rPr>
        <w:t>He, X., Zhan, W., Hu, Y., 2018. Consumer Purchase Intention of Electric Vehicles in China: The Roles of Perception and Personality. Journal of Cleaner Production 204, 1060–1069. https://doi.org/10.1016/j.jclepro.2018.08.260</w:t>
      </w:r>
    </w:p>
    <w:p w14:paraId="3019CADE" w14:textId="77777777" w:rsidR="00BA744D" w:rsidRPr="00E97BC8" w:rsidRDefault="00BA744D" w:rsidP="00E85093">
      <w:pPr>
        <w:pStyle w:val="Bibliography"/>
        <w:rPr>
          <w:rFonts w:cs="Times New Roman"/>
          <w:sz w:val="22"/>
          <w:szCs w:val="22"/>
        </w:rPr>
      </w:pPr>
      <w:r w:rsidRPr="00E97BC8">
        <w:rPr>
          <w:rFonts w:cs="Times New Roman"/>
          <w:sz w:val="22"/>
          <w:szCs w:val="22"/>
        </w:rPr>
        <w:t>He, Z., Zhou, Y., Chen, X., Wang, J., Shen, W., Wang, M., Li, W., 2022. Examining the Spatial Mode in the Early Market for Electric Vehicles Adoption: Evidence from 41 Cities in China. Transportation Letters 14, 640–650. https://doi.org/10.1080/19427867.2021.1917217</w:t>
      </w:r>
    </w:p>
    <w:p w14:paraId="6888643D" w14:textId="77777777" w:rsidR="00BA744D" w:rsidRPr="00E97BC8" w:rsidRDefault="00BA744D" w:rsidP="00E85093">
      <w:pPr>
        <w:pStyle w:val="Bibliography"/>
        <w:rPr>
          <w:rFonts w:cs="Times New Roman"/>
          <w:sz w:val="22"/>
          <w:szCs w:val="22"/>
        </w:rPr>
      </w:pPr>
      <w:r w:rsidRPr="00E97BC8">
        <w:rPr>
          <w:rFonts w:cs="Times New Roman"/>
          <w:sz w:val="22"/>
          <w:szCs w:val="22"/>
        </w:rPr>
        <w:t>Helm, R.K., Reyna, V.F., 2023. Fuzzy Trace Theory: Memory and Decision-Making in Law, Medicine, and Public Health, in: Memory in Science for Society: There Is Nothing as Practical as a Good Theory. Oxford University Press.</w:t>
      </w:r>
    </w:p>
    <w:p w14:paraId="537A5DD6" w14:textId="77777777" w:rsidR="00BA744D" w:rsidRPr="00E97BC8" w:rsidRDefault="00BA744D" w:rsidP="00E85093">
      <w:pPr>
        <w:pStyle w:val="Bibliography"/>
        <w:rPr>
          <w:rFonts w:cs="Times New Roman"/>
          <w:sz w:val="22"/>
          <w:szCs w:val="22"/>
        </w:rPr>
      </w:pPr>
      <w:r w:rsidRPr="00E97BC8">
        <w:rPr>
          <w:rFonts w:cs="Times New Roman"/>
          <w:sz w:val="22"/>
          <w:szCs w:val="22"/>
        </w:rPr>
        <w:t>Helveston, J.P., Liu, Y., Feit, E.M., Fuchs, E., Klampfl, E., Michalek, J.J., 2015. Will Subsidies Drive Electric Vehicle Adoption? Measuring Consumer Preferences in the U.S. and China. Transportation Research Part A: Policy and Practice 73, 96–112. https://doi.org/10.1016/j.tra.2015.01.002</w:t>
      </w:r>
    </w:p>
    <w:p w14:paraId="186EC73E"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Higgins, C.D., Mohamed, M., Ferguson, M.R., 2017. Size Matters: How Vehicle Body Type Affects Consumer Preferences for Electric Vehicles. Transportation Research Part A: Policy and Practice 100, 182–201. https://doi.org/10.1016/j.tra.2017.04.014</w:t>
      </w:r>
    </w:p>
    <w:p w14:paraId="6CDE4999" w14:textId="77777777" w:rsidR="00BA744D" w:rsidRPr="00E97BC8" w:rsidRDefault="00BA744D" w:rsidP="00E85093">
      <w:pPr>
        <w:pStyle w:val="Bibliography"/>
        <w:rPr>
          <w:rFonts w:cs="Times New Roman"/>
          <w:sz w:val="22"/>
          <w:szCs w:val="22"/>
        </w:rPr>
      </w:pPr>
      <w:r w:rsidRPr="00E97BC8">
        <w:rPr>
          <w:rFonts w:cs="Times New Roman"/>
          <w:sz w:val="22"/>
          <w:szCs w:val="22"/>
        </w:rPr>
        <w:t>Higueras-Castillo, E., Guillén, A., Herrera, L.-J., Liébana-Cabanillas, F., 2021. Adoption of Electric Vehicles: Which Factors Are Really Important? International Journal of Sustainable Transportation 15, 799–813. https://doi.org/10.1080/15568318.2020.1818330</w:t>
      </w:r>
    </w:p>
    <w:p w14:paraId="26BA55A4" w14:textId="77777777" w:rsidR="00BA744D" w:rsidRPr="00E97BC8" w:rsidRDefault="00BA744D" w:rsidP="00E85093">
      <w:pPr>
        <w:pStyle w:val="Bibliography"/>
        <w:rPr>
          <w:rFonts w:cs="Times New Roman"/>
          <w:sz w:val="22"/>
          <w:szCs w:val="22"/>
        </w:rPr>
      </w:pPr>
      <w:r w:rsidRPr="00E97BC8">
        <w:rPr>
          <w:rFonts w:cs="Times New Roman"/>
          <w:sz w:val="22"/>
          <w:szCs w:val="22"/>
        </w:rPr>
        <w:t>Hjorthol, R., 2008. Daily Mobility of Men and Women – A Barometer of Gender Equality?, in: Gendered Mobilities. Routledge.</w:t>
      </w:r>
    </w:p>
    <w:p w14:paraId="55742D26" w14:textId="77777777" w:rsidR="00BA744D" w:rsidRPr="00E97BC8" w:rsidRDefault="00BA744D" w:rsidP="00E85093">
      <w:pPr>
        <w:pStyle w:val="Bibliography"/>
        <w:rPr>
          <w:rFonts w:cs="Times New Roman"/>
          <w:sz w:val="22"/>
          <w:szCs w:val="22"/>
        </w:rPr>
      </w:pPr>
      <w:r w:rsidRPr="00E97BC8">
        <w:rPr>
          <w:rFonts w:cs="Times New Roman"/>
          <w:sz w:val="22"/>
          <w:szCs w:val="22"/>
        </w:rPr>
        <w:t>Hsu, C.-W., Fingerman, K., 2021. Public Electric Vehicle Charger Access Disparities Across Race and Income in California. Transport Policy 100, 59–67. https://doi.org/10.1016/j.tranpol.2020.10.003</w:t>
      </w:r>
    </w:p>
    <w:p w14:paraId="64F4E9F6" w14:textId="77777777" w:rsidR="00BA744D" w:rsidRPr="00E97BC8" w:rsidRDefault="00BA744D" w:rsidP="00E85093">
      <w:pPr>
        <w:pStyle w:val="Bibliography"/>
        <w:rPr>
          <w:rFonts w:cs="Times New Roman"/>
          <w:sz w:val="22"/>
          <w:szCs w:val="22"/>
        </w:rPr>
      </w:pPr>
      <w:r w:rsidRPr="00E97BC8">
        <w:rPr>
          <w:rFonts w:cs="Times New Roman"/>
          <w:sz w:val="22"/>
          <w:szCs w:val="22"/>
        </w:rPr>
        <w:t>Huang, X., Ge, J., 2019. Electric Vehicle Development in Beijing: An Analysis of Consumer Purchase Intention. Journal of Cleaner Production 216, 361–372. https://doi.org/10.1016/j.jclepro.2019.01.231</w:t>
      </w:r>
    </w:p>
    <w:p w14:paraId="22C0766F" w14:textId="77777777" w:rsidR="00BA744D" w:rsidRPr="00E97BC8" w:rsidRDefault="00BA744D" w:rsidP="00E85093">
      <w:pPr>
        <w:pStyle w:val="Bibliography"/>
        <w:rPr>
          <w:rFonts w:cs="Times New Roman"/>
          <w:sz w:val="22"/>
          <w:szCs w:val="22"/>
        </w:rPr>
      </w:pPr>
      <w:r w:rsidRPr="00E97BC8">
        <w:rPr>
          <w:rFonts w:cs="Times New Roman"/>
          <w:sz w:val="22"/>
          <w:szCs w:val="22"/>
        </w:rPr>
        <w:t>IEA, 2023. World Energy Outlook 2023. International Energy Agency, Paris.</w:t>
      </w:r>
    </w:p>
    <w:p w14:paraId="4C8C41A9" w14:textId="77777777" w:rsidR="00BA744D" w:rsidRPr="00E97BC8" w:rsidRDefault="00BA744D" w:rsidP="00E85093">
      <w:pPr>
        <w:pStyle w:val="Bibliography"/>
        <w:rPr>
          <w:rFonts w:cs="Times New Roman"/>
          <w:sz w:val="22"/>
          <w:szCs w:val="22"/>
        </w:rPr>
      </w:pPr>
      <w:r w:rsidRPr="00E97BC8">
        <w:rPr>
          <w:rFonts w:cs="Times New Roman"/>
          <w:sz w:val="22"/>
          <w:szCs w:val="22"/>
        </w:rPr>
        <w:t>Jang, S., Choi, J.Y., 2021. Which Consumer Attributes Will Act Crucial Roles for the Fast Market Adoption of Electric Vehicles?: Estimation on the Asymmetrical &amp; Heterogeneous Consumer Preferences on the EVs. Energy Policy 156. https://doi.org/10.1016/j.enpol.2021.112469</w:t>
      </w:r>
    </w:p>
    <w:p w14:paraId="3BBFD938" w14:textId="77777777" w:rsidR="00BA744D" w:rsidRPr="00E97BC8" w:rsidRDefault="00BA744D" w:rsidP="00E85093">
      <w:pPr>
        <w:pStyle w:val="Bibliography"/>
        <w:rPr>
          <w:rFonts w:cs="Times New Roman"/>
          <w:sz w:val="22"/>
          <w:szCs w:val="22"/>
        </w:rPr>
      </w:pPr>
      <w:r w:rsidRPr="00E97BC8">
        <w:rPr>
          <w:rFonts w:cs="Times New Roman"/>
          <w:sz w:val="22"/>
          <w:szCs w:val="22"/>
        </w:rPr>
        <w:t>Javid, R.J., Nejat, A., 2017. A Comprehensive Model of Regional Electric Vehicle Adoption and Penetration. Transport Policy 54, 30–42. https://doi.org/10.1016/j.tranpol.2016.11.003</w:t>
      </w:r>
    </w:p>
    <w:p w14:paraId="49FD179A" w14:textId="77777777" w:rsidR="00BA744D" w:rsidRPr="00E97BC8" w:rsidRDefault="00BA744D" w:rsidP="00E85093">
      <w:pPr>
        <w:pStyle w:val="Bibliography"/>
        <w:rPr>
          <w:rFonts w:cs="Times New Roman"/>
          <w:sz w:val="22"/>
          <w:szCs w:val="22"/>
        </w:rPr>
      </w:pPr>
      <w:r w:rsidRPr="00E97BC8">
        <w:rPr>
          <w:rFonts w:cs="Times New Roman"/>
          <w:sz w:val="22"/>
          <w:szCs w:val="22"/>
        </w:rPr>
        <w:t>Jenn, A., Springel, K., Gopal, A.R., 2018. Effectiveness of Electric Vehicle Incentives in the United States. Energy Policy 119, 349–356. https://doi.org/10.1016/j.enpol.2018.04.065</w:t>
      </w:r>
    </w:p>
    <w:p w14:paraId="0D7F5C1F" w14:textId="77777777" w:rsidR="00BA744D" w:rsidRPr="00E97BC8" w:rsidRDefault="00BA744D" w:rsidP="00E85093">
      <w:pPr>
        <w:pStyle w:val="Bibliography"/>
        <w:rPr>
          <w:rFonts w:cs="Times New Roman"/>
          <w:sz w:val="22"/>
          <w:szCs w:val="22"/>
        </w:rPr>
      </w:pPr>
      <w:r w:rsidRPr="00E97BC8">
        <w:rPr>
          <w:rFonts w:cs="Times New Roman"/>
          <w:sz w:val="22"/>
          <w:szCs w:val="22"/>
        </w:rPr>
        <w:t>Jia, W., Chen, T.D., 2021. Are Individuals’ Stated Preferences for Electric Vehicles (EVs) Consistent with Real-World EV Ownership Patterns? Transportation Research Part D: Transport and Environment 93. https://doi.org/10.1016/j.trd.2021.102728</w:t>
      </w:r>
    </w:p>
    <w:p w14:paraId="69FDB753" w14:textId="77777777" w:rsidR="00BA744D" w:rsidRPr="00E97BC8" w:rsidRDefault="00BA744D" w:rsidP="00E85093">
      <w:pPr>
        <w:pStyle w:val="Bibliography"/>
        <w:rPr>
          <w:rFonts w:cs="Times New Roman"/>
          <w:sz w:val="22"/>
          <w:szCs w:val="22"/>
        </w:rPr>
      </w:pPr>
      <w:r w:rsidRPr="00E97BC8">
        <w:rPr>
          <w:rFonts w:cs="Times New Roman"/>
          <w:sz w:val="22"/>
          <w:szCs w:val="22"/>
        </w:rPr>
        <w:t>Jin, Z., Li, H., Chen, D., Yu, L., Tu, H., 2024. Accounting for BEV Users’ Risk Attitudes and Charging Inertia in En Route Charging Choice Behavior. Journal of Advanced Transportation 2024, 9926334. https://doi.org/10.1155/2024/9926334</w:t>
      </w:r>
    </w:p>
    <w:p w14:paraId="456ECF7B" w14:textId="77777777" w:rsidR="00BA744D" w:rsidRPr="00E97BC8" w:rsidRDefault="00BA744D" w:rsidP="00E85093">
      <w:pPr>
        <w:pStyle w:val="Bibliography"/>
        <w:rPr>
          <w:rFonts w:cs="Times New Roman"/>
          <w:sz w:val="22"/>
          <w:szCs w:val="22"/>
        </w:rPr>
      </w:pPr>
      <w:r w:rsidRPr="00E97BC8">
        <w:rPr>
          <w:rFonts w:cs="Times New Roman"/>
          <w:sz w:val="22"/>
          <w:szCs w:val="22"/>
        </w:rPr>
        <w:t>Jørgensen, F., Mathisen, T.A., Pedersen, H., 2016. Brand Loyalty Among Norwegian Car Owners. Journal of Retailing and Consumer Services 31, 256–264. https://doi.org/10.1016/j.jretconser.2016.04.001</w:t>
      </w:r>
    </w:p>
    <w:p w14:paraId="471A83D7" w14:textId="77777777" w:rsidR="00BA744D" w:rsidRPr="00E97BC8" w:rsidRDefault="00BA744D" w:rsidP="00E85093">
      <w:pPr>
        <w:pStyle w:val="Bibliography"/>
        <w:rPr>
          <w:rFonts w:cs="Times New Roman"/>
          <w:sz w:val="22"/>
          <w:szCs w:val="22"/>
        </w:rPr>
      </w:pPr>
      <w:r w:rsidRPr="00E97BC8">
        <w:rPr>
          <w:rFonts w:cs="Times New Roman"/>
          <w:sz w:val="22"/>
          <w:szCs w:val="22"/>
        </w:rPr>
        <w:t>Ju, N., Hun Kim, S., 2022. Electric Vehicle Resistance from Korean and American Millennials: Environmental Concerns and Perception. Transportation Research Part D: Transport and Environment 109. https://doi.org/10.1016/j.trd.2022.103387</w:t>
      </w:r>
    </w:p>
    <w:p w14:paraId="5F40A6FF" w14:textId="77777777" w:rsidR="00BA744D" w:rsidRPr="00E97BC8" w:rsidRDefault="00BA744D" w:rsidP="00E85093">
      <w:pPr>
        <w:pStyle w:val="Bibliography"/>
        <w:rPr>
          <w:rFonts w:cs="Times New Roman"/>
          <w:sz w:val="22"/>
          <w:szCs w:val="22"/>
        </w:rPr>
      </w:pPr>
      <w:r w:rsidRPr="00E97BC8">
        <w:rPr>
          <w:rFonts w:cs="Times New Roman"/>
          <w:sz w:val="22"/>
          <w:szCs w:val="22"/>
        </w:rPr>
        <w:t>Junquera, B., Moreno, B., Álvarez, R., 2016. Analyzing Consumer Attitudes Towards Electric Vehicle Purchasing Intentions in Spain: Technological Limitations and Vehicle Confidence. Technological Forecasting and Social Change 109, 6–14. https://doi.org/10.1016/j.techfore.2016.05.006</w:t>
      </w:r>
    </w:p>
    <w:p w14:paraId="4E5360F3" w14:textId="77777777" w:rsidR="00BA744D" w:rsidRPr="00E97BC8" w:rsidRDefault="00BA744D" w:rsidP="00E85093">
      <w:pPr>
        <w:pStyle w:val="Bibliography"/>
        <w:rPr>
          <w:rFonts w:cs="Times New Roman"/>
          <w:sz w:val="22"/>
          <w:szCs w:val="22"/>
        </w:rPr>
      </w:pPr>
      <w:r w:rsidRPr="00E97BC8">
        <w:rPr>
          <w:rFonts w:cs="Times New Roman"/>
          <w:sz w:val="22"/>
          <w:szCs w:val="22"/>
        </w:rPr>
        <w:t>Kautish, P., Lavuri, R., Roubaud, D., Grebinevych, O., 2024. Electric Vehicles’ Choice Behaviour: An Emerging Market Scenario. Journal of Environmental Management 354. https://doi.org/10.1016/j.jenvman.2024.120250</w:t>
      </w:r>
    </w:p>
    <w:p w14:paraId="6FBB1BB9" w14:textId="77777777" w:rsidR="00BA744D" w:rsidRPr="00E97BC8" w:rsidRDefault="00BA744D" w:rsidP="00E85093">
      <w:pPr>
        <w:pStyle w:val="Bibliography"/>
        <w:rPr>
          <w:rFonts w:cs="Times New Roman"/>
          <w:sz w:val="22"/>
          <w:szCs w:val="22"/>
        </w:rPr>
      </w:pPr>
      <w:r w:rsidRPr="00E97BC8">
        <w:rPr>
          <w:rFonts w:cs="Times New Roman"/>
          <w:sz w:val="22"/>
          <w:szCs w:val="22"/>
        </w:rPr>
        <w:t>Kawgan-Kagan, I., 2020. Are Women Greener Than Men? A Preference Analysis of Women and Men from Major German Cities Over Sustainable Urban Mobility. Transportation Research Interdisciplinary Perspectives 8, 100236. https://doi.org/10.1016/j.trip.2020.100236</w:t>
      </w:r>
    </w:p>
    <w:p w14:paraId="7823730D" w14:textId="77777777" w:rsidR="00BA744D" w:rsidRPr="00E97BC8" w:rsidRDefault="00BA744D" w:rsidP="00E85093">
      <w:pPr>
        <w:pStyle w:val="Bibliography"/>
        <w:rPr>
          <w:rFonts w:cs="Times New Roman"/>
          <w:sz w:val="22"/>
          <w:szCs w:val="22"/>
        </w:rPr>
      </w:pPr>
      <w:r w:rsidRPr="00E97BC8">
        <w:rPr>
          <w:rFonts w:cs="Times New Roman"/>
          <w:sz w:val="22"/>
          <w:szCs w:val="22"/>
        </w:rPr>
        <w:t>Kim, J.H., Lee, G., Park, J.Y., Hong, J., Park, J., 2019. Consumer Intentions to Purchase Battery Electric Vehicles in Korea. Energy Policy 132, 736–743. https://doi.org/10.1016/j.enpol.2019.06.028</w:t>
      </w:r>
    </w:p>
    <w:p w14:paraId="0301BAD4" w14:textId="77777777" w:rsidR="00BA744D" w:rsidRPr="00E97BC8" w:rsidRDefault="00BA744D" w:rsidP="00E85093">
      <w:pPr>
        <w:pStyle w:val="Bibliography"/>
        <w:rPr>
          <w:rFonts w:cs="Times New Roman"/>
          <w:sz w:val="22"/>
          <w:szCs w:val="22"/>
        </w:rPr>
      </w:pPr>
      <w:r w:rsidRPr="00E97BC8">
        <w:rPr>
          <w:rFonts w:cs="Times New Roman"/>
          <w:sz w:val="22"/>
          <w:szCs w:val="22"/>
        </w:rPr>
        <w:t>Kim, M.-K., Oh, J., Park, J.-H., Joo, C., 2018. Perceived Value and Adoption Intention for Electric Vehicles in Korea: Moderating Effects of Environmental Traits and Government Supports. Energy 159, 799–809. https://doi.org/10.1016/j.energy.2018.06.064</w:t>
      </w:r>
    </w:p>
    <w:p w14:paraId="7469094A" w14:textId="77777777" w:rsidR="00BA744D" w:rsidRPr="00E97BC8" w:rsidRDefault="00BA744D" w:rsidP="00E85093">
      <w:pPr>
        <w:pStyle w:val="Bibliography"/>
        <w:rPr>
          <w:rFonts w:cs="Times New Roman"/>
          <w:sz w:val="22"/>
          <w:szCs w:val="22"/>
        </w:rPr>
      </w:pPr>
      <w:r w:rsidRPr="00E97BC8">
        <w:rPr>
          <w:rFonts w:cs="Times New Roman"/>
          <w:sz w:val="22"/>
          <w:szCs w:val="22"/>
        </w:rPr>
        <w:t>Koppel, S., Clark, B., Hoareau, E., Charlton, J.L., Newstead, S.V., 2013. How Important Is Vehicle Safety for Older Consumers in the Vehicle Purchase Process? Traffic Injury Prevention 14, 592–601. https://doi.org/10.1080/15389588.2012.740642</w:t>
      </w:r>
    </w:p>
    <w:p w14:paraId="7C965783"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Kraemer, P.M., Weilbächer, R.A., Mechera-Ostrovsky, T., Gluth, S., 2022. Cognitive and Neural Principles of a Memory Bias on Preferential Choices. Current Research in Neurobiology 3. https://doi.org/10.1016/j.crneur.2022.100029</w:t>
      </w:r>
    </w:p>
    <w:p w14:paraId="2EA848A2" w14:textId="02356216" w:rsidR="00BA744D" w:rsidRPr="00E97BC8" w:rsidRDefault="00BA744D" w:rsidP="00E85093">
      <w:pPr>
        <w:pStyle w:val="Bibliography"/>
        <w:rPr>
          <w:rFonts w:cs="Times New Roman"/>
          <w:sz w:val="22"/>
          <w:szCs w:val="22"/>
        </w:rPr>
      </w:pPr>
      <w:r w:rsidRPr="00E97BC8">
        <w:rPr>
          <w:rFonts w:cs="Times New Roman"/>
          <w:sz w:val="22"/>
          <w:szCs w:val="22"/>
        </w:rPr>
        <w:t xml:space="preserve">Krishnan, V.V., Koshy, B.I., 2021. Evaluating the </w:t>
      </w:r>
      <w:r w:rsidR="00456C87">
        <w:rPr>
          <w:rFonts w:cs="Times New Roman"/>
          <w:sz w:val="22"/>
          <w:szCs w:val="22"/>
        </w:rPr>
        <w:t>F</w:t>
      </w:r>
      <w:r w:rsidRPr="00E97BC8">
        <w:rPr>
          <w:rFonts w:cs="Times New Roman"/>
          <w:sz w:val="22"/>
          <w:szCs w:val="22"/>
        </w:rPr>
        <w:t xml:space="preserve">actors </w:t>
      </w:r>
      <w:r w:rsidR="00456C87">
        <w:rPr>
          <w:rFonts w:cs="Times New Roman"/>
          <w:sz w:val="22"/>
          <w:szCs w:val="22"/>
        </w:rPr>
        <w:t>I</w:t>
      </w:r>
      <w:r w:rsidRPr="00E97BC8">
        <w:rPr>
          <w:rFonts w:cs="Times New Roman"/>
          <w:sz w:val="22"/>
          <w:szCs w:val="22"/>
        </w:rPr>
        <w:t xml:space="preserve">nfluencing </w:t>
      </w:r>
      <w:r w:rsidR="00456C87">
        <w:rPr>
          <w:rFonts w:cs="Times New Roman"/>
          <w:sz w:val="22"/>
          <w:szCs w:val="22"/>
        </w:rPr>
        <w:t>P</w:t>
      </w:r>
      <w:r w:rsidRPr="00E97BC8">
        <w:rPr>
          <w:rFonts w:cs="Times New Roman"/>
          <w:sz w:val="22"/>
          <w:szCs w:val="22"/>
        </w:rPr>
        <w:t xml:space="preserve">urchase </w:t>
      </w:r>
      <w:r w:rsidR="00456C87">
        <w:rPr>
          <w:rFonts w:cs="Times New Roman"/>
          <w:sz w:val="22"/>
          <w:szCs w:val="22"/>
        </w:rPr>
        <w:t>I</w:t>
      </w:r>
      <w:r w:rsidRPr="00E97BC8">
        <w:rPr>
          <w:rFonts w:cs="Times New Roman"/>
          <w:sz w:val="22"/>
          <w:szCs w:val="22"/>
        </w:rPr>
        <w:t xml:space="preserve">ntention of </w:t>
      </w:r>
      <w:r w:rsidR="00456C87">
        <w:rPr>
          <w:rFonts w:cs="Times New Roman"/>
          <w:sz w:val="22"/>
          <w:szCs w:val="22"/>
        </w:rPr>
        <w:t>E</w:t>
      </w:r>
      <w:r w:rsidRPr="00E97BC8">
        <w:rPr>
          <w:rFonts w:cs="Times New Roman"/>
          <w:sz w:val="22"/>
          <w:szCs w:val="22"/>
        </w:rPr>
        <w:t xml:space="preserve">lectric </w:t>
      </w:r>
      <w:r w:rsidR="00456C87">
        <w:rPr>
          <w:rFonts w:cs="Times New Roman"/>
          <w:sz w:val="22"/>
          <w:szCs w:val="22"/>
        </w:rPr>
        <w:t>V</w:t>
      </w:r>
      <w:r w:rsidRPr="00E97BC8">
        <w:rPr>
          <w:rFonts w:cs="Times New Roman"/>
          <w:sz w:val="22"/>
          <w:szCs w:val="22"/>
        </w:rPr>
        <w:t xml:space="preserve">ehicles in </w:t>
      </w:r>
      <w:r w:rsidR="00456C87">
        <w:rPr>
          <w:rFonts w:cs="Times New Roman"/>
          <w:sz w:val="22"/>
          <w:szCs w:val="22"/>
        </w:rPr>
        <w:t>H</w:t>
      </w:r>
      <w:r w:rsidRPr="00E97BC8">
        <w:rPr>
          <w:rFonts w:cs="Times New Roman"/>
          <w:sz w:val="22"/>
          <w:szCs w:val="22"/>
        </w:rPr>
        <w:t xml:space="preserve">ouseholds </w:t>
      </w:r>
      <w:r w:rsidR="00456C87">
        <w:rPr>
          <w:rFonts w:cs="Times New Roman"/>
          <w:sz w:val="22"/>
          <w:szCs w:val="22"/>
        </w:rPr>
        <w:t>O</w:t>
      </w:r>
      <w:r w:rsidRPr="00E97BC8">
        <w:rPr>
          <w:rFonts w:cs="Times New Roman"/>
          <w:sz w:val="22"/>
          <w:szCs w:val="22"/>
        </w:rPr>
        <w:t xml:space="preserve">wning </w:t>
      </w:r>
      <w:r w:rsidR="00456C87">
        <w:rPr>
          <w:rFonts w:cs="Times New Roman"/>
          <w:sz w:val="22"/>
          <w:szCs w:val="22"/>
        </w:rPr>
        <w:t>C</w:t>
      </w:r>
      <w:r w:rsidRPr="00E97BC8">
        <w:rPr>
          <w:rFonts w:cs="Times New Roman"/>
          <w:sz w:val="22"/>
          <w:szCs w:val="22"/>
        </w:rPr>
        <w:t xml:space="preserve">onventional </w:t>
      </w:r>
      <w:r w:rsidR="00456C87">
        <w:rPr>
          <w:rFonts w:cs="Times New Roman"/>
          <w:sz w:val="22"/>
          <w:szCs w:val="22"/>
        </w:rPr>
        <w:t>V</w:t>
      </w:r>
      <w:r w:rsidRPr="00E97BC8">
        <w:rPr>
          <w:rFonts w:cs="Times New Roman"/>
          <w:sz w:val="22"/>
          <w:szCs w:val="22"/>
        </w:rPr>
        <w:t>ehicles. Case Studies on Transport Policy 9, 1122–1129. https://doi.org/10.1016/j.cstp.2021.05.013</w:t>
      </w:r>
    </w:p>
    <w:p w14:paraId="08F73510" w14:textId="77777777" w:rsidR="00BA744D" w:rsidRPr="00E97BC8" w:rsidRDefault="00BA744D" w:rsidP="00E85093">
      <w:pPr>
        <w:pStyle w:val="Bibliography"/>
        <w:rPr>
          <w:rFonts w:cs="Times New Roman"/>
          <w:sz w:val="22"/>
          <w:szCs w:val="22"/>
        </w:rPr>
      </w:pPr>
      <w:r w:rsidRPr="00E97BC8">
        <w:rPr>
          <w:rFonts w:cs="Times New Roman"/>
          <w:sz w:val="22"/>
          <w:szCs w:val="22"/>
        </w:rPr>
        <w:t>Kuby, M., Cordova-Cruzatty, A., Parker, N.C., King, D.A., 2024. Electric Vehicle Charging for Multifamily Housing: Review of Evidence, Methods, Barriers, and Opportunities. https://doi.org/10.2139/ssrn.4831189</w:t>
      </w:r>
    </w:p>
    <w:p w14:paraId="0EBB61DC" w14:textId="77777777" w:rsidR="00BA744D" w:rsidRPr="00E97BC8" w:rsidRDefault="00BA744D" w:rsidP="00E85093">
      <w:pPr>
        <w:pStyle w:val="Bibliography"/>
        <w:rPr>
          <w:rFonts w:cs="Times New Roman"/>
          <w:sz w:val="22"/>
          <w:szCs w:val="22"/>
        </w:rPr>
      </w:pPr>
      <w:r w:rsidRPr="00E97BC8">
        <w:rPr>
          <w:rFonts w:cs="Times New Roman"/>
          <w:sz w:val="22"/>
          <w:szCs w:val="22"/>
        </w:rPr>
        <w:t>Kumar, R.R., Alok, K., 2020. Adoption of Electric Vehicle: A Literature Review and Prospects for Sustainability. Journal of Cleaner Production 253. https://doi.org/10.1016/j.jclepro.2019.119911</w:t>
      </w:r>
    </w:p>
    <w:p w14:paraId="45A5ED7E" w14:textId="77777777" w:rsidR="00BA744D" w:rsidRPr="00E97BC8" w:rsidRDefault="00BA744D" w:rsidP="00E85093">
      <w:pPr>
        <w:pStyle w:val="Bibliography"/>
        <w:rPr>
          <w:rFonts w:cs="Times New Roman"/>
          <w:sz w:val="22"/>
          <w:szCs w:val="22"/>
        </w:rPr>
      </w:pPr>
      <w:r w:rsidRPr="00E97BC8">
        <w:rPr>
          <w:rFonts w:cs="Times New Roman"/>
          <w:sz w:val="22"/>
          <w:szCs w:val="22"/>
        </w:rPr>
        <w:t>Künle, E., Minke, C., 2022. Macro-Environmental Comparative Analysis of E-Mobility Adoption Pathways in France, Germany and Norway. Transport Policy 124, 160–174. https://doi.org/10.1016/j.tranpol.2020.08.019</w:t>
      </w:r>
    </w:p>
    <w:p w14:paraId="0994D9F0" w14:textId="77777777" w:rsidR="00BA744D" w:rsidRPr="00E97BC8" w:rsidRDefault="00BA744D" w:rsidP="00E85093">
      <w:pPr>
        <w:pStyle w:val="Bibliography"/>
        <w:rPr>
          <w:rFonts w:cs="Times New Roman"/>
          <w:sz w:val="22"/>
          <w:szCs w:val="22"/>
        </w:rPr>
      </w:pPr>
      <w:r w:rsidRPr="00E97BC8">
        <w:rPr>
          <w:rFonts w:cs="Times New Roman"/>
          <w:sz w:val="22"/>
          <w:szCs w:val="22"/>
        </w:rPr>
        <w:t>Lashari, Z.A., Ko, J., Jang, J., 2021. Consumers’ Intention to Purchase Electric Vehicles: Influences of User Attitude and Perception. Sustainability 13. https://doi.org/10.3390/su13126778</w:t>
      </w:r>
    </w:p>
    <w:p w14:paraId="2E797387" w14:textId="77777777" w:rsidR="00BA744D" w:rsidRPr="00E97BC8" w:rsidRDefault="00BA744D" w:rsidP="00E85093">
      <w:pPr>
        <w:pStyle w:val="Bibliography"/>
        <w:rPr>
          <w:rFonts w:cs="Times New Roman"/>
          <w:sz w:val="22"/>
          <w:szCs w:val="22"/>
        </w:rPr>
      </w:pPr>
      <w:r w:rsidRPr="00E97BC8">
        <w:rPr>
          <w:rFonts w:cs="Times New Roman"/>
          <w:sz w:val="22"/>
          <w:szCs w:val="22"/>
        </w:rPr>
        <w:t>Lee, J.H., Chakraborty, D., Hardman, S.J., Tal, G., 2020. Exploring Electric Vehicle Charging Patterns: Mixed Usage of Charging Infrastructure. Transportation Research Part D: Transport and Environment 79. https://doi.org/10.1016/j.trd.2020.102249</w:t>
      </w:r>
    </w:p>
    <w:p w14:paraId="0451C362" w14:textId="77777777" w:rsidR="00BA744D" w:rsidRPr="00E97BC8" w:rsidRDefault="00BA744D" w:rsidP="00E85093">
      <w:pPr>
        <w:pStyle w:val="Bibliography"/>
        <w:rPr>
          <w:rFonts w:cs="Times New Roman"/>
          <w:sz w:val="22"/>
          <w:szCs w:val="22"/>
        </w:rPr>
      </w:pPr>
      <w:r w:rsidRPr="00E97BC8">
        <w:rPr>
          <w:rFonts w:cs="Times New Roman"/>
          <w:sz w:val="22"/>
          <w:szCs w:val="22"/>
        </w:rPr>
        <w:t>Lee, J.H., Hardman, S.J., Tal, G., 2019. Who Is Buying Electric Vehicles in California? Characterising Early Adopter Heterogeneity and Forecasting Market Diffusion. Energy Research &amp; Social Science 55, 218–226. https://doi.org/10.1016/j.erss.2019.05.011</w:t>
      </w:r>
    </w:p>
    <w:p w14:paraId="4FC14910" w14:textId="77777777" w:rsidR="00BA744D" w:rsidRPr="00E97BC8" w:rsidRDefault="00BA744D" w:rsidP="00E85093">
      <w:pPr>
        <w:pStyle w:val="Bibliography"/>
        <w:rPr>
          <w:rFonts w:cs="Times New Roman"/>
          <w:sz w:val="22"/>
          <w:szCs w:val="22"/>
        </w:rPr>
      </w:pPr>
      <w:r w:rsidRPr="00E97BC8">
        <w:rPr>
          <w:rFonts w:cs="Times New Roman"/>
          <w:sz w:val="22"/>
          <w:szCs w:val="22"/>
        </w:rPr>
        <w:t>Levy, D., Murphy, L., Lee, C.K.C., 2008. Influences and Emotions: Exploring Family Decision-making Processes when Buying a House. Housing Studies 23, 271–289. https://doi.org/10.1080/02673030801893164</w:t>
      </w:r>
    </w:p>
    <w:p w14:paraId="451CC913" w14:textId="77777777" w:rsidR="00BA744D" w:rsidRPr="00E97BC8" w:rsidRDefault="00BA744D" w:rsidP="00E85093">
      <w:pPr>
        <w:pStyle w:val="Bibliography"/>
        <w:rPr>
          <w:rFonts w:cs="Times New Roman"/>
          <w:sz w:val="22"/>
          <w:szCs w:val="22"/>
        </w:rPr>
      </w:pPr>
      <w:r w:rsidRPr="00E97BC8">
        <w:rPr>
          <w:rFonts w:cs="Times New Roman"/>
          <w:sz w:val="22"/>
          <w:szCs w:val="22"/>
        </w:rPr>
        <w:t>Li, L., Wang, Z., Wang, Q., 2020. Do Policy Mix Characteristics Matter for Electric Vehicle Adoption? A Survey-Based Exploration. Transportation Research Part D: Transport and Environment 87. https://doi.org/10.1016/j.trd.2020.102488</w:t>
      </w:r>
    </w:p>
    <w:p w14:paraId="7C5AA4B5" w14:textId="77777777" w:rsidR="00BA744D" w:rsidRPr="00E97BC8" w:rsidRDefault="00BA744D" w:rsidP="00E85093">
      <w:pPr>
        <w:pStyle w:val="Bibliography"/>
        <w:rPr>
          <w:rFonts w:cs="Times New Roman"/>
          <w:sz w:val="22"/>
          <w:szCs w:val="22"/>
        </w:rPr>
      </w:pPr>
      <w:r w:rsidRPr="00E97BC8">
        <w:rPr>
          <w:rFonts w:cs="Times New Roman"/>
          <w:sz w:val="22"/>
          <w:szCs w:val="22"/>
        </w:rPr>
        <w:t>Li, S., Xu, J., Ye, Q., 2025. Understanding the Interplay of Knowledge and Attitudes Among Couples in Household New Product Adoption: A Joint Decision-Making Approach. https://doi.org/10.2139/ssrn.5108340</w:t>
      </w:r>
    </w:p>
    <w:p w14:paraId="3C6DA68B" w14:textId="77777777" w:rsidR="00BA744D" w:rsidRPr="00E97BC8" w:rsidRDefault="00BA744D" w:rsidP="00E85093">
      <w:pPr>
        <w:pStyle w:val="Bibliography"/>
        <w:rPr>
          <w:rFonts w:cs="Times New Roman"/>
          <w:sz w:val="22"/>
          <w:szCs w:val="22"/>
        </w:rPr>
      </w:pPr>
      <w:r w:rsidRPr="00E97BC8">
        <w:rPr>
          <w:rFonts w:cs="Times New Roman"/>
          <w:sz w:val="22"/>
          <w:szCs w:val="22"/>
        </w:rPr>
        <w:t>Li, W., Long, R., Chen, H., Geng, J., 2017. A Review of Factors Influencing Consumer Intentions to Adopt Battery Electric Vehicles. Renewable and Sustainable Energy Reviews 78, 318–328. https://doi.org/10.1016/j.rser.2017.04.076</w:t>
      </w:r>
    </w:p>
    <w:p w14:paraId="559B06D3" w14:textId="77777777" w:rsidR="00BA744D" w:rsidRPr="00E97BC8" w:rsidRDefault="00BA744D" w:rsidP="00E85093">
      <w:pPr>
        <w:pStyle w:val="Bibliography"/>
        <w:rPr>
          <w:rFonts w:cs="Times New Roman"/>
          <w:sz w:val="22"/>
          <w:szCs w:val="22"/>
        </w:rPr>
      </w:pPr>
      <w:r w:rsidRPr="00E97BC8">
        <w:rPr>
          <w:rFonts w:cs="Times New Roman"/>
          <w:sz w:val="22"/>
          <w:szCs w:val="22"/>
        </w:rPr>
        <w:t>Li, Z., Hensher, D.A., Ho, C., 2020. An Empirical Investigation of Values of Travel Time Savings from Stated Preference Data and Revealed Preference Data. Transportation Letters 12, 166–171. https://doi.org/10.1080/19427867.2018.1546806</w:t>
      </w:r>
    </w:p>
    <w:p w14:paraId="3761AECF" w14:textId="77777777" w:rsidR="00BA744D" w:rsidRPr="00E97BC8" w:rsidRDefault="00BA744D" w:rsidP="00E85093">
      <w:pPr>
        <w:pStyle w:val="Bibliography"/>
        <w:rPr>
          <w:rFonts w:cs="Times New Roman"/>
          <w:sz w:val="22"/>
          <w:szCs w:val="22"/>
        </w:rPr>
      </w:pPr>
      <w:r w:rsidRPr="00E97BC8">
        <w:rPr>
          <w:rFonts w:cs="Times New Roman"/>
          <w:sz w:val="22"/>
          <w:szCs w:val="22"/>
        </w:rPr>
        <w:t>Liu, E., Judd, B., Santamouris, M., 2019. Challenges in Transitioning to Low Carbon Living for Lower Income Households in Australia. Advances in Building Energy Research 13, 49–64. https://doi.org/10.1080/17512549.2017.1354780</w:t>
      </w:r>
    </w:p>
    <w:p w14:paraId="397C1317" w14:textId="77777777" w:rsidR="00BA744D" w:rsidRPr="00E97BC8" w:rsidRDefault="00BA744D" w:rsidP="00E85093">
      <w:pPr>
        <w:pStyle w:val="Bibliography"/>
        <w:rPr>
          <w:rFonts w:cs="Times New Roman"/>
          <w:sz w:val="22"/>
          <w:szCs w:val="22"/>
        </w:rPr>
      </w:pPr>
      <w:r w:rsidRPr="00E97BC8">
        <w:rPr>
          <w:rFonts w:cs="Times New Roman"/>
          <w:sz w:val="22"/>
          <w:szCs w:val="22"/>
        </w:rPr>
        <w:t>Liu, P., Teng, M., Han, C., 2020. How Does Environmental Knowledge Translate into Pro-Environmental Behaviors?: The Mediating Role of Environmental Attitudes and Behavioral Intentions. Science of The Total Environment 728. https://doi.org/10.1016/j.scitotenv.2020.138126</w:t>
      </w:r>
    </w:p>
    <w:p w14:paraId="67F535AA" w14:textId="77777777" w:rsidR="00BA744D" w:rsidRPr="00E97BC8" w:rsidRDefault="00BA744D" w:rsidP="00E85093">
      <w:pPr>
        <w:pStyle w:val="Bibliography"/>
        <w:rPr>
          <w:rFonts w:cs="Times New Roman"/>
          <w:sz w:val="22"/>
          <w:szCs w:val="22"/>
        </w:rPr>
      </w:pPr>
      <w:r w:rsidRPr="00E97BC8">
        <w:rPr>
          <w:rFonts w:cs="Times New Roman"/>
          <w:sz w:val="22"/>
          <w:szCs w:val="22"/>
        </w:rPr>
        <w:t>Liu, R., Ding, Z., Jiang, X., Sun, J., Jiang, Y., Qiang, W., 2020. How Does Experience Impact the Adoption Willingness of Battery Electric Vehicles? The Role of Psychological Factors. Environmental Science and Pollution Research 27, 25230–25247. https://doi.org/10.1007/s11356-020-08834-w</w:t>
      </w:r>
    </w:p>
    <w:p w14:paraId="4518B291" w14:textId="77777777" w:rsidR="00BA744D" w:rsidRPr="00E97BC8" w:rsidRDefault="00BA744D" w:rsidP="00E85093">
      <w:pPr>
        <w:pStyle w:val="Bibliography"/>
        <w:rPr>
          <w:rFonts w:cs="Times New Roman"/>
          <w:sz w:val="22"/>
          <w:szCs w:val="22"/>
        </w:rPr>
      </w:pPr>
      <w:r w:rsidRPr="00E97BC8">
        <w:rPr>
          <w:rFonts w:cs="Times New Roman"/>
          <w:sz w:val="22"/>
          <w:szCs w:val="22"/>
        </w:rPr>
        <w:t>Liu, X., Roberts, M.C., Sioshansi, R., 2017. Spatial Effects on Hybrid Electric Vehicle Adoption. Transportation Research Part D: Transport and Environment 52, 85–97. https://doi.org/10.1016/j.trd.2017.02.014</w:t>
      </w:r>
    </w:p>
    <w:p w14:paraId="5F874F86"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Liu, Y., Segev, S., 2017. Cultural Orientations and Environmental Sustainability in Households: A Comparative Analysis of Hispanics and Non-Hispanic Whites in the United States. International Journal of Consumer Studies 41, 587–596. https://doi.org/10.1111/ijcs.12370</w:t>
      </w:r>
    </w:p>
    <w:p w14:paraId="6502A244" w14:textId="77777777" w:rsidR="00BA744D" w:rsidRPr="00E97BC8" w:rsidRDefault="00BA744D" w:rsidP="00E85093">
      <w:pPr>
        <w:pStyle w:val="Bibliography"/>
        <w:rPr>
          <w:rFonts w:cs="Times New Roman"/>
          <w:sz w:val="22"/>
          <w:szCs w:val="22"/>
        </w:rPr>
      </w:pPr>
      <w:r w:rsidRPr="00E97BC8">
        <w:rPr>
          <w:rFonts w:cs="Times New Roman"/>
          <w:sz w:val="22"/>
          <w:szCs w:val="22"/>
        </w:rPr>
        <w:t>Lou, J., Shen, X., Niemeier, D.A., Hultman, N., 2024. Income and Racial Disparity in Household Publicly Available Electric Vehicle Infrastructure Accessibility. Nature Communications 15, 5106. https://doi.org/10.1038/s41467-024-49481-w</w:t>
      </w:r>
    </w:p>
    <w:p w14:paraId="3117FBB2" w14:textId="77777777" w:rsidR="00BA744D" w:rsidRPr="00E97BC8" w:rsidRDefault="00BA744D" w:rsidP="00E85093">
      <w:pPr>
        <w:pStyle w:val="Bibliography"/>
        <w:rPr>
          <w:rFonts w:cs="Times New Roman"/>
          <w:sz w:val="22"/>
          <w:szCs w:val="22"/>
        </w:rPr>
      </w:pPr>
      <w:r w:rsidRPr="00E97BC8">
        <w:rPr>
          <w:rFonts w:cs="Times New Roman"/>
          <w:sz w:val="22"/>
          <w:szCs w:val="22"/>
        </w:rPr>
        <w:t>Lu, T., Yao, E., Jin, F., Pan, L., 2020. Alternative Incentive Policies Against Purchase Subsidy Decrease for Battery Electric Vehicle (BEV) Adoption. Energies 13, 1645. https://doi.org/10.3390/en13071645</w:t>
      </w:r>
    </w:p>
    <w:p w14:paraId="001FB236" w14:textId="77777777" w:rsidR="00BA744D" w:rsidRPr="00E97BC8" w:rsidRDefault="00BA744D" w:rsidP="00E85093">
      <w:pPr>
        <w:pStyle w:val="Bibliography"/>
        <w:rPr>
          <w:rFonts w:cs="Times New Roman"/>
          <w:sz w:val="22"/>
          <w:szCs w:val="22"/>
        </w:rPr>
      </w:pPr>
      <w:r w:rsidRPr="00E97BC8">
        <w:rPr>
          <w:rFonts w:cs="Times New Roman"/>
          <w:sz w:val="22"/>
          <w:szCs w:val="22"/>
        </w:rPr>
        <w:t>Lučić, M., Lukić, J., Grujic, I., 2024. Statistical Analysis of Trends in Battery Electric Vehicles: Special Reference to Vehicle Weight Reduction, Electric Motor, Battery, and Interior Space Dimensions. https://doi.org/10.14669/AM/189962</w:t>
      </w:r>
    </w:p>
    <w:p w14:paraId="5B046D39" w14:textId="77777777" w:rsidR="00BA744D" w:rsidRPr="00E97BC8" w:rsidRDefault="00BA744D" w:rsidP="00E85093">
      <w:pPr>
        <w:pStyle w:val="Bibliography"/>
        <w:rPr>
          <w:rFonts w:cs="Times New Roman"/>
          <w:sz w:val="22"/>
          <w:szCs w:val="22"/>
        </w:rPr>
      </w:pPr>
      <w:r w:rsidRPr="00E97BC8">
        <w:rPr>
          <w:rFonts w:cs="Times New Roman"/>
          <w:sz w:val="22"/>
          <w:szCs w:val="22"/>
        </w:rPr>
        <w:t>Luo, Z., Wang, Yue, Lv, Z., He, T., Zhao, J., Wang, Yongyue, Gao, F., Zhang, Z., Liu, H., 2022. Impacts of Vehicle Emission on Air Quality and Human Health in China. Science of The Total Environment 813. https://doi.org/10.1016/j.scitotenv.2021.152655</w:t>
      </w:r>
    </w:p>
    <w:p w14:paraId="53DF18F8" w14:textId="77777777" w:rsidR="00BA744D" w:rsidRPr="00E97BC8" w:rsidRDefault="00BA744D" w:rsidP="00E85093">
      <w:pPr>
        <w:pStyle w:val="Bibliography"/>
        <w:rPr>
          <w:rFonts w:cs="Times New Roman"/>
          <w:sz w:val="22"/>
          <w:szCs w:val="22"/>
        </w:rPr>
      </w:pPr>
      <w:r w:rsidRPr="00E97BC8">
        <w:rPr>
          <w:rFonts w:cs="Times New Roman"/>
          <w:sz w:val="22"/>
          <w:szCs w:val="22"/>
        </w:rPr>
        <w:t>Macias, T., 2016. Environmental Risk Perception Among Race and Ethnic Groups in the United States. Ethnicities 16, 111–129. https://doi.org/10.1177/1468796815575382</w:t>
      </w:r>
    </w:p>
    <w:p w14:paraId="30CDD496" w14:textId="77777777" w:rsidR="00BA744D" w:rsidRPr="00E97BC8" w:rsidRDefault="00BA744D" w:rsidP="00E85093">
      <w:pPr>
        <w:pStyle w:val="Bibliography"/>
        <w:rPr>
          <w:rFonts w:cs="Times New Roman"/>
          <w:sz w:val="22"/>
          <w:szCs w:val="22"/>
        </w:rPr>
      </w:pPr>
      <w:r w:rsidRPr="00E97BC8">
        <w:rPr>
          <w:rFonts w:cs="Times New Roman"/>
          <w:sz w:val="22"/>
          <w:szCs w:val="22"/>
        </w:rPr>
        <w:t>Mandys, F., 2021. Electric Vehicles and Consumer Choices. Renewable and Sustainable Energy Reviews 142. https://doi.org/10.1016/j.rser.2021.110874</w:t>
      </w:r>
    </w:p>
    <w:p w14:paraId="636146F2" w14:textId="77777777" w:rsidR="00BA744D" w:rsidRPr="00E97BC8" w:rsidRDefault="00BA744D" w:rsidP="00E85093">
      <w:pPr>
        <w:pStyle w:val="Bibliography"/>
        <w:rPr>
          <w:rFonts w:cs="Times New Roman"/>
          <w:sz w:val="22"/>
          <w:szCs w:val="22"/>
        </w:rPr>
      </w:pPr>
      <w:r w:rsidRPr="00E97BC8">
        <w:rPr>
          <w:rFonts w:cs="Times New Roman"/>
          <w:sz w:val="22"/>
          <w:szCs w:val="22"/>
        </w:rPr>
        <w:t>Manski, C.F., Lerman, S.R., 1977. The Estimation of Choice Probabilities from Choice Based Samples. Econometrica 45, 1977–1988. https://doi.org/10.2307/1914121</w:t>
      </w:r>
    </w:p>
    <w:p w14:paraId="25EBA48E" w14:textId="77777777" w:rsidR="00BA744D" w:rsidRPr="00E97BC8" w:rsidRDefault="00BA744D" w:rsidP="00E85093">
      <w:pPr>
        <w:pStyle w:val="Bibliography"/>
        <w:rPr>
          <w:rFonts w:cs="Times New Roman"/>
          <w:sz w:val="22"/>
          <w:szCs w:val="22"/>
        </w:rPr>
      </w:pPr>
      <w:r w:rsidRPr="00E97BC8">
        <w:rPr>
          <w:rFonts w:cs="Times New Roman"/>
          <w:sz w:val="22"/>
          <w:szCs w:val="22"/>
        </w:rPr>
        <w:t>Marikyan, D., Papagiannidis, S., Alamanos, E., 2019. Smart Home Technology Acceptance: An Empirical Investigation, in: Pappas, I.O., Mikalef, P., Dwivedi, Y.K., Jaccheri, L., Krogstie, J., Mäntymäki, M. (Eds.), Digital Transformation for a Sustainable Society in the 21st Century. Springer International Publishing, Cham, pp. 305–315. https://doi.org/10.1007/978-3-030-29374-1_25</w:t>
      </w:r>
    </w:p>
    <w:p w14:paraId="5C14B1FA" w14:textId="77777777" w:rsidR="00BA744D" w:rsidRPr="00E97BC8" w:rsidRDefault="00BA744D" w:rsidP="00E85093">
      <w:pPr>
        <w:pStyle w:val="Bibliography"/>
        <w:rPr>
          <w:rFonts w:cs="Times New Roman"/>
          <w:sz w:val="22"/>
          <w:szCs w:val="22"/>
        </w:rPr>
      </w:pPr>
      <w:r w:rsidRPr="00E97BC8">
        <w:rPr>
          <w:rFonts w:cs="Times New Roman"/>
          <w:sz w:val="22"/>
          <w:szCs w:val="22"/>
        </w:rPr>
        <w:t>Maslow, A.H., 1943. A Theory of Human Motivation. Psychological Review 50, 370–396. https://doi.org/10.1037/h0054346</w:t>
      </w:r>
    </w:p>
    <w:p w14:paraId="20FCAE39" w14:textId="77777777" w:rsidR="00BA744D" w:rsidRPr="00E97BC8" w:rsidRDefault="00BA744D" w:rsidP="00E85093">
      <w:pPr>
        <w:pStyle w:val="Bibliography"/>
        <w:rPr>
          <w:rFonts w:cs="Times New Roman"/>
          <w:sz w:val="22"/>
          <w:szCs w:val="22"/>
        </w:rPr>
      </w:pPr>
      <w:r w:rsidRPr="00E97BC8">
        <w:rPr>
          <w:rFonts w:cs="Times New Roman"/>
          <w:sz w:val="22"/>
          <w:szCs w:val="22"/>
        </w:rPr>
        <w:t>Mekky, M.F., Collins, A.R., 2024. The Impact of State Policies on Electric Vehicle Adoption -a Panel Data Analysis. Renewable and Sustainable Energy Reviews 191. https://doi.org/10.1016/j.rser.2023.114014</w:t>
      </w:r>
    </w:p>
    <w:p w14:paraId="18B4717D" w14:textId="77777777" w:rsidR="00BA744D" w:rsidRPr="00E97BC8" w:rsidRDefault="00BA744D" w:rsidP="00E85093">
      <w:pPr>
        <w:pStyle w:val="Bibliography"/>
        <w:rPr>
          <w:rFonts w:cs="Times New Roman"/>
          <w:sz w:val="22"/>
          <w:szCs w:val="22"/>
        </w:rPr>
      </w:pPr>
      <w:r w:rsidRPr="00E97BC8">
        <w:rPr>
          <w:rFonts w:cs="Times New Roman"/>
          <w:sz w:val="22"/>
          <w:szCs w:val="22"/>
        </w:rPr>
        <w:t>Memushi, A., 2014. Conspicuous Consumption and Albanians: Determinant Factors. South-Eastern Europe Journal of Economics 12.</w:t>
      </w:r>
    </w:p>
    <w:p w14:paraId="5D728566" w14:textId="77777777" w:rsidR="00BA744D" w:rsidRPr="00E97BC8" w:rsidRDefault="00BA744D" w:rsidP="00E85093">
      <w:pPr>
        <w:pStyle w:val="Bibliography"/>
        <w:rPr>
          <w:rFonts w:cs="Times New Roman"/>
          <w:sz w:val="22"/>
          <w:szCs w:val="22"/>
        </w:rPr>
      </w:pPr>
      <w:r w:rsidRPr="00E97BC8">
        <w:rPr>
          <w:rFonts w:cs="Times New Roman"/>
          <w:sz w:val="22"/>
          <w:szCs w:val="22"/>
        </w:rPr>
        <w:t>Mersky, A.C., Sprei, F., Samaras, C., Qian, Z. (Sean), 2016. Effectiveness of Incentives on Electric Vehicle Adoption in Norway. Transportation Research Part D: Transport and Environment 46, 56–68. https://doi.org/10.1016/j.trd.2016.03.011</w:t>
      </w:r>
    </w:p>
    <w:p w14:paraId="0D7494B7" w14:textId="77777777" w:rsidR="00BA744D" w:rsidRPr="00E97BC8" w:rsidRDefault="00BA744D" w:rsidP="00E85093">
      <w:pPr>
        <w:pStyle w:val="Bibliography"/>
        <w:rPr>
          <w:rFonts w:cs="Times New Roman"/>
          <w:sz w:val="22"/>
          <w:szCs w:val="22"/>
        </w:rPr>
      </w:pPr>
      <w:r w:rsidRPr="00E97BC8">
        <w:rPr>
          <w:rFonts w:cs="Times New Roman"/>
          <w:sz w:val="22"/>
          <w:szCs w:val="22"/>
        </w:rPr>
        <w:t>Mittal, V., Kamakura, W.A., 2001. Satisfaction, Repurchase Intent, and Repurchase Behavior: Investigating the Moderating Effect of Customer Characteristics. Journal of Marketing Research 38, 131–142. https://doi.org/10.1509/jmkr.38.1.131.18832</w:t>
      </w:r>
    </w:p>
    <w:p w14:paraId="4C79F138" w14:textId="77777777" w:rsidR="00BA744D" w:rsidRPr="00E97BC8" w:rsidRDefault="00BA744D" w:rsidP="00E85093">
      <w:pPr>
        <w:pStyle w:val="Bibliography"/>
        <w:rPr>
          <w:rFonts w:cs="Times New Roman"/>
          <w:sz w:val="22"/>
          <w:szCs w:val="22"/>
        </w:rPr>
      </w:pPr>
      <w:r w:rsidRPr="00E97BC8">
        <w:rPr>
          <w:rFonts w:cs="Times New Roman"/>
          <w:sz w:val="22"/>
          <w:szCs w:val="22"/>
        </w:rPr>
        <w:t>Müggenburg, H., 2021. Beyond the Limits of Memory? The Reliability of Retrospective Data in Travel Research. Transportation Research Part A: Policy and Practice 145, 302–318. https://doi.org/10.1016/j.tra.2021.01.010</w:t>
      </w:r>
    </w:p>
    <w:p w14:paraId="7D27C8C8" w14:textId="77777777" w:rsidR="00BA744D" w:rsidRPr="00E97BC8" w:rsidRDefault="00BA744D" w:rsidP="00E85093">
      <w:pPr>
        <w:pStyle w:val="Bibliography"/>
        <w:rPr>
          <w:rFonts w:cs="Times New Roman"/>
          <w:sz w:val="22"/>
          <w:szCs w:val="22"/>
        </w:rPr>
      </w:pPr>
      <w:r w:rsidRPr="00E97BC8">
        <w:rPr>
          <w:rFonts w:cs="Times New Roman"/>
          <w:sz w:val="22"/>
          <w:szCs w:val="22"/>
        </w:rPr>
        <w:t>Mukherjee, S.C., Ryan, L., 2020. Factors Influencing Early Battery Electric Vehicle Adoption in Ireland. Renewable and Sustainable Energy Reviews 118, 109504. https://doi.org/10.1016/j.rser.2019.109504</w:t>
      </w:r>
    </w:p>
    <w:p w14:paraId="7A4E9FE2" w14:textId="77777777" w:rsidR="00BA744D" w:rsidRPr="00E97BC8" w:rsidRDefault="00BA744D" w:rsidP="00E85093">
      <w:pPr>
        <w:pStyle w:val="Bibliography"/>
        <w:rPr>
          <w:rFonts w:cs="Times New Roman"/>
          <w:sz w:val="22"/>
          <w:szCs w:val="22"/>
        </w:rPr>
      </w:pPr>
      <w:r w:rsidRPr="00E97BC8">
        <w:rPr>
          <w:rFonts w:cs="Times New Roman"/>
          <w:sz w:val="22"/>
          <w:szCs w:val="22"/>
        </w:rPr>
        <w:t>Munshi, T., Dhar, S., Painuly, J., 2022. Understanding Barriers to Electric Vehicle Adoption for Personal Mobility: A Case Study of Middle Income in-Service Residents in Hyderabad City, India. Energy Policy 167. https://doi.org/10.1016/j.enpol.2022.112956</w:t>
      </w:r>
    </w:p>
    <w:p w14:paraId="35588B6D" w14:textId="77777777" w:rsidR="00BA744D" w:rsidRPr="00E97BC8" w:rsidRDefault="00BA744D" w:rsidP="00E85093">
      <w:pPr>
        <w:pStyle w:val="Bibliography"/>
        <w:rPr>
          <w:rFonts w:cs="Times New Roman"/>
          <w:sz w:val="22"/>
          <w:szCs w:val="22"/>
        </w:rPr>
      </w:pPr>
      <w:r w:rsidRPr="00E97BC8">
        <w:rPr>
          <w:rFonts w:cs="Times New Roman"/>
          <w:sz w:val="22"/>
          <w:szCs w:val="22"/>
        </w:rPr>
        <w:t>Naiman, S.M., Stedman, R.C., Schuldt, J.P., 2023. Latine Culture and the Environment: How Familism and Collectivism Predict Environmental Attitudes and Behavioral Intentions Among U.S. Latines. Journal of Environmental Psychology 85, 101902. https://doi.org/10.1016/j.jenvp.2022.101902</w:t>
      </w:r>
    </w:p>
    <w:p w14:paraId="20E9A4D9"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Nair, G.S., Astroza, S., Bhat, C.R., Khoeini, S., Pendyala, R.M., 2018. An Application of a Rank Ordered Probit Modeling Approach to Understanding Level of Interest in Autonomous Vehicles. Transportation 45, 1623–1637. https://doi.org/10.1007/s11116-018-9945-9</w:t>
      </w:r>
    </w:p>
    <w:p w14:paraId="3E65E0EA" w14:textId="77777777" w:rsidR="00BA744D" w:rsidRPr="00E97BC8" w:rsidRDefault="00BA744D" w:rsidP="00E85093">
      <w:pPr>
        <w:pStyle w:val="Bibliography"/>
        <w:rPr>
          <w:rFonts w:cs="Times New Roman"/>
          <w:sz w:val="22"/>
          <w:szCs w:val="22"/>
        </w:rPr>
      </w:pPr>
      <w:r w:rsidRPr="00E97BC8">
        <w:rPr>
          <w:rFonts w:cs="Times New Roman"/>
          <w:sz w:val="22"/>
          <w:szCs w:val="22"/>
        </w:rPr>
        <w:t>Nair, G.S., Bhat, C.R., Pendyala, R.M., Loo, B.P.Y., Lam, W.H.K., 2019. On the Use of Probit-Based Models for Ranking Data Analysis. Transportation Research Record 2673, 229–240. https://doi.org/10.1177/0361198119838987</w:t>
      </w:r>
    </w:p>
    <w:p w14:paraId="657240CE" w14:textId="77777777" w:rsidR="00BA744D" w:rsidRPr="00E97BC8" w:rsidRDefault="00BA744D" w:rsidP="00E85093">
      <w:pPr>
        <w:pStyle w:val="Bibliography"/>
        <w:rPr>
          <w:rFonts w:cs="Times New Roman"/>
          <w:sz w:val="22"/>
          <w:szCs w:val="22"/>
        </w:rPr>
      </w:pPr>
      <w:r w:rsidRPr="00E97BC8">
        <w:rPr>
          <w:rFonts w:cs="Times New Roman"/>
          <w:sz w:val="22"/>
          <w:szCs w:val="22"/>
        </w:rPr>
        <w:t>National Renewable Energy Laboratory, 2024. Alternative Fuels Data Center.</w:t>
      </w:r>
    </w:p>
    <w:p w14:paraId="6B2D09D5" w14:textId="77777777" w:rsidR="00BA744D" w:rsidRPr="00E97BC8" w:rsidRDefault="00BA744D" w:rsidP="00E85093">
      <w:pPr>
        <w:pStyle w:val="Bibliography"/>
        <w:rPr>
          <w:rFonts w:cs="Times New Roman"/>
          <w:sz w:val="22"/>
          <w:szCs w:val="22"/>
        </w:rPr>
      </w:pPr>
      <w:r w:rsidRPr="00E97BC8">
        <w:rPr>
          <w:rFonts w:cs="Times New Roman"/>
          <w:sz w:val="22"/>
          <w:szCs w:val="22"/>
        </w:rPr>
        <w:t>Nazari, F., Mohammadian, A. (Kouros), Stephens, T., 2019. Modeling Electric Vehicle Adoption Considering a Latent Travel Pattern Construct and Charging Infrastructure. Transportation Research Part D: Transport and Environment 72, 65–82. https://doi.org/10.1016/j.trd.2019.04.010</w:t>
      </w:r>
    </w:p>
    <w:p w14:paraId="39DF18E8" w14:textId="77777777" w:rsidR="00BA744D" w:rsidRPr="00E97BC8" w:rsidRDefault="00BA744D" w:rsidP="00E85093">
      <w:pPr>
        <w:pStyle w:val="Bibliography"/>
        <w:rPr>
          <w:rFonts w:cs="Times New Roman"/>
          <w:sz w:val="22"/>
          <w:szCs w:val="22"/>
        </w:rPr>
      </w:pPr>
      <w:r w:rsidRPr="00E97BC8">
        <w:rPr>
          <w:rFonts w:cs="Times New Roman"/>
          <w:sz w:val="22"/>
          <w:szCs w:val="22"/>
        </w:rPr>
        <w:t>Noel, L., Sovacool, B.K., Kester, J., Zarazua de Rubens, G., 2019. Conspicuous Diffusion: Theorizing How Status Drives Innovation in Electric Mobility. Environmental Innovation and Societal Transitions 31, 154–169. https://doi.org/10.1016/j.eist.2018.11.007</w:t>
      </w:r>
    </w:p>
    <w:p w14:paraId="3ECB3EBE" w14:textId="77777777" w:rsidR="00BA744D" w:rsidRPr="00E97BC8" w:rsidRDefault="00BA744D" w:rsidP="00E85093">
      <w:pPr>
        <w:pStyle w:val="Bibliography"/>
        <w:rPr>
          <w:rFonts w:cs="Times New Roman"/>
          <w:sz w:val="22"/>
          <w:szCs w:val="22"/>
        </w:rPr>
      </w:pPr>
      <w:r w:rsidRPr="00E97BC8">
        <w:rPr>
          <w:rFonts w:cs="Times New Roman"/>
          <w:sz w:val="22"/>
          <w:szCs w:val="22"/>
        </w:rPr>
        <w:t>Osipenko, M., 2024. Are Solar Panels and Electric Vehicles Substitutes or Complements? https://doi.org/10.2139/ssrn.4815511</w:t>
      </w:r>
    </w:p>
    <w:p w14:paraId="1632DD49" w14:textId="77777777" w:rsidR="00BA744D" w:rsidRPr="00E97BC8" w:rsidRDefault="00BA744D" w:rsidP="00E85093">
      <w:pPr>
        <w:pStyle w:val="Bibliography"/>
        <w:rPr>
          <w:rFonts w:cs="Times New Roman"/>
          <w:sz w:val="22"/>
          <w:szCs w:val="22"/>
        </w:rPr>
      </w:pPr>
      <w:r w:rsidRPr="00E97BC8">
        <w:rPr>
          <w:rFonts w:cs="Times New Roman"/>
          <w:sz w:val="22"/>
          <w:szCs w:val="22"/>
        </w:rPr>
        <w:t>Pamidimukkala, A., Kermanshachi, S., Rosenberger, J.M., Hladik, G., 2024. Barriers and Motivators to the Adoption of Electric Vehicles: A Global Review. Green Energy and Intelligent Transportation. https://doi.org/10.1016/j.geits.2024.100153</w:t>
      </w:r>
    </w:p>
    <w:p w14:paraId="38600054" w14:textId="77777777" w:rsidR="00BA744D" w:rsidRPr="00E97BC8" w:rsidRDefault="00BA744D" w:rsidP="00E85093">
      <w:pPr>
        <w:pStyle w:val="Bibliography"/>
        <w:rPr>
          <w:rFonts w:cs="Times New Roman"/>
          <w:sz w:val="22"/>
          <w:szCs w:val="22"/>
        </w:rPr>
      </w:pPr>
      <w:r w:rsidRPr="00E97BC8">
        <w:rPr>
          <w:rFonts w:cs="Times New Roman"/>
          <w:sz w:val="22"/>
          <w:szCs w:val="22"/>
        </w:rPr>
        <w:t>Pandita, D., Bhatt, V., Kumar, V.V.R., Fatma, A., Vapiwala, F., 2024. Electrifying the Future: Analysing the Determinants of Electric Vehicle Adoption. International Journal of Energy Sector Management. https://doi.org/10.1108/IJESM-06-2023-0004</w:t>
      </w:r>
    </w:p>
    <w:p w14:paraId="55F962F1" w14:textId="77777777" w:rsidR="00BA744D" w:rsidRPr="00E97BC8" w:rsidRDefault="00BA744D" w:rsidP="00E85093">
      <w:pPr>
        <w:pStyle w:val="Bibliography"/>
        <w:rPr>
          <w:rFonts w:cs="Times New Roman"/>
          <w:sz w:val="22"/>
          <w:szCs w:val="22"/>
        </w:rPr>
      </w:pPr>
      <w:r w:rsidRPr="00E97BC8">
        <w:rPr>
          <w:rFonts w:cs="Times New Roman"/>
          <w:sz w:val="22"/>
          <w:szCs w:val="22"/>
        </w:rPr>
        <w:t>Pang, C., Collin Wang, Z., McGrenere, J., Leung, R., Dai, J., Moffatt, K., 2021. Technology Adoption and Learning Preferences for Older Adults: Evolving Perceptions, Ongoing Challenges, and Emerging Design Opportunities, in: Proceedings of the 2021 CHI Conference on Human Factors in Computing Systems, CHI ’21. Association for Computing Machinery, New York, NY, USA, pp. 1–13. https://doi.org/10.1145/3411764.3445702</w:t>
      </w:r>
    </w:p>
    <w:p w14:paraId="5B559BE1" w14:textId="77777777" w:rsidR="00BA744D" w:rsidRPr="00E97BC8" w:rsidRDefault="00BA744D" w:rsidP="00E85093">
      <w:pPr>
        <w:pStyle w:val="Bibliography"/>
        <w:rPr>
          <w:rFonts w:cs="Times New Roman"/>
          <w:sz w:val="22"/>
          <w:szCs w:val="22"/>
        </w:rPr>
      </w:pPr>
      <w:r w:rsidRPr="00E97BC8">
        <w:rPr>
          <w:rFonts w:cs="Times New Roman"/>
          <w:sz w:val="22"/>
          <w:szCs w:val="22"/>
        </w:rPr>
        <w:t>Park, E., Lim, J., Cho, Y., 2018. Understanding the Emergence and Social Acceptance of Electric Vehicles as Next-Generation Models for the Automobile Industry. Sustainability 10. https://doi.org/10.3390/su10030662</w:t>
      </w:r>
    </w:p>
    <w:p w14:paraId="7E49E8E4" w14:textId="77777777" w:rsidR="00BA744D" w:rsidRPr="00E97BC8" w:rsidRDefault="00BA744D" w:rsidP="00E85093">
      <w:pPr>
        <w:pStyle w:val="Bibliography"/>
        <w:rPr>
          <w:rFonts w:cs="Times New Roman"/>
          <w:sz w:val="22"/>
          <w:szCs w:val="22"/>
        </w:rPr>
      </w:pPr>
      <w:r w:rsidRPr="00E97BC8">
        <w:rPr>
          <w:rFonts w:cs="Times New Roman"/>
          <w:sz w:val="22"/>
          <w:szCs w:val="22"/>
        </w:rPr>
        <w:t>Pearson, A.R., Schuldt, J.P., Romero-Canyas, R., Ballew, M.T., Larson-Konar, D., 2018. Diverse Segments of the US Public Underestimate the Environmental Concerns of Minority and Low-Income Americans. Proceedings of the National Academy of Sciences 115, 12429–12434. https://doi.org/10.1073/pnas.1804698115</w:t>
      </w:r>
    </w:p>
    <w:p w14:paraId="74787114" w14:textId="77777777" w:rsidR="00BA744D" w:rsidRPr="00E97BC8" w:rsidRDefault="00BA744D" w:rsidP="00E85093">
      <w:pPr>
        <w:pStyle w:val="Bibliography"/>
        <w:rPr>
          <w:rFonts w:cs="Times New Roman"/>
          <w:sz w:val="22"/>
          <w:szCs w:val="22"/>
        </w:rPr>
      </w:pPr>
      <w:r w:rsidRPr="00E97BC8">
        <w:rPr>
          <w:rFonts w:cs="Times New Roman"/>
          <w:sz w:val="22"/>
          <w:szCs w:val="22"/>
        </w:rPr>
        <w:t>Plötz, P., Schneider, U., Globisch, J., Dütschke, E., 2014. Who Will Buy Electric Vehicles? Identifying Early Adopters in Germany. Transportation Research Part A: Policy and Practice 67, 96–109. https://doi.org/10.1016/j.tra.2014.06.006</w:t>
      </w:r>
    </w:p>
    <w:p w14:paraId="4B970F04" w14:textId="77777777" w:rsidR="00BA744D" w:rsidRPr="00E97BC8" w:rsidRDefault="00BA744D" w:rsidP="00E85093">
      <w:pPr>
        <w:pStyle w:val="Bibliography"/>
        <w:rPr>
          <w:rFonts w:cs="Times New Roman"/>
          <w:sz w:val="22"/>
          <w:szCs w:val="22"/>
        </w:rPr>
      </w:pPr>
      <w:r w:rsidRPr="00E97BC8">
        <w:rPr>
          <w:rFonts w:cs="Times New Roman"/>
          <w:sz w:val="22"/>
          <w:szCs w:val="22"/>
        </w:rPr>
        <w:t>Pradeep, V.H., Amshala, V.T., Raghuram Kadali, B., 2021. Does Perceived Technology and Knowledge of Maintenance Influence Purchase Intention of BEVs. Transportation Research Part D: Transport and Environment 93. https://doi.org/10.1016/j.trd.2021.102759</w:t>
      </w:r>
    </w:p>
    <w:p w14:paraId="7D27E4F1" w14:textId="77777777" w:rsidR="00BA744D" w:rsidRPr="00E97BC8" w:rsidRDefault="00BA744D" w:rsidP="00E85093">
      <w:pPr>
        <w:pStyle w:val="Bibliography"/>
        <w:rPr>
          <w:rFonts w:cs="Times New Roman"/>
          <w:sz w:val="22"/>
          <w:szCs w:val="22"/>
        </w:rPr>
      </w:pPr>
      <w:r w:rsidRPr="00E97BC8">
        <w:rPr>
          <w:rFonts w:cs="Times New Roman"/>
          <w:sz w:val="22"/>
          <w:szCs w:val="22"/>
        </w:rPr>
        <w:t>Ramos-Real, F.J., Ramírez-Díaz, A., Marrero, G.A., Perez, Y., 2018. Willingness to Pay for Electric Vehicles in Island Regions: The Case of Tenerife (canary Islands). Renewable and Sustainable Energy Reviews 98, 140–149. https://doi.org/10.1016/j.rser.2018.09.014</w:t>
      </w:r>
    </w:p>
    <w:p w14:paraId="7E86DF3E" w14:textId="77777777" w:rsidR="00BA744D" w:rsidRPr="00E97BC8" w:rsidRDefault="00BA744D" w:rsidP="00E85093">
      <w:pPr>
        <w:pStyle w:val="Bibliography"/>
        <w:rPr>
          <w:rFonts w:cs="Times New Roman"/>
          <w:sz w:val="22"/>
          <w:szCs w:val="22"/>
        </w:rPr>
      </w:pPr>
      <w:r w:rsidRPr="00E97BC8">
        <w:rPr>
          <w:rFonts w:cs="Times New Roman"/>
          <w:sz w:val="22"/>
          <w:szCs w:val="22"/>
        </w:rPr>
        <w:t>Rauh, N., Franke, T., Krems, J.F., 2015. Understanding the Impact of Electric Vehicle Driving Experience on Range Anxiety. Human Factors 57, 177–187. https://doi.org/10.1177/0018720814546372</w:t>
      </w:r>
    </w:p>
    <w:p w14:paraId="172F4ABB" w14:textId="77777777" w:rsidR="00BA744D" w:rsidRPr="00E97BC8" w:rsidRDefault="00BA744D" w:rsidP="00E85093">
      <w:pPr>
        <w:pStyle w:val="Bibliography"/>
        <w:rPr>
          <w:rFonts w:cs="Times New Roman"/>
          <w:sz w:val="22"/>
          <w:szCs w:val="22"/>
        </w:rPr>
      </w:pPr>
      <w:r w:rsidRPr="00E97BC8">
        <w:rPr>
          <w:rFonts w:cs="Times New Roman"/>
          <w:sz w:val="22"/>
          <w:szCs w:val="22"/>
        </w:rPr>
        <w:t>Reilly, T., O’Brien, R.M., 1996. Identification of Confirmatory Factor Analysis Models of Arbitrary Complexity: The Side-by-Side Rule. Sociological Methods &amp; Research 24, 473–491. https://doi.org/10.1177/0049124196024004003</w:t>
      </w:r>
    </w:p>
    <w:p w14:paraId="0C52AF7E" w14:textId="77777777" w:rsidR="00BA744D" w:rsidRPr="00E97BC8" w:rsidRDefault="00BA744D" w:rsidP="00E85093">
      <w:pPr>
        <w:pStyle w:val="Bibliography"/>
        <w:rPr>
          <w:rFonts w:cs="Times New Roman"/>
          <w:sz w:val="22"/>
          <w:szCs w:val="22"/>
        </w:rPr>
      </w:pPr>
      <w:r w:rsidRPr="00E97BC8">
        <w:rPr>
          <w:rFonts w:cs="Times New Roman"/>
          <w:sz w:val="22"/>
          <w:szCs w:val="22"/>
        </w:rPr>
        <w:t>Rye, J., Sintov, N.D., 2024. Predictors of Electric Vehicle Adoption Intent in Rideshare Drivers Relative to Commuters. Transportation Research Part A: Policy and Practice 179, 103943. https://doi.org/10.1016/j.tra.2023.103943</w:t>
      </w:r>
    </w:p>
    <w:p w14:paraId="5B233A28"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Salari, N., 2022. Electric Vehicles Adoption Behaviour: Synthesising the Technology Readiness Index with Environmentalism Values and Instrumental Attributes. Transportation Research Part A: Policy and Practice 164, 60–81. https://doi.org/10.1016/j.tra.2022.07.009</w:t>
      </w:r>
    </w:p>
    <w:p w14:paraId="717AF203" w14:textId="77777777" w:rsidR="00BA744D" w:rsidRPr="00E97BC8" w:rsidRDefault="00BA744D" w:rsidP="00E85093">
      <w:pPr>
        <w:pStyle w:val="Bibliography"/>
        <w:rPr>
          <w:rFonts w:cs="Times New Roman"/>
          <w:sz w:val="22"/>
          <w:szCs w:val="22"/>
        </w:rPr>
      </w:pPr>
      <w:r w:rsidRPr="00E97BC8">
        <w:rPr>
          <w:rFonts w:cs="Times New Roman"/>
          <w:sz w:val="22"/>
          <w:szCs w:val="22"/>
        </w:rPr>
        <w:t>She, Z.-Y., Qing Sun, Ma, J.-J., Xie, B.-C., 2017. What Are the Barriers to Widespread Adoption of Battery Electric Vehicles? A Survey of Public Perception in Tianjin, China. Transport Policy 56, 29–40. https://doi.org/10.1016/j.tranpol.2017.03.001</w:t>
      </w:r>
    </w:p>
    <w:p w14:paraId="14A342FF" w14:textId="77777777" w:rsidR="00BA744D" w:rsidRPr="00E97BC8" w:rsidRDefault="00BA744D" w:rsidP="00E85093">
      <w:pPr>
        <w:pStyle w:val="Bibliography"/>
        <w:rPr>
          <w:rFonts w:cs="Times New Roman"/>
          <w:sz w:val="22"/>
          <w:szCs w:val="22"/>
        </w:rPr>
      </w:pPr>
      <w:r w:rsidRPr="00E97BC8">
        <w:rPr>
          <w:rFonts w:cs="Times New Roman"/>
          <w:sz w:val="22"/>
          <w:szCs w:val="22"/>
        </w:rPr>
        <w:t>Sheth, J.N., Newman, B.I., Gross, B.L., 1991. Why We Buy What We Buy: A Theory of Consumption Values. Journal of Business Research 22, 159–170. https://doi.org/10.1016/0148-2963(91)90050-8</w:t>
      </w:r>
    </w:p>
    <w:p w14:paraId="564DE54F" w14:textId="77777777" w:rsidR="00BA744D" w:rsidRPr="00E97BC8" w:rsidRDefault="00BA744D" w:rsidP="00E85093">
      <w:pPr>
        <w:pStyle w:val="Bibliography"/>
        <w:rPr>
          <w:rFonts w:cs="Times New Roman"/>
          <w:sz w:val="22"/>
          <w:szCs w:val="22"/>
        </w:rPr>
      </w:pPr>
      <w:r w:rsidRPr="00E97BC8">
        <w:rPr>
          <w:rFonts w:cs="Times New Roman"/>
          <w:sz w:val="22"/>
          <w:szCs w:val="22"/>
        </w:rPr>
        <w:t>Shrestha, S., Baral, B., Shah, M., Chitrakar, S., Shrestha, B.P., 2022. Measures to Resolve Range Anxiety in Electric Vehicle Users. International Journal of Low-Carbon Technologies 17, 1186–1206. https://doi.org/10.1093/ijlct/ctac100</w:t>
      </w:r>
    </w:p>
    <w:p w14:paraId="0562FC24" w14:textId="77777777" w:rsidR="00BA744D" w:rsidRPr="00E97BC8" w:rsidRDefault="00BA744D" w:rsidP="00E85093">
      <w:pPr>
        <w:pStyle w:val="Bibliography"/>
        <w:rPr>
          <w:rFonts w:cs="Times New Roman"/>
          <w:sz w:val="22"/>
          <w:szCs w:val="22"/>
        </w:rPr>
      </w:pPr>
      <w:r w:rsidRPr="00E97BC8">
        <w:rPr>
          <w:rFonts w:cs="Times New Roman"/>
          <w:sz w:val="22"/>
          <w:szCs w:val="22"/>
        </w:rPr>
        <w:t>Sierzchula, W., Bakker, S., Maat, K., van Wee, B., 2014. The Influence of Financial Incentives and Other Socio-Economic Factors on Electric Vehicle Adoption. Energy Policy 68, 183–194. https://doi.org/10.1016/j.enpol.2014.01.043</w:t>
      </w:r>
    </w:p>
    <w:p w14:paraId="416FAEE5" w14:textId="77777777" w:rsidR="00BA744D" w:rsidRPr="00E97BC8" w:rsidRDefault="00BA744D" w:rsidP="00E85093">
      <w:pPr>
        <w:pStyle w:val="Bibliography"/>
        <w:rPr>
          <w:rFonts w:cs="Times New Roman"/>
          <w:sz w:val="22"/>
          <w:szCs w:val="22"/>
        </w:rPr>
      </w:pPr>
      <w:r w:rsidRPr="00E97BC8">
        <w:rPr>
          <w:rFonts w:cs="Times New Roman"/>
          <w:sz w:val="22"/>
          <w:szCs w:val="22"/>
        </w:rPr>
        <w:t>Singh, Virender, Singh, Vedant, Vaibhav, S., 2020. A Review and Simple Meta-Analysis of Factors Influencing Adoption of Electric Vehicles. Transportation Research Part D: Transport and Environment 86. https://doi.org/10.1016/j.trd.2020.102436</w:t>
      </w:r>
    </w:p>
    <w:p w14:paraId="74955B68" w14:textId="77777777" w:rsidR="00BA744D" w:rsidRPr="00E97BC8" w:rsidRDefault="00BA744D" w:rsidP="00E85093">
      <w:pPr>
        <w:pStyle w:val="Bibliography"/>
        <w:rPr>
          <w:rFonts w:cs="Times New Roman"/>
          <w:sz w:val="22"/>
          <w:szCs w:val="22"/>
        </w:rPr>
      </w:pPr>
      <w:r w:rsidRPr="00E97BC8">
        <w:rPr>
          <w:rFonts w:cs="Times New Roman"/>
          <w:sz w:val="22"/>
          <w:szCs w:val="22"/>
        </w:rPr>
        <w:t>Solon, G., Haider, S.J., Wooldridge, J.M., 2015. What Are We Weighting For? Journal of Human Resources 50, 301–316. https://doi.org/10.3368/jhr.50.2.301</w:t>
      </w:r>
    </w:p>
    <w:p w14:paraId="20E0AB48" w14:textId="77777777" w:rsidR="00BA744D" w:rsidRPr="00E97BC8" w:rsidRDefault="00BA744D" w:rsidP="00E85093">
      <w:pPr>
        <w:pStyle w:val="Bibliography"/>
        <w:rPr>
          <w:rFonts w:cs="Times New Roman"/>
          <w:sz w:val="22"/>
          <w:szCs w:val="22"/>
        </w:rPr>
      </w:pPr>
      <w:r w:rsidRPr="00E97BC8">
        <w:rPr>
          <w:rFonts w:cs="Times New Roman"/>
          <w:sz w:val="22"/>
          <w:szCs w:val="22"/>
        </w:rPr>
        <w:t>Sovacool, B.K., Axsen, J., 2018. Functional, Symbolic and Societal Frames for Automobility: Implications for Sustainability Transitions. Transportation Research Part A: Policy and Practice 118, 730–746. https://doi.org/10.1016/j.tra.2018.10.008</w:t>
      </w:r>
    </w:p>
    <w:p w14:paraId="66179E6E" w14:textId="77777777" w:rsidR="00BA744D" w:rsidRPr="00E97BC8" w:rsidRDefault="00BA744D" w:rsidP="00E85093">
      <w:pPr>
        <w:pStyle w:val="Bibliography"/>
        <w:rPr>
          <w:rFonts w:cs="Times New Roman"/>
          <w:sz w:val="22"/>
          <w:szCs w:val="22"/>
        </w:rPr>
      </w:pPr>
      <w:r w:rsidRPr="00E97BC8">
        <w:rPr>
          <w:rFonts w:cs="Times New Roman"/>
          <w:sz w:val="22"/>
          <w:szCs w:val="22"/>
        </w:rPr>
        <w:t>Sovacool, B.K., Kester, J., Noel, L., de Rubens, G.Z., 2018. The Demographics of Decarbonizing Transport: The Influence of Gender, Education, Occupation, Age, and Household Size on Electric Mobility Preferences in the Nordic Region. Global Environmental Change 52, 86–100. https://doi.org/10.1016/j.gloenvcha.2018.06.008</w:t>
      </w:r>
    </w:p>
    <w:p w14:paraId="3325C16C" w14:textId="77777777" w:rsidR="00BA744D" w:rsidRPr="00E97BC8" w:rsidRDefault="00BA744D" w:rsidP="00E85093">
      <w:pPr>
        <w:pStyle w:val="Bibliography"/>
        <w:rPr>
          <w:rFonts w:cs="Times New Roman"/>
          <w:sz w:val="22"/>
          <w:szCs w:val="22"/>
        </w:rPr>
      </w:pPr>
      <w:r w:rsidRPr="00E97BC8">
        <w:rPr>
          <w:rFonts w:cs="Times New Roman"/>
          <w:sz w:val="22"/>
          <w:szCs w:val="22"/>
        </w:rPr>
        <w:t>Sovacool, B.K., Kester, J., Noel, L., Zarazua de Rubens, G., 2019. Are Electric Vehicles Masculinized? Gender, Identity, and Environmental Values in Nordic Transport Practices and Vehicle-to-Grid (V2G) Preferences. Transportation Research Part D: Transport and Environment 72, 187–202. https://doi.org/10.1016/j.trd.2019.04.013</w:t>
      </w:r>
    </w:p>
    <w:p w14:paraId="4A7A0F72" w14:textId="77777777" w:rsidR="00BA744D" w:rsidRPr="00E97BC8" w:rsidRDefault="00BA744D" w:rsidP="00E85093">
      <w:pPr>
        <w:pStyle w:val="Bibliography"/>
        <w:rPr>
          <w:rFonts w:cs="Times New Roman"/>
          <w:sz w:val="22"/>
          <w:szCs w:val="22"/>
        </w:rPr>
      </w:pPr>
      <w:r w:rsidRPr="00E97BC8">
        <w:rPr>
          <w:rFonts w:cs="Times New Roman"/>
          <w:sz w:val="22"/>
          <w:szCs w:val="22"/>
        </w:rPr>
        <w:t>Steg, L., 2005. Car Use: Lust and Must. Instrumental, Symbolic and Affective Motives for Car Use. Transportation Research Part A: Policy and Practice, Positive Utility of Travel 39, 147–162. https://doi.org/10.1016/j.tra.2004.07.001</w:t>
      </w:r>
    </w:p>
    <w:p w14:paraId="47AF5FA1" w14:textId="77777777" w:rsidR="00BA744D" w:rsidRPr="00E97BC8" w:rsidRDefault="00BA744D" w:rsidP="00E85093">
      <w:pPr>
        <w:pStyle w:val="Bibliography"/>
        <w:rPr>
          <w:rFonts w:cs="Times New Roman"/>
          <w:sz w:val="22"/>
          <w:szCs w:val="22"/>
        </w:rPr>
      </w:pPr>
      <w:r w:rsidRPr="00E97BC8">
        <w:rPr>
          <w:rFonts w:cs="Times New Roman"/>
          <w:sz w:val="22"/>
          <w:szCs w:val="22"/>
        </w:rPr>
        <w:t>Tam, K.-P., Chan, H.-W., 2017. Environmental Concern Has a Weaker Association with Pro-Environmental Behavior in Some Societies Than Others: A Cross-Cultural Psychology Perspective. Journal of Environmental Psychology 53, 213–223. https://doi.org/10.1016/j.jenvp.2017.09.001</w:t>
      </w:r>
    </w:p>
    <w:p w14:paraId="2DF48DD0" w14:textId="77777777" w:rsidR="00BA744D" w:rsidRPr="00E97BC8" w:rsidRDefault="00BA744D" w:rsidP="00E85093">
      <w:pPr>
        <w:pStyle w:val="Bibliography"/>
        <w:rPr>
          <w:rFonts w:cs="Times New Roman"/>
          <w:sz w:val="22"/>
          <w:szCs w:val="22"/>
        </w:rPr>
      </w:pPr>
      <w:r w:rsidRPr="00E97BC8">
        <w:rPr>
          <w:rFonts w:cs="Times New Roman"/>
          <w:sz w:val="22"/>
          <w:szCs w:val="22"/>
        </w:rPr>
        <w:t>Tchetchik, A., Kaplan, S., Rotem-Mindali, O., 2024. Do Non-Ionizing Radiation Concerns Affect People’s Choice Between Hybrid and Traditional Cars? Transportation Research Part D: Transport and Environment 131. https://doi.org/10.1016/j.trd.2024.104226</w:t>
      </w:r>
    </w:p>
    <w:p w14:paraId="19F134BD" w14:textId="77777777" w:rsidR="00BA744D" w:rsidRPr="00E97BC8" w:rsidRDefault="00BA744D" w:rsidP="00E85093">
      <w:pPr>
        <w:pStyle w:val="Bibliography"/>
        <w:rPr>
          <w:rFonts w:cs="Times New Roman"/>
          <w:sz w:val="22"/>
          <w:szCs w:val="22"/>
        </w:rPr>
      </w:pPr>
      <w:r w:rsidRPr="00E97BC8">
        <w:rPr>
          <w:rFonts w:cs="Times New Roman"/>
          <w:sz w:val="22"/>
          <w:szCs w:val="22"/>
        </w:rPr>
        <w:t>Tchetchik, A., Zvi, L.I., Kaplan, S., Blass, V., 2020. The Joint Effects of Driving Hedonism and Trialability on the Choice Between Internal Combustion Engine, Hybrid, and Electric Vehicles. Technological Forecasting and Social Change 151. https://doi.org/10.1016/j.techfore.2019.119815</w:t>
      </w:r>
    </w:p>
    <w:p w14:paraId="5580F7C6" w14:textId="77777777" w:rsidR="00BA744D" w:rsidRPr="00E97BC8" w:rsidRDefault="00BA744D" w:rsidP="00E85093">
      <w:pPr>
        <w:pStyle w:val="Bibliography"/>
        <w:rPr>
          <w:rFonts w:cs="Times New Roman"/>
          <w:sz w:val="22"/>
          <w:szCs w:val="22"/>
        </w:rPr>
      </w:pPr>
      <w:r w:rsidRPr="00E97BC8">
        <w:rPr>
          <w:rFonts w:cs="Times New Roman"/>
          <w:sz w:val="22"/>
          <w:szCs w:val="22"/>
        </w:rPr>
        <w:t>Tu, J.-C., Yang, C., 2019. Key Factors Influencing Consumers’ Purchase of Electric Vehicles. Sustainability 11. https://doi.org/10.3390/su11143863</w:t>
      </w:r>
    </w:p>
    <w:p w14:paraId="4FAE3AD9" w14:textId="77777777" w:rsidR="00BA744D" w:rsidRPr="00E97BC8" w:rsidRDefault="00BA744D" w:rsidP="00E85093">
      <w:pPr>
        <w:pStyle w:val="Bibliography"/>
        <w:rPr>
          <w:rFonts w:cs="Times New Roman"/>
          <w:sz w:val="22"/>
          <w:szCs w:val="22"/>
        </w:rPr>
      </w:pPr>
      <w:r w:rsidRPr="00E97BC8">
        <w:rPr>
          <w:rFonts w:cs="Times New Roman"/>
          <w:sz w:val="22"/>
          <w:szCs w:val="22"/>
        </w:rPr>
        <w:t>U.S. Census Bureau, 2023. American Community Survey 2022 (5-Year Estimates).</w:t>
      </w:r>
    </w:p>
    <w:p w14:paraId="6A148174" w14:textId="77777777" w:rsidR="00BA744D" w:rsidRPr="00E97BC8" w:rsidRDefault="00BA744D" w:rsidP="00E85093">
      <w:pPr>
        <w:pStyle w:val="Bibliography"/>
        <w:rPr>
          <w:rFonts w:cs="Times New Roman"/>
          <w:sz w:val="22"/>
          <w:szCs w:val="22"/>
        </w:rPr>
      </w:pPr>
      <w:r w:rsidRPr="00E97BC8">
        <w:rPr>
          <w:rFonts w:cs="Times New Roman"/>
          <w:sz w:val="22"/>
          <w:szCs w:val="22"/>
        </w:rPr>
        <w:t>Vassileva, I., Campillo, J., 2017. Adoption Barriers for Electric Vehicles: Experiences from Early Adopters in Sweden. Energy 120, 632–641. https://doi.org/10.1016/j.energy.2016.11.119</w:t>
      </w:r>
    </w:p>
    <w:p w14:paraId="2FB72B30" w14:textId="77777777" w:rsidR="00BA744D" w:rsidRPr="00E97BC8" w:rsidRDefault="00BA744D" w:rsidP="00E85093">
      <w:pPr>
        <w:pStyle w:val="Bibliography"/>
        <w:rPr>
          <w:rFonts w:cs="Times New Roman"/>
          <w:sz w:val="22"/>
          <w:szCs w:val="22"/>
        </w:rPr>
      </w:pPr>
      <w:r w:rsidRPr="00E97BC8">
        <w:rPr>
          <w:rFonts w:cs="Times New Roman"/>
          <w:sz w:val="22"/>
          <w:szCs w:val="22"/>
        </w:rPr>
        <w:lastRenderedPageBreak/>
        <w:t>Venkatesh, V., Davis, F.D., 2000. A Theoretical Extension of the Technology Acceptance Model: Four Longitudinal Field Studies. Management Science 46, 186–204. https://doi.org/10.1287/mnsc.46.2.186.11926</w:t>
      </w:r>
    </w:p>
    <w:p w14:paraId="2100A76E" w14:textId="77777777" w:rsidR="00BA744D" w:rsidRPr="00E97BC8" w:rsidRDefault="00BA744D" w:rsidP="00E85093">
      <w:pPr>
        <w:pStyle w:val="Bibliography"/>
        <w:rPr>
          <w:rFonts w:cs="Times New Roman"/>
          <w:sz w:val="22"/>
          <w:szCs w:val="22"/>
        </w:rPr>
      </w:pPr>
      <w:r w:rsidRPr="00E97BC8">
        <w:rPr>
          <w:rFonts w:cs="Times New Roman"/>
          <w:sz w:val="22"/>
          <w:szCs w:val="22"/>
        </w:rPr>
        <w:t>Wang, W., Eldeeb, G., Mohammed, M., 2022. Profiling Electric Vehicles Potential Markets Through a Stated Adaptation Design Space Game. Transportation Research Part D: Transport and Environment 113. https://doi.org/10.1016/j.trd.2022.103507</w:t>
      </w:r>
    </w:p>
    <w:p w14:paraId="3123FC61" w14:textId="77777777" w:rsidR="00BA744D" w:rsidRPr="00E97BC8" w:rsidRDefault="00BA744D" w:rsidP="00E85093">
      <w:pPr>
        <w:pStyle w:val="Bibliography"/>
        <w:rPr>
          <w:rFonts w:cs="Times New Roman"/>
          <w:sz w:val="22"/>
          <w:szCs w:val="22"/>
        </w:rPr>
      </w:pPr>
      <w:r w:rsidRPr="00E97BC8">
        <w:rPr>
          <w:rFonts w:cs="Times New Roman"/>
          <w:sz w:val="22"/>
          <w:szCs w:val="22"/>
        </w:rPr>
        <w:t>Wang, X.-W., Cao, Y.-M., Zhang, N., 2021. The Influences of Incentive Policy Perceptions and Consumer Social Attributes on Battery Electric Vehicle Purchase Intentions. Energy Policy 151. https://doi.org/10.1016/j.enpol.2021.112163</w:t>
      </w:r>
    </w:p>
    <w:p w14:paraId="4C95F1C6" w14:textId="77777777" w:rsidR="00BA744D" w:rsidRPr="00E97BC8" w:rsidRDefault="00BA744D" w:rsidP="00E85093">
      <w:pPr>
        <w:pStyle w:val="Bibliography"/>
        <w:rPr>
          <w:rFonts w:cs="Times New Roman"/>
          <w:sz w:val="22"/>
          <w:szCs w:val="22"/>
        </w:rPr>
      </w:pPr>
      <w:r w:rsidRPr="00E97BC8">
        <w:rPr>
          <w:rFonts w:cs="Times New Roman"/>
          <w:sz w:val="22"/>
          <w:szCs w:val="22"/>
        </w:rPr>
        <w:t>Warschauer, M., Knobel, M., Stone, L., 2004. Technology and Equity in Schooling: Deconstructing the Digital Divide. Educational Policy 18, 562–588. https://doi.org/10.1177/0895904804266469</w:t>
      </w:r>
    </w:p>
    <w:p w14:paraId="2F691F48" w14:textId="77777777" w:rsidR="00BA744D" w:rsidRPr="00E97BC8" w:rsidRDefault="00BA744D" w:rsidP="00E85093">
      <w:pPr>
        <w:pStyle w:val="Bibliography"/>
        <w:rPr>
          <w:rFonts w:cs="Times New Roman"/>
          <w:sz w:val="22"/>
          <w:szCs w:val="22"/>
        </w:rPr>
      </w:pPr>
      <w:r w:rsidRPr="00E97BC8">
        <w:rPr>
          <w:rFonts w:cs="Times New Roman"/>
          <w:sz w:val="22"/>
          <w:szCs w:val="22"/>
        </w:rPr>
        <w:t>Wasserstein, R.L., Lazar, N.A., 2016. The ASA Statement on P-Values: Context, Process, and Purpose. The American Statistician 70, 129–133. https://doi.org/10.1080/00031305.2016.1154108</w:t>
      </w:r>
    </w:p>
    <w:p w14:paraId="6EE1EBA3" w14:textId="77777777" w:rsidR="00BA744D" w:rsidRPr="00E97BC8" w:rsidRDefault="00BA744D" w:rsidP="00E85093">
      <w:pPr>
        <w:pStyle w:val="Bibliography"/>
        <w:rPr>
          <w:rFonts w:cs="Times New Roman"/>
          <w:sz w:val="22"/>
          <w:szCs w:val="22"/>
        </w:rPr>
      </w:pPr>
      <w:r w:rsidRPr="00E97BC8">
        <w:rPr>
          <w:rFonts w:cs="Times New Roman"/>
          <w:sz w:val="22"/>
          <w:szCs w:val="22"/>
        </w:rPr>
        <w:t>Wasserstein, R.L., Schirm, A.L., Lazar, N.A., 2019. Moving to a World Beyond “p &lt; 0.05.” The American Statistician 73, 1–19. https://doi.org/10.1080/00031305.2019.1583913</w:t>
      </w:r>
    </w:p>
    <w:p w14:paraId="6C19CE4A" w14:textId="77777777" w:rsidR="00BA744D" w:rsidRPr="00E97BC8" w:rsidRDefault="00BA744D" w:rsidP="00E85093">
      <w:pPr>
        <w:pStyle w:val="Bibliography"/>
        <w:rPr>
          <w:rFonts w:cs="Times New Roman"/>
          <w:sz w:val="22"/>
          <w:szCs w:val="22"/>
        </w:rPr>
      </w:pPr>
      <w:r w:rsidRPr="00E97BC8">
        <w:rPr>
          <w:rFonts w:cs="Times New Roman"/>
          <w:sz w:val="22"/>
          <w:szCs w:val="22"/>
        </w:rPr>
        <w:t>Wee, S., Coffman, M., La Croix, S., 2018. Do Electric Vehicle Incentives Matter? Evidence from the 50 U.S. States. Research Policy 47, 1601–1610. https://doi.org/10.1016/j.respol.2018.05.003</w:t>
      </w:r>
    </w:p>
    <w:p w14:paraId="350BD350" w14:textId="77777777" w:rsidR="00BA744D" w:rsidRPr="00E97BC8" w:rsidRDefault="00BA744D" w:rsidP="00E85093">
      <w:pPr>
        <w:pStyle w:val="Bibliography"/>
        <w:rPr>
          <w:rFonts w:cs="Times New Roman"/>
          <w:sz w:val="22"/>
          <w:szCs w:val="22"/>
        </w:rPr>
      </w:pPr>
      <w:r w:rsidRPr="00E97BC8">
        <w:rPr>
          <w:rFonts w:cs="Times New Roman"/>
          <w:sz w:val="22"/>
          <w:szCs w:val="22"/>
        </w:rPr>
        <w:t>White, L.V., Carrel, A.L., Shi, W., Sintov, N.D., 2022. Why Are Charging Stations Associated with Electric Vehicle Adoption? Untangling Effects in Three United States Metropolitan Areas. Energy Research &amp; Social Science 89. https://doi.org/10.1016/j.erss.2022.102663</w:t>
      </w:r>
    </w:p>
    <w:p w14:paraId="21B6633B" w14:textId="77777777" w:rsidR="00BA744D" w:rsidRPr="00E97BC8" w:rsidRDefault="00BA744D" w:rsidP="00E85093">
      <w:pPr>
        <w:pStyle w:val="Bibliography"/>
        <w:rPr>
          <w:rFonts w:cs="Times New Roman"/>
          <w:sz w:val="22"/>
          <w:szCs w:val="22"/>
        </w:rPr>
      </w:pPr>
      <w:r w:rsidRPr="00E97BC8">
        <w:rPr>
          <w:rFonts w:cs="Times New Roman"/>
          <w:sz w:val="22"/>
          <w:szCs w:val="22"/>
        </w:rPr>
        <w:t>Wolbertus, R., Kroesen, M., van den Hoed, R., Chorus, C.G., 2018. Policy Effects on Charging Behaviour of Electric Vehicle Owners and on Purchase Intentions of Prospective Owners: Natural and Stated Choice Experiments. Transportation Research Part D: Transport and Environment 62, 283–297. https://doi.org/10.1016/j.trd.2018.03.012</w:t>
      </w:r>
    </w:p>
    <w:p w14:paraId="6D0986A1" w14:textId="77777777" w:rsidR="00BA744D" w:rsidRPr="00E97BC8" w:rsidRDefault="00BA744D" w:rsidP="00E85093">
      <w:pPr>
        <w:pStyle w:val="Bibliography"/>
        <w:rPr>
          <w:rFonts w:cs="Times New Roman"/>
          <w:sz w:val="22"/>
          <w:szCs w:val="22"/>
        </w:rPr>
      </w:pPr>
      <w:r w:rsidRPr="00E97BC8">
        <w:rPr>
          <w:rFonts w:cs="Times New Roman"/>
          <w:sz w:val="22"/>
          <w:szCs w:val="22"/>
        </w:rPr>
        <w:t>Wooldridge, J.M., 1995. Selection Corrections for Panel Data Models Under Conditional Mean Independence Assumptions. Journal of Econometrics 68, 115–132. https://doi.org/10.1016/0304-4076(94)01645-G</w:t>
      </w:r>
    </w:p>
    <w:p w14:paraId="217EB12C" w14:textId="77777777" w:rsidR="00BA744D" w:rsidRPr="00E97BC8" w:rsidRDefault="00BA744D" w:rsidP="00E85093">
      <w:pPr>
        <w:pStyle w:val="Bibliography"/>
        <w:rPr>
          <w:rFonts w:cs="Times New Roman"/>
          <w:sz w:val="22"/>
          <w:szCs w:val="22"/>
        </w:rPr>
      </w:pPr>
      <w:r w:rsidRPr="00E97BC8">
        <w:rPr>
          <w:rFonts w:cs="Times New Roman"/>
          <w:sz w:val="22"/>
          <w:szCs w:val="22"/>
        </w:rPr>
        <w:t>Xia, Z., Wu, D., Zhang, L., 2022. Economic, Functional, and Social Factors Influencing Electric Vehicles’ Adoption: An Empirical Study Based on the Diffusion of Innovation Theory. Sustainability 14. https://doi.org/10.3390/su14106283</w:t>
      </w:r>
    </w:p>
    <w:p w14:paraId="145FA101" w14:textId="77777777" w:rsidR="00BA744D" w:rsidRPr="00E97BC8" w:rsidRDefault="00BA744D" w:rsidP="00E85093">
      <w:pPr>
        <w:pStyle w:val="Bibliography"/>
        <w:rPr>
          <w:rFonts w:cs="Times New Roman"/>
          <w:sz w:val="22"/>
          <w:szCs w:val="22"/>
        </w:rPr>
      </w:pPr>
      <w:r w:rsidRPr="00E97BC8">
        <w:rPr>
          <w:rFonts w:cs="Times New Roman"/>
          <w:sz w:val="22"/>
          <w:szCs w:val="22"/>
        </w:rPr>
        <w:t>Xue, C., Zhou, H., Wu, Q., Wu, X., Xu, X., 2021. Impact of Incentive Policies and Other Socio-Economic Factors on Electric Vehicle Market Share: A Panel Data Analysis from the 20 Countries. Sustainability 13. https://doi.org/10.3390/su13052928</w:t>
      </w:r>
    </w:p>
    <w:p w14:paraId="33B069CC" w14:textId="77777777" w:rsidR="00BA744D" w:rsidRPr="00E97BC8" w:rsidRDefault="00BA744D" w:rsidP="00E85093">
      <w:pPr>
        <w:pStyle w:val="Bibliography"/>
        <w:rPr>
          <w:rFonts w:cs="Times New Roman"/>
          <w:sz w:val="22"/>
          <w:szCs w:val="22"/>
        </w:rPr>
      </w:pPr>
      <w:r w:rsidRPr="00E97BC8">
        <w:rPr>
          <w:rFonts w:cs="Times New Roman"/>
          <w:sz w:val="22"/>
          <w:szCs w:val="22"/>
        </w:rPr>
        <w:t>Yang, A., Liu, C., Yang, D., Lu, C., 2023. Electric Vehicle Adoption in a Mature Market: A Case Study of Norway. Journal of Transport Geography 106. https://doi.org/10.1016/j.jtrangeo.2022.103489</w:t>
      </w:r>
    </w:p>
    <w:p w14:paraId="11D78710" w14:textId="77777777" w:rsidR="00BA744D" w:rsidRPr="00E97BC8" w:rsidRDefault="00BA744D" w:rsidP="00E85093">
      <w:pPr>
        <w:pStyle w:val="Bibliography"/>
        <w:rPr>
          <w:rFonts w:cs="Times New Roman"/>
          <w:sz w:val="22"/>
          <w:szCs w:val="22"/>
        </w:rPr>
      </w:pPr>
      <w:r w:rsidRPr="00E97BC8">
        <w:rPr>
          <w:rFonts w:cs="Times New Roman"/>
          <w:sz w:val="22"/>
          <w:szCs w:val="22"/>
        </w:rPr>
        <w:t>YouGov, 2022. YouGov Market Research and Data Analytics.</w:t>
      </w:r>
    </w:p>
    <w:p w14:paraId="14651D06" w14:textId="77777777" w:rsidR="00BA744D" w:rsidRPr="00E97BC8" w:rsidRDefault="00BA744D" w:rsidP="00E85093">
      <w:pPr>
        <w:pStyle w:val="Bibliography"/>
        <w:rPr>
          <w:rFonts w:cs="Times New Roman"/>
          <w:sz w:val="22"/>
          <w:szCs w:val="22"/>
        </w:rPr>
      </w:pPr>
      <w:r w:rsidRPr="00E97BC8">
        <w:rPr>
          <w:rFonts w:cs="Times New Roman"/>
          <w:sz w:val="22"/>
          <w:szCs w:val="22"/>
        </w:rPr>
        <w:t>Zhang, W., Wang, S., Wan, L., Zhang, Z., Zhao, D., 2022. Information Perspective for Understanding Consumers’ Perceptions of Electric Vehicles and Adoption Intentions. Transportation Research Part D: Transport and Environment 102. https://doi.org/10.1016/j.trd.2021.103157</w:t>
      </w:r>
    </w:p>
    <w:p w14:paraId="0617291A" w14:textId="77777777" w:rsidR="00BA744D" w:rsidRPr="00E97BC8" w:rsidRDefault="00BA744D" w:rsidP="00E85093">
      <w:pPr>
        <w:pStyle w:val="Bibliography"/>
        <w:rPr>
          <w:rFonts w:cs="Times New Roman"/>
          <w:sz w:val="22"/>
          <w:szCs w:val="22"/>
        </w:rPr>
      </w:pPr>
      <w:r w:rsidRPr="00E97BC8">
        <w:rPr>
          <w:rFonts w:cs="Times New Roman"/>
          <w:sz w:val="22"/>
          <w:szCs w:val="22"/>
        </w:rPr>
        <w:t>Zhang, X., Bai, X., Shang, J., 2018. Is Subsidized Electric Vehicles Adoption Sustainable: Consumers’ Perceptions and Motivation Toward Incentive Policies, Environmental Benefits, and Risks. Journal of Cleaner Production 192, 71–79. https://doi.org/10.1016/j.jclepro.2018.04.252</w:t>
      </w:r>
    </w:p>
    <w:p w14:paraId="41908D95" w14:textId="77777777" w:rsidR="00BA744D" w:rsidRPr="00E97BC8" w:rsidRDefault="00BA744D" w:rsidP="00E85093">
      <w:pPr>
        <w:pStyle w:val="Bibliography"/>
        <w:rPr>
          <w:rFonts w:cs="Times New Roman"/>
          <w:sz w:val="22"/>
          <w:szCs w:val="22"/>
        </w:rPr>
      </w:pPr>
      <w:r w:rsidRPr="00E97BC8">
        <w:rPr>
          <w:rFonts w:cs="Times New Roman"/>
          <w:sz w:val="22"/>
          <w:szCs w:val="22"/>
        </w:rPr>
        <w:t>Ziefle, M., Beul-Leusmann, S., Kasugai, K., Schwalm, M., 2014. Public Perception and Acceptance of Electric Vehicles: Exploring Users’ Perceived Benefits and Drawbacks, in: Marcus, A. (Ed.), Design, User Experience, and Usability. User Experience Design for Everyday Life Applications and Services, Lecture Notes in Computer Science. Springer International Publishing, pp. 628–639. https://doi.org/10.1007/978-3-319-07635-5_60</w:t>
      </w:r>
    </w:p>
    <w:p w14:paraId="61945D60" w14:textId="77777777" w:rsidR="00BA744D" w:rsidRPr="00E97BC8" w:rsidRDefault="00BA744D" w:rsidP="00E85093">
      <w:pPr>
        <w:pStyle w:val="Bibliography"/>
        <w:rPr>
          <w:rFonts w:cs="Times New Roman"/>
          <w:sz w:val="22"/>
          <w:szCs w:val="22"/>
        </w:rPr>
      </w:pPr>
      <w:r w:rsidRPr="00E97BC8">
        <w:rPr>
          <w:rFonts w:cs="Times New Roman"/>
          <w:sz w:val="22"/>
          <w:szCs w:val="22"/>
        </w:rPr>
        <w:t>Zou, J., Kamarudin, K.M., Liu, J., Zhang, J., 2024. Towards Sustainable Mobility: Determinants of Intention to Purchase Used Electric Vehicles in China. Sustainability 16, 8588. https://doi.org/10.3390/su16198588</w:t>
      </w:r>
    </w:p>
    <w:p w14:paraId="3145A489" w14:textId="01AEFA21" w:rsidR="007472E5" w:rsidRPr="00E97BC8" w:rsidRDefault="005C6CDF" w:rsidP="00E85093">
      <w:pPr>
        <w:spacing w:after="0" w:line="240" w:lineRule="auto"/>
        <w:jc w:val="both"/>
        <w:rPr>
          <w:rFonts w:cs="Times New Roman"/>
          <w:sz w:val="22"/>
          <w:szCs w:val="22"/>
        </w:rPr>
      </w:pPr>
      <w:r w:rsidRPr="00E97BC8">
        <w:rPr>
          <w:rFonts w:cs="Times New Roman"/>
          <w:sz w:val="22"/>
          <w:szCs w:val="22"/>
        </w:rPr>
        <w:fldChar w:fldCharType="end"/>
      </w:r>
    </w:p>
    <w:p w14:paraId="79B5D982" w14:textId="0B44555A" w:rsidR="00F014AC" w:rsidRPr="00D309F4" w:rsidRDefault="004246F3" w:rsidP="00264D08">
      <w:pPr>
        <w:spacing w:after="0" w:line="240" w:lineRule="auto"/>
        <w:jc w:val="both"/>
        <w:rPr>
          <w:rFonts w:cs="Times New Roman"/>
          <w:b/>
          <w:bCs/>
          <w:sz w:val="22"/>
          <w:szCs w:val="22"/>
        </w:rPr>
      </w:pPr>
      <w:r w:rsidRPr="00D309F4">
        <w:rPr>
          <w:rFonts w:cs="Times New Roman"/>
          <w:b/>
          <w:bCs/>
          <w:sz w:val="22"/>
          <w:szCs w:val="22"/>
        </w:rPr>
        <w:lastRenderedPageBreak/>
        <w:t xml:space="preserve">Table </w:t>
      </w:r>
      <w:r w:rsidR="006E624D" w:rsidRPr="00D309F4">
        <w:rPr>
          <w:rFonts w:cs="Times New Roman"/>
          <w:b/>
          <w:bCs/>
          <w:sz w:val="22"/>
          <w:szCs w:val="22"/>
        </w:rPr>
        <w:t>1</w:t>
      </w:r>
      <w:r w:rsidRPr="00D309F4">
        <w:rPr>
          <w:rFonts w:cs="Times New Roman"/>
          <w:b/>
          <w:bCs/>
          <w:sz w:val="22"/>
          <w:szCs w:val="22"/>
        </w:rPr>
        <w:t xml:space="preserve">: Descriptive Statistics of Exogenous Variables </w:t>
      </w:r>
    </w:p>
    <w:p w14:paraId="01BDAB67" w14:textId="77777777" w:rsidR="00F014AC" w:rsidRPr="00D309F4" w:rsidRDefault="00F014AC" w:rsidP="00264D08">
      <w:pPr>
        <w:spacing w:after="0" w:line="240" w:lineRule="auto"/>
        <w:jc w:val="both"/>
        <w:rPr>
          <w:rFonts w:cs="Times New Roman"/>
          <w:b/>
          <w:bCs/>
          <w:sz w:val="22"/>
          <w:szCs w:val="22"/>
        </w:rPr>
      </w:pPr>
    </w:p>
    <w:tbl>
      <w:tblPr>
        <w:tblW w:w="9501" w:type="dxa"/>
        <w:jc w:val="center"/>
        <w:tblBorders>
          <w:top w:val="single" w:sz="8" w:space="0" w:color="auto"/>
          <w:left w:val="single" w:sz="8" w:space="0" w:color="auto"/>
          <w:bottom w:val="single" w:sz="8" w:space="0" w:color="auto"/>
          <w:right w:val="single" w:sz="8" w:space="0" w:color="auto"/>
        </w:tblBorders>
        <w:tblCellMar>
          <w:left w:w="86" w:type="dxa"/>
          <w:right w:w="29" w:type="dxa"/>
        </w:tblCellMar>
        <w:tblLook w:val="0480" w:firstRow="0" w:lastRow="0" w:firstColumn="1" w:lastColumn="0" w:noHBand="0" w:noVBand="1"/>
      </w:tblPr>
      <w:tblGrid>
        <w:gridCol w:w="1777"/>
        <w:gridCol w:w="810"/>
        <w:gridCol w:w="900"/>
        <w:gridCol w:w="801"/>
        <w:gridCol w:w="2709"/>
        <w:gridCol w:w="857"/>
        <w:gridCol w:w="771"/>
        <w:gridCol w:w="876"/>
      </w:tblGrid>
      <w:tr w:rsidR="00070362" w:rsidRPr="00D309F4" w14:paraId="05DBE957" w14:textId="77777777" w:rsidTr="00FD20AC">
        <w:trPr>
          <w:trHeight w:val="20"/>
          <w:jc w:val="center"/>
        </w:trPr>
        <w:tc>
          <w:tcPr>
            <w:tcW w:w="1777" w:type="dxa"/>
            <w:tcBorders>
              <w:top w:val="single" w:sz="18" w:space="0" w:color="auto"/>
              <w:left w:val="single" w:sz="18" w:space="0" w:color="auto"/>
              <w:bottom w:val="single" w:sz="18" w:space="0" w:color="auto"/>
            </w:tcBorders>
            <w:shd w:val="clear" w:color="000000" w:fill="FFFFFF"/>
            <w:noWrap/>
            <w:vAlign w:val="center"/>
            <w:hideMark/>
          </w:tcPr>
          <w:p w14:paraId="2EA45CE4" w14:textId="1F2AB56F"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Variable</w:t>
            </w:r>
          </w:p>
        </w:tc>
        <w:tc>
          <w:tcPr>
            <w:tcW w:w="810" w:type="dxa"/>
            <w:tcBorders>
              <w:top w:val="single" w:sz="18" w:space="0" w:color="auto"/>
              <w:bottom w:val="single" w:sz="18" w:space="0" w:color="auto"/>
            </w:tcBorders>
            <w:shd w:val="clear" w:color="000000" w:fill="FFFFFF"/>
            <w:noWrap/>
            <w:vAlign w:val="center"/>
            <w:hideMark/>
          </w:tcPr>
          <w:p w14:paraId="728C60A1" w14:textId="1A95932A"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Sample Count</w:t>
            </w:r>
          </w:p>
        </w:tc>
        <w:tc>
          <w:tcPr>
            <w:tcW w:w="900" w:type="dxa"/>
            <w:tcBorders>
              <w:top w:val="single" w:sz="18" w:space="0" w:color="auto"/>
              <w:bottom w:val="single" w:sz="18" w:space="0" w:color="auto"/>
            </w:tcBorders>
            <w:shd w:val="clear" w:color="000000" w:fill="FFFFFF"/>
            <w:vAlign w:val="center"/>
          </w:tcPr>
          <w:p w14:paraId="1D335CFC" w14:textId="287E614D"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Sample Percent</w:t>
            </w:r>
          </w:p>
        </w:tc>
        <w:tc>
          <w:tcPr>
            <w:tcW w:w="801" w:type="dxa"/>
            <w:tcBorders>
              <w:top w:val="single" w:sz="18" w:space="0" w:color="auto"/>
              <w:bottom w:val="single" w:sz="18" w:space="0" w:color="auto"/>
              <w:right w:val="single" w:sz="18" w:space="0" w:color="auto"/>
            </w:tcBorders>
            <w:shd w:val="clear" w:color="000000" w:fill="FFFFFF"/>
            <w:noWrap/>
            <w:vAlign w:val="center"/>
            <w:hideMark/>
          </w:tcPr>
          <w:p w14:paraId="0E63FD79" w14:textId="18AEEF87"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ACS Percent</w:t>
            </w:r>
          </w:p>
        </w:tc>
        <w:tc>
          <w:tcPr>
            <w:tcW w:w="2709" w:type="dxa"/>
            <w:tcBorders>
              <w:top w:val="single" w:sz="18" w:space="0" w:color="auto"/>
              <w:left w:val="single" w:sz="18" w:space="0" w:color="auto"/>
              <w:bottom w:val="single" w:sz="18" w:space="0" w:color="auto"/>
            </w:tcBorders>
            <w:shd w:val="clear" w:color="000000" w:fill="FFFFFF"/>
            <w:noWrap/>
            <w:vAlign w:val="center"/>
            <w:hideMark/>
          </w:tcPr>
          <w:p w14:paraId="2CFFBD89" w14:textId="447F367F"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Variable</w:t>
            </w:r>
          </w:p>
        </w:tc>
        <w:tc>
          <w:tcPr>
            <w:tcW w:w="857" w:type="dxa"/>
            <w:tcBorders>
              <w:top w:val="single" w:sz="18" w:space="0" w:color="auto"/>
              <w:bottom w:val="single" w:sz="18" w:space="0" w:color="auto"/>
            </w:tcBorders>
            <w:shd w:val="clear" w:color="000000" w:fill="FFFFFF"/>
            <w:noWrap/>
            <w:vAlign w:val="center"/>
            <w:hideMark/>
          </w:tcPr>
          <w:p w14:paraId="6A16FB8C" w14:textId="197EFC8B"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Sample Count</w:t>
            </w:r>
          </w:p>
        </w:tc>
        <w:tc>
          <w:tcPr>
            <w:tcW w:w="771" w:type="dxa"/>
            <w:tcBorders>
              <w:top w:val="single" w:sz="18" w:space="0" w:color="auto"/>
              <w:bottom w:val="single" w:sz="18" w:space="0" w:color="auto"/>
            </w:tcBorders>
            <w:shd w:val="clear" w:color="000000" w:fill="FFFFFF"/>
            <w:vAlign w:val="center"/>
          </w:tcPr>
          <w:p w14:paraId="0E862C7E" w14:textId="700286D3"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Sample Percent</w:t>
            </w:r>
          </w:p>
        </w:tc>
        <w:tc>
          <w:tcPr>
            <w:tcW w:w="876" w:type="dxa"/>
            <w:tcBorders>
              <w:top w:val="single" w:sz="18" w:space="0" w:color="auto"/>
              <w:bottom w:val="single" w:sz="18" w:space="0" w:color="auto"/>
              <w:right w:val="single" w:sz="18" w:space="0" w:color="auto"/>
            </w:tcBorders>
            <w:shd w:val="clear" w:color="000000" w:fill="FFFFFF"/>
            <w:noWrap/>
            <w:vAlign w:val="center"/>
            <w:hideMark/>
          </w:tcPr>
          <w:p w14:paraId="0EBD0E57" w14:textId="20F53A43" w:rsidR="008E0C96" w:rsidRPr="00D309F4" w:rsidRDefault="008E0C96" w:rsidP="006F416B">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ACS Percent</w:t>
            </w:r>
          </w:p>
        </w:tc>
      </w:tr>
      <w:tr w:rsidR="00070362" w:rsidRPr="00D309F4" w14:paraId="0F9FA2E4" w14:textId="77777777" w:rsidTr="00FD20AC">
        <w:trPr>
          <w:trHeight w:val="20"/>
          <w:jc w:val="center"/>
        </w:trPr>
        <w:tc>
          <w:tcPr>
            <w:tcW w:w="9497" w:type="dxa"/>
            <w:gridSpan w:val="8"/>
            <w:tcBorders>
              <w:top w:val="single" w:sz="18" w:space="0" w:color="auto"/>
              <w:left w:val="single" w:sz="18" w:space="0" w:color="auto"/>
              <w:bottom w:val="single" w:sz="18" w:space="0" w:color="auto"/>
              <w:right w:val="single" w:sz="18" w:space="0" w:color="auto"/>
            </w:tcBorders>
            <w:shd w:val="clear" w:color="000000" w:fill="FFFFFF"/>
          </w:tcPr>
          <w:p w14:paraId="609357E4" w14:textId="08677417" w:rsidR="008E0C96" w:rsidRPr="00D309F4" w:rsidRDefault="008E0C96" w:rsidP="008F1E41">
            <w:pPr>
              <w:spacing w:after="0" w:line="240" w:lineRule="auto"/>
              <w:jc w:val="center"/>
              <w:rPr>
                <w:rFonts w:eastAsia="Times New Roman" w:cs="Times New Roman"/>
                <w:i/>
                <w:iCs/>
                <w:kern w:val="0"/>
                <w:sz w:val="20"/>
                <w:szCs w:val="20"/>
                <w14:ligatures w14:val="none"/>
              </w:rPr>
            </w:pPr>
            <w:r w:rsidRPr="00D309F4">
              <w:rPr>
                <w:rFonts w:eastAsia="Times New Roman" w:cs="Times New Roman"/>
                <w:i/>
                <w:iCs/>
                <w:kern w:val="0"/>
                <w:sz w:val="20"/>
                <w:szCs w:val="20"/>
                <w14:ligatures w14:val="none"/>
              </w:rPr>
              <w:t>Individual Demographics</w:t>
            </w:r>
          </w:p>
        </w:tc>
      </w:tr>
      <w:tr w:rsidR="00070362" w:rsidRPr="00D309F4" w14:paraId="3BBC6754" w14:textId="77777777" w:rsidTr="00FD20AC">
        <w:trPr>
          <w:trHeight w:val="20"/>
          <w:jc w:val="center"/>
        </w:trPr>
        <w:tc>
          <w:tcPr>
            <w:tcW w:w="1777" w:type="dxa"/>
            <w:tcBorders>
              <w:top w:val="single" w:sz="18" w:space="0" w:color="auto"/>
              <w:left w:val="single" w:sz="18" w:space="0" w:color="auto"/>
              <w:bottom w:val="nil"/>
            </w:tcBorders>
            <w:shd w:val="clear" w:color="000000" w:fill="FFFFFF"/>
            <w:noWrap/>
            <w:vAlign w:val="center"/>
            <w:hideMark/>
          </w:tcPr>
          <w:p w14:paraId="7A38CF3B" w14:textId="77777777" w:rsidR="008E0C96" w:rsidRPr="00D309F4" w:rsidRDefault="008E0C96" w:rsidP="008F1E41">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Age</w:t>
            </w:r>
          </w:p>
        </w:tc>
        <w:tc>
          <w:tcPr>
            <w:tcW w:w="810" w:type="dxa"/>
            <w:tcBorders>
              <w:top w:val="single" w:sz="18" w:space="0" w:color="auto"/>
              <w:bottom w:val="nil"/>
            </w:tcBorders>
            <w:shd w:val="clear" w:color="000000" w:fill="FFFFFF"/>
            <w:noWrap/>
            <w:vAlign w:val="center"/>
            <w:hideMark/>
          </w:tcPr>
          <w:p w14:paraId="7072F26E" w14:textId="5F5A7170"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900" w:type="dxa"/>
            <w:tcBorders>
              <w:top w:val="single" w:sz="18" w:space="0" w:color="auto"/>
              <w:bottom w:val="nil"/>
            </w:tcBorders>
            <w:shd w:val="clear" w:color="000000" w:fill="FFFFFF"/>
          </w:tcPr>
          <w:p w14:paraId="4AFE66DE" w14:textId="77777777"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801" w:type="dxa"/>
            <w:tcBorders>
              <w:top w:val="single" w:sz="18" w:space="0" w:color="auto"/>
              <w:bottom w:val="nil"/>
              <w:right w:val="single" w:sz="18" w:space="0" w:color="auto"/>
            </w:tcBorders>
            <w:shd w:val="clear" w:color="000000" w:fill="FFFFFF"/>
            <w:noWrap/>
            <w:vAlign w:val="center"/>
            <w:hideMark/>
          </w:tcPr>
          <w:p w14:paraId="04CB6AAA" w14:textId="16F18816"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2709" w:type="dxa"/>
            <w:tcBorders>
              <w:top w:val="single" w:sz="18" w:space="0" w:color="auto"/>
              <w:left w:val="single" w:sz="18" w:space="0" w:color="auto"/>
            </w:tcBorders>
            <w:shd w:val="clear" w:color="000000" w:fill="FFFFFF"/>
            <w:noWrap/>
            <w:vAlign w:val="center"/>
            <w:hideMark/>
          </w:tcPr>
          <w:p w14:paraId="0AC7A340" w14:textId="77777777" w:rsidR="008E0C96" w:rsidRPr="00D309F4" w:rsidRDefault="008E0C96" w:rsidP="008F1E41">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Gender</w:t>
            </w:r>
          </w:p>
        </w:tc>
        <w:tc>
          <w:tcPr>
            <w:tcW w:w="857" w:type="dxa"/>
            <w:tcBorders>
              <w:top w:val="single" w:sz="18" w:space="0" w:color="auto"/>
            </w:tcBorders>
            <w:shd w:val="clear" w:color="000000" w:fill="FFFFFF"/>
            <w:noWrap/>
            <w:vAlign w:val="center"/>
            <w:hideMark/>
          </w:tcPr>
          <w:p w14:paraId="27CE772A" w14:textId="50885B60"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771" w:type="dxa"/>
            <w:tcBorders>
              <w:top w:val="single" w:sz="18" w:space="0" w:color="auto"/>
            </w:tcBorders>
            <w:shd w:val="clear" w:color="000000" w:fill="FFFFFF"/>
          </w:tcPr>
          <w:p w14:paraId="0DC81041" w14:textId="77777777"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876" w:type="dxa"/>
            <w:tcBorders>
              <w:top w:val="single" w:sz="18" w:space="0" w:color="auto"/>
              <w:right w:val="single" w:sz="18" w:space="0" w:color="auto"/>
            </w:tcBorders>
            <w:shd w:val="clear" w:color="000000" w:fill="FFFFFF"/>
            <w:noWrap/>
            <w:vAlign w:val="center"/>
            <w:hideMark/>
          </w:tcPr>
          <w:p w14:paraId="36BE407A" w14:textId="6F78F125" w:rsidR="008E0C96" w:rsidRPr="00D309F4" w:rsidRDefault="008E0C96" w:rsidP="009C4837">
            <w:pPr>
              <w:spacing w:after="0" w:line="240" w:lineRule="auto"/>
              <w:jc w:val="center"/>
              <w:rPr>
                <w:rFonts w:eastAsia="Times New Roman" w:cs="Times New Roman"/>
                <w:kern w:val="0"/>
                <w:sz w:val="20"/>
                <w:szCs w:val="20"/>
                <w14:ligatures w14:val="none"/>
              </w:rPr>
            </w:pPr>
          </w:p>
        </w:tc>
      </w:tr>
      <w:tr w:rsidR="00070362" w:rsidRPr="00D309F4" w14:paraId="43687D77"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45D4E7A5"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18-34</w:t>
            </w:r>
          </w:p>
        </w:tc>
        <w:tc>
          <w:tcPr>
            <w:tcW w:w="810" w:type="dxa"/>
            <w:tcBorders>
              <w:top w:val="nil"/>
              <w:bottom w:val="nil"/>
            </w:tcBorders>
            <w:shd w:val="clear" w:color="000000" w:fill="FFFFFF"/>
            <w:noWrap/>
            <w:vAlign w:val="center"/>
            <w:hideMark/>
          </w:tcPr>
          <w:p w14:paraId="13C76E86" w14:textId="7C77D7D0"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17</w:t>
            </w:r>
            <w:r w:rsidR="007F0605" w:rsidRPr="00D309F4">
              <w:rPr>
                <w:rFonts w:eastAsia="Times New Roman" w:cs="Times New Roman"/>
                <w:kern w:val="0"/>
                <w:sz w:val="20"/>
                <w:szCs w:val="20"/>
                <w14:ligatures w14:val="none"/>
              </w:rPr>
              <w:t>3</w:t>
            </w:r>
          </w:p>
        </w:tc>
        <w:tc>
          <w:tcPr>
            <w:tcW w:w="900" w:type="dxa"/>
            <w:tcBorders>
              <w:top w:val="nil"/>
              <w:bottom w:val="nil"/>
            </w:tcBorders>
            <w:shd w:val="clear" w:color="000000" w:fill="FFFFFF"/>
            <w:vAlign w:val="center"/>
          </w:tcPr>
          <w:p w14:paraId="6BA154B6" w14:textId="01478B8B"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15.</w:t>
            </w:r>
            <w:r w:rsidR="003A64E1" w:rsidRPr="00D309F4">
              <w:rPr>
                <w:rFonts w:eastAsia="Times New Roman" w:cs="Times New Roman"/>
                <w:kern w:val="0"/>
                <w:sz w:val="20"/>
                <w:szCs w:val="20"/>
                <w14:ligatures w14:val="none"/>
              </w:rPr>
              <w:t>8</w:t>
            </w:r>
          </w:p>
        </w:tc>
        <w:tc>
          <w:tcPr>
            <w:tcW w:w="801" w:type="dxa"/>
            <w:tcBorders>
              <w:top w:val="nil"/>
              <w:bottom w:val="nil"/>
              <w:right w:val="single" w:sz="18" w:space="0" w:color="auto"/>
            </w:tcBorders>
            <w:shd w:val="clear" w:color="000000" w:fill="FFFFFF"/>
            <w:noWrap/>
            <w:vAlign w:val="center"/>
          </w:tcPr>
          <w:p w14:paraId="64E7CC64" w14:textId="38A18866" w:rsidR="00207729" w:rsidRPr="00D309F4" w:rsidRDefault="00207729"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34.5</w:t>
            </w:r>
          </w:p>
        </w:tc>
        <w:tc>
          <w:tcPr>
            <w:tcW w:w="2709" w:type="dxa"/>
            <w:tcBorders>
              <w:left w:val="single" w:sz="18" w:space="0" w:color="auto"/>
            </w:tcBorders>
            <w:shd w:val="clear" w:color="000000" w:fill="FFFFFF"/>
            <w:noWrap/>
            <w:vAlign w:val="center"/>
            <w:hideMark/>
          </w:tcPr>
          <w:p w14:paraId="2B98FDA2" w14:textId="49112A3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Male</w:t>
            </w:r>
          </w:p>
        </w:tc>
        <w:tc>
          <w:tcPr>
            <w:tcW w:w="857" w:type="dxa"/>
            <w:shd w:val="clear" w:color="000000" w:fill="FFFFFF"/>
            <w:noWrap/>
            <w:vAlign w:val="center"/>
            <w:hideMark/>
          </w:tcPr>
          <w:p w14:paraId="2746F982" w14:textId="1EEF5057"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63</w:t>
            </w:r>
            <w:r w:rsidR="00655B53" w:rsidRPr="00D309F4">
              <w:rPr>
                <w:rFonts w:eastAsia="Times New Roman" w:cs="Times New Roman"/>
                <w:kern w:val="0"/>
                <w:sz w:val="20"/>
                <w:szCs w:val="20"/>
                <w14:ligatures w14:val="none"/>
              </w:rPr>
              <w:t>0</w:t>
            </w:r>
          </w:p>
        </w:tc>
        <w:tc>
          <w:tcPr>
            <w:tcW w:w="771" w:type="dxa"/>
            <w:shd w:val="clear" w:color="000000" w:fill="FFFFFF"/>
            <w:vAlign w:val="center"/>
          </w:tcPr>
          <w:p w14:paraId="5EA8E747" w14:textId="32C2A274"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57.</w:t>
            </w:r>
            <w:r w:rsidR="00856282" w:rsidRPr="00D309F4">
              <w:rPr>
                <w:rFonts w:eastAsia="Times New Roman" w:cs="Times New Roman"/>
                <w:kern w:val="0"/>
                <w:sz w:val="20"/>
                <w:szCs w:val="20"/>
                <w14:ligatures w14:val="none"/>
              </w:rPr>
              <w:t>4</w:t>
            </w:r>
          </w:p>
        </w:tc>
        <w:tc>
          <w:tcPr>
            <w:tcW w:w="876" w:type="dxa"/>
            <w:tcBorders>
              <w:right w:val="single" w:sz="18" w:space="0" w:color="auto"/>
            </w:tcBorders>
            <w:shd w:val="clear" w:color="000000" w:fill="FFFFFF"/>
            <w:noWrap/>
            <w:vAlign w:val="center"/>
          </w:tcPr>
          <w:p w14:paraId="68DEB8E8" w14:textId="6673B015" w:rsidR="008E0C96" w:rsidRPr="00D309F4" w:rsidRDefault="004200EB"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50.1</w:t>
            </w:r>
          </w:p>
        </w:tc>
      </w:tr>
      <w:tr w:rsidR="00070362" w:rsidRPr="00D309F4" w14:paraId="6075A169"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1AA20843"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35-49</w:t>
            </w:r>
          </w:p>
        </w:tc>
        <w:tc>
          <w:tcPr>
            <w:tcW w:w="810" w:type="dxa"/>
            <w:tcBorders>
              <w:top w:val="nil"/>
              <w:bottom w:val="nil"/>
            </w:tcBorders>
            <w:shd w:val="clear" w:color="000000" w:fill="FFFFFF"/>
            <w:noWrap/>
            <w:vAlign w:val="center"/>
            <w:hideMark/>
          </w:tcPr>
          <w:p w14:paraId="5523B77F" w14:textId="77777777"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241</w:t>
            </w:r>
          </w:p>
        </w:tc>
        <w:tc>
          <w:tcPr>
            <w:tcW w:w="900" w:type="dxa"/>
            <w:tcBorders>
              <w:top w:val="nil"/>
              <w:bottom w:val="nil"/>
            </w:tcBorders>
            <w:shd w:val="clear" w:color="000000" w:fill="FFFFFF"/>
            <w:vAlign w:val="center"/>
          </w:tcPr>
          <w:p w14:paraId="59B4BC4A" w14:textId="26701B3E"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21.</w:t>
            </w:r>
            <w:r w:rsidR="003A64E1" w:rsidRPr="00D309F4">
              <w:rPr>
                <w:rFonts w:eastAsia="Times New Roman" w:cs="Times New Roman"/>
                <w:kern w:val="0"/>
                <w:sz w:val="20"/>
                <w:szCs w:val="20"/>
                <w14:ligatures w14:val="none"/>
              </w:rPr>
              <w:t>9</w:t>
            </w:r>
          </w:p>
        </w:tc>
        <w:tc>
          <w:tcPr>
            <w:tcW w:w="801" w:type="dxa"/>
            <w:tcBorders>
              <w:top w:val="nil"/>
              <w:bottom w:val="nil"/>
              <w:right w:val="single" w:sz="18" w:space="0" w:color="auto"/>
            </w:tcBorders>
            <w:shd w:val="clear" w:color="000000" w:fill="FFFFFF"/>
            <w:noWrap/>
            <w:vAlign w:val="center"/>
          </w:tcPr>
          <w:p w14:paraId="56437613" w14:textId="2BB65BB2" w:rsidR="008E0C96" w:rsidRPr="00D309F4" w:rsidRDefault="00207729"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28.7</w:t>
            </w:r>
          </w:p>
        </w:tc>
        <w:tc>
          <w:tcPr>
            <w:tcW w:w="2709" w:type="dxa"/>
            <w:tcBorders>
              <w:left w:val="single" w:sz="18" w:space="0" w:color="auto"/>
            </w:tcBorders>
            <w:shd w:val="clear" w:color="000000" w:fill="FFFFFF"/>
            <w:noWrap/>
            <w:vAlign w:val="center"/>
            <w:hideMark/>
          </w:tcPr>
          <w:p w14:paraId="7515A92A"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Female</w:t>
            </w:r>
          </w:p>
        </w:tc>
        <w:tc>
          <w:tcPr>
            <w:tcW w:w="857" w:type="dxa"/>
            <w:shd w:val="clear" w:color="000000" w:fill="FFFFFF"/>
            <w:noWrap/>
            <w:vAlign w:val="center"/>
            <w:hideMark/>
          </w:tcPr>
          <w:p w14:paraId="5B07B089" w14:textId="7044AF94"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46</w:t>
            </w:r>
            <w:r w:rsidR="00655B53" w:rsidRPr="00D309F4">
              <w:rPr>
                <w:rFonts w:eastAsia="Times New Roman" w:cs="Times New Roman"/>
                <w:kern w:val="0"/>
                <w:sz w:val="20"/>
                <w:szCs w:val="20"/>
                <w14:ligatures w14:val="none"/>
              </w:rPr>
              <w:t>8</w:t>
            </w:r>
          </w:p>
        </w:tc>
        <w:tc>
          <w:tcPr>
            <w:tcW w:w="771" w:type="dxa"/>
            <w:shd w:val="clear" w:color="000000" w:fill="FFFFFF"/>
            <w:vAlign w:val="center"/>
          </w:tcPr>
          <w:p w14:paraId="1C759FC3" w14:textId="5AC2E238"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42.</w:t>
            </w:r>
            <w:r w:rsidR="00856282" w:rsidRPr="00D309F4">
              <w:rPr>
                <w:rFonts w:eastAsia="Times New Roman" w:cs="Times New Roman"/>
                <w:kern w:val="0"/>
                <w:sz w:val="20"/>
                <w:szCs w:val="20"/>
                <w14:ligatures w14:val="none"/>
              </w:rPr>
              <w:t>6</w:t>
            </w:r>
          </w:p>
        </w:tc>
        <w:tc>
          <w:tcPr>
            <w:tcW w:w="876" w:type="dxa"/>
            <w:tcBorders>
              <w:right w:val="single" w:sz="18" w:space="0" w:color="auto"/>
            </w:tcBorders>
            <w:shd w:val="clear" w:color="000000" w:fill="FFFFFF"/>
            <w:noWrap/>
            <w:vAlign w:val="center"/>
          </w:tcPr>
          <w:p w14:paraId="510C5069" w14:textId="3C098148" w:rsidR="008E0C96" w:rsidRPr="00D309F4" w:rsidRDefault="004200EB"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49.9</w:t>
            </w:r>
          </w:p>
        </w:tc>
      </w:tr>
      <w:tr w:rsidR="00070362" w:rsidRPr="00D309F4" w14:paraId="65A30E6B"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1BBE2E1C"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50-64</w:t>
            </w:r>
          </w:p>
        </w:tc>
        <w:tc>
          <w:tcPr>
            <w:tcW w:w="810" w:type="dxa"/>
            <w:tcBorders>
              <w:top w:val="nil"/>
              <w:bottom w:val="nil"/>
            </w:tcBorders>
            <w:shd w:val="clear" w:color="000000" w:fill="FFFFFF"/>
            <w:noWrap/>
            <w:vAlign w:val="center"/>
            <w:hideMark/>
          </w:tcPr>
          <w:p w14:paraId="69FBB067" w14:textId="238A9479"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36</w:t>
            </w:r>
            <w:r w:rsidR="007F0605" w:rsidRPr="00D309F4">
              <w:rPr>
                <w:rFonts w:eastAsia="Times New Roman" w:cs="Times New Roman"/>
                <w:kern w:val="0"/>
                <w:sz w:val="20"/>
                <w:szCs w:val="20"/>
                <w14:ligatures w14:val="none"/>
              </w:rPr>
              <w:t>0</w:t>
            </w:r>
          </w:p>
        </w:tc>
        <w:tc>
          <w:tcPr>
            <w:tcW w:w="900" w:type="dxa"/>
            <w:tcBorders>
              <w:top w:val="nil"/>
              <w:bottom w:val="nil"/>
            </w:tcBorders>
            <w:shd w:val="clear" w:color="000000" w:fill="FFFFFF"/>
            <w:vAlign w:val="center"/>
          </w:tcPr>
          <w:p w14:paraId="196B49FB" w14:textId="556429CD"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32.</w:t>
            </w:r>
            <w:r w:rsidR="004A62D4" w:rsidRPr="00D309F4">
              <w:rPr>
                <w:rFonts w:eastAsia="Times New Roman" w:cs="Times New Roman"/>
                <w:kern w:val="0"/>
                <w:sz w:val="20"/>
                <w:szCs w:val="20"/>
                <w14:ligatures w14:val="none"/>
              </w:rPr>
              <w:t>8</w:t>
            </w:r>
          </w:p>
        </w:tc>
        <w:tc>
          <w:tcPr>
            <w:tcW w:w="801" w:type="dxa"/>
            <w:tcBorders>
              <w:top w:val="nil"/>
              <w:bottom w:val="nil"/>
              <w:right w:val="single" w:sz="18" w:space="0" w:color="auto"/>
            </w:tcBorders>
            <w:shd w:val="clear" w:color="000000" w:fill="FFFFFF"/>
            <w:noWrap/>
            <w:vAlign w:val="center"/>
          </w:tcPr>
          <w:p w14:paraId="77AB3D26" w14:textId="6A57A493" w:rsidR="008E0C96" w:rsidRPr="00D309F4" w:rsidRDefault="00207729"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23.4</w:t>
            </w:r>
          </w:p>
        </w:tc>
        <w:tc>
          <w:tcPr>
            <w:tcW w:w="2709" w:type="dxa"/>
            <w:tcBorders>
              <w:left w:val="single" w:sz="18" w:space="0" w:color="auto"/>
            </w:tcBorders>
            <w:shd w:val="clear" w:color="000000" w:fill="FFFFFF"/>
            <w:noWrap/>
            <w:vAlign w:val="center"/>
            <w:hideMark/>
          </w:tcPr>
          <w:p w14:paraId="7F55E3EC" w14:textId="77777777" w:rsidR="008E0C96" w:rsidRPr="00D309F4" w:rsidRDefault="008E0C96" w:rsidP="008E0C96">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Employment</w:t>
            </w:r>
          </w:p>
        </w:tc>
        <w:tc>
          <w:tcPr>
            <w:tcW w:w="857" w:type="dxa"/>
            <w:shd w:val="clear" w:color="000000" w:fill="FFFFFF"/>
            <w:noWrap/>
            <w:vAlign w:val="center"/>
            <w:hideMark/>
          </w:tcPr>
          <w:p w14:paraId="1D15BE29" w14:textId="328D539A"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771" w:type="dxa"/>
            <w:shd w:val="clear" w:color="000000" w:fill="FFFFFF"/>
            <w:vAlign w:val="center"/>
          </w:tcPr>
          <w:p w14:paraId="7DCEED02" w14:textId="77777777"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876" w:type="dxa"/>
            <w:tcBorders>
              <w:right w:val="single" w:sz="18" w:space="0" w:color="auto"/>
            </w:tcBorders>
            <w:shd w:val="clear" w:color="000000" w:fill="FFFFFF"/>
            <w:noWrap/>
            <w:vAlign w:val="center"/>
          </w:tcPr>
          <w:p w14:paraId="662CF43F" w14:textId="3CAE17AC" w:rsidR="008E0C96" w:rsidRPr="00D309F4" w:rsidRDefault="008E0C96" w:rsidP="005361EF">
            <w:pPr>
              <w:tabs>
                <w:tab w:val="decimal" w:pos="196"/>
              </w:tabs>
              <w:spacing w:after="0" w:line="240" w:lineRule="auto"/>
              <w:jc w:val="center"/>
              <w:rPr>
                <w:rFonts w:eastAsia="Times New Roman" w:cs="Times New Roman"/>
                <w:kern w:val="0"/>
                <w:sz w:val="20"/>
                <w:szCs w:val="20"/>
                <w14:ligatures w14:val="none"/>
              </w:rPr>
            </w:pPr>
          </w:p>
        </w:tc>
      </w:tr>
      <w:tr w:rsidR="00070362" w:rsidRPr="00D309F4" w14:paraId="25DFE323"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3B6D108A"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65+</w:t>
            </w:r>
          </w:p>
        </w:tc>
        <w:tc>
          <w:tcPr>
            <w:tcW w:w="810" w:type="dxa"/>
            <w:tcBorders>
              <w:top w:val="nil"/>
              <w:bottom w:val="nil"/>
            </w:tcBorders>
            <w:shd w:val="clear" w:color="000000" w:fill="FFFFFF"/>
            <w:noWrap/>
            <w:vAlign w:val="center"/>
            <w:hideMark/>
          </w:tcPr>
          <w:p w14:paraId="622046A9" w14:textId="09B622E3"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32</w:t>
            </w:r>
            <w:r w:rsidR="00843A2B" w:rsidRPr="00D309F4">
              <w:rPr>
                <w:rFonts w:eastAsia="Times New Roman" w:cs="Times New Roman"/>
                <w:kern w:val="0"/>
                <w:sz w:val="20"/>
                <w:szCs w:val="20"/>
                <w14:ligatures w14:val="none"/>
              </w:rPr>
              <w:t>4</w:t>
            </w:r>
          </w:p>
        </w:tc>
        <w:tc>
          <w:tcPr>
            <w:tcW w:w="900" w:type="dxa"/>
            <w:tcBorders>
              <w:top w:val="nil"/>
              <w:bottom w:val="nil"/>
            </w:tcBorders>
            <w:shd w:val="clear" w:color="000000" w:fill="FFFFFF"/>
            <w:vAlign w:val="center"/>
          </w:tcPr>
          <w:p w14:paraId="0D58FDC0" w14:textId="07C6DB20"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29.</w:t>
            </w:r>
            <w:r w:rsidR="004A62D4" w:rsidRPr="00D309F4">
              <w:rPr>
                <w:rFonts w:eastAsia="Times New Roman" w:cs="Times New Roman"/>
                <w:kern w:val="0"/>
                <w:sz w:val="20"/>
                <w:szCs w:val="20"/>
                <w14:ligatures w14:val="none"/>
              </w:rPr>
              <w:t>5</w:t>
            </w:r>
          </w:p>
        </w:tc>
        <w:tc>
          <w:tcPr>
            <w:tcW w:w="801" w:type="dxa"/>
            <w:tcBorders>
              <w:top w:val="nil"/>
              <w:bottom w:val="nil"/>
              <w:right w:val="single" w:sz="18" w:space="0" w:color="auto"/>
            </w:tcBorders>
            <w:shd w:val="clear" w:color="000000" w:fill="FFFFFF"/>
            <w:noWrap/>
            <w:vAlign w:val="center"/>
          </w:tcPr>
          <w:p w14:paraId="0B43BB02" w14:textId="6E781FFC" w:rsidR="008E0C96" w:rsidRPr="00D309F4" w:rsidRDefault="00207729"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13.4</w:t>
            </w:r>
          </w:p>
        </w:tc>
        <w:tc>
          <w:tcPr>
            <w:tcW w:w="2709" w:type="dxa"/>
            <w:tcBorders>
              <w:left w:val="single" w:sz="18" w:space="0" w:color="auto"/>
            </w:tcBorders>
            <w:shd w:val="clear" w:color="000000" w:fill="FFFFFF"/>
            <w:noWrap/>
            <w:vAlign w:val="center"/>
            <w:hideMark/>
          </w:tcPr>
          <w:p w14:paraId="4069E7A3"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Employed</w:t>
            </w:r>
          </w:p>
        </w:tc>
        <w:tc>
          <w:tcPr>
            <w:tcW w:w="857" w:type="dxa"/>
            <w:shd w:val="clear" w:color="000000" w:fill="FFFFFF"/>
            <w:noWrap/>
            <w:vAlign w:val="center"/>
            <w:hideMark/>
          </w:tcPr>
          <w:p w14:paraId="39E81CA0" w14:textId="6DA108A7"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64</w:t>
            </w:r>
            <w:r w:rsidR="008450A1" w:rsidRPr="00D309F4">
              <w:rPr>
                <w:rFonts w:eastAsia="Times New Roman" w:cs="Times New Roman"/>
                <w:kern w:val="0"/>
                <w:sz w:val="20"/>
                <w:szCs w:val="20"/>
                <w14:ligatures w14:val="none"/>
              </w:rPr>
              <w:t>8</w:t>
            </w:r>
          </w:p>
        </w:tc>
        <w:tc>
          <w:tcPr>
            <w:tcW w:w="771" w:type="dxa"/>
            <w:shd w:val="clear" w:color="000000" w:fill="FFFFFF"/>
            <w:vAlign w:val="center"/>
          </w:tcPr>
          <w:p w14:paraId="75939CDE" w14:textId="54E8CE2F"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w:t>
            </w:r>
            <w:r w:rsidR="00856282" w:rsidRPr="00D309F4">
              <w:rPr>
                <w:rFonts w:eastAsia="Times New Roman" w:cs="Times New Roman"/>
                <w:kern w:val="0"/>
                <w:sz w:val="20"/>
                <w:szCs w:val="20"/>
                <w14:ligatures w14:val="none"/>
              </w:rPr>
              <w:t>9.0</w:t>
            </w:r>
          </w:p>
        </w:tc>
        <w:tc>
          <w:tcPr>
            <w:tcW w:w="876" w:type="dxa"/>
            <w:tcBorders>
              <w:right w:val="single" w:sz="18" w:space="0" w:color="auto"/>
            </w:tcBorders>
            <w:shd w:val="clear" w:color="000000" w:fill="FFFFFF"/>
            <w:noWrap/>
            <w:vAlign w:val="center"/>
          </w:tcPr>
          <w:p w14:paraId="189EF9BF" w14:textId="77FEC8D1" w:rsidR="008E0C96" w:rsidRPr="00D309F4" w:rsidRDefault="004200EB"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73.3</w:t>
            </w:r>
          </w:p>
        </w:tc>
      </w:tr>
      <w:tr w:rsidR="00070362" w:rsidRPr="00D309F4" w14:paraId="11C2A58C"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19198BE3" w14:textId="77777777" w:rsidR="008E0C96" w:rsidRPr="00D309F4" w:rsidRDefault="008E0C96" w:rsidP="008E0C96">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Race</w:t>
            </w:r>
          </w:p>
        </w:tc>
        <w:tc>
          <w:tcPr>
            <w:tcW w:w="810" w:type="dxa"/>
            <w:tcBorders>
              <w:top w:val="nil"/>
              <w:bottom w:val="nil"/>
            </w:tcBorders>
            <w:shd w:val="clear" w:color="000000" w:fill="FFFFFF"/>
            <w:noWrap/>
            <w:vAlign w:val="center"/>
            <w:hideMark/>
          </w:tcPr>
          <w:p w14:paraId="04183299" w14:textId="3EF9C7D5"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900" w:type="dxa"/>
            <w:tcBorders>
              <w:top w:val="nil"/>
              <w:bottom w:val="nil"/>
            </w:tcBorders>
            <w:shd w:val="clear" w:color="000000" w:fill="FFFFFF"/>
            <w:vAlign w:val="center"/>
          </w:tcPr>
          <w:p w14:paraId="5232E0D1" w14:textId="77777777"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801" w:type="dxa"/>
            <w:tcBorders>
              <w:top w:val="nil"/>
              <w:bottom w:val="nil"/>
              <w:right w:val="single" w:sz="18" w:space="0" w:color="auto"/>
            </w:tcBorders>
            <w:shd w:val="clear" w:color="000000" w:fill="FFFFFF"/>
            <w:noWrap/>
            <w:vAlign w:val="center"/>
          </w:tcPr>
          <w:p w14:paraId="2F59D4BA" w14:textId="1E2024DC"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2709" w:type="dxa"/>
            <w:tcBorders>
              <w:left w:val="single" w:sz="18" w:space="0" w:color="auto"/>
            </w:tcBorders>
            <w:shd w:val="clear" w:color="000000" w:fill="FFFFFF"/>
            <w:noWrap/>
            <w:vAlign w:val="center"/>
            <w:hideMark/>
          </w:tcPr>
          <w:p w14:paraId="24429F71"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Unemployed</w:t>
            </w:r>
          </w:p>
        </w:tc>
        <w:tc>
          <w:tcPr>
            <w:tcW w:w="857" w:type="dxa"/>
            <w:shd w:val="clear" w:color="000000" w:fill="FFFFFF"/>
            <w:noWrap/>
            <w:vAlign w:val="center"/>
            <w:hideMark/>
          </w:tcPr>
          <w:p w14:paraId="2AEB6A8C" w14:textId="77777777"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135</w:t>
            </w:r>
          </w:p>
        </w:tc>
        <w:tc>
          <w:tcPr>
            <w:tcW w:w="771" w:type="dxa"/>
            <w:shd w:val="clear" w:color="000000" w:fill="FFFFFF"/>
            <w:vAlign w:val="center"/>
          </w:tcPr>
          <w:p w14:paraId="6BE52864" w14:textId="2657642F"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12.</w:t>
            </w:r>
            <w:r w:rsidR="00856282" w:rsidRPr="00D309F4">
              <w:rPr>
                <w:rFonts w:eastAsia="Times New Roman" w:cs="Times New Roman"/>
                <w:kern w:val="0"/>
                <w:sz w:val="20"/>
                <w:szCs w:val="20"/>
                <w14:ligatures w14:val="none"/>
              </w:rPr>
              <w:t>3</w:t>
            </w:r>
          </w:p>
        </w:tc>
        <w:tc>
          <w:tcPr>
            <w:tcW w:w="876" w:type="dxa"/>
            <w:tcBorders>
              <w:right w:val="single" w:sz="18" w:space="0" w:color="auto"/>
            </w:tcBorders>
            <w:shd w:val="clear" w:color="000000" w:fill="FFFFFF"/>
            <w:noWrap/>
            <w:vAlign w:val="center"/>
          </w:tcPr>
          <w:p w14:paraId="2463550D" w14:textId="75263D0A" w:rsidR="008E0C96" w:rsidRPr="00D309F4" w:rsidRDefault="004200EB"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6.2</w:t>
            </w:r>
          </w:p>
        </w:tc>
      </w:tr>
      <w:tr w:rsidR="00070362" w:rsidRPr="00D309F4" w14:paraId="682C422F"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7355ACD2"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White</w:t>
            </w:r>
          </w:p>
        </w:tc>
        <w:tc>
          <w:tcPr>
            <w:tcW w:w="810" w:type="dxa"/>
            <w:tcBorders>
              <w:top w:val="nil"/>
              <w:bottom w:val="nil"/>
            </w:tcBorders>
            <w:shd w:val="clear" w:color="000000" w:fill="FFFFFF"/>
            <w:noWrap/>
            <w:vAlign w:val="center"/>
            <w:hideMark/>
          </w:tcPr>
          <w:p w14:paraId="38D3E0A3" w14:textId="5E09AC42"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79</w:t>
            </w:r>
            <w:r w:rsidR="00843A2B" w:rsidRPr="00D309F4">
              <w:rPr>
                <w:rFonts w:eastAsia="Times New Roman" w:cs="Times New Roman"/>
                <w:kern w:val="0"/>
                <w:sz w:val="20"/>
                <w:szCs w:val="20"/>
                <w14:ligatures w14:val="none"/>
              </w:rPr>
              <w:t>2</w:t>
            </w:r>
          </w:p>
        </w:tc>
        <w:tc>
          <w:tcPr>
            <w:tcW w:w="900" w:type="dxa"/>
            <w:tcBorders>
              <w:top w:val="nil"/>
              <w:bottom w:val="nil"/>
            </w:tcBorders>
            <w:shd w:val="clear" w:color="000000" w:fill="FFFFFF"/>
            <w:vAlign w:val="center"/>
          </w:tcPr>
          <w:p w14:paraId="62BBD18B" w14:textId="5100A9B4"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w:t>
            </w:r>
            <w:r w:rsidR="00661B08" w:rsidRPr="00D309F4">
              <w:rPr>
                <w:rFonts w:eastAsia="Times New Roman" w:cs="Times New Roman"/>
                <w:kern w:val="0"/>
                <w:sz w:val="20"/>
                <w:szCs w:val="20"/>
                <w14:ligatures w14:val="none"/>
              </w:rPr>
              <w:t>2.</w:t>
            </w:r>
            <w:r w:rsidR="00623B66" w:rsidRPr="00D309F4">
              <w:rPr>
                <w:rFonts w:eastAsia="Times New Roman" w:cs="Times New Roman"/>
                <w:kern w:val="0"/>
                <w:sz w:val="20"/>
                <w:szCs w:val="20"/>
                <w14:ligatures w14:val="none"/>
              </w:rPr>
              <w:t>1</w:t>
            </w:r>
          </w:p>
        </w:tc>
        <w:tc>
          <w:tcPr>
            <w:tcW w:w="801" w:type="dxa"/>
            <w:tcBorders>
              <w:top w:val="nil"/>
              <w:bottom w:val="nil"/>
              <w:right w:val="single" w:sz="18" w:space="0" w:color="auto"/>
            </w:tcBorders>
            <w:shd w:val="clear" w:color="000000" w:fill="FFFFFF"/>
            <w:noWrap/>
            <w:vAlign w:val="center"/>
          </w:tcPr>
          <w:p w14:paraId="335D99DE" w14:textId="675936B7" w:rsidR="008E0C96" w:rsidRPr="00D309F4" w:rsidRDefault="003A64E1"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48.1</w:t>
            </w:r>
          </w:p>
        </w:tc>
        <w:tc>
          <w:tcPr>
            <w:tcW w:w="2709" w:type="dxa"/>
            <w:tcBorders>
              <w:left w:val="single" w:sz="18" w:space="0" w:color="auto"/>
            </w:tcBorders>
            <w:shd w:val="clear" w:color="000000" w:fill="FFFFFF"/>
            <w:noWrap/>
            <w:vAlign w:val="center"/>
            <w:hideMark/>
          </w:tcPr>
          <w:p w14:paraId="28E4AC85"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Retired</w:t>
            </w:r>
          </w:p>
        </w:tc>
        <w:tc>
          <w:tcPr>
            <w:tcW w:w="857" w:type="dxa"/>
            <w:shd w:val="clear" w:color="000000" w:fill="FFFFFF"/>
            <w:noWrap/>
            <w:vAlign w:val="center"/>
            <w:hideMark/>
          </w:tcPr>
          <w:p w14:paraId="67BB401B" w14:textId="2BC00968"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31</w:t>
            </w:r>
            <w:r w:rsidR="00314247" w:rsidRPr="00D309F4">
              <w:rPr>
                <w:rFonts w:eastAsia="Times New Roman" w:cs="Times New Roman"/>
                <w:kern w:val="0"/>
                <w:sz w:val="20"/>
                <w:szCs w:val="20"/>
                <w14:ligatures w14:val="none"/>
              </w:rPr>
              <w:t>5</w:t>
            </w:r>
          </w:p>
        </w:tc>
        <w:tc>
          <w:tcPr>
            <w:tcW w:w="771" w:type="dxa"/>
            <w:shd w:val="clear" w:color="000000" w:fill="FFFFFF"/>
            <w:vAlign w:val="center"/>
          </w:tcPr>
          <w:p w14:paraId="66D8F0FB" w14:textId="1F014537"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28.</w:t>
            </w:r>
            <w:r w:rsidR="00856282" w:rsidRPr="00D309F4">
              <w:rPr>
                <w:rFonts w:eastAsia="Times New Roman" w:cs="Times New Roman"/>
                <w:kern w:val="0"/>
                <w:sz w:val="20"/>
                <w:szCs w:val="20"/>
                <w14:ligatures w14:val="none"/>
              </w:rPr>
              <w:t>7</w:t>
            </w:r>
          </w:p>
        </w:tc>
        <w:tc>
          <w:tcPr>
            <w:tcW w:w="876" w:type="dxa"/>
            <w:tcBorders>
              <w:right w:val="single" w:sz="18" w:space="0" w:color="auto"/>
            </w:tcBorders>
            <w:shd w:val="clear" w:color="000000" w:fill="FFFFFF"/>
            <w:noWrap/>
            <w:vAlign w:val="center"/>
          </w:tcPr>
          <w:p w14:paraId="15974B31" w14:textId="77FC0E36" w:rsidR="008E0C96" w:rsidRPr="00D309F4" w:rsidRDefault="004200EB"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20.5</w:t>
            </w:r>
          </w:p>
        </w:tc>
      </w:tr>
      <w:tr w:rsidR="00070362" w:rsidRPr="00D309F4" w14:paraId="68613A88"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04F3E570" w14:textId="71FE0D41"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Not White</w:t>
            </w:r>
          </w:p>
        </w:tc>
        <w:tc>
          <w:tcPr>
            <w:tcW w:w="810" w:type="dxa"/>
            <w:tcBorders>
              <w:top w:val="nil"/>
              <w:bottom w:val="nil"/>
            </w:tcBorders>
            <w:shd w:val="clear" w:color="000000" w:fill="FFFFFF"/>
            <w:noWrap/>
            <w:vAlign w:val="center"/>
            <w:hideMark/>
          </w:tcPr>
          <w:p w14:paraId="1BB59D6E" w14:textId="4EF97E8B"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30</w:t>
            </w:r>
            <w:r w:rsidR="00F06E9C" w:rsidRPr="00D309F4">
              <w:rPr>
                <w:rFonts w:eastAsia="Times New Roman" w:cs="Times New Roman"/>
                <w:kern w:val="0"/>
                <w:sz w:val="20"/>
                <w:szCs w:val="20"/>
                <w14:ligatures w14:val="none"/>
              </w:rPr>
              <w:t>6</w:t>
            </w:r>
          </w:p>
        </w:tc>
        <w:tc>
          <w:tcPr>
            <w:tcW w:w="900" w:type="dxa"/>
            <w:tcBorders>
              <w:top w:val="nil"/>
              <w:bottom w:val="nil"/>
            </w:tcBorders>
            <w:shd w:val="clear" w:color="000000" w:fill="FFFFFF"/>
            <w:vAlign w:val="center"/>
          </w:tcPr>
          <w:p w14:paraId="47C18D67" w14:textId="37A897A9"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w:t>
            </w:r>
            <w:r w:rsidR="00623B66" w:rsidRPr="00D309F4">
              <w:rPr>
                <w:rFonts w:eastAsia="Times New Roman" w:cs="Times New Roman"/>
                <w:kern w:val="0"/>
                <w:sz w:val="20"/>
                <w:szCs w:val="20"/>
                <w14:ligatures w14:val="none"/>
              </w:rPr>
              <w:t>7.9</w:t>
            </w:r>
          </w:p>
        </w:tc>
        <w:tc>
          <w:tcPr>
            <w:tcW w:w="801" w:type="dxa"/>
            <w:tcBorders>
              <w:top w:val="nil"/>
              <w:bottom w:val="nil"/>
              <w:right w:val="single" w:sz="18" w:space="0" w:color="auto"/>
            </w:tcBorders>
            <w:shd w:val="clear" w:color="000000" w:fill="FFFFFF"/>
            <w:noWrap/>
            <w:vAlign w:val="center"/>
          </w:tcPr>
          <w:p w14:paraId="21655117" w14:textId="797F9645" w:rsidR="008E0C96" w:rsidRPr="00D309F4" w:rsidRDefault="003A64E1"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51.9</w:t>
            </w:r>
          </w:p>
        </w:tc>
        <w:tc>
          <w:tcPr>
            <w:tcW w:w="3562" w:type="dxa"/>
            <w:gridSpan w:val="2"/>
            <w:tcBorders>
              <w:left w:val="single" w:sz="18" w:space="0" w:color="auto"/>
            </w:tcBorders>
            <w:shd w:val="clear" w:color="000000" w:fill="FFFFFF"/>
            <w:noWrap/>
            <w:vAlign w:val="center"/>
            <w:hideMark/>
          </w:tcPr>
          <w:p w14:paraId="4D06A2D7" w14:textId="3A4F76F7" w:rsidR="008E0C96" w:rsidRPr="00D309F4" w:rsidRDefault="008E0C96" w:rsidP="008E0C96">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Educational Attainment</w:t>
            </w:r>
          </w:p>
        </w:tc>
        <w:tc>
          <w:tcPr>
            <w:tcW w:w="771" w:type="dxa"/>
            <w:shd w:val="clear" w:color="000000" w:fill="FFFFFF"/>
          </w:tcPr>
          <w:p w14:paraId="1F26E066" w14:textId="77777777" w:rsidR="008E0C96" w:rsidRPr="00D309F4" w:rsidRDefault="008E0C96" w:rsidP="008E0C96">
            <w:pPr>
              <w:spacing w:after="0" w:line="240" w:lineRule="auto"/>
              <w:jc w:val="center"/>
              <w:rPr>
                <w:rFonts w:eastAsia="Times New Roman" w:cs="Times New Roman"/>
                <w:kern w:val="0"/>
                <w:sz w:val="20"/>
                <w:szCs w:val="20"/>
                <w14:ligatures w14:val="none"/>
              </w:rPr>
            </w:pPr>
          </w:p>
        </w:tc>
        <w:tc>
          <w:tcPr>
            <w:tcW w:w="876" w:type="dxa"/>
            <w:tcBorders>
              <w:right w:val="single" w:sz="18" w:space="0" w:color="auto"/>
            </w:tcBorders>
            <w:shd w:val="clear" w:color="000000" w:fill="FFFFFF"/>
            <w:noWrap/>
            <w:vAlign w:val="center"/>
          </w:tcPr>
          <w:p w14:paraId="12A1E880" w14:textId="5DD713FE" w:rsidR="008E0C96" w:rsidRPr="00D309F4" w:rsidRDefault="008E0C96" w:rsidP="005361EF">
            <w:pPr>
              <w:tabs>
                <w:tab w:val="decimal" w:pos="196"/>
              </w:tabs>
              <w:spacing w:after="0" w:line="240" w:lineRule="auto"/>
              <w:jc w:val="center"/>
              <w:rPr>
                <w:rFonts w:eastAsia="Times New Roman" w:cs="Times New Roman"/>
                <w:kern w:val="0"/>
                <w:sz w:val="20"/>
                <w:szCs w:val="20"/>
                <w14:ligatures w14:val="none"/>
              </w:rPr>
            </w:pPr>
          </w:p>
        </w:tc>
      </w:tr>
      <w:tr w:rsidR="00070362" w:rsidRPr="00D309F4" w14:paraId="383975C0"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750F70E9" w14:textId="77777777" w:rsidR="008E0C96" w:rsidRPr="00D309F4" w:rsidRDefault="008E0C96" w:rsidP="008E0C96">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Ethnicity</w:t>
            </w:r>
          </w:p>
        </w:tc>
        <w:tc>
          <w:tcPr>
            <w:tcW w:w="810" w:type="dxa"/>
            <w:tcBorders>
              <w:top w:val="nil"/>
              <w:bottom w:val="nil"/>
            </w:tcBorders>
            <w:shd w:val="clear" w:color="000000" w:fill="FFFFFF"/>
            <w:noWrap/>
            <w:vAlign w:val="center"/>
            <w:hideMark/>
          </w:tcPr>
          <w:p w14:paraId="6C6B7DFF" w14:textId="606FD79F"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900" w:type="dxa"/>
            <w:tcBorders>
              <w:top w:val="nil"/>
              <w:bottom w:val="nil"/>
            </w:tcBorders>
            <w:shd w:val="clear" w:color="000000" w:fill="FFFFFF"/>
            <w:vAlign w:val="center"/>
          </w:tcPr>
          <w:p w14:paraId="54B7DB00" w14:textId="77777777"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801" w:type="dxa"/>
            <w:tcBorders>
              <w:top w:val="nil"/>
              <w:bottom w:val="nil"/>
              <w:right w:val="single" w:sz="18" w:space="0" w:color="auto"/>
            </w:tcBorders>
            <w:shd w:val="clear" w:color="000000" w:fill="FFFFFF"/>
            <w:noWrap/>
            <w:vAlign w:val="center"/>
          </w:tcPr>
          <w:p w14:paraId="72CD9A71" w14:textId="7BFDDA97" w:rsidR="008E0C96" w:rsidRPr="00D309F4" w:rsidRDefault="008E0C96" w:rsidP="009C4837">
            <w:pPr>
              <w:spacing w:after="0" w:line="240" w:lineRule="auto"/>
              <w:jc w:val="center"/>
              <w:rPr>
                <w:rFonts w:eastAsia="Times New Roman" w:cs="Times New Roman"/>
                <w:kern w:val="0"/>
                <w:sz w:val="20"/>
                <w:szCs w:val="20"/>
                <w14:ligatures w14:val="none"/>
              </w:rPr>
            </w:pPr>
          </w:p>
        </w:tc>
        <w:tc>
          <w:tcPr>
            <w:tcW w:w="2709" w:type="dxa"/>
            <w:tcBorders>
              <w:left w:val="single" w:sz="18" w:space="0" w:color="auto"/>
            </w:tcBorders>
            <w:shd w:val="clear" w:color="000000" w:fill="FFFFFF"/>
            <w:noWrap/>
            <w:vAlign w:val="center"/>
            <w:hideMark/>
          </w:tcPr>
          <w:p w14:paraId="54AAD62A" w14:textId="3009C4E0"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Less than bachelor</w:t>
            </w:r>
            <w:r w:rsidR="0097080D"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s degree</w:t>
            </w:r>
          </w:p>
        </w:tc>
        <w:tc>
          <w:tcPr>
            <w:tcW w:w="857" w:type="dxa"/>
            <w:shd w:val="clear" w:color="000000" w:fill="FFFFFF"/>
            <w:noWrap/>
            <w:vAlign w:val="center"/>
            <w:hideMark/>
          </w:tcPr>
          <w:p w14:paraId="38E6DF80" w14:textId="7460FBB7"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38</w:t>
            </w:r>
            <w:r w:rsidR="00656697" w:rsidRPr="00D309F4">
              <w:rPr>
                <w:rFonts w:eastAsia="Times New Roman" w:cs="Times New Roman"/>
                <w:kern w:val="0"/>
                <w:sz w:val="20"/>
                <w:szCs w:val="20"/>
                <w14:ligatures w14:val="none"/>
              </w:rPr>
              <w:t>3</w:t>
            </w:r>
          </w:p>
        </w:tc>
        <w:tc>
          <w:tcPr>
            <w:tcW w:w="771" w:type="dxa"/>
            <w:shd w:val="clear" w:color="000000" w:fill="FFFFFF"/>
            <w:vAlign w:val="center"/>
          </w:tcPr>
          <w:p w14:paraId="5F7351A6" w14:textId="5047ECFD"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34.</w:t>
            </w:r>
            <w:r w:rsidR="00856282" w:rsidRPr="00D309F4">
              <w:rPr>
                <w:rFonts w:eastAsia="Times New Roman" w:cs="Times New Roman"/>
                <w:kern w:val="0"/>
                <w:sz w:val="20"/>
                <w:szCs w:val="20"/>
                <w14:ligatures w14:val="none"/>
              </w:rPr>
              <w:t>9</w:t>
            </w:r>
          </w:p>
        </w:tc>
        <w:tc>
          <w:tcPr>
            <w:tcW w:w="876" w:type="dxa"/>
            <w:tcBorders>
              <w:right w:val="single" w:sz="18" w:space="0" w:color="auto"/>
            </w:tcBorders>
            <w:shd w:val="clear" w:color="000000" w:fill="FFFFFF"/>
            <w:noWrap/>
            <w:vAlign w:val="center"/>
          </w:tcPr>
          <w:p w14:paraId="0C190DF7" w14:textId="11BC6F30" w:rsidR="008E0C96" w:rsidRPr="00D309F4" w:rsidRDefault="00FB1D02"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56.1</w:t>
            </w:r>
          </w:p>
        </w:tc>
      </w:tr>
      <w:tr w:rsidR="00070362" w:rsidRPr="00D309F4" w14:paraId="7A4EB90F" w14:textId="77777777" w:rsidTr="00FD20AC">
        <w:trPr>
          <w:trHeight w:val="20"/>
          <w:jc w:val="center"/>
        </w:trPr>
        <w:tc>
          <w:tcPr>
            <w:tcW w:w="1777" w:type="dxa"/>
            <w:tcBorders>
              <w:top w:val="nil"/>
              <w:left w:val="single" w:sz="18" w:space="0" w:color="auto"/>
              <w:bottom w:val="nil"/>
            </w:tcBorders>
            <w:shd w:val="clear" w:color="000000" w:fill="FFFFFF"/>
            <w:noWrap/>
            <w:vAlign w:val="center"/>
            <w:hideMark/>
          </w:tcPr>
          <w:p w14:paraId="0F67295C"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Hispanic</w:t>
            </w:r>
          </w:p>
        </w:tc>
        <w:tc>
          <w:tcPr>
            <w:tcW w:w="810" w:type="dxa"/>
            <w:tcBorders>
              <w:top w:val="nil"/>
              <w:bottom w:val="nil"/>
            </w:tcBorders>
            <w:shd w:val="clear" w:color="000000" w:fill="FFFFFF"/>
            <w:noWrap/>
            <w:vAlign w:val="center"/>
            <w:hideMark/>
          </w:tcPr>
          <w:p w14:paraId="03AA6366" w14:textId="77777777"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252</w:t>
            </w:r>
          </w:p>
        </w:tc>
        <w:tc>
          <w:tcPr>
            <w:tcW w:w="900" w:type="dxa"/>
            <w:tcBorders>
              <w:top w:val="nil"/>
              <w:bottom w:val="nil"/>
            </w:tcBorders>
            <w:shd w:val="clear" w:color="000000" w:fill="FFFFFF"/>
            <w:vAlign w:val="center"/>
          </w:tcPr>
          <w:p w14:paraId="53982456" w14:textId="308D567D"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w:t>
            </w:r>
            <w:r w:rsidR="00623B66" w:rsidRPr="00D309F4">
              <w:rPr>
                <w:rFonts w:eastAsia="Times New Roman" w:cs="Times New Roman"/>
                <w:kern w:val="0"/>
                <w:sz w:val="20"/>
                <w:szCs w:val="20"/>
                <w14:ligatures w14:val="none"/>
              </w:rPr>
              <w:t>3.0</w:t>
            </w:r>
          </w:p>
        </w:tc>
        <w:tc>
          <w:tcPr>
            <w:tcW w:w="801" w:type="dxa"/>
            <w:tcBorders>
              <w:top w:val="nil"/>
              <w:bottom w:val="nil"/>
              <w:right w:val="single" w:sz="18" w:space="0" w:color="auto"/>
            </w:tcBorders>
            <w:shd w:val="clear" w:color="000000" w:fill="FFFFFF"/>
            <w:noWrap/>
            <w:vAlign w:val="center"/>
          </w:tcPr>
          <w:p w14:paraId="3AB403A4" w14:textId="1DB6D34E" w:rsidR="008E0C96" w:rsidRPr="00D309F4" w:rsidRDefault="003A64E1"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39.7</w:t>
            </w:r>
          </w:p>
        </w:tc>
        <w:tc>
          <w:tcPr>
            <w:tcW w:w="2709" w:type="dxa"/>
            <w:tcBorders>
              <w:left w:val="single" w:sz="18" w:space="0" w:color="auto"/>
            </w:tcBorders>
            <w:shd w:val="clear" w:color="000000" w:fill="FFFFFF"/>
            <w:noWrap/>
            <w:vAlign w:val="center"/>
            <w:hideMark/>
          </w:tcPr>
          <w:p w14:paraId="26FC7E46" w14:textId="78D1840C"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Bachelor</w:t>
            </w:r>
            <w:r w:rsidR="0097080D"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s degree</w:t>
            </w:r>
          </w:p>
        </w:tc>
        <w:tc>
          <w:tcPr>
            <w:tcW w:w="857" w:type="dxa"/>
            <w:shd w:val="clear" w:color="000000" w:fill="FFFFFF"/>
            <w:noWrap/>
            <w:vAlign w:val="center"/>
            <w:hideMark/>
          </w:tcPr>
          <w:p w14:paraId="3F851926" w14:textId="351933EE"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34</w:t>
            </w:r>
            <w:r w:rsidR="00656697" w:rsidRPr="00D309F4">
              <w:rPr>
                <w:rFonts w:eastAsia="Times New Roman" w:cs="Times New Roman"/>
                <w:kern w:val="0"/>
                <w:sz w:val="20"/>
                <w:szCs w:val="20"/>
                <w14:ligatures w14:val="none"/>
              </w:rPr>
              <w:t>6</w:t>
            </w:r>
          </w:p>
        </w:tc>
        <w:tc>
          <w:tcPr>
            <w:tcW w:w="771" w:type="dxa"/>
            <w:shd w:val="clear" w:color="000000" w:fill="FFFFFF"/>
            <w:vAlign w:val="center"/>
          </w:tcPr>
          <w:p w14:paraId="6600DE6B" w14:textId="037199FB"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31.</w:t>
            </w:r>
            <w:r w:rsidR="006C2D94" w:rsidRPr="00D309F4">
              <w:rPr>
                <w:rFonts w:eastAsia="Times New Roman" w:cs="Times New Roman"/>
                <w:kern w:val="0"/>
                <w:sz w:val="20"/>
                <w:szCs w:val="20"/>
                <w14:ligatures w14:val="none"/>
              </w:rPr>
              <w:t>5</w:t>
            </w:r>
          </w:p>
        </w:tc>
        <w:tc>
          <w:tcPr>
            <w:tcW w:w="876" w:type="dxa"/>
            <w:tcBorders>
              <w:right w:val="single" w:sz="18" w:space="0" w:color="auto"/>
            </w:tcBorders>
            <w:shd w:val="clear" w:color="000000" w:fill="FFFFFF"/>
            <w:noWrap/>
            <w:vAlign w:val="center"/>
          </w:tcPr>
          <w:p w14:paraId="702298D9" w14:textId="1B165159" w:rsidR="008E0C96" w:rsidRPr="00D309F4" w:rsidRDefault="00FB1D02"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30.1</w:t>
            </w:r>
          </w:p>
        </w:tc>
      </w:tr>
      <w:tr w:rsidR="00070362" w:rsidRPr="00D309F4" w14:paraId="588C6C6F" w14:textId="77777777" w:rsidTr="00FD20AC">
        <w:trPr>
          <w:trHeight w:val="20"/>
          <w:jc w:val="center"/>
        </w:trPr>
        <w:tc>
          <w:tcPr>
            <w:tcW w:w="1777" w:type="dxa"/>
            <w:tcBorders>
              <w:top w:val="nil"/>
              <w:left w:val="single" w:sz="18" w:space="0" w:color="auto"/>
              <w:bottom w:val="single" w:sz="18" w:space="0" w:color="auto"/>
            </w:tcBorders>
            <w:shd w:val="clear" w:color="000000" w:fill="FFFFFF"/>
            <w:noWrap/>
            <w:vAlign w:val="center"/>
            <w:hideMark/>
          </w:tcPr>
          <w:p w14:paraId="391E7AF2"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Not Hispanic</w:t>
            </w:r>
          </w:p>
        </w:tc>
        <w:tc>
          <w:tcPr>
            <w:tcW w:w="810" w:type="dxa"/>
            <w:tcBorders>
              <w:top w:val="nil"/>
              <w:bottom w:val="single" w:sz="18" w:space="0" w:color="auto"/>
            </w:tcBorders>
            <w:shd w:val="clear" w:color="000000" w:fill="FFFFFF"/>
            <w:noWrap/>
            <w:vAlign w:val="center"/>
            <w:hideMark/>
          </w:tcPr>
          <w:p w14:paraId="615F718D" w14:textId="63355812"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8</w:t>
            </w:r>
            <w:r w:rsidR="003059F6" w:rsidRPr="00D309F4">
              <w:rPr>
                <w:rFonts w:eastAsia="Times New Roman" w:cs="Times New Roman"/>
                <w:kern w:val="0"/>
                <w:sz w:val="20"/>
                <w:szCs w:val="20"/>
                <w14:ligatures w14:val="none"/>
              </w:rPr>
              <w:t>46</w:t>
            </w:r>
          </w:p>
        </w:tc>
        <w:tc>
          <w:tcPr>
            <w:tcW w:w="900" w:type="dxa"/>
            <w:tcBorders>
              <w:top w:val="nil"/>
              <w:bottom w:val="single" w:sz="18" w:space="0" w:color="auto"/>
            </w:tcBorders>
            <w:shd w:val="clear" w:color="000000" w:fill="FFFFFF"/>
            <w:vAlign w:val="center"/>
          </w:tcPr>
          <w:p w14:paraId="23179530" w14:textId="43611B3F"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77.</w:t>
            </w:r>
            <w:r w:rsidR="00623B66" w:rsidRPr="00D309F4">
              <w:rPr>
                <w:rFonts w:eastAsia="Times New Roman" w:cs="Times New Roman"/>
                <w:kern w:val="0"/>
                <w:sz w:val="20"/>
                <w:szCs w:val="20"/>
                <w14:ligatures w14:val="none"/>
              </w:rPr>
              <w:t>0</w:t>
            </w:r>
          </w:p>
        </w:tc>
        <w:tc>
          <w:tcPr>
            <w:tcW w:w="801" w:type="dxa"/>
            <w:tcBorders>
              <w:top w:val="nil"/>
              <w:bottom w:val="single" w:sz="18" w:space="0" w:color="auto"/>
              <w:right w:val="single" w:sz="18" w:space="0" w:color="auto"/>
            </w:tcBorders>
            <w:shd w:val="clear" w:color="000000" w:fill="FFFFFF"/>
            <w:noWrap/>
            <w:vAlign w:val="center"/>
          </w:tcPr>
          <w:p w14:paraId="25940DAF" w14:textId="0C786737" w:rsidR="008E0C96" w:rsidRPr="00D309F4" w:rsidRDefault="003A64E1"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60.3</w:t>
            </w:r>
          </w:p>
        </w:tc>
        <w:tc>
          <w:tcPr>
            <w:tcW w:w="2709" w:type="dxa"/>
            <w:tcBorders>
              <w:left w:val="single" w:sz="18" w:space="0" w:color="auto"/>
              <w:bottom w:val="single" w:sz="18" w:space="0" w:color="auto"/>
            </w:tcBorders>
            <w:shd w:val="clear" w:color="000000" w:fill="FFFFFF"/>
            <w:noWrap/>
            <w:vAlign w:val="center"/>
            <w:hideMark/>
          </w:tcPr>
          <w:p w14:paraId="3BDDB5C9" w14:textId="77777777" w:rsidR="008E0C96" w:rsidRPr="00D309F4" w:rsidRDefault="008E0C96" w:rsidP="008E0C96">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Graduate degree</w:t>
            </w:r>
          </w:p>
        </w:tc>
        <w:tc>
          <w:tcPr>
            <w:tcW w:w="857" w:type="dxa"/>
            <w:tcBorders>
              <w:bottom w:val="single" w:sz="18" w:space="0" w:color="auto"/>
            </w:tcBorders>
            <w:shd w:val="clear" w:color="000000" w:fill="FFFFFF"/>
            <w:noWrap/>
            <w:vAlign w:val="center"/>
            <w:hideMark/>
          </w:tcPr>
          <w:p w14:paraId="4393B73C" w14:textId="177CB1EA"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w:t>
            </w:r>
            <w:r w:rsidR="00656697" w:rsidRPr="00D309F4">
              <w:rPr>
                <w:rFonts w:eastAsia="Times New Roman" w:cs="Times New Roman"/>
                <w:kern w:val="0"/>
                <w:sz w:val="20"/>
                <w:szCs w:val="20"/>
                <w14:ligatures w14:val="none"/>
              </w:rPr>
              <w:t>69</w:t>
            </w:r>
          </w:p>
        </w:tc>
        <w:tc>
          <w:tcPr>
            <w:tcW w:w="771" w:type="dxa"/>
            <w:tcBorders>
              <w:bottom w:val="single" w:sz="18" w:space="0" w:color="auto"/>
            </w:tcBorders>
            <w:shd w:val="clear" w:color="000000" w:fill="FFFFFF"/>
            <w:vAlign w:val="center"/>
          </w:tcPr>
          <w:p w14:paraId="77FC72BF" w14:textId="3CB9497B" w:rsidR="008E0C96" w:rsidRPr="00D309F4" w:rsidRDefault="008E0C9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33.</w:t>
            </w:r>
            <w:r w:rsidR="00856282" w:rsidRPr="00D309F4">
              <w:rPr>
                <w:rFonts w:eastAsia="Times New Roman" w:cs="Times New Roman"/>
                <w:kern w:val="0"/>
                <w:sz w:val="20"/>
                <w:szCs w:val="20"/>
                <w14:ligatures w14:val="none"/>
              </w:rPr>
              <w:t>6</w:t>
            </w:r>
          </w:p>
        </w:tc>
        <w:tc>
          <w:tcPr>
            <w:tcW w:w="876" w:type="dxa"/>
            <w:tcBorders>
              <w:bottom w:val="single" w:sz="18" w:space="0" w:color="auto"/>
              <w:right w:val="single" w:sz="18" w:space="0" w:color="auto"/>
            </w:tcBorders>
            <w:shd w:val="clear" w:color="000000" w:fill="FFFFFF"/>
            <w:noWrap/>
            <w:vAlign w:val="center"/>
          </w:tcPr>
          <w:p w14:paraId="14E96320" w14:textId="3DD2E54B" w:rsidR="008E0C96" w:rsidRPr="00D309F4" w:rsidRDefault="00FB1D02" w:rsidP="005361EF">
            <w:pPr>
              <w:tabs>
                <w:tab w:val="decimal" w:pos="196"/>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13.8</w:t>
            </w:r>
          </w:p>
        </w:tc>
      </w:tr>
      <w:tr w:rsidR="00070362" w:rsidRPr="00D309F4" w14:paraId="1D391D65" w14:textId="77777777" w:rsidTr="00FD20AC">
        <w:trPr>
          <w:trHeight w:val="20"/>
          <w:jc w:val="center"/>
        </w:trPr>
        <w:tc>
          <w:tcPr>
            <w:tcW w:w="9497" w:type="dxa"/>
            <w:gridSpan w:val="8"/>
            <w:tcBorders>
              <w:top w:val="single" w:sz="18" w:space="0" w:color="auto"/>
              <w:left w:val="single" w:sz="18" w:space="0" w:color="auto"/>
              <w:bottom w:val="single" w:sz="18" w:space="0" w:color="auto"/>
              <w:right w:val="single" w:sz="18" w:space="0" w:color="auto"/>
            </w:tcBorders>
            <w:shd w:val="clear" w:color="000000" w:fill="FFFFFF"/>
          </w:tcPr>
          <w:p w14:paraId="1E28C5CD" w14:textId="1B6E62F9" w:rsidR="008E0C96" w:rsidRPr="00D309F4" w:rsidRDefault="008E0C96" w:rsidP="008E0C96">
            <w:pPr>
              <w:spacing w:after="0" w:line="240" w:lineRule="auto"/>
              <w:jc w:val="center"/>
              <w:rPr>
                <w:rFonts w:eastAsia="Times New Roman" w:cs="Times New Roman"/>
                <w:i/>
                <w:iCs/>
                <w:kern w:val="0"/>
                <w:sz w:val="20"/>
                <w:szCs w:val="20"/>
                <w14:ligatures w14:val="none"/>
              </w:rPr>
            </w:pPr>
            <w:r w:rsidRPr="00D309F4">
              <w:rPr>
                <w:rFonts w:eastAsia="Times New Roman" w:cs="Times New Roman"/>
                <w:i/>
                <w:iCs/>
                <w:kern w:val="0"/>
                <w:sz w:val="20"/>
                <w:szCs w:val="20"/>
                <w14:ligatures w14:val="none"/>
              </w:rPr>
              <w:t>Household Demographics</w:t>
            </w:r>
          </w:p>
        </w:tc>
      </w:tr>
      <w:tr w:rsidR="00070362" w:rsidRPr="00D309F4" w14:paraId="10412EEF" w14:textId="77777777" w:rsidTr="00FD20AC">
        <w:trPr>
          <w:trHeight w:val="20"/>
          <w:jc w:val="center"/>
        </w:trPr>
        <w:tc>
          <w:tcPr>
            <w:tcW w:w="2587" w:type="dxa"/>
            <w:gridSpan w:val="2"/>
            <w:tcBorders>
              <w:top w:val="single" w:sz="18" w:space="0" w:color="auto"/>
              <w:left w:val="single" w:sz="18" w:space="0" w:color="auto"/>
            </w:tcBorders>
            <w:shd w:val="clear" w:color="000000" w:fill="FFFFFF"/>
            <w:noWrap/>
            <w:vAlign w:val="center"/>
            <w:hideMark/>
          </w:tcPr>
          <w:p w14:paraId="33296FF4" w14:textId="77777777" w:rsidR="008E0C96" w:rsidRPr="00D309F4" w:rsidRDefault="008E0C96" w:rsidP="008E0C96">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Number of Adults</w:t>
            </w:r>
          </w:p>
        </w:tc>
        <w:tc>
          <w:tcPr>
            <w:tcW w:w="900" w:type="dxa"/>
            <w:tcBorders>
              <w:top w:val="single" w:sz="18" w:space="0" w:color="auto"/>
            </w:tcBorders>
            <w:shd w:val="clear" w:color="000000" w:fill="FFFFFF"/>
          </w:tcPr>
          <w:p w14:paraId="4D807003" w14:textId="77777777" w:rsidR="008E0C96" w:rsidRPr="00D309F4" w:rsidRDefault="008E0C96" w:rsidP="008E0C96">
            <w:pPr>
              <w:spacing w:after="0" w:line="240" w:lineRule="auto"/>
              <w:jc w:val="center"/>
              <w:rPr>
                <w:rFonts w:eastAsia="Times New Roman" w:cs="Times New Roman"/>
                <w:kern w:val="0"/>
                <w:sz w:val="20"/>
                <w:szCs w:val="20"/>
                <w14:ligatures w14:val="none"/>
              </w:rPr>
            </w:pPr>
          </w:p>
        </w:tc>
        <w:tc>
          <w:tcPr>
            <w:tcW w:w="801" w:type="dxa"/>
            <w:tcBorders>
              <w:top w:val="single" w:sz="18" w:space="0" w:color="auto"/>
              <w:right w:val="single" w:sz="18" w:space="0" w:color="auto"/>
            </w:tcBorders>
            <w:shd w:val="clear" w:color="000000" w:fill="FFFFFF"/>
            <w:noWrap/>
            <w:vAlign w:val="center"/>
            <w:hideMark/>
          </w:tcPr>
          <w:p w14:paraId="57B8A953" w14:textId="658C2BFD" w:rsidR="008E0C96" w:rsidRPr="00D309F4" w:rsidRDefault="008E0C96" w:rsidP="008E0C96">
            <w:pPr>
              <w:spacing w:after="0" w:line="240" w:lineRule="auto"/>
              <w:jc w:val="center"/>
              <w:rPr>
                <w:rFonts w:eastAsia="Times New Roman" w:cs="Times New Roman"/>
                <w:kern w:val="0"/>
                <w:sz w:val="20"/>
                <w:szCs w:val="20"/>
                <w14:ligatures w14:val="none"/>
              </w:rPr>
            </w:pPr>
          </w:p>
        </w:tc>
        <w:tc>
          <w:tcPr>
            <w:tcW w:w="2709" w:type="dxa"/>
            <w:tcBorders>
              <w:top w:val="single" w:sz="18" w:space="0" w:color="auto"/>
              <w:left w:val="single" w:sz="18" w:space="0" w:color="auto"/>
              <w:bottom w:val="nil"/>
            </w:tcBorders>
            <w:shd w:val="clear" w:color="000000" w:fill="FFFFFF"/>
            <w:noWrap/>
            <w:vAlign w:val="center"/>
          </w:tcPr>
          <w:p w14:paraId="6244AC24" w14:textId="2A51BEF5" w:rsidR="008E0C96" w:rsidRPr="00D309F4" w:rsidRDefault="008D2DCF" w:rsidP="008E0C96">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Presence of Children</w:t>
            </w:r>
          </w:p>
        </w:tc>
        <w:tc>
          <w:tcPr>
            <w:tcW w:w="857" w:type="dxa"/>
            <w:tcBorders>
              <w:top w:val="single" w:sz="18" w:space="0" w:color="auto"/>
              <w:bottom w:val="nil"/>
            </w:tcBorders>
            <w:shd w:val="clear" w:color="000000" w:fill="FFFFFF"/>
            <w:noWrap/>
            <w:vAlign w:val="center"/>
          </w:tcPr>
          <w:p w14:paraId="7F8CDCDB" w14:textId="1EA9CDAD" w:rsidR="008E0C96" w:rsidRPr="00D309F4" w:rsidRDefault="008E0C96" w:rsidP="008E0C96">
            <w:pPr>
              <w:spacing w:after="0" w:line="240" w:lineRule="auto"/>
              <w:jc w:val="center"/>
              <w:rPr>
                <w:rFonts w:eastAsia="Times New Roman" w:cs="Times New Roman"/>
                <w:kern w:val="0"/>
                <w:sz w:val="20"/>
                <w:szCs w:val="20"/>
                <w14:ligatures w14:val="none"/>
              </w:rPr>
            </w:pPr>
          </w:p>
        </w:tc>
        <w:tc>
          <w:tcPr>
            <w:tcW w:w="771" w:type="dxa"/>
            <w:tcBorders>
              <w:top w:val="single" w:sz="18" w:space="0" w:color="auto"/>
              <w:bottom w:val="nil"/>
            </w:tcBorders>
            <w:shd w:val="clear" w:color="000000" w:fill="FFFFFF"/>
          </w:tcPr>
          <w:p w14:paraId="6AF8432D" w14:textId="77777777" w:rsidR="008E0C96" w:rsidRPr="00D309F4" w:rsidRDefault="008E0C96" w:rsidP="008E0C96">
            <w:pPr>
              <w:spacing w:after="0" w:line="240" w:lineRule="auto"/>
              <w:jc w:val="center"/>
              <w:rPr>
                <w:rFonts w:eastAsia="Times New Roman" w:cs="Times New Roman"/>
                <w:kern w:val="0"/>
                <w:sz w:val="20"/>
                <w:szCs w:val="20"/>
                <w14:ligatures w14:val="none"/>
              </w:rPr>
            </w:pPr>
          </w:p>
        </w:tc>
        <w:tc>
          <w:tcPr>
            <w:tcW w:w="876" w:type="dxa"/>
            <w:tcBorders>
              <w:top w:val="single" w:sz="18" w:space="0" w:color="auto"/>
              <w:bottom w:val="nil"/>
              <w:right w:val="single" w:sz="18" w:space="0" w:color="auto"/>
            </w:tcBorders>
            <w:shd w:val="clear" w:color="000000" w:fill="FFFFFF"/>
            <w:noWrap/>
            <w:vAlign w:val="center"/>
          </w:tcPr>
          <w:p w14:paraId="5A01C075" w14:textId="3665659F" w:rsidR="008E0C96" w:rsidRPr="00D309F4" w:rsidRDefault="008E0C96" w:rsidP="008E0C96">
            <w:pPr>
              <w:spacing w:after="0" w:line="240" w:lineRule="auto"/>
              <w:jc w:val="center"/>
              <w:rPr>
                <w:rFonts w:eastAsia="Times New Roman" w:cs="Times New Roman"/>
                <w:kern w:val="0"/>
                <w:sz w:val="20"/>
                <w:szCs w:val="20"/>
                <w14:ligatures w14:val="none"/>
              </w:rPr>
            </w:pPr>
          </w:p>
        </w:tc>
      </w:tr>
      <w:tr w:rsidR="00070362" w:rsidRPr="00D309F4" w14:paraId="4F2AA1C8" w14:textId="77777777" w:rsidTr="00FD20AC">
        <w:trPr>
          <w:trHeight w:val="20"/>
          <w:jc w:val="center"/>
        </w:trPr>
        <w:tc>
          <w:tcPr>
            <w:tcW w:w="1777" w:type="dxa"/>
            <w:tcBorders>
              <w:left w:val="single" w:sz="18" w:space="0" w:color="auto"/>
            </w:tcBorders>
            <w:shd w:val="clear" w:color="000000" w:fill="FFFFFF"/>
            <w:noWrap/>
            <w:vAlign w:val="center"/>
            <w:hideMark/>
          </w:tcPr>
          <w:p w14:paraId="2FB245EA" w14:textId="77777777" w:rsidR="008D2DCF" w:rsidRPr="00D309F4" w:rsidRDefault="008D2DCF" w:rsidP="008D2DC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1</w:t>
            </w:r>
          </w:p>
        </w:tc>
        <w:tc>
          <w:tcPr>
            <w:tcW w:w="810" w:type="dxa"/>
            <w:shd w:val="clear" w:color="000000" w:fill="FFFFFF"/>
            <w:noWrap/>
            <w:vAlign w:val="center"/>
            <w:hideMark/>
          </w:tcPr>
          <w:p w14:paraId="6530F999" w14:textId="77777777" w:rsidR="008D2DCF" w:rsidRPr="00D309F4" w:rsidRDefault="008D2DCF"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197</w:t>
            </w:r>
          </w:p>
        </w:tc>
        <w:tc>
          <w:tcPr>
            <w:tcW w:w="900" w:type="dxa"/>
            <w:shd w:val="clear" w:color="000000" w:fill="FFFFFF"/>
            <w:vAlign w:val="center"/>
          </w:tcPr>
          <w:p w14:paraId="5B1515C2" w14:textId="6BDBBC8C" w:rsidR="008D2DCF" w:rsidRPr="00D309F4" w:rsidRDefault="008D2DCF"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17.9</w:t>
            </w:r>
          </w:p>
        </w:tc>
        <w:tc>
          <w:tcPr>
            <w:tcW w:w="801" w:type="dxa"/>
            <w:tcBorders>
              <w:right w:val="single" w:sz="18" w:space="0" w:color="auto"/>
            </w:tcBorders>
            <w:shd w:val="clear" w:color="000000" w:fill="FFFFFF"/>
            <w:noWrap/>
            <w:vAlign w:val="center"/>
          </w:tcPr>
          <w:p w14:paraId="22E44963" w14:textId="719CA5EC" w:rsidR="008D2DCF" w:rsidRPr="00D309F4" w:rsidRDefault="008D2DCF"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23.9</w:t>
            </w:r>
          </w:p>
        </w:tc>
        <w:tc>
          <w:tcPr>
            <w:tcW w:w="2709" w:type="dxa"/>
            <w:tcBorders>
              <w:top w:val="nil"/>
              <w:left w:val="single" w:sz="18" w:space="0" w:color="auto"/>
              <w:bottom w:val="nil"/>
            </w:tcBorders>
            <w:shd w:val="clear" w:color="000000" w:fill="FFFFFF"/>
            <w:noWrap/>
            <w:vAlign w:val="center"/>
          </w:tcPr>
          <w:p w14:paraId="2AE01689" w14:textId="250AB843" w:rsidR="008D2DCF" w:rsidRPr="00D309F4" w:rsidRDefault="008D2DCF" w:rsidP="008D2DC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Yes</w:t>
            </w:r>
          </w:p>
        </w:tc>
        <w:tc>
          <w:tcPr>
            <w:tcW w:w="857" w:type="dxa"/>
            <w:tcBorders>
              <w:top w:val="nil"/>
              <w:bottom w:val="nil"/>
            </w:tcBorders>
            <w:shd w:val="clear" w:color="000000" w:fill="FFFFFF"/>
            <w:noWrap/>
            <w:vAlign w:val="center"/>
          </w:tcPr>
          <w:p w14:paraId="71CD48C1" w14:textId="274BAE18" w:rsidR="008D2DCF" w:rsidRPr="00D309F4" w:rsidRDefault="008D2DCF"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393</w:t>
            </w:r>
          </w:p>
        </w:tc>
        <w:tc>
          <w:tcPr>
            <w:tcW w:w="771" w:type="dxa"/>
            <w:tcBorders>
              <w:top w:val="nil"/>
              <w:bottom w:val="nil"/>
            </w:tcBorders>
            <w:shd w:val="clear" w:color="000000" w:fill="FFFFFF"/>
            <w:vAlign w:val="center"/>
          </w:tcPr>
          <w:p w14:paraId="5C402F83" w14:textId="0914A4C9" w:rsidR="008D2DCF" w:rsidRPr="00D309F4" w:rsidRDefault="008D2DCF"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35.</w:t>
            </w:r>
            <w:r w:rsidR="00856282" w:rsidRPr="00D309F4">
              <w:rPr>
                <w:rFonts w:eastAsia="Times New Roman" w:cs="Times New Roman"/>
                <w:kern w:val="0"/>
                <w:sz w:val="20"/>
                <w:szCs w:val="20"/>
                <w14:ligatures w14:val="none"/>
              </w:rPr>
              <w:t>8</w:t>
            </w:r>
          </w:p>
        </w:tc>
        <w:tc>
          <w:tcPr>
            <w:tcW w:w="876" w:type="dxa"/>
            <w:tcBorders>
              <w:top w:val="nil"/>
              <w:bottom w:val="nil"/>
              <w:right w:val="single" w:sz="18" w:space="0" w:color="auto"/>
            </w:tcBorders>
            <w:shd w:val="clear" w:color="000000" w:fill="FFFFFF"/>
            <w:noWrap/>
            <w:vAlign w:val="center"/>
          </w:tcPr>
          <w:p w14:paraId="6B6CFCC9" w14:textId="6AD57F8B" w:rsidR="008D2DCF" w:rsidRPr="00D309F4" w:rsidRDefault="008D2DCF" w:rsidP="005361EF">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42.6</w:t>
            </w:r>
          </w:p>
        </w:tc>
      </w:tr>
      <w:tr w:rsidR="00070362" w:rsidRPr="00D309F4" w14:paraId="4A2473ED" w14:textId="77777777" w:rsidTr="00FD20AC">
        <w:trPr>
          <w:trHeight w:val="20"/>
          <w:jc w:val="center"/>
        </w:trPr>
        <w:tc>
          <w:tcPr>
            <w:tcW w:w="1777" w:type="dxa"/>
            <w:tcBorders>
              <w:left w:val="single" w:sz="18" w:space="0" w:color="auto"/>
            </w:tcBorders>
            <w:shd w:val="clear" w:color="000000" w:fill="FFFFFF"/>
            <w:noWrap/>
            <w:vAlign w:val="center"/>
            <w:hideMark/>
          </w:tcPr>
          <w:p w14:paraId="318D4BC0" w14:textId="64B45CFD" w:rsidR="008D2DCF" w:rsidRPr="00D309F4" w:rsidRDefault="008D2DCF" w:rsidP="008D2DC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2</w:t>
            </w:r>
            <w:r w:rsidR="00134756" w:rsidRPr="00D309F4">
              <w:rPr>
                <w:rFonts w:eastAsia="Times New Roman" w:cs="Times New Roman"/>
                <w:kern w:val="0"/>
                <w:sz w:val="20"/>
                <w:szCs w:val="20"/>
                <w14:ligatures w14:val="none"/>
              </w:rPr>
              <w:t>+</w:t>
            </w:r>
          </w:p>
        </w:tc>
        <w:tc>
          <w:tcPr>
            <w:tcW w:w="810" w:type="dxa"/>
            <w:shd w:val="clear" w:color="000000" w:fill="FFFFFF"/>
            <w:noWrap/>
            <w:vAlign w:val="center"/>
            <w:hideMark/>
          </w:tcPr>
          <w:p w14:paraId="149FD347" w14:textId="64B07BDB" w:rsidR="008D2DCF" w:rsidRPr="00D309F4" w:rsidRDefault="0013475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901</w:t>
            </w:r>
          </w:p>
        </w:tc>
        <w:tc>
          <w:tcPr>
            <w:tcW w:w="900" w:type="dxa"/>
            <w:shd w:val="clear" w:color="000000" w:fill="FFFFFF"/>
            <w:vAlign w:val="center"/>
          </w:tcPr>
          <w:p w14:paraId="6C15C176" w14:textId="418E7A4C" w:rsidR="008D2DCF" w:rsidRPr="00D309F4" w:rsidRDefault="00134756"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82</w:t>
            </w:r>
            <w:r w:rsidR="008D2DCF"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1</w:t>
            </w:r>
          </w:p>
        </w:tc>
        <w:tc>
          <w:tcPr>
            <w:tcW w:w="801" w:type="dxa"/>
            <w:tcBorders>
              <w:right w:val="single" w:sz="18" w:space="0" w:color="auto"/>
            </w:tcBorders>
            <w:shd w:val="clear" w:color="000000" w:fill="FFFFFF"/>
            <w:noWrap/>
            <w:vAlign w:val="center"/>
          </w:tcPr>
          <w:p w14:paraId="52790C0E" w14:textId="7AFC92D2" w:rsidR="008D2DCF" w:rsidRPr="00D309F4" w:rsidRDefault="009B324D"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w:t>
            </w:r>
            <w:r w:rsidR="00134756" w:rsidRPr="00D309F4">
              <w:rPr>
                <w:rFonts w:eastAsia="Times New Roman" w:cs="Times New Roman"/>
                <w:kern w:val="0"/>
                <w:sz w:val="20"/>
                <w:szCs w:val="20"/>
                <w14:ligatures w14:val="none"/>
              </w:rPr>
              <w:t>6</w:t>
            </w:r>
            <w:r w:rsidR="008D2DCF" w:rsidRPr="00D309F4">
              <w:rPr>
                <w:rFonts w:eastAsia="Times New Roman" w:cs="Times New Roman"/>
                <w:kern w:val="0"/>
                <w:sz w:val="20"/>
                <w:szCs w:val="20"/>
                <w14:ligatures w14:val="none"/>
              </w:rPr>
              <w:t>.</w:t>
            </w:r>
            <w:r w:rsidR="00134756" w:rsidRPr="00D309F4">
              <w:rPr>
                <w:rFonts w:eastAsia="Times New Roman" w:cs="Times New Roman"/>
                <w:kern w:val="0"/>
                <w:sz w:val="20"/>
                <w:szCs w:val="20"/>
                <w14:ligatures w14:val="none"/>
              </w:rPr>
              <w:t>1</w:t>
            </w:r>
          </w:p>
        </w:tc>
        <w:tc>
          <w:tcPr>
            <w:tcW w:w="2709" w:type="dxa"/>
            <w:tcBorders>
              <w:top w:val="nil"/>
              <w:left w:val="single" w:sz="18" w:space="0" w:color="auto"/>
              <w:bottom w:val="nil"/>
            </w:tcBorders>
            <w:shd w:val="clear" w:color="000000" w:fill="FFFFFF"/>
            <w:noWrap/>
            <w:vAlign w:val="center"/>
          </w:tcPr>
          <w:p w14:paraId="08D056F2" w14:textId="1B8AF262" w:rsidR="008D2DCF" w:rsidRPr="00D309F4" w:rsidRDefault="008D2DCF" w:rsidP="008D2DC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No</w:t>
            </w:r>
          </w:p>
        </w:tc>
        <w:tc>
          <w:tcPr>
            <w:tcW w:w="857" w:type="dxa"/>
            <w:tcBorders>
              <w:top w:val="nil"/>
              <w:bottom w:val="nil"/>
            </w:tcBorders>
            <w:shd w:val="clear" w:color="000000" w:fill="FFFFFF"/>
            <w:noWrap/>
            <w:vAlign w:val="center"/>
          </w:tcPr>
          <w:p w14:paraId="3BA43DEF" w14:textId="45AC3DA6" w:rsidR="008D2DCF" w:rsidRPr="00D309F4" w:rsidRDefault="008D2DCF"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w:t>
            </w:r>
            <w:r w:rsidR="00656697" w:rsidRPr="00D309F4">
              <w:rPr>
                <w:rFonts w:eastAsia="Times New Roman" w:cs="Times New Roman"/>
                <w:kern w:val="0"/>
                <w:sz w:val="20"/>
                <w:szCs w:val="20"/>
                <w14:ligatures w14:val="none"/>
              </w:rPr>
              <w:t>05</w:t>
            </w:r>
          </w:p>
        </w:tc>
        <w:tc>
          <w:tcPr>
            <w:tcW w:w="771" w:type="dxa"/>
            <w:tcBorders>
              <w:top w:val="nil"/>
              <w:bottom w:val="nil"/>
            </w:tcBorders>
            <w:shd w:val="clear" w:color="000000" w:fill="FFFFFF"/>
            <w:vAlign w:val="center"/>
          </w:tcPr>
          <w:p w14:paraId="77AAC8D1" w14:textId="4C956F6E" w:rsidR="008D2DCF" w:rsidRPr="00D309F4" w:rsidRDefault="008D2DCF" w:rsidP="009C4837">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64.</w:t>
            </w:r>
            <w:r w:rsidR="0045451B" w:rsidRPr="00D309F4">
              <w:rPr>
                <w:rFonts w:eastAsia="Times New Roman" w:cs="Times New Roman"/>
                <w:kern w:val="0"/>
                <w:sz w:val="20"/>
                <w:szCs w:val="20"/>
                <w14:ligatures w14:val="none"/>
              </w:rPr>
              <w:t>2</w:t>
            </w:r>
          </w:p>
        </w:tc>
        <w:tc>
          <w:tcPr>
            <w:tcW w:w="876" w:type="dxa"/>
            <w:tcBorders>
              <w:top w:val="nil"/>
              <w:bottom w:val="nil"/>
              <w:right w:val="single" w:sz="18" w:space="0" w:color="auto"/>
            </w:tcBorders>
            <w:shd w:val="clear" w:color="000000" w:fill="FFFFFF"/>
            <w:noWrap/>
            <w:vAlign w:val="center"/>
          </w:tcPr>
          <w:p w14:paraId="26E8C042" w14:textId="13C6ABB4" w:rsidR="008D2DCF" w:rsidRPr="00D309F4" w:rsidRDefault="008D2DCF" w:rsidP="005361EF">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57.7</w:t>
            </w:r>
          </w:p>
        </w:tc>
      </w:tr>
      <w:tr w:rsidR="009B324D" w:rsidRPr="00D309F4" w14:paraId="65CDAC38" w14:textId="77777777" w:rsidTr="00FD20AC">
        <w:trPr>
          <w:trHeight w:val="20"/>
          <w:jc w:val="center"/>
        </w:trPr>
        <w:tc>
          <w:tcPr>
            <w:tcW w:w="2587" w:type="dxa"/>
            <w:gridSpan w:val="2"/>
            <w:tcBorders>
              <w:left w:val="single" w:sz="18" w:space="0" w:color="auto"/>
            </w:tcBorders>
            <w:shd w:val="clear" w:color="000000" w:fill="FFFFFF"/>
            <w:noWrap/>
            <w:vAlign w:val="center"/>
            <w:hideMark/>
          </w:tcPr>
          <w:p w14:paraId="14FF0968" w14:textId="6E1A910D"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b/>
                <w:bCs/>
                <w:kern w:val="0"/>
                <w:sz w:val="20"/>
                <w:szCs w:val="20"/>
                <w14:ligatures w14:val="none"/>
              </w:rPr>
              <w:t>Household Income</w:t>
            </w:r>
          </w:p>
        </w:tc>
        <w:tc>
          <w:tcPr>
            <w:tcW w:w="900" w:type="dxa"/>
            <w:shd w:val="clear" w:color="000000" w:fill="FFFFFF"/>
            <w:vAlign w:val="center"/>
          </w:tcPr>
          <w:p w14:paraId="2949D91E" w14:textId="11F69CDD" w:rsidR="009B324D" w:rsidRPr="00D309F4" w:rsidRDefault="009B324D" w:rsidP="009C4837">
            <w:pPr>
              <w:spacing w:after="0" w:line="240" w:lineRule="auto"/>
              <w:jc w:val="center"/>
              <w:rPr>
                <w:rFonts w:eastAsia="Times New Roman" w:cs="Times New Roman"/>
                <w:kern w:val="0"/>
                <w:sz w:val="20"/>
                <w:szCs w:val="20"/>
                <w14:ligatures w14:val="none"/>
              </w:rPr>
            </w:pPr>
          </w:p>
        </w:tc>
        <w:tc>
          <w:tcPr>
            <w:tcW w:w="801" w:type="dxa"/>
            <w:tcBorders>
              <w:right w:val="single" w:sz="18" w:space="0" w:color="auto"/>
            </w:tcBorders>
            <w:shd w:val="clear" w:color="000000" w:fill="FFFFFF"/>
            <w:noWrap/>
            <w:vAlign w:val="center"/>
          </w:tcPr>
          <w:p w14:paraId="17189DFF" w14:textId="4699796D" w:rsidR="009B324D" w:rsidRPr="00D309F4" w:rsidRDefault="009B324D" w:rsidP="009C4837">
            <w:pPr>
              <w:spacing w:after="0" w:line="240" w:lineRule="auto"/>
              <w:jc w:val="center"/>
              <w:rPr>
                <w:rFonts w:eastAsia="Times New Roman" w:cs="Times New Roman"/>
                <w:kern w:val="0"/>
                <w:sz w:val="20"/>
                <w:szCs w:val="20"/>
                <w14:ligatures w14:val="none"/>
              </w:rPr>
            </w:pPr>
          </w:p>
        </w:tc>
        <w:tc>
          <w:tcPr>
            <w:tcW w:w="2709" w:type="dxa"/>
            <w:tcBorders>
              <w:top w:val="nil"/>
              <w:left w:val="single" w:sz="18" w:space="0" w:color="auto"/>
              <w:bottom w:val="nil"/>
            </w:tcBorders>
            <w:shd w:val="clear" w:color="000000" w:fill="FFFFFF"/>
            <w:noWrap/>
            <w:vAlign w:val="center"/>
          </w:tcPr>
          <w:p w14:paraId="2671F07E" w14:textId="0F87B357" w:rsidR="009B324D" w:rsidRPr="00D309F4" w:rsidRDefault="00156A15" w:rsidP="008D2DCF">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Household Type</w:t>
            </w:r>
          </w:p>
        </w:tc>
        <w:tc>
          <w:tcPr>
            <w:tcW w:w="857" w:type="dxa"/>
            <w:tcBorders>
              <w:top w:val="nil"/>
              <w:bottom w:val="nil"/>
            </w:tcBorders>
            <w:shd w:val="clear" w:color="000000" w:fill="FFFFFF"/>
            <w:noWrap/>
            <w:vAlign w:val="center"/>
          </w:tcPr>
          <w:p w14:paraId="7C23D5BB" w14:textId="0D15BFD0" w:rsidR="009B324D" w:rsidRPr="00D309F4" w:rsidRDefault="009B324D" w:rsidP="009C4837">
            <w:pPr>
              <w:spacing w:after="0" w:line="240" w:lineRule="auto"/>
              <w:jc w:val="center"/>
              <w:rPr>
                <w:rFonts w:eastAsia="Times New Roman" w:cs="Times New Roman"/>
                <w:kern w:val="0"/>
                <w:sz w:val="20"/>
                <w:szCs w:val="20"/>
                <w14:ligatures w14:val="none"/>
              </w:rPr>
            </w:pPr>
          </w:p>
        </w:tc>
        <w:tc>
          <w:tcPr>
            <w:tcW w:w="771" w:type="dxa"/>
            <w:tcBorders>
              <w:top w:val="nil"/>
              <w:bottom w:val="nil"/>
            </w:tcBorders>
            <w:shd w:val="clear" w:color="000000" w:fill="FFFFFF"/>
            <w:vAlign w:val="center"/>
          </w:tcPr>
          <w:p w14:paraId="46419161" w14:textId="0A5C2C22" w:rsidR="009B324D" w:rsidRPr="00D309F4" w:rsidRDefault="009B324D" w:rsidP="009C4837">
            <w:pPr>
              <w:spacing w:after="0" w:line="240" w:lineRule="auto"/>
              <w:jc w:val="center"/>
              <w:rPr>
                <w:rFonts w:eastAsia="Times New Roman" w:cs="Times New Roman"/>
                <w:kern w:val="0"/>
                <w:sz w:val="20"/>
                <w:szCs w:val="20"/>
                <w14:ligatures w14:val="none"/>
              </w:rPr>
            </w:pPr>
          </w:p>
        </w:tc>
        <w:tc>
          <w:tcPr>
            <w:tcW w:w="876" w:type="dxa"/>
            <w:tcBorders>
              <w:top w:val="nil"/>
              <w:bottom w:val="nil"/>
              <w:right w:val="single" w:sz="18" w:space="0" w:color="auto"/>
            </w:tcBorders>
            <w:shd w:val="clear" w:color="000000" w:fill="FFFFFF"/>
            <w:noWrap/>
            <w:vAlign w:val="center"/>
          </w:tcPr>
          <w:p w14:paraId="05CB5D79" w14:textId="185184B1" w:rsidR="009B324D" w:rsidRPr="00D309F4" w:rsidRDefault="009B324D" w:rsidP="005361EF">
            <w:pPr>
              <w:spacing w:after="0" w:line="240" w:lineRule="auto"/>
              <w:jc w:val="center"/>
              <w:rPr>
                <w:rFonts w:eastAsia="Times New Roman" w:cs="Times New Roman"/>
                <w:kern w:val="0"/>
                <w:sz w:val="20"/>
                <w:szCs w:val="20"/>
                <w14:ligatures w14:val="none"/>
              </w:rPr>
            </w:pPr>
          </w:p>
        </w:tc>
      </w:tr>
      <w:tr w:rsidR="009B324D" w:rsidRPr="00D309F4" w14:paraId="23B92983" w14:textId="77777777" w:rsidTr="00FD20AC">
        <w:trPr>
          <w:trHeight w:val="20"/>
          <w:jc w:val="center"/>
        </w:trPr>
        <w:tc>
          <w:tcPr>
            <w:tcW w:w="1777" w:type="dxa"/>
            <w:tcBorders>
              <w:left w:val="single" w:sz="18" w:space="0" w:color="auto"/>
            </w:tcBorders>
            <w:shd w:val="clear" w:color="000000" w:fill="FFFFFF"/>
            <w:noWrap/>
            <w:vAlign w:val="center"/>
          </w:tcPr>
          <w:p w14:paraId="1976B75D" w14:textId="671164B1"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0-99,999</w:t>
            </w:r>
          </w:p>
        </w:tc>
        <w:tc>
          <w:tcPr>
            <w:tcW w:w="810" w:type="dxa"/>
            <w:shd w:val="clear" w:color="000000" w:fill="FFFFFF"/>
            <w:noWrap/>
            <w:vAlign w:val="center"/>
          </w:tcPr>
          <w:p w14:paraId="7A653B08" w14:textId="4E5F9F7E"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490</w:t>
            </w:r>
          </w:p>
        </w:tc>
        <w:tc>
          <w:tcPr>
            <w:tcW w:w="900" w:type="dxa"/>
            <w:shd w:val="clear" w:color="000000" w:fill="FFFFFF"/>
            <w:vAlign w:val="center"/>
          </w:tcPr>
          <w:p w14:paraId="4A452A22" w14:textId="30E7B192"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44.6</w:t>
            </w:r>
          </w:p>
        </w:tc>
        <w:tc>
          <w:tcPr>
            <w:tcW w:w="801" w:type="dxa"/>
            <w:tcBorders>
              <w:right w:val="single" w:sz="18" w:space="0" w:color="auto"/>
            </w:tcBorders>
            <w:shd w:val="clear" w:color="000000" w:fill="FFFFFF"/>
            <w:noWrap/>
            <w:vAlign w:val="center"/>
          </w:tcPr>
          <w:p w14:paraId="1896905A" w14:textId="4393EF60"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53.6</w:t>
            </w:r>
          </w:p>
        </w:tc>
        <w:tc>
          <w:tcPr>
            <w:tcW w:w="2709" w:type="dxa"/>
            <w:tcBorders>
              <w:top w:val="nil"/>
              <w:left w:val="single" w:sz="18" w:space="0" w:color="auto"/>
              <w:bottom w:val="nil"/>
            </w:tcBorders>
            <w:shd w:val="clear" w:color="000000" w:fill="FFFFFF"/>
            <w:noWrap/>
            <w:vAlign w:val="center"/>
          </w:tcPr>
          <w:p w14:paraId="632C9CA4" w14:textId="7B65B071"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Single</w:t>
            </w:r>
            <w:r w:rsidR="00874CFC" w:rsidRPr="00D309F4">
              <w:rPr>
                <w:rFonts w:eastAsia="Times New Roman" w:cs="Times New Roman"/>
                <w:kern w:val="0"/>
                <w:sz w:val="20"/>
                <w:szCs w:val="20"/>
                <w14:ligatures w14:val="none"/>
              </w:rPr>
              <w:t>-</w:t>
            </w:r>
            <w:r w:rsidR="0097080D" w:rsidRPr="00D309F4">
              <w:rPr>
                <w:rFonts w:eastAsia="Times New Roman" w:cs="Times New Roman"/>
                <w:kern w:val="0"/>
                <w:sz w:val="20"/>
                <w:szCs w:val="20"/>
                <w14:ligatures w14:val="none"/>
              </w:rPr>
              <w:t>f</w:t>
            </w:r>
            <w:r w:rsidRPr="00D309F4">
              <w:rPr>
                <w:rFonts w:eastAsia="Times New Roman" w:cs="Times New Roman"/>
                <w:kern w:val="0"/>
                <w:sz w:val="20"/>
                <w:szCs w:val="20"/>
                <w14:ligatures w14:val="none"/>
              </w:rPr>
              <w:t>amily</w:t>
            </w:r>
            <w:r w:rsidR="00874CFC" w:rsidRPr="00D309F4">
              <w:rPr>
                <w:rFonts w:eastAsia="Times New Roman" w:cs="Times New Roman"/>
                <w:kern w:val="0"/>
                <w:sz w:val="20"/>
                <w:szCs w:val="20"/>
                <w14:ligatures w14:val="none"/>
              </w:rPr>
              <w:t xml:space="preserve"> </w:t>
            </w:r>
            <w:r w:rsidR="0097080D" w:rsidRPr="00D309F4">
              <w:rPr>
                <w:rFonts w:eastAsia="Times New Roman" w:cs="Times New Roman"/>
                <w:kern w:val="0"/>
                <w:sz w:val="20"/>
                <w:szCs w:val="20"/>
                <w14:ligatures w14:val="none"/>
              </w:rPr>
              <w:t>h</w:t>
            </w:r>
            <w:r w:rsidR="00874CFC" w:rsidRPr="00D309F4">
              <w:rPr>
                <w:rFonts w:eastAsia="Times New Roman" w:cs="Times New Roman"/>
                <w:kern w:val="0"/>
                <w:sz w:val="20"/>
                <w:szCs w:val="20"/>
                <w14:ligatures w14:val="none"/>
              </w:rPr>
              <w:t>ome</w:t>
            </w:r>
          </w:p>
        </w:tc>
        <w:tc>
          <w:tcPr>
            <w:tcW w:w="857" w:type="dxa"/>
            <w:tcBorders>
              <w:top w:val="nil"/>
              <w:bottom w:val="nil"/>
            </w:tcBorders>
            <w:shd w:val="clear" w:color="000000" w:fill="FFFFFF"/>
            <w:noWrap/>
            <w:vAlign w:val="center"/>
          </w:tcPr>
          <w:p w14:paraId="41823883" w14:textId="2DB1F063"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937</w:t>
            </w:r>
          </w:p>
        </w:tc>
        <w:tc>
          <w:tcPr>
            <w:tcW w:w="771" w:type="dxa"/>
            <w:tcBorders>
              <w:top w:val="nil"/>
              <w:bottom w:val="nil"/>
            </w:tcBorders>
            <w:shd w:val="clear" w:color="000000" w:fill="FFFFFF"/>
            <w:vAlign w:val="center"/>
          </w:tcPr>
          <w:p w14:paraId="5231BB1E" w14:textId="1E5FD385"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85.3</w:t>
            </w:r>
          </w:p>
        </w:tc>
        <w:tc>
          <w:tcPr>
            <w:tcW w:w="876" w:type="dxa"/>
            <w:tcBorders>
              <w:top w:val="nil"/>
              <w:bottom w:val="nil"/>
              <w:right w:val="single" w:sz="18" w:space="0" w:color="auto"/>
            </w:tcBorders>
            <w:shd w:val="clear" w:color="000000" w:fill="FFFFFF"/>
            <w:noWrap/>
            <w:vAlign w:val="center"/>
          </w:tcPr>
          <w:p w14:paraId="3BBED9E0" w14:textId="5D4248B7"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65.2</w:t>
            </w:r>
          </w:p>
        </w:tc>
      </w:tr>
      <w:tr w:rsidR="009B324D" w:rsidRPr="00D309F4" w14:paraId="05E5BF39" w14:textId="77777777" w:rsidTr="00FD20AC">
        <w:trPr>
          <w:trHeight w:val="20"/>
          <w:jc w:val="center"/>
        </w:trPr>
        <w:tc>
          <w:tcPr>
            <w:tcW w:w="1777" w:type="dxa"/>
            <w:tcBorders>
              <w:left w:val="single" w:sz="18" w:space="0" w:color="auto"/>
            </w:tcBorders>
            <w:shd w:val="clear" w:color="000000" w:fill="FFFFFF"/>
            <w:noWrap/>
            <w:vAlign w:val="center"/>
          </w:tcPr>
          <w:p w14:paraId="117A56D7" w14:textId="1D531EB4"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100,000-199,999</w:t>
            </w:r>
          </w:p>
        </w:tc>
        <w:tc>
          <w:tcPr>
            <w:tcW w:w="810" w:type="dxa"/>
            <w:shd w:val="clear" w:color="000000" w:fill="FFFFFF"/>
            <w:noWrap/>
            <w:vAlign w:val="center"/>
          </w:tcPr>
          <w:p w14:paraId="1D623E30" w14:textId="6FCCC8B8"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377</w:t>
            </w:r>
          </w:p>
        </w:tc>
        <w:tc>
          <w:tcPr>
            <w:tcW w:w="900" w:type="dxa"/>
            <w:shd w:val="clear" w:color="000000" w:fill="FFFFFF"/>
            <w:vAlign w:val="center"/>
          </w:tcPr>
          <w:p w14:paraId="6C3C1E79" w14:textId="2231B8B1"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34.3</w:t>
            </w:r>
          </w:p>
        </w:tc>
        <w:tc>
          <w:tcPr>
            <w:tcW w:w="801" w:type="dxa"/>
            <w:tcBorders>
              <w:right w:val="single" w:sz="18" w:space="0" w:color="auto"/>
            </w:tcBorders>
            <w:shd w:val="clear" w:color="000000" w:fill="FFFFFF"/>
            <w:noWrap/>
            <w:vAlign w:val="center"/>
          </w:tcPr>
          <w:p w14:paraId="5CF8873C" w14:textId="68872ABA"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28.5</w:t>
            </w:r>
          </w:p>
        </w:tc>
        <w:tc>
          <w:tcPr>
            <w:tcW w:w="2709" w:type="dxa"/>
            <w:tcBorders>
              <w:top w:val="nil"/>
              <w:left w:val="single" w:sz="18" w:space="0" w:color="auto"/>
              <w:bottom w:val="nil"/>
            </w:tcBorders>
            <w:shd w:val="clear" w:color="000000" w:fill="FFFFFF"/>
            <w:noWrap/>
            <w:vAlign w:val="center"/>
          </w:tcPr>
          <w:p w14:paraId="4568F3CB" w14:textId="7AC84380" w:rsidR="009B324D" w:rsidRPr="00D309F4" w:rsidRDefault="00874CFC" w:rsidP="009B324D">
            <w:pPr>
              <w:spacing w:after="0" w:line="240" w:lineRule="auto"/>
              <w:rPr>
                <w:rFonts w:eastAsia="Times New Roman" w:cs="Times New Roman"/>
                <w:b/>
                <w:bCs/>
                <w:kern w:val="0"/>
                <w:sz w:val="20"/>
                <w:szCs w:val="20"/>
                <w14:ligatures w14:val="none"/>
              </w:rPr>
            </w:pPr>
            <w:r w:rsidRPr="00D309F4">
              <w:rPr>
                <w:rFonts w:eastAsia="Times New Roman" w:cs="Times New Roman"/>
                <w:kern w:val="0"/>
                <w:sz w:val="20"/>
                <w:szCs w:val="20"/>
                <w14:ligatures w14:val="none"/>
              </w:rPr>
              <w:t xml:space="preserve">Multifamily </w:t>
            </w:r>
            <w:r w:rsidR="0097080D" w:rsidRPr="00D309F4">
              <w:rPr>
                <w:rFonts w:eastAsia="Times New Roman" w:cs="Times New Roman"/>
                <w:kern w:val="0"/>
                <w:sz w:val="20"/>
                <w:szCs w:val="20"/>
                <w14:ligatures w14:val="none"/>
              </w:rPr>
              <w:t>h</w:t>
            </w:r>
            <w:r w:rsidRPr="00D309F4">
              <w:rPr>
                <w:rFonts w:eastAsia="Times New Roman" w:cs="Times New Roman"/>
                <w:kern w:val="0"/>
                <w:sz w:val="20"/>
                <w:szCs w:val="20"/>
                <w14:ligatures w14:val="none"/>
              </w:rPr>
              <w:t xml:space="preserve">ome or </w:t>
            </w:r>
            <w:r w:rsidR="0097080D" w:rsidRPr="00D309F4">
              <w:rPr>
                <w:rFonts w:eastAsia="Times New Roman" w:cs="Times New Roman"/>
                <w:kern w:val="0"/>
                <w:sz w:val="20"/>
                <w:szCs w:val="20"/>
                <w14:ligatures w14:val="none"/>
              </w:rPr>
              <w:t>a</w:t>
            </w:r>
            <w:r w:rsidRPr="00D309F4">
              <w:rPr>
                <w:rFonts w:eastAsia="Times New Roman" w:cs="Times New Roman"/>
                <w:kern w:val="0"/>
                <w:sz w:val="20"/>
                <w:szCs w:val="20"/>
                <w14:ligatures w14:val="none"/>
              </w:rPr>
              <w:t>partment</w:t>
            </w:r>
          </w:p>
        </w:tc>
        <w:tc>
          <w:tcPr>
            <w:tcW w:w="857" w:type="dxa"/>
            <w:tcBorders>
              <w:top w:val="nil"/>
              <w:bottom w:val="nil"/>
            </w:tcBorders>
            <w:shd w:val="clear" w:color="000000" w:fill="FFFFFF"/>
            <w:noWrap/>
            <w:vAlign w:val="center"/>
          </w:tcPr>
          <w:p w14:paraId="665D9B45" w14:textId="56CC295E"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161</w:t>
            </w:r>
          </w:p>
        </w:tc>
        <w:tc>
          <w:tcPr>
            <w:tcW w:w="771" w:type="dxa"/>
            <w:tcBorders>
              <w:top w:val="nil"/>
              <w:bottom w:val="nil"/>
            </w:tcBorders>
            <w:shd w:val="clear" w:color="000000" w:fill="FFFFFF"/>
            <w:vAlign w:val="center"/>
          </w:tcPr>
          <w:p w14:paraId="5F9C3A12" w14:textId="715BEF5C"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14.7</w:t>
            </w:r>
          </w:p>
        </w:tc>
        <w:tc>
          <w:tcPr>
            <w:tcW w:w="876" w:type="dxa"/>
            <w:tcBorders>
              <w:top w:val="nil"/>
              <w:bottom w:val="nil"/>
              <w:right w:val="single" w:sz="18" w:space="0" w:color="auto"/>
            </w:tcBorders>
            <w:shd w:val="clear" w:color="000000" w:fill="FFFFFF"/>
            <w:noWrap/>
            <w:vAlign w:val="center"/>
          </w:tcPr>
          <w:p w14:paraId="301A8ED1" w14:textId="6EFA920F"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34.8</w:t>
            </w:r>
          </w:p>
        </w:tc>
      </w:tr>
      <w:tr w:rsidR="009B324D" w:rsidRPr="00D309F4" w14:paraId="6EC4AF22" w14:textId="77777777" w:rsidTr="00FD20AC">
        <w:trPr>
          <w:trHeight w:val="20"/>
          <w:jc w:val="center"/>
        </w:trPr>
        <w:tc>
          <w:tcPr>
            <w:tcW w:w="1777" w:type="dxa"/>
            <w:tcBorders>
              <w:left w:val="single" w:sz="18" w:space="0" w:color="auto"/>
            </w:tcBorders>
            <w:shd w:val="clear" w:color="000000" w:fill="FFFFFF"/>
            <w:noWrap/>
            <w:vAlign w:val="center"/>
          </w:tcPr>
          <w:p w14:paraId="4FE52319" w14:textId="77777777" w:rsidR="009B324D" w:rsidRPr="00D309F4" w:rsidRDefault="009B324D" w:rsidP="009B324D">
            <w:pPr>
              <w:spacing w:after="0" w:line="240" w:lineRule="auto"/>
              <w:rPr>
                <w:rFonts w:eastAsia="Times New Roman" w:cs="Times New Roman"/>
                <w:b/>
                <w:bCs/>
                <w:kern w:val="0"/>
                <w:sz w:val="20"/>
                <w:szCs w:val="20"/>
                <w14:ligatures w14:val="none"/>
              </w:rPr>
            </w:pPr>
            <w:r w:rsidRPr="00D309F4">
              <w:rPr>
                <w:rFonts w:eastAsia="Times New Roman" w:cs="Times New Roman"/>
                <w:kern w:val="0"/>
                <w:sz w:val="20"/>
                <w:szCs w:val="20"/>
                <w14:ligatures w14:val="none"/>
              </w:rPr>
              <w:t>200,000+</w:t>
            </w:r>
          </w:p>
        </w:tc>
        <w:tc>
          <w:tcPr>
            <w:tcW w:w="810" w:type="dxa"/>
            <w:shd w:val="clear" w:color="000000" w:fill="FFFFFF"/>
            <w:vAlign w:val="center"/>
          </w:tcPr>
          <w:p w14:paraId="59E59245" w14:textId="2C7C9F37" w:rsidR="009B324D" w:rsidRPr="00D309F4" w:rsidRDefault="009B324D" w:rsidP="009B324D">
            <w:pPr>
              <w:spacing w:after="0" w:line="240" w:lineRule="auto"/>
              <w:jc w:val="center"/>
              <w:rPr>
                <w:rFonts w:eastAsia="Times New Roman" w:cs="Times New Roman"/>
                <w:b/>
                <w:bCs/>
                <w:kern w:val="0"/>
                <w:sz w:val="20"/>
                <w:szCs w:val="20"/>
                <w14:ligatures w14:val="none"/>
              </w:rPr>
            </w:pPr>
            <w:r w:rsidRPr="00D309F4">
              <w:rPr>
                <w:rFonts w:eastAsia="Times New Roman" w:cs="Times New Roman"/>
                <w:kern w:val="0"/>
                <w:sz w:val="20"/>
                <w:szCs w:val="20"/>
                <w14:ligatures w14:val="none"/>
              </w:rPr>
              <w:t>231</w:t>
            </w:r>
          </w:p>
        </w:tc>
        <w:tc>
          <w:tcPr>
            <w:tcW w:w="900" w:type="dxa"/>
            <w:shd w:val="clear" w:color="000000" w:fill="FFFFFF"/>
            <w:vAlign w:val="center"/>
          </w:tcPr>
          <w:p w14:paraId="6995B8D3" w14:textId="2BABB346"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21.1</w:t>
            </w:r>
          </w:p>
        </w:tc>
        <w:tc>
          <w:tcPr>
            <w:tcW w:w="801" w:type="dxa"/>
            <w:tcBorders>
              <w:right w:val="single" w:sz="18" w:space="0" w:color="auto"/>
            </w:tcBorders>
            <w:shd w:val="clear" w:color="000000" w:fill="FFFFFF"/>
            <w:noWrap/>
            <w:vAlign w:val="center"/>
          </w:tcPr>
          <w:p w14:paraId="5729537B" w14:textId="75095B92"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17.9</w:t>
            </w:r>
          </w:p>
        </w:tc>
        <w:tc>
          <w:tcPr>
            <w:tcW w:w="2709" w:type="dxa"/>
            <w:tcBorders>
              <w:top w:val="nil"/>
              <w:left w:val="single" w:sz="18" w:space="0" w:color="auto"/>
              <w:bottom w:val="nil"/>
            </w:tcBorders>
            <w:shd w:val="clear" w:color="000000" w:fill="FFFFFF"/>
            <w:noWrap/>
            <w:vAlign w:val="center"/>
          </w:tcPr>
          <w:p w14:paraId="18484224" w14:textId="602AB8FF" w:rsidR="009B324D" w:rsidRPr="00D309F4" w:rsidRDefault="009B324D" w:rsidP="009B324D">
            <w:pPr>
              <w:spacing w:after="0" w:line="240" w:lineRule="auto"/>
              <w:rPr>
                <w:rFonts w:eastAsia="Times New Roman" w:cs="Times New Roman"/>
                <w:kern w:val="0"/>
                <w:sz w:val="20"/>
                <w:szCs w:val="20"/>
                <w14:ligatures w14:val="none"/>
              </w:rPr>
            </w:pPr>
          </w:p>
        </w:tc>
        <w:tc>
          <w:tcPr>
            <w:tcW w:w="857" w:type="dxa"/>
            <w:tcBorders>
              <w:top w:val="nil"/>
              <w:bottom w:val="nil"/>
            </w:tcBorders>
            <w:shd w:val="clear" w:color="000000" w:fill="FFFFFF"/>
            <w:vAlign w:val="center"/>
          </w:tcPr>
          <w:p w14:paraId="4B1C4363" w14:textId="65AE060B" w:rsidR="009B324D" w:rsidRPr="00D309F4" w:rsidRDefault="009B324D" w:rsidP="009B324D">
            <w:pPr>
              <w:spacing w:after="0" w:line="240" w:lineRule="auto"/>
              <w:jc w:val="center"/>
              <w:rPr>
                <w:rFonts w:eastAsia="Times New Roman" w:cs="Times New Roman"/>
                <w:kern w:val="0"/>
                <w:sz w:val="20"/>
                <w:szCs w:val="20"/>
                <w14:ligatures w14:val="none"/>
              </w:rPr>
            </w:pPr>
          </w:p>
        </w:tc>
        <w:tc>
          <w:tcPr>
            <w:tcW w:w="771" w:type="dxa"/>
            <w:tcBorders>
              <w:top w:val="nil"/>
              <w:bottom w:val="nil"/>
            </w:tcBorders>
            <w:shd w:val="clear" w:color="000000" w:fill="FFFFFF"/>
            <w:vAlign w:val="center"/>
          </w:tcPr>
          <w:p w14:paraId="45675923" w14:textId="3561029D" w:rsidR="009B324D" w:rsidRPr="00D309F4" w:rsidRDefault="009B324D" w:rsidP="009B324D">
            <w:pPr>
              <w:spacing w:after="0" w:line="240" w:lineRule="auto"/>
              <w:jc w:val="center"/>
              <w:rPr>
                <w:rFonts w:eastAsia="Times New Roman" w:cs="Times New Roman"/>
                <w:kern w:val="0"/>
                <w:sz w:val="20"/>
                <w:szCs w:val="20"/>
                <w14:ligatures w14:val="none"/>
              </w:rPr>
            </w:pPr>
          </w:p>
        </w:tc>
        <w:tc>
          <w:tcPr>
            <w:tcW w:w="876" w:type="dxa"/>
            <w:tcBorders>
              <w:top w:val="nil"/>
              <w:bottom w:val="nil"/>
              <w:right w:val="single" w:sz="18" w:space="0" w:color="auto"/>
            </w:tcBorders>
            <w:shd w:val="clear" w:color="000000" w:fill="FFFFFF"/>
            <w:noWrap/>
            <w:vAlign w:val="center"/>
          </w:tcPr>
          <w:p w14:paraId="66FF64A3" w14:textId="2B13E5BB" w:rsidR="009B324D" w:rsidRPr="00D309F4" w:rsidRDefault="009B324D" w:rsidP="009B324D">
            <w:pPr>
              <w:spacing w:after="0" w:line="240" w:lineRule="auto"/>
              <w:jc w:val="center"/>
              <w:rPr>
                <w:rFonts w:eastAsia="Times New Roman" w:cs="Times New Roman"/>
                <w:kern w:val="0"/>
                <w:sz w:val="20"/>
                <w:szCs w:val="20"/>
                <w14:ligatures w14:val="none"/>
              </w:rPr>
            </w:pPr>
          </w:p>
        </w:tc>
      </w:tr>
      <w:tr w:rsidR="009B324D" w:rsidRPr="00D309F4" w14:paraId="39F7EC96" w14:textId="77777777" w:rsidTr="00FD20AC">
        <w:trPr>
          <w:trHeight w:val="20"/>
          <w:jc w:val="center"/>
        </w:trPr>
        <w:tc>
          <w:tcPr>
            <w:tcW w:w="9497" w:type="dxa"/>
            <w:gridSpan w:val="8"/>
            <w:tcBorders>
              <w:top w:val="single" w:sz="18" w:space="0" w:color="auto"/>
              <w:left w:val="single" w:sz="18" w:space="0" w:color="auto"/>
              <w:bottom w:val="single" w:sz="18" w:space="0" w:color="auto"/>
              <w:right w:val="single" w:sz="18" w:space="0" w:color="auto"/>
            </w:tcBorders>
            <w:shd w:val="clear" w:color="000000" w:fill="FFFFFF"/>
            <w:noWrap/>
            <w:vAlign w:val="center"/>
          </w:tcPr>
          <w:p w14:paraId="79DD4DA0" w14:textId="1A3025DE"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i/>
                <w:iCs/>
                <w:kern w:val="0"/>
                <w:sz w:val="20"/>
                <w:szCs w:val="20"/>
                <w14:ligatures w14:val="none"/>
              </w:rPr>
              <w:t>Residential Location</w:t>
            </w:r>
          </w:p>
        </w:tc>
      </w:tr>
      <w:tr w:rsidR="009B324D" w:rsidRPr="00D309F4" w14:paraId="6B64FD87" w14:textId="77777777" w:rsidTr="00FD20AC">
        <w:trPr>
          <w:trHeight w:val="20"/>
          <w:jc w:val="center"/>
        </w:trPr>
        <w:tc>
          <w:tcPr>
            <w:tcW w:w="2587" w:type="dxa"/>
            <w:gridSpan w:val="2"/>
            <w:tcBorders>
              <w:top w:val="single" w:sz="18" w:space="0" w:color="auto"/>
              <w:left w:val="single" w:sz="18" w:space="0" w:color="auto"/>
              <w:bottom w:val="nil"/>
            </w:tcBorders>
            <w:shd w:val="clear" w:color="000000" w:fill="FFFFFF"/>
            <w:noWrap/>
            <w:vAlign w:val="center"/>
          </w:tcPr>
          <w:p w14:paraId="30849F03" w14:textId="49E36FC5" w:rsidR="009B324D" w:rsidRPr="00D309F4" w:rsidRDefault="009B324D" w:rsidP="009B324D">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Population Density</w:t>
            </w:r>
          </w:p>
        </w:tc>
        <w:tc>
          <w:tcPr>
            <w:tcW w:w="900" w:type="dxa"/>
            <w:tcBorders>
              <w:top w:val="single" w:sz="18" w:space="0" w:color="auto"/>
              <w:bottom w:val="nil"/>
            </w:tcBorders>
            <w:shd w:val="clear" w:color="000000" w:fill="FFFFFF"/>
            <w:vAlign w:val="center"/>
          </w:tcPr>
          <w:p w14:paraId="6AD50E94" w14:textId="77777777" w:rsidR="009B324D" w:rsidRPr="00D309F4" w:rsidRDefault="009B324D" w:rsidP="009B324D">
            <w:pPr>
              <w:spacing w:after="0" w:line="240" w:lineRule="auto"/>
              <w:jc w:val="center"/>
              <w:rPr>
                <w:rFonts w:eastAsia="Times New Roman" w:cs="Times New Roman"/>
                <w:kern w:val="0"/>
                <w:sz w:val="20"/>
                <w:szCs w:val="20"/>
                <w14:ligatures w14:val="none"/>
              </w:rPr>
            </w:pPr>
          </w:p>
        </w:tc>
        <w:tc>
          <w:tcPr>
            <w:tcW w:w="801" w:type="dxa"/>
            <w:tcBorders>
              <w:top w:val="single" w:sz="18" w:space="0" w:color="auto"/>
              <w:bottom w:val="nil"/>
              <w:right w:val="single" w:sz="18" w:space="0" w:color="auto"/>
            </w:tcBorders>
            <w:shd w:val="clear" w:color="000000" w:fill="FFFFFF"/>
            <w:noWrap/>
            <w:vAlign w:val="bottom"/>
          </w:tcPr>
          <w:p w14:paraId="0A9D3CF7" w14:textId="77777777" w:rsidR="009B324D" w:rsidRPr="00D309F4" w:rsidRDefault="009B324D" w:rsidP="009B324D">
            <w:pPr>
              <w:spacing w:after="0" w:line="240" w:lineRule="auto"/>
              <w:jc w:val="center"/>
              <w:rPr>
                <w:rFonts w:eastAsia="Times New Roman" w:cs="Times New Roman"/>
                <w:kern w:val="0"/>
                <w:sz w:val="20"/>
                <w:szCs w:val="20"/>
                <w14:ligatures w14:val="none"/>
              </w:rPr>
            </w:pPr>
          </w:p>
        </w:tc>
        <w:tc>
          <w:tcPr>
            <w:tcW w:w="2709" w:type="dxa"/>
            <w:tcBorders>
              <w:top w:val="single" w:sz="18" w:space="0" w:color="auto"/>
              <w:left w:val="single" w:sz="18" w:space="0" w:color="auto"/>
              <w:bottom w:val="nil"/>
            </w:tcBorders>
            <w:shd w:val="clear" w:color="000000" w:fill="FFFFFF"/>
            <w:noWrap/>
            <w:vAlign w:val="bottom"/>
          </w:tcPr>
          <w:p w14:paraId="4D388EE5" w14:textId="5FA492BB" w:rsidR="009B324D" w:rsidRPr="00D309F4" w:rsidRDefault="009B324D" w:rsidP="009B324D">
            <w:pPr>
              <w:spacing w:after="0" w:line="240" w:lineRule="auto"/>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Charging Density</w:t>
            </w:r>
          </w:p>
        </w:tc>
        <w:tc>
          <w:tcPr>
            <w:tcW w:w="857" w:type="dxa"/>
            <w:tcBorders>
              <w:top w:val="single" w:sz="18" w:space="0" w:color="auto"/>
              <w:bottom w:val="nil"/>
            </w:tcBorders>
            <w:shd w:val="clear" w:color="000000" w:fill="FFFFFF"/>
            <w:vAlign w:val="center"/>
          </w:tcPr>
          <w:p w14:paraId="0DCEC5C1" w14:textId="77777777" w:rsidR="009B324D" w:rsidRPr="00D309F4" w:rsidRDefault="009B324D" w:rsidP="009B324D">
            <w:pPr>
              <w:spacing w:after="0" w:line="240" w:lineRule="auto"/>
              <w:jc w:val="center"/>
              <w:rPr>
                <w:rFonts w:eastAsia="Times New Roman" w:cs="Times New Roman"/>
                <w:kern w:val="0"/>
                <w:sz w:val="20"/>
                <w:szCs w:val="20"/>
                <w14:ligatures w14:val="none"/>
              </w:rPr>
            </w:pPr>
          </w:p>
        </w:tc>
        <w:tc>
          <w:tcPr>
            <w:tcW w:w="771" w:type="dxa"/>
            <w:tcBorders>
              <w:top w:val="single" w:sz="18" w:space="0" w:color="auto"/>
              <w:bottom w:val="nil"/>
            </w:tcBorders>
            <w:shd w:val="clear" w:color="000000" w:fill="FFFFFF"/>
            <w:vAlign w:val="center"/>
          </w:tcPr>
          <w:p w14:paraId="5085396E" w14:textId="77777777" w:rsidR="009B324D" w:rsidRPr="00D309F4" w:rsidRDefault="009B324D" w:rsidP="009B324D">
            <w:pPr>
              <w:spacing w:after="0" w:line="240" w:lineRule="auto"/>
              <w:jc w:val="center"/>
              <w:rPr>
                <w:rFonts w:eastAsia="Times New Roman" w:cs="Times New Roman"/>
                <w:kern w:val="0"/>
                <w:sz w:val="20"/>
                <w:szCs w:val="20"/>
                <w14:ligatures w14:val="none"/>
              </w:rPr>
            </w:pPr>
          </w:p>
        </w:tc>
        <w:tc>
          <w:tcPr>
            <w:tcW w:w="876" w:type="dxa"/>
            <w:tcBorders>
              <w:top w:val="single" w:sz="18" w:space="0" w:color="auto"/>
              <w:bottom w:val="nil"/>
              <w:right w:val="single" w:sz="18" w:space="0" w:color="auto"/>
            </w:tcBorders>
            <w:shd w:val="clear" w:color="000000" w:fill="FFFFFF"/>
            <w:noWrap/>
            <w:vAlign w:val="center"/>
          </w:tcPr>
          <w:p w14:paraId="21F91345" w14:textId="77777777" w:rsidR="009B324D" w:rsidRPr="00D309F4" w:rsidRDefault="009B324D" w:rsidP="009B324D">
            <w:pPr>
              <w:spacing w:after="0" w:line="240" w:lineRule="auto"/>
              <w:jc w:val="center"/>
              <w:rPr>
                <w:rFonts w:eastAsia="Times New Roman" w:cs="Times New Roman"/>
                <w:kern w:val="0"/>
                <w:sz w:val="20"/>
                <w:szCs w:val="20"/>
                <w14:ligatures w14:val="none"/>
              </w:rPr>
            </w:pPr>
          </w:p>
        </w:tc>
      </w:tr>
      <w:tr w:rsidR="009B324D" w:rsidRPr="00D309F4" w14:paraId="7C8A7293" w14:textId="77777777" w:rsidTr="00FD20AC">
        <w:trPr>
          <w:trHeight w:val="20"/>
          <w:jc w:val="center"/>
        </w:trPr>
        <w:tc>
          <w:tcPr>
            <w:tcW w:w="1777" w:type="dxa"/>
            <w:tcBorders>
              <w:top w:val="nil"/>
              <w:left w:val="single" w:sz="18" w:space="0" w:color="auto"/>
              <w:bottom w:val="nil"/>
            </w:tcBorders>
            <w:shd w:val="clear" w:color="000000" w:fill="FFFFFF"/>
            <w:noWrap/>
            <w:vAlign w:val="center"/>
          </w:tcPr>
          <w:p w14:paraId="24FCEE0C" w14:textId="5DB9AB7F"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Low</w:t>
            </w:r>
          </w:p>
        </w:tc>
        <w:tc>
          <w:tcPr>
            <w:tcW w:w="810" w:type="dxa"/>
            <w:tcBorders>
              <w:top w:val="nil"/>
              <w:bottom w:val="nil"/>
            </w:tcBorders>
            <w:shd w:val="clear" w:color="000000" w:fill="FFFFFF"/>
            <w:noWrap/>
            <w:vAlign w:val="center"/>
          </w:tcPr>
          <w:p w14:paraId="1644FC0F" w14:textId="058247A3"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708</w:t>
            </w:r>
          </w:p>
        </w:tc>
        <w:tc>
          <w:tcPr>
            <w:tcW w:w="900" w:type="dxa"/>
            <w:tcBorders>
              <w:top w:val="nil"/>
              <w:bottom w:val="nil"/>
            </w:tcBorders>
            <w:shd w:val="clear" w:color="000000" w:fill="FFFFFF"/>
            <w:vAlign w:val="center"/>
          </w:tcPr>
          <w:p w14:paraId="6F8679AD" w14:textId="373C276A"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64.5</w:t>
            </w:r>
          </w:p>
        </w:tc>
        <w:tc>
          <w:tcPr>
            <w:tcW w:w="801" w:type="dxa"/>
            <w:tcBorders>
              <w:top w:val="nil"/>
              <w:bottom w:val="nil"/>
              <w:right w:val="single" w:sz="18" w:space="0" w:color="auto"/>
            </w:tcBorders>
            <w:shd w:val="clear" w:color="000000" w:fill="FFFFFF"/>
            <w:noWrap/>
            <w:vAlign w:val="center"/>
          </w:tcPr>
          <w:p w14:paraId="14F6E4D3" w14:textId="05F2D251" w:rsidR="009B324D" w:rsidRPr="00D309F4" w:rsidRDefault="009B324D" w:rsidP="009B324D">
            <w:pPr>
              <w:tabs>
                <w:tab w:val="decimal" w:pos="169"/>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61.6</w:t>
            </w:r>
          </w:p>
        </w:tc>
        <w:tc>
          <w:tcPr>
            <w:tcW w:w="2709" w:type="dxa"/>
            <w:tcBorders>
              <w:top w:val="nil"/>
              <w:left w:val="single" w:sz="18" w:space="0" w:color="auto"/>
              <w:bottom w:val="nil"/>
            </w:tcBorders>
            <w:shd w:val="clear" w:color="000000" w:fill="FFFFFF"/>
            <w:noWrap/>
            <w:vAlign w:val="bottom"/>
          </w:tcPr>
          <w:p w14:paraId="5EB5399C" w14:textId="2E2ED54E"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Low</w:t>
            </w:r>
          </w:p>
        </w:tc>
        <w:tc>
          <w:tcPr>
            <w:tcW w:w="857" w:type="dxa"/>
            <w:tcBorders>
              <w:top w:val="nil"/>
              <w:bottom w:val="nil"/>
            </w:tcBorders>
            <w:shd w:val="clear" w:color="000000" w:fill="FFFFFF"/>
            <w:vAlign w:val="center"/>
          </w:tcPr>
          <w:p w14:paraId="696FF008" w14:textId="7B958391"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400</w:t>
            </w:r>
          </w:p>
        </w:tc>
        <w:tc>
          <w:tcPr>
            <w:tcW w:w="771" w:type="dxa"/>
            <w:tcBorders>
              <w:top w:val="nil"/>
              <w:bottom w:val="nil"/>
            </w:tcBorders>
            <w:shd w:val="clear" w:color="000000" w:fill="FFFFFF"/>
            <w:vAlign w:val="center"/>
          </w:tcPr>
          <w:p w14:paraId="0658655C" w14:textId="0AAC80F0"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36.4</w:t>
            </w:r>
          </w:p>
        </w:tc>
        <w:tc>
          <w:tcPr>
            <w:tcW w:w="876" w:type="dxa"/>
            <w:tcBorders>
              <w:top w:val="nil"/>
              <w:bottom w:val="nil"/>
              <w:right w:val="single" w:sz="18" w:space="0" w:color="auto"/>
            </w:tcBorders>
            <w:shd w:val="clear" w:color="000000" w:fill="FFFFFF"/>
            <w:noWrap/>
            <w:vAlign w:val="center"/>
          </w:tcPr>
          <w:p w14:paraId="083536F8" w14:textId="084CA532"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49.3</w:t>
            </w:r>
          </w:p>
        </w:tc>
      </w:tr>
      <w:tr w:rsidR="009B324D" w:rsidRPr="00D309F4" w14:paraId="73DA00F2" w14:textId="77777777" w:rsidTr="00FD20AC">
        <w:trPr>
          <w:trHeight w:val="20"/>
          <w:jc w:val="center"/>
        </w:trPr>
        <w:tc>
          <w:tcPr>
            <w:tcW w:w="1777" w:type="dxa"/>
            <w:tcBorders>
              <w:top w:val="nil"/>
              <w:left w:val="single" w:sz="18" w:space="0" w:color="auto"/>
              <w:bottom w:val="nil"/>
            </w:tcBorders>
            <w:shd w:val="clear" w:color="000000" w:fill="FFFFFF"/>
            <w:noWrap/>
            <w:vAlign w:val="center"/>
          </w:tcPr>
          <w:p w14:paraId="4DD51D5E" w14:textId="187D64CD"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High</w:t>
            </w:r>
          </w:p>
        </w:tc>
        <w:tc>
          <w:tcPr>
            <w:tcW w:w="810" w:type="dxa"/>
            <w:tcBorders>
              <w:top w:val="nil"/>
              <w:bottom w:val="nil"/>
            </w:tcBorders>
            <w:shd w:val="clear" w:color="000000" w:fill="FFFFFF"/>
            <w:noWrap/>
            <w:vAlign w:val="center"/>
          </w:tcPr>
          <w:p w14:paraId="03D46AD4" w14:textId="75FBCCC1"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390</w:t>
            </w:r>
          </w:p>
        </w:tc>
        <w:tc>
          <w:tcPr>
            <w:tcW w:w="900" w:type="dxa"/>
            <w:tcBorders>
              <w:top w:val="nil"/>
              <w:bottom w:val="nil"/>
            </w:tcBorders>
            <w:shd w:val="clear" w:color="000000" w:fill="FFFFFF"/>
            <w:vAlign w:val="center"/>
          </w:tcPr>
          <w:p w14:paraId="07130C07" w14:textId="60EB30DC"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35.5</w:t>
            </w:r>
          </w:p>
        </w:tc>
        <w:tc>
          <w:tcPr>
            <w:tcW w:w="801" w:type="dxa"/>
            <w:tcBorders>
              <w:top w:val="nil"/>
              <w:bottom w:val="nil"/>
              <w:right w:val="single" w:sz="18" w:space="0" w:color="auto"/>
            </w:tcBorders>
            <w:shd w:val="clear" w:color="000000" w:fill="FFFFFF"/>
            <w:noWrap/>
            <w:vAlign w:val="center"/>
          </w:tcPr>
          <w:p w14:paraId="00C12730" w14:textId="111EFA76" w:rsidR="009B324D" w:rsidRPr="00D309F4" w:rsidRDefault="009B324D" w:rsidP="009B324D">
            <w:pPr>
              <w:tabs>
                <w:tab w:val="decimal" w:pos="169"/>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38.4</w:t>
            </w:r>
          </w:p>
        </w:tc>
        <w:tc>
          <w:tcPr>
            <w:tcW w:w="2709" w:type="dxa"/>
            <w:tcBorders>
              <w:top w:val="nil"/>
              <w:left w:val="single" w:sz="18" w:space="0" w:color="auto"/>
              <w:bottom w:val="nil"/>
            </w:tcBorders>
            <w:shd w:val="clear" w:color="000000" w:fill="FFFFFF"/>
            <w:noWrap/>
            <w:vAlign w:val="bottom"/>
          </w:tcPr>
          <w:p w14:paraId="0D090A39" w14:textId="3080EC3D"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Medium</w:t>
            </w:r>
          </w:p>
        </w:tc>
        <w:tc>
          <w:tcPr>
            <w:tcW w:w="857" w:type="dxa"/>
            <w:tcBorders>
              <w:top w:val="nil"/>
              <w:bottom w:val="nil"/>
            </w:tcBorders>
            <w:shd w:val="clear" w:color="000000" w:fill="FFFFFF"/>
            <w:vAlign w:val="center"/>
          </w:tcPr>
          <w:p w14:paraId="2ED9DF83" w14:textId="67D91AD5"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361</w:t>
            </w:r>
          </w:p>
        </w:tc>
        <w:tc>
          <w:tcPr>
            <w:tcW w:w="771" w:type="dxa"/>
            <w:tcBorders>
              <w:top w:val="nil"/>
              <w:bottom w:val="nil"/>
            </w:tcBorders>
            <w:shd w:val="clear" w:color="000000" w:fill="FFFFFF"/>
            <w:vAlign w:val="center"/>
          </w:tcPr>
          <w:p w14:paraId="77606969" w14:textId="731CF51D"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32.9</w:t>
            </w:r>
          </w:p>
        </w:tc>
        <w:tc>
          <w:tcPr>
            <w:tcW w:w="876" w:type="dxa"/>
            <w:tcBorders>
              <w:top w:val="nil"/>
              <w:bottom w:val="nil"/>
              <w:right w:val="single" w:sz="18" w:space="0" w:color="auto"/>
            </w:tcBorders>
            <w:shd w:val="clear" w:color="000000" w:fill="FFFFFF"/>
            <w:noWrap/>
            <w:vAlign w:val="center"/>
          </w:tcPr>
          <w:p w14:paraId="48B8C7E9" w14:textId="31F48D9E"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29.0</w:t>
            </w:r>
          </w:p>
        </w:tc>
      </w:tr>
      <w:tr w:rsidR="009B324D" w:rsidRPr="00D309F4" w14:paraId="605140B2" w14:textId="77777777" w:rsidTr="00FD20AC">
        <w:trPr>
          <w:trHeight w:val="20"/>
          <w:jc w:val="center"/>
        </w:trPr>
        <w:tc>
          <w:tcPr>
            <w:tcW w:w="2587" w:type="dxa"/>
            <w:gridSpan w:val="2"/>
            <w:tcBorders>
              <w:top w:val="nil"/>
              <w:left w:val="single" w:sz="18" w:space="0" w:color="auto"/>
              <w:bottom w:val="single" w:sz="18" w:space="0" w:color="auto"/>
            </w:tcBorders>
            <w:shd w:val="clear" w:color="000000" w:fill="FFFFFF"/>
            <w:noWrap/>
            <w:vAlign w:val="center"/>
          </w:tcPr>
          <w:p w14:paraId="6E798121" w14:textId="685FF427" w:rsidR="009B324D" w:rsidRPr="00D309F4" w:rsidRDefault="009B324D" w:rsidP="009B324D">
            <w:pPr>
              <w:spacing w:after="0" w:line="240" w:lineRule="auto"/>
              <w:rPr>
                <w:rFonts w:eastAsia="Times New Roman" w:cs="Times New Roman"/>
                <w:kern w:val="0"/>
                <w:sz w:val="20"/>
                <w:szCs w:val="20"/>
                <w14:ligatures w14:val="none"/>
              </w:rPr>
            </w:pPr>
          </w:p>
        </w:tc>
        <w:tc>
          <w:tcPr>
            <w:tcW w:w="900" w:type="dxa"/>
            <w:tcBorders>
              <w:top w:val="nil"/>
              <w:bottom w:val="single" w:sz="18" w:space="0" w:color="auto"/>
            </w:tcBorders>
            <w:shd w:val="clear" w:color="000000" w:fill="FFFFFF"/>
            <w:vAlign w:val="center"/>
          </w:tcPr>
          <w:p w14:paraId="465BC467" w14:textId="77777777" w:rsidR="009B324D" w:rsidRPr="00D309F4" w:rsidRDefault="009B324D" w:rsidP="009B324D">
            <w:pPr>
              <w:spacing w:after="0" w:line="240" w:lineRule="auto"/>
              <w:jc w:val="center"/>
              <w:rPr>
                <w:rFonts w:eastAsia="Times New Roman" w:cs="Times New Roman"/>
                <w:kern w:val="0"/>
                <w:sz w:val="20"/>
                <w:szCs w:val="20"/>
                <w14:ligatures w14:val="none"/>
              </w:rPr>
            </w:pPr>
          </w:p>
        </w:tc>
        <w:tc>
          <w:tcPr>
            <w:tcW w:w="801" w:type="dxa"/>
            <w:tcBorders>
              <w:top w:val="nil"/>
              <w:bottom w:val="single" w:sz="18" w:space="0" w:color="auto"/>
              <w:right w:val="single" w:sz="18" w:space="0" w:color="auto"/>
            </w:tcBorders>
            <w:shd w:val="clear" w:color="000000" w:fill="FFFFFF"/>
            <w:noWrap/>
            <w:vAlign w:val="bottom"/>
          </w:tcPr>
          <w:p w14:paraId="498A6F2C" w14:textId="77777777" w:rsidR="009B324D" w:rsidRPr="00D309F4" w:rsidRDefault="009B324D" w:rsidP="009B324D">
            <w:pPr>
              <w:tabs>
                <w:tab w:val="decimal" w:pos="169"/>
              </w:tabs>
              <w:spacing w:after="0" w:line="240" w:lineRule="auto"/>
              <w:jc w:val="center"/>
              <w:rPr>
                <w:rFonts w:eastAsia="Times New Roman" w:cs="Times New Roman"/>
                <w:kern w:val="0"/>
                <w:sz w:val="20"/>
                <w:szCs w:val="20"/>
                <w14:ligatures w14:val="none"/>
              </w:rPr>
            </w:pPr>
          </w:p>
        </w:tc>
        <w:tc>
          <w:tcPr>
            <w:tcW w:w="2709" w:type="dxa"/>
            <w:tcBorders>
              <w:top w:val="nil"/>
              <w:left w:val="single" w:sz="18" w:space="0" w:color="auto"/>
              <w:bottom w:val="single" w:sz="18" w:space="0" w:color="auto"/>
            </w:tcBorders>
            <w:shd w:val="clear" w:color="000000" w:fill="FFFFFF"/>
            <w:noWrap/>
            <w:vAlign w:val="bottom"/>
          </w:tcPr>
          <w:p w14:paraId="5ED7B6F6" w14:textId="5CE47488" w:rsidR="009B324D" w:rsidRPr="00D309F4" w:rsidRDefault="009B324D" w:rsidP="009B324D">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High</w:t>
            </w:r>
          </w:p>
        </w:tc>
        <w:tc>
          <w:tcPr>
            <w:tcW w:w="857" w:type="dxa"/>
            <w:tcBorders>
              <w:top w:val="nil"/>
              <w:bottom w:val="single" w:sz="18" w:space="0" w:color="auto"/>
            </w:tcBorders>
            <w:shd w:val="clear" w:color="000000" w:fill="FFFFFF"/>
            <w:vAlign w:val="center"/>
          </w:tcPr>
          <w:p w14:paraId="1492DC41" w14:textId="6BD0BE05"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337</w:t>
            </w:r>
          </w:p>
        </w:tc>
        <w:tc>
          <w:tcPr>
            <w:tcW w:w="771" w:type="dxa"/>
            <w:tcBorders>
              <w:top w:val="nil"/>
              <w:bottom w:val="single" w:sz="18" w:space="0" w:color="auto"/>
            </w:tcBorders>
            <w:shd w:val="clear" w:color="000000" w:fill="FFFFFF"/>
            <w:vAlign w:val="center"/>
          </w:tcPr>
          <w:p w14:paraId="611857C4" w14:textId="2E16ACCA"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30.7</w:t>
            </w:r>
          </w:p>
        </w:tc>
        <w:tc>
          <w:tcPr>
            <w:tcW w:w="876" w:type="dxa"/>
            <w:tcBorders>
              <w:top w:val="nil"/>
              <w:bottom w:val="single" w:sz="18" w:space="0" w:color="auto"/>
              <w:right w:val="single" w:sz="18" w:space="0" w:color="auto"/>
            </w:tcBorders>
            <w:shd w:val="clear" w:color="000000" w:fill="FFFFFF"/>
            <w:noWrap/>
            <w:vAlign w:val="center"/>
          </w:tcPr>
          <w:p w14:paraId="7DEBF635" w14:textId="21030CCE" w:rsidR="009B324D" w:rsidRPr="00D309F4" w:rsidRDefault="009B324D" w:rsidP="009B324D">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21.7</w:t>
            </w:r>
          </w:p>
        </w:tc>
      </w:tr>
    </w:tbl>
    <w:p w14:paraId="144544B9" w14:textId="77777777" w:rsidR="006E624D" w:rsidRPr="00D309F4" w:rsidRDefault="006E624D" w:rsidP="006E624D">
      <w:pPr>
        <w:spacing w:after="0" w:line="240" w:lineRule="auto"/>
        <w:jc w:val="both"/>
        <w:rPr>
          <w:rFonts w:cs="Times New Roman"/>
          <w:b/>
          <w:bCs/>
        </w:rPr>
      </w:pPr>
    </w:p>
    <w:p w14:paraId="4418585D" w14:textId="77777777" w:rsidR="006E624D" w:rsidRPr="00D309F4" w:rsidRDefault="006E624D" w:rsidP="006E624D">
      <w:pPr>
        <w:spacing w:after="0" w:line="240" w:lineRule="auto"/>
        <w:jc w:val="both"/>
        <w:rPr>
          <w:rFonts w:cs="Times New Roman"/>
          <w:b/>
          <w:bCs/>
          <w:sz w:val="22"/>
          <w:szCs w:val="22"/>
        </w:rPr>
      </w:pPr>
    </w:p>
    <w:p w14:paraId="078B54A0" w14:textId="77777777" w:rsidR="006E624D" w:rsidRPr="00D309F4" w:rsidRDefault="006E624D" w:rsidP="006E624D">
      <w:pPr>
        <w:spacing w:after="0" w:line="240" w:lineRule="auto"/>
        <w:jc w:val="both"/>
        <w:rPr>
          <w:rFonts w:cs="Times New Roman"/>
          <w:b/>
          <w:bCs/>
          <w:sz w:val="22"/>
          <w:szCs w:val="22"/>
        </w:rPr>
      </w:pPr>
    </w:p>
    <w:p w14:paraId="5FE6A319" w14:textId="77777777" w:rsidR="006E624D" w:rsidRPr="00D309F4" w:rsidRDefault="006E624D" w:rsidP="006E624D">
      <w:pPr>
        <w:spacing w:after="0" w:line="240" w:lineRule="auto"/>
        <w:jc w:val="both"/>
        <w:rPr>
          <w:rFonts w:cs="Times New Roman"/>
          <w:b/>
          <w:bCs/>
          <w:sz w:val="22"/>
          <w:szCs w:val="22"/>
        </w:rPr>
      </w:pPr>
    </w:p>
    <w:p w14:paraId="069955A8" w14:textId="16C41BF1" w:rsidR="006E624D" w:rsidRPr="00D309F4" w:rsidRDefault="006E624D" w:rsidP="006E624D">
      <w:pPr>
        <w:spacing w:after="0" w:line="240" w:lineRule="auto"/>
        <w:jc w:val="both"/>
        <w:rPr>
          <w:rFonts w:cs="Times New Roman"/>
          <w:b/>
          <w:bCs/>
          <w:sz w:val="22"/>
          <w:szCs w:val="22"/>
        </w:rPr>
      </w:pPr>
      <w:r w:rsidRPr="00D309F4">
        <w:rPr>
          <w:rFonts w:cs="Times New Roman"/>
          <w:b/>
          <w:bCs/>
          <w:sz w:val="22"/>
          <w:szCs w:val="22"/>
        </w:rPr>
        <w:t xml:space="preserve">Table 2: Distribution of Ranked Reasons for EV Purchase  </w:t>
      </w:r>
    </w:p>
    <w:p w14:paraId="4377CC99" w14:textId="77777777" w:rsidR="006E624D" w:rsidRPr="00D309F4" w:rsidRDefault="006E624D" w:rsidP="006E624D">
      <w:pPr>
        <w:spacing w:after="0" w:line="240" w:lineRule="auto"/>
        <w:jc w:val="both"/>
        <w:rPr>
          <w:rFonts w:cs="Times New Roman"/>
          <w:b/>
          <w:bCs/>
          <w:sz w:val="22"/>
          <w:szCs w:val="22"/>
        </w:rPr>
      </w:pPr>
    </w:p>
    <w:tbl>
      <w:tblPr>
        <w:tblW w:w="9463" w:type="dxa"/>
        <w:jc w:val="center"/>
        <w:tblCellMar>
          <w:left w:w="58" w:type="dxa"/>
          <w:right w:w="58" w:type="dxa"/>
        </w:tblCellMar>
        <w:tblLook w:val="04A0" w:firstRow="1" w:lastRow="0" w:firstColumn="1" w:lastColumn="0" w:noHBand="0" w:noVBand="1"/>
      </w:tblPr>
      <w:tblGrid>
        <w:gridCol w:w="4387"/>
        <w:gridCol w:w="810"/>
        <w:gridCol w:w="1041"/>
        <w:gridCol w:w="754"/>
        <w:gridCol w:w="815"/>
        <w:gridCol w:w="889"/>
        <w:gridCol w:w="767"/>
      </w:tblGrid>
      <w:tr w:rsidR="006E624D" w:rsidRPr="00D309F4" w14:paraId="5A311A71" w14:textId="77777777" w:rsidTr="000A5A1F">
        <w:trPr>
          <w:trHeight w:val="310"/>
          <w:jc w:val="center"/>
        </w:trPr>
        <w:tc>
          <w:tcPr>
            <w:tcW w:w="4387" w:type="dxa"/>
            <w:vMerge w:val="restart"/>
            <w:tcBorders>
              <w:top w:val="single" w:sz="18" w:space="0" w:color="auto"/>
              <w:left w:val="single" w:sz="18" w:space="0" w:color="auto"/>
              <w:right w:val="single" w:sz="18" w:space="0" w:color="auto"/>
            </w:tcBorders>
            <w:vAlign w:val="center"/>
            <w:hideMark/>
          </w:tcPr>
          <w:p w14:paraId="65F0D6C2" w14:textId="77777777" w:rsidR="006E624D" w:rsidRPr="00D309F4" w:rsidRDefault="006E624D" w:rsidP="009E0B91">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Reason for buying an EV</w:t>
            </w:r>
          </w:p>
        </w:tc>
        <w:tc>
          <w:tcPr>
            <w:tcW w:w="2605" w:type="dxa"/>
            <w:gridSpan w:val="3"/>
            <w:tcBorders>
              <w:top w:val="single" w:sz="18" w:space="0" w:color="auto"/>
              <w:left w:val="single" w:sz="18" w:space="0" w:color="auto"/>
              <w:bottom w:val="single" w:sz="18" w:space="0" w:color="auto"/>
              <w:right w:val="single" w:sz="18" w:space="0" w:color="auto"/>
            </w:tcBorders>
            <w:shd w:val="clear" w:color="000000" w:fill="FFFFFF"/>
            <w:noWrap/>
            <w:vAlign w:val="center"/>
            <w:hideMark/>
          </w:tcPr>
          <w:p w14:paraId="636BADC3" w14:textId="77777777" w:rsidR="006E624D" w:rsidRPr="00D309F4" w:rsidRDefault="006E624D" w:rsidP="009E0B91">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sz w:val="20"/>
                <w:szCs w:val="20"/>
              </w:rPr>
              <w:t>Unweighted Shares</w:t>
            </w:r>
          </w:p>
        </w:tc>
        <w:tc>
          <w:tcPr>
            <w:tcW w:w="2471" w:type="dxa"/>
            <w:gridSpan w:val="3"/>
            <w:tcBorders>
              <w:top w:val="single" w:sz="18" w:space="0" w:color="auto"/>
              <w:left w:val="single" w:sz="18" w:space="0" w:color="auto"/>
              <w:bottom w:val="single" w:sz="18" w:space="0" w:color="auto"/>
              <w:right w:val="single" w:sz="18" w:space="0" w:color="auto"/>
            </w:tcBorders>
            <w:shd w:val="clear" w:color="000000" w:fill="FFFFFF"/>
            <w:vAlign w:val="center"/>
          </w:tcPr>
          <w:p w14:paraId="34F5F126" w14:textId="77777777" w:rsidR="006E624D" w:rsidRPr="00D309F4" w:rsidRDefault="006E624D" w:rsidP="009E0B91">
            <w:pPr>
              <w:spacing w:after="0" w:line="240" w:lineRule="auto"/>
              <w:jc w:val="center"/>
              <w:rPr>
                <w:rFonts w:eastAsia="Times New Roman" w:cs="Times New Roman"/>
                <w:b/>
                <w:bCs/>
                <w:sz w:val="20"/>
                <w:szCs w:val="20"/>
              </w:rPr>
            </w:pPr>
            <w:r w:rsidRPr="00D309F4">
              <w:rPr>
                <w:rFonts w:eastAsia="Times New Roman" w:cs="Times New Roman"/>
                <w:b/>
                <w:bCs/>
                <w:sz w:val="20"/>
                <w:szCs w:val="20"/>
              </w:rPr>
              <w:t>Weighted Shares</w:t>
            </w:r>
          </w:p>
        </w:tc>
      </w:tr>
      <w:tr w:rsidR="006E624D" w:rsidRPr="00D309F4" w14:paraId="6A80D38D" w14:textId="77777777" w:rsidTr="000A5A1F">
        <w:trPr>
          <w:trHeight w:val="310"/>
          <w:jc w:val="center"/>
        </w:trPr>
        <w:tc>
          <w:tcPr>
            <w:tcW w:w="4387" w:type="dxa"/>
            <w:vMerge/>
            <w:tcBorders>
              <w:left w:val="single" w:sz="18" w:space="0" w:color="auto"/>
              <w:bottom w:val="single" w:sz="18" w:space="0" w:color="auto"/>
              <w:right w:val="single" w:sz="18" w:space="0" w:color="auto"/>
            </w:tcBorders>
            <w:vAlign w:val="center"/>
          </w:tcPr>
          <w:p w14:paraId="28D04083" w14:textId="77777777" w:rsidR="006E624D" w:rsidRPr="00D309F4" w:rsidRDefault="006E624D" w:rsidP="009E0B91">
            <w:pPr>
              <w:spacing w:after="0" w:line="240" w:lineRule="auto"/>
              <w:jc w:val="center"/>
              <w:rPr>
                <w:rFonts w:eastAsia="Times New Roman" w:cs="Times New Roman"/>
                <w:b/>
                <w:bCs/>
                <w:kern w:val="0"/>
                <w:sz w:val="20"/>
                <w:szCs w:val="20"/>
                <w14:ligatures w14:val="none"/>
              </w:rPr>
            </w:pPr>
          </w:p>
        </w:tc>
        <w:tc>
          <w:tcPr>
            <w:tcW w:w="810" w:type="dxa"/>
            <w:tcBorders>
              <w:top w:val="single" w:sz="18" w:space="0" w:color="auto"/>
              <w:left w:val="single" w:sz="18" w:space="0" w:color="auto"/>
              <w:bottom w:val="single" w:sz="18" w:space="0" w:color="auto"/>
              <w:right w:val="nil"/>
            </w:tcBorders>
            <w:shd w:val="clear" w:color="000000" w:fill="FFFFFF"/>
            <w:noWrap/>
            <w:vAlign w:val="center"/>
          </w:tcPr>
          <w:p w14:paraId="5847A4CD" w14:textId="77777777" w:rsidR="006E624D" w:rsidRPr="00D309F4" w:rsidRDefault="006E624D" w:rsidP="009E0B91">
            <w:pPr>
              <w:spacing w:after="0" w:line="240" w:lineRule="auto"/>
              <w:jc w:val="center"/>
              <w:rPr>
                <w:rFonts w:eastAsia="Times New Roman" w:cs="Times New Roman"/>
                <w:b/>
                <w:bCs/>
                <w:sz w:val="20"/>
                <w:szCs w:val="20"/>
              </w:rPr>
            </w:pPr>
            <w:r w:rsidRPr="00D309F4">
              <w:rPr>
                <w:rFonts w:eastAsia="Times New Roman" w:cs="Times New Roman"/>
                <w:b/>
                <w:bCs/>
                <w:sz w:val="20"/>
                <w:szCs w:val="20"/>
              </w:rPr>
              <w:t>Top rank</w:t>
            </w:r>
          </w:p>
        </w:tc>
        <w:tc>
          <w:tcPr>
            <w:tcW w:w="1041" w:type="dxa"/>
            <w:tcBorders>
              <w:top w:val="single" w:sz="18" w:space="0" w:color="auto"/>
              <w:left w:val="nil"/>
              <w:bottom w:val="single" w:sz="18" w:space="0" w:color="auto"/>
              <w:right w:val="nil"/>
            </w:tcBorders>
            <w:shd w:val="clear" w:color="000000" w:fill="FFFFFF"/>
            <w:noWrap/>
            <w:vAlign w:val="center"/>
          </w:tcPr>
          <w:p w14:paraId="4F8A23B0" w14:textId="77777777" w:rsidR="006E624D" w:rsidRPr="00D309F4" w:rsidRDefault="006E624D" w:rsidP="009E0B91">
            <w:pPr>
              <w:spacing w:after="0" w:line="240" w:lineRule="auto"/>
              <w:jc w:val="center"/>
              <w:rPr>
                <w:rFonts w:eastAsia="Times New Roman" w:cs="Times New Roman"/>
                <w:b/>
                <w:bCs/>
                <w:sz w:val="20"/>
                <w:szCs w:val="20"/>
              </w:rPr>
            </w:pPr>
            <w:r w:rsidRPr="00D309F4">
              <w:rPr>
                <w:rFonts w:eastAsia="Times New Roman" w:cs="Times New Roman"/>
                <w:b/>
                <w:bCs/>
                <w:sz w:val="20"/>
                <w:szCs w:val="20"/>
              </w:rPr>
              <w:t>Second rank</w:t>
            </w:r>
          </w:p>
        </w:tc>
        <w:tc>
          <w:tcPr>
            <w:tcW w:w="754" w:type="dxa"/>
            <w:tcBorders>
              <w:top w:val="single" w:sz="18" w:space="0" w:color="auto"/>
              <w:left w:val="nil"/>
              <w:bottom w:val="single" w:sz="18" w:space="0" w:color="auto"/>
              <w:right w:val="single" w:sz="18" w:space="0" w:color="auto"/>
            </w:tcBorders>
            <w:shd w:val="clear" w:color="000000" w:fill="FFFFFF"/>
            <w:noWrap/>
            <w:vAlign w:val="center"/>
          </w:tcPr>
          <w:p w14:paraId="01880144" w14:textId="77777777" w:rsidR="006E624D" w:rsidRPr="00D309F4" w:rsidRDefault="006E624D" w:rsidP="009E0B91">
            <w:pPr>
              <w:spacing w:after="0" w:line="240" w:lineRule="auto"/>
              <w:jc w:val="center"/>
              <w:rPr>
                <w:rFonts w:eastAsia="Times New Roman" w:cs="Times New Roman"/>
                <w:b/>
                <w:bCs/>
                <w:sz w:val="20"/>
                <w:szCs w:val="20"/>
              </w:rPr>
            </w:pPr>
            <w:r w:rsidRPr="00D309F4">
              <w:rPr>
                <w:rFonts w:eastAsia="Times New Roman" w:cs="Times New Roman"/>
                <w:b/>
                <w:bCs/>
                <w:sz w:val="20"/>
                <w:szCs w:val="20"/>
              </w:rPr>
              <w:t>Third rank</w:t>
            </w:r>
          </w:p>
        </w:tc>
        <w:tc>
          <w:tcPr>
            <w:tcW w:w="815" w:type="dxa"/>
            <w:tcBorders>
              <w:top w:val="single" w:sz="18" w:space="0" w:color="auto"/>
              <w:left w:val="nil"/>
              <w:bottom w:val="single" w:sz="18" w:space="0" w:color="auto"/>
            </w:tcBorders>
            <w:shd w:val="clear" w:color="000000" w:fill="FFFFFF"/>
            <w:vAlign w:val="center"/>
          </w:tcPr>
          <w:p w14:paraId="59A53783" w14:textId="77777777" w:rsidR="006E624D" w:rsidRPr="00D309F4" w:rsidRDefault="006E624D" w:rsidP="009E0B91">
            <w:pPr>
              <w:spacing w:after="0" w:line="240" w:lineRule="auto"/>
              <w:jc w:val="center"/>
              <w:rPr>
                <w:rFonts w:eastAsia="Times New Roman" w:cs="Times New Roman"/>
                <w:b/>
                <w:bCs/>
                <w:sz w:val="20"/>
                <w:szCs w:val="20"/>
              </w:rPr>
            </w:pPr>
            <w:r w:rsidRPr="00D309F4">
              <w:rPr>
                <w:rFonts w:eastAsia="Times New Roman" w:cs="Times New Roman"/>
                <w:b/>
                <w:bCs/>
                <w:sz w:val="20"/>
                <w:szCs w:val="20"/>
              </w:rPr>
              <w:t>Top rank</w:t>
            </w:r>
          </w:p>
        </w:tc>
        <w:tc>
          <w:tcPr>
            <w:tcW w:w="889" w:type="dxa"/>
            <w:tcBorders>
              <w:top w:val="single" w:sz="18" w:space="0" w:color="auto"/>
              <w:left w:val="nil"/>
              <w:bottom w:val="single" w:sz="18" w:space="0" w:color="auto"/>
            </w:tcBorders>
            <w:shd w:val="clear" w:color="000000" w:fill="FFFFFF"/>
            <w:vAlign w:val="center"/>
          </w:tcPr>
          <w:p w14:paraId="324F8411" w14:textId="77777777" w:rsidR="006E624D" w:rsidRPr="00D309F4" w:rsidRDefault="006E624D" w:rsidP="009E0B91">
            <w:pPr>
              <w:spacing w:after="0" w:line="240" w:lineRule="auto"/>
              <w:jc w:val="center"/>
              <w:rPr>
                <w:rFonts w:eastAsia="Times New Roman" w:cs="Times New Roman"/>
                <w:b/>
                <w:bCs/>
                <w:sz w:val="20"/>
                <w:szCs w:val="20"/>
              </w:rPr>
            </w:pPr>
            <w:r w:rsidRPr="00D309F4">
              <w:rPr>
                <w:rFonts w:eastAsia="Times New Roman" w:cs="Times New Roman"/>
                <w:b/>
                <w:bCs/>
                <w:sz w:val="20"/>
                <w:szCs w:val="20"/>
              </w:rPr>
              <w:t>Second rank</w:t>
            </w:r>
          </w:p>
        </w:tc>
        <w:tc>
          <w:tcPr>
            <w:tcW w:w="767" w:type="dxa"/>
            <w:tcBorders>
              <w:top w:val="single" w:sz="18" w:space="0" w:color="auto"/>
              <w:left w:val="nil"/>
              <w:bottom w:val="single" w:sz="18" w:space="0" w:color="auto"/>
              <w:right w:val="single" w:sz="18" w:space="0" w:color="auto"/>
            </w:tcBorders>
            <w:shd w:val="clear" w:color="000000" w:fill="FFFFFF"/>
            <w:vAlign w:val="center"/>
          </w:tcPr>
          <w:p w14:paraId="2F8A5F90" w14:textId="77777777" w:rsidR="006E624D" w:rsidRPr="00D309F4" w:rsidRDefault="006E624D" w:rsidP="009E0B91">
            <w:pPr>
              <w:spacing w:after="0" w:line="240" w:lineRule="auto"/>
              <w:jc w:val="center"/>
              <w:rPr>
                <w:rFonts w:eastAsia="Times New Roman" w:cs="Times New Roman"/>
                <w:b/>
                <w:bCs/>
                <w:sz w:val="20"/>
                <w:szCs w:val="20"/>
              </w:rPr>
            </w:pPr>
            <w:r w:rsidRPr="00D309F4">
              <w:rPr>
                <w:rFonts w:eastAsia="Times New Roman" w:cs="Times New Roman"/>
                <w:b/>
                <w:bCs/>
                <w:sz w:val="20"/>
                <w:szCs w:val="20"/>
              </w:rPr>
              <w:t>Third rank</w:t>
            </w:r>
          </w:p>
        </w:tc>
      </w:tr>
      <w:tr w:rsidR="006E624D" w:rsidRPr="00D309F4" w14:paraId="3DA0499F" w14:textId="77777777" w:rsidTr="000A5A1F">
        <w:trPr>
          <w:trHeight w:val="295"/>
          <w:jc w:val="center"/>
        </w:trPr>
        <w:tc>
          <w:tcPr>
            <w:tcW w:w="4387" w:type="dxa"/>
            <w:tcBorders>
              <w:top w:val="single" w:sz="18" w:space="0" w:color="auto"/>
              <w:left w:val="single" w:sz="18" w:space="0" w:color="auto"/>
              <w:right w:val="single" w:sz="18" w:space="0" w:color="auto"/>
            </w:tcBorders>
            <w:shd w:val="clear" w:color="000000" w:fill="FFFFFF"/>
            <w:noWrap/>
            <w:vAlign w:val="center"/>
            <w:hideMark/>
          </w:tcPr>
          <w:p w14:paraId="6B40C9EC"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Rising gasoline prices</w:t>
            </w:r>
          </w:p>
        </w:tc>
        <w:tc>
          <w:tcPr>
            <w:tcW w:w="810" w:type="dxa"/>
            <w:tcBorders>
              <w:top w:val="single" w:sz="18" w:space="0" w:color="auto"/>
              <w:left w:val="single" w:sz="18" w:space="0" w:color="auto"/>
              <w:right w:val="nil"/>
            </w:tcBorders>
            <w:shd w:val="clear" w:color="000000" w:fill="FFFFFF"/>
            <w:noWrap/>
            <w:vAlign w:val="center"/>
            <w:hideMark/>
          </w:tcPr>
          <w:p w14:paraId="2F8F4CAF"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14.1</w:t>
            </w:r>
          </w:p>
        </w:tc>
        <w:tc>
          <w:tcPr>
            <w:tcW w:w="1041" w:type="dxa"/>
            <w:tcBorders>
              <w:top w:val="single" w:sz="18" w:space="0" w:color="auto"/>
              <w:left w:val="nil"/>
              <w:right w:val="nil"/>
            </w:tcBorders>
            <w:shd w:val="clear" w:color="000000" w:fill="FFFFFF"/>
            <w:noWrap/>
            <w:vAlign w:val="center"/>
            <w:hideMark/>
          </w:tcPr>
          <w:p w14:paraId="277DA96C"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11.2</w:t>
            </w:r>
          </w:p>
        </w:tc>
        <w:tc>
          <w:tcPr>
            <w:tcW w:w="754" w:type="dxa"/>
            <w:tcBorders>
              <w:top w:val="single" w:sz="18" w:space="0" w:color="auto"/>
              <w:left w:val="nil"/>
              <w:right w:val="single" w:sz="18" w:space="0" w:color="auto"/>
            </w:tcBorders>
            <w:shd w:val="clear" w:color="000000" w:fill="FFFFFF"/>
            <w:noWrap/>
            <w:vAlign w:val="center"/>
            <w:hideMark/>
          </w:tcPr>
          <w:p w14:paraId="1AD95187"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16.5</w:t>
            </w:r>
          </w:p>
        </w:tc>
        <w:tc>
          <w:tcPr>
            <w:tcW w:w="815" w:type="dxa"/>
            <w:tcBorders>
              <w:top w:val="single" w:sz="18" w:space="0" w:color="auto"/>
              <w:left w:val="nil"/>
            </w:tcBorders>
            <w:shd w:val="clear" w:color="000000" w:fill="FFFFFF"/>
            <w:vAlign w:val="center"/>
          </w:tcPr>
          <w:p w14:paraId="1E1971DA"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14.6</w:t>
            </w:r>
          </w:p>
        </w:tc>
        <w:tc>
          <w:tcPr>
            <w:tcW w:w="889" w:type="dxa"/>
            <w:tcBorders>
              <w:top w:val="single" w:sz="18" w:space="0" w:color="auto"/>
              <w:left w:val="nil"/>
            </w:tcBorders>
            <w:shd w:val="clear" w:color="000000" w:fill="FFFFFF"/>
            <w:vAlign w:val="center"/>
          </w:tcPr>
          <w:p w14:paraId="51316873"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9.6</w:t>
            </w:r>
          </w:p>
        </w:tc>
        <w:tc>
          <w:tcPr>
            <w:tcW w:w="767" w:type="dxa"/>
            <w:tcBorders>
              <w:top w:val="single" w:sz="18" w:space="0" w:color="auto"/>
              <w:left w:val="nil"/>
              <w:right w:val="single" w:sz="18" w:space="0" w:color="auto"/>
            </w:tcBorders>
            <w:shd w:val="clear" w:color="000000" w:fill="FFFFFF"/>
            <w:vAlign w:val="center"/>
          </w:tcPr>
          <w:p w14:paraId="6F80DCB7"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16.2</w:t>
            </w:r>
          </w:p>
        </w:tc>
      </w:tr>
      <w:tr w:rsidR="006E624D" w:rsidRPr="00D309F4" w14:paraId="75BC1F0A" w14:textId="77777777" w:rsidTr="000A5A1F">
        <w:trPr>
          <w:trHeight w:val="310"/>
          <w:jc w:val="center"/>
        </w:trPr>
        <w:tc>
          <w:tcPr>
            <w:tcW w:w="4387" w:type="dxa"/>
            <w:tcBorders>
              <w:top w:val="nil"/>
              <w:left w:val="single" w:sz="18" w:space="0" w:color="auto"/>
              <w:right w:val="single" w:sz="18" w:space="0" w:color="auto"/>
            </w:tcBorders>
            <w:shd w:val="clear" w:color="000000" w:fill="FFFFFF"/>
            <w:noWrap/>
            <w:vAlign w:val="center"/>
            <w:hideMark/>
          </w:tcPr>
          <w:p w14:paraId="49353D64"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Take advantage available incentives</w:t>
            </w:r>
          </w:p>
        </w:tc>
        <w:tc>
          <w:tcPr>
            <w:tcW w:w="810" w:type="dxa"/>
            <w:tcBorders>
              <w:top w:val="nil"/>
              <w:left w:val="single" w:sz="18" w:space="0" w:color="auto"/>
              <w:right w:val="nil"/>
            </w:tcBorders>
            <w:shd w:val="clear" w:color="000000" w:fill="FFFFFF"/>
            <w:noWrap/>
            <w:vAlign w:val="center"/>
            <w:hideMark/>
          </w:tcPr>
          <w:p w14:paraId="1A80FCFF"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8.6</w:t>
            </w:r>
          </w:p>
        </w:tc>
        <w:tc>
          <w:tcPr>
            <w:tcW w:w="1041" w:type="dxa"/>
            <w:tcBorders>
              <w:top w:val="nil"/>
              <w:left w:val="nil"/>
              <w:right w:val="nil"/>
            </w:tcBorders>
            <w:shd w:val="clear" w:color="000000" w:fill="FFFFFF"/>
            <w:noWrap/>
            <w:vAlign w:val="center"/>
            <w:hideMark/>
          </w:tcPr>
          <w:p w14:paraId="61768A0B"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15.5</w:t>
            </w:r>
          </w:p>
        </w:tc>
        <w:tc>
          <w:tcPr>
            <w:tcW w:w="754" w:type="dxa"/>
            <w:tcBorders>
              <w:top w:val="nil"/>
              <w:left w:val="nil"/>
              <w:right w:val="single" w:sz="18" w:space="0" w:color="auto"/>
            </w:tcBorders>
            <w:shd w:val="clear" w:color="000000" w:fill="FFFFFF"/>
            <w:noWrap/>
            <w:vAlign w:val="center"/>
            <w:hideMark/>
          </w:tcPr>
          <w:p w14:paraId="1B9AA5CF"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18.6</w:t>
            </w:r>
          </w:p>
        </w:tc>
        <w:tc>
          <w:tcPr>
            <w:tcW w:w="815" w:type="dxa"/>
            <w:tcBorders>
              <w:top w:val="nil"/>
              <w:left w:val="nil"/>
            </w:tcBorders>
            <w:shd w:val="clear" w:color="000000" w:fill="FFFFFF"/>
            <w:vAlign w:val="center"/>
          </w:tcPr>
          <w:p w14:paraId="16D7B990"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9.6</w:t>
            </w:r>
          </w:p>
        </w:tc>
        <w:tc>
          <w:tcPr>
            <w:tcW w:w="889" w:type="dxa"/>
            <w:tcBorders>
              <w:top w:val="nil"/>
              <w:left w:val="nil"/>
            </w:tcBorders>
            <w:shd w:val="clear" w:color="000000" w:fill="FFFFFF"/>
            <w:vAlign w:val="center"/>
          </w:tcPr>
          <w:p w14:paraId="6CF6881A"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15.5</w:t>
            </w:r>
          </w:p>
        </w:tc>
        <w:tc>
          <w:tcPr>
            <w:tcW w:w="767" w:type="dxa"/>
            <w:tcBorders>
              <w:top w:val="nil"/>
              <w:left w:val="nil"/>
              <w:right w:val="single" w:sz="18" w:space="0" w:color="auto"/>
            </w:tcBorders>
            <w:shd w:val="clear" w:color="000000" w:fill="FFFFFF"/>
            <w:vAlign w:val="center"/>
          </w:tcPr>
          <w:p w14:paraId="48D02F87"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16.1</w:t>
            </w:r>
          </w:p>
        </w:tc>
      </w:tr>
      <w:tr w:rsidR="006E624D" w:rsidRPr="00D309F4" w14:paraId="3F3915B6" w14:textId="77777777" w:rsidTr="000A5A1F">
        <w:trPr>
          <w:trHeight w:val="295"/>
          <w:jc w:val="center"/>
        </w:trPr>
        <w:tc>
          <w:tcPr>
            <w:tcW w:w="4387" w:type="dxa"/>
            <w:tcBorders>
              <w:left w:val="single" w:sz="18" w:space="0" w:color="auto"/>
              <w:bottom w:val="nil"/>
              <w:right w:val="single" w:sz="18" w:space="0" w:color="auto"/>
            </w:tcBorders>
            <w:shd w:val="clear" w:color="000000" w:fill="FFFFFF"/>
            <w:noWrap/>
            <w:vAlign w:val="center"/>
            <w:hideMark/>
          </w:tcPr>
          <w:p w14:paraId="4CFFAA09"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Interest in the technology</w:t>
            </w:r>
          </w:p>
        </w:tc>
        <w:tc>
          <w:tcPr>
            <w:tcW w:w="810" w:type="dxa"/>
            <w:tcBorders>
              <w:left w:val="single" w:sz="18" w:space="0" w:color="auto"/>
              <w:bottom w:val="nil"/>
              <w:right w:val="nil"/>
            </w:tcBorders>
            <w:shd w:val="clear" w:color="000000" w:fill="FFFFFF"/>
            <w:noWrap/>
            <w:vAlign w:val="center"/>
            <w:hideMark/>
          </w:tcPr>
          <w:p w14:paraId="072AE83A"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15.6</w:t>
            </w:r>
          </w:p>
        </w:tc>
        <w:tc>
          <w:tcPr>
            <w:tcW w:w="1041" w:type="dxa"/>
            <w:tcBorders>
              <w:left w:val="nil"/>
              <w:bottom w:val="nil"/>
              <w:right w:val="nil"/>
            </w:tcBorders>
            <w:shd w:val="clear" w:color="000000" w:fill="FFFFFF"/>
            <w:noWrap/>
            <w:vAlign w:val="center"/>
            <w:hideMark/>
          </w:tcPr>
          <w:p w14:paraId="141B9B17"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14.8</w:t>
            </w:r>
          </w:p>
        </w:tc>
        <w:tc>
          <w:tcPr>
            <w:tcW w:w="754" w:type="dxa"/>
            <w:tcBorders>
              <w:left w:val="nil"/>
              <w:bottom w:val="nil"/>
              <w:right w:val="single" w:sz="18" w:space="0" w:color="auto"/>
            </w:tcBorders>
            <w:shd w:val="clear" w:color="000000" w:fill="FFFFFF"/>
            <w:noWrap/>
            <w:vAlign w:val="center"/>
            <w:hideMark/>
          </w:tcPr>
          <w:p w14:paraId="021986AB"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13.0</w:t>
            </w:r>
          </w:p>
        </w:tc>
        <w:tc>
          <w:tcPr>
            <w:tcW w:w="815" w:type="dxa"/>
            <w:tcBorders>
              <w:left w:val="nil"/>
              <w:bottom w:val="nil"/>
            </w:tcBorders>
            <w:shd w:val="clear" w:color="000000" w:fill="FFFFFF"/>
            <w:vAlign w:val="center"/>
          </w:tcPr>
          <w:p w14:paraId="28500246"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15.4</w:t>
            </w:r>
          </w:p>
        </w:tc>
        <w:tc>
          <w:tcPr>
            <w:tcW w:w="889" w:type="dxa"/>
            <w:tcBorders>
              <w:left w:val="nil"/>
              <w:bottom w:val="nil"/>
            </w:tcBorders>
            <w:shd w:val="clear" w:color="000000" w:fill="FFFFFF"/>
            <w:vAlign w:val="center"/>
          </w:tcPr>
          <w:p w14:paraId="2073FB18"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13.3</w:t>
            </w:r>
          </w:p>
        </w:tc>
        <w:tc>
          <w:tcPr>
            <w:tcW w:w="767" w:type="dxa"/>
            <w:tcBorders>
              <w:left w:val="nil"/>
              <w:bottom w:val="nil"/>
              <w:right w:val="single" w:sz="18" w:space="0" w:color="auto"/>
            </w:tcBorders>
            <w:shd w:val="clear" w:color="000000" w:fill="FFFFFF"/>
            <w:vAlign w:val="center"/>
          </w:tcPr>
          <w:p w14:paraId="1C749306"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17.0</w:t>
            </w:r>
          </w:p>
        </w:tc>
      </w:tr>
      <w:tr w:rsidR="006E624D" w:rsidRPr="00D309F4" w14:paraId="19D22B59" w14:textId="77777777" w:rsidTr="000A5A1F">
        <w:trPr>
          <w:trHeight w:val="295"/>
          <w:jc w:val="center"/>
        </w:trPr>
        <w:tc>
          <w:tcPr>
            <w:tcW w:w="4387" w:type="dxa"/>
            <w:tcBorders>
              <w:top w:val="nil"/>
              <w:left w:val="single" w:sz="18" w:space="0" w:color="auto"/>
              <w:bottom w:val="nil"/>
              <w:right w:val="single" w:sz="18" w:space="0" w:color="auto"/>
            </w:tcBorders>
            <w:shd w:val="clear" w:color="000000" w:fill="FFFFFF"/>
            <w:noWrap/>
            <w:vAlign w:val="center"/>
            <w:hideMark/>
          </w:tcPr>
          <w:p w14:paraId="0C02BA5E"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Interest in specific brand/model of electric vehicle</w:t>
            </w:r>
          </w:p>
        </w:tc>
        <w:tc>
          <w:tcPr>
            <w:tcW w:w="810" w:type="dxa"/>
            <w:tcBorders>
              <w:top w:val="nil"/>
              <w:left w:val="single" w:sz="18" w:space="0" w:color="auto"/>
              <w:bottom w:val="nil"/>
              <w:right w:val="nil"/>
            </w:tcBorders>
            <w:shd w:val="clear" w:color="000000" w:fill="FFFFFF"/>
            <w:noWrap/>
            <w:vAlign w:val="center"/>
            <w:hideMark/>
          </w:tcPr>
          <w:p w14:paraId="5FB4540E"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11.3</w:t>
            </w:r>
          </w:p>
        </w:tc>
        <w:tc>
          <w:tcPr>
            <w:tcW w:w="1041" w:type="dxa"/>
            <w:tcBorders>
              <w:top w:val="nil"/>
              <w:left w:val="nil"/>
              <w:bottom w:val="nil"/>
              <w:right w:val="nil"/>
            </w:tcBorders>
            <w:shd w:val="clear" w:color="000000" w:fill="FFFFFF"/>
            <w:noWrap/>
            <w:vAlign w:val="center"/>
            <w:hideMark/>
          </w:tcPr>
          <w:p w14:paraId="240987DC"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9.4</w:t>
            </w:r>
          </w:p>
        </w:tc>
        <w:tc>
          <w:tcPr>
            <w:tcW w:w="754" w:type="dxa"/>
            <w:tcBorders>
              <w:top w:val="nil"/>
              <w:left w:val="nil"/>
              <w:bottom w:val="nil"/>
              <w:right w:val="single" w:sz="18" w:space="0" w:color="auto"/>
            </w:tcBorders>
            <w:shd w:val="clear" w:color="000000" w:fill="FFFFFF"/>
            <w:noWrap/>
            <w:vAlign w:val="center"/>
            <w:hideMark/>
          </w:tcPr>
          <w:p w14:paraId="1CADD68B"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9.5</w:t>
            </w:r>
          </w:p>
        </w:tc>
        <w:tc>
          <w:tcPr>
            <w:tcW w:w="815" w:type="dxa"/>
            <w:tcBorders>
              <w:top w:val="nil"/>
              <w:left w:val="nil"/>
              <w:bottom w:val="nil"/>
            </w:tcBorders>
            <w:shd w:val="clear" w:color="000000" w:fill="FFFFFF"/>
            <w:vAlign w:val="center"/>
          </w:tcPr>
          <w:p w14:paraId="540C613F"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11.7</w:t>
            </w:r>
          </w:p>
        </w:tc>
        <w:tc>
          <w:tcPr>
            <w:tcW w:w="889" w:type="dxa"/>
            <w:tcBorders>
              <w:top w:val="nil"/>
              <w:left w:val="nil"/>
              <w:bottom w:val="nil"/>
            </w:tcBorders>
            <w:shd w:val="clear" w:color="000000" w:fill="FFFFFF"/>
            <w:vAlign w:val="center"/>
          </w:tcPr>
          <w:p w14:paraId="79FB840D"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10.6</w:t>
            </w:r>
          </w:p>
        </w:tc>
        <w:tc>
          <w:tcPr>
            <w:tcW w:w="767" w:type="dxa"/>
            <w:tcBorders>
              <w:top w:val="nil"/>
              <w:left w:val="nil"/>
              <w:bottom w:val="nil"/>
              <w:right w:val="single" w:sz="18" w:space="0" w:color="auto"/>
            </w:tcBorders>
            <w:shd w:val="clear" w:color="000000" w:fill="FFFFFF"/>
            <w:vAlign w:val="center"/>
          </w:tcPr>
          <w:p w14:paraId="4105E294"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10.1</w:t>
            </w:r>
          </w:p>
        </w:tc>
      </w:tr>
      <w:tr w:rsidR="006E624D" w:rsidRPr="00D309F4" w14:paraId="4A9C609F" w14:textId="77777777" w:rsidTr="000A5A1F">
        <w:trPr>
          <w:trHeight w:val="295"/>
          <w:jc w:val="center"/>
        </w:trPr>
        <w:tc>
          <w:tcPr>
            <w:tcW w:w="4387" w:type="dxa"/>
            <w:tcBorders>
              <w:top w:val="nil"/>
              <w:left w:val="single" w:sz="18" w:space="0" w:color="auto"/>
              <w:bottom w:val="nil"/>
              <w:right w:val="single" w:sz="18" w:space="0" w:color="auto"/>
            </w:tcBorders>
            <w:shd w:val="clear" w:color="000000" w:fill="FFFFFF"/>
            <w:noWrap/>
            <w:vAlign w:val="center"/>
            <w:hideMark/>
          </w:tcPr>
          <w:p w14:paraId="2ED5B82B"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Test drove one</w:t>
            </w:r>
          </w:p>
        </w:tc>
        <w:tc>
          <w:tcPr>
            <w:tcW w:w="810" w:type="dxa"/>
            <w:tcBorders>
              <w:top w:val="nil"/>
              <w:left w:val="single" w:sz="18" w:space="0" w:color="auto"/>
              <w:bottom w:val="nil"/>
              <w:right w:val="nil"/>
            </w:tcBorders>
            <w:shd w:val="clear" w:color="000000" w:fill="FFFFFF"/>
            <w:noWrap/>
            <w:vAlign w:val="center"/>
            <w:hideMark/>
          </w:tcPr>
          <w:p w14:paraId="5807245C"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3.4</w:t>
            </w:r>
          </w:p>
        </w:tc>
        <w:tc>
          <w:tcPr>
            <w:tcW w:w="1041" w:type="dxa"/>
            <w:tcBorders>
              <w:top w:val="nil"/>
              <w:left w:val="nil"/>
              <w:bottom w:val="nil"/>
              <w:right w:val="nil"/>
            </w:tcBorders>
            <w:shd w:val="clear" w:color="000000" w:fill="FFFFFF"/>
            <w:noWrap/>
            <w:vAlign w:val="center"/>
            <w:hideMark/>
          </w:tcPr>
          <w:p w14:paraId="250AB5FD"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5.8</w:t>
            </w:r>
          </w:p>
        </w:tc>
        <w:tc>
          <w:tcPr>
            <w:tcW w:w="754" w:type="dxa"/>
            <w:tcBorders>
              <w:top w:val="nil"/>
              <w:left w:val="nil"/>
              <w:bottom w:val="nil"/>
              <w:right w:val="single" w:sz="18" w:space="0" w:color="auto"/>
            </w:tcBorders>
            <w:shd w:val="clear" w:color="000000" w:fill="FFFFFF"/>
            <w:noWrap/>
            <w:vAlign w:val="center"/>
            <w:hideMark/>
          </w:tcPr>
          <w:p w14:paraId="26F47936"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8.1</w:t>
            </w:r>
          </w:p>
        </w:tc>
        <w:tc>
          <w:tcPr>
            <w:tcW w:w="815" w:type="dxa"/>
            <w:tcBorders>
              <w:top w:val="nil"/>
              <w:left w:val="nil"/>
              <w:bottom w:val="nil"/>
            </w:tcBorders>
            <w:shd w:val="clear" w:color="000000" w:fill="FFFFFF"/>
            <w:vAlign w:val="center"/>
          </w:tcPr>
          <w:p w14:paraId="0BDADF57"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3.5</w:t>
            </w:r>
          </w:p>
        </w:tc>
        <w:tc>
          <w:tcPr>
            <w:tcW w:w="889" w:type="dxa"/>
            <w:tcBorders>
              <w:top w:val="nil"/>
              <w:left w:val="nil"/>
              <w:bottom w:val="nil"/>
            </w:tcBorders>
            <w:shd w:val="clear" w:color="000000" w:fill="FFFFFF"/>
            <w:vAlign w:val="center"/>
          </w:tcPr>
          <w:p w14:paraId="66B6D476"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7.5</w:t>
            </w:r>
          </w:p>
        </w:tc>
        <w:tc>
          <w:tcPr>
            <w:tcW w:w="767" w:type="dxa"/>
            <w:tcBorders>
              <w:top w:val="nil"/>
              <w:left w:val="nil"/>
              <w:bottom w:val="nil"/>
              <w:right w:val="single" w:sz="18" w:space="0" w:color="auto"/>
            </w:tcBorders>
            <w:shd w:val="clear" w:color="000000" w:fill="FFFFFF"/>
            <w:vAlign w:val="center"/>
          </w:tcPr>
          <w:p w14:paraId="0F019421"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8.3</w:t>
            </w:r>
          </w:p>
        </w:tc>
      </w:tr>
      <w:tr w:rsidR="006E624D" w:rsidRPr="00D309F4" w14:paraId="6937E178" w14:textId="77777777" w:rsidTr="000A5A1F">
        <w:trPr>
          <w:trHeight w:val="295"/>
          <w:jc w:val="center"/>
        </w:trPr>
        <w:tc>
          <w:tcPr>
            <w:tcW w:w="4387" w:type="dxa"/>
            <w:tcBorders>
              <w:top w:val="nil"/>
              <w:left w:val="single" w:sz="18" w:space="0" w:color="auto"/>
              <w:bottom w:val="nil"/>
              <w:right w:val="single" w:sz="18" w:space="0" w:color="auto"/>
            </w:tcBorders>
            <w:shd w:val="clear" w:color="000000" w:fill="FFFFFF"/>
            <w:noWrap/>
            <w:vAlign w:val="center"/>
            <w:hideMark/>
          </w:tcPr>
          <w:p w14:paraId="6C339B29"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Heard about EVs from friends/family or colleagues</w:t>
            </w:r>
          </w:p>
        </w:tc>
        <w:tc>
          <w:tcPr>
            <w:tcW w:w="810" w:type="dxa"/>
            <w:tcBorders>
              <w:top w:val="nil"/>
              <w:left w:val="single" w:sz="18" w:space="0" w:color="auto"/>
              <w:bottom w:val="nil"/>
              <w:right w:val="nil"/>
            </w:tcBorders>
            <w:shd w:val="clear" w:color="000000" w:fill="FFFFFF"/>
            <w:noWrap/>
            <w:vAlign w:val="center"/>
            <w:hideMark/>
          </w:tcPr>
          <w:p w14:paraId="12D46736"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4.1</w:t>
            </w:r>
          </w:p>
        </w:tc>
        <w:tc>
          <w:tcPr>
            <w:tcW w:w="1041" w:type="dxa"/>
            <w:tcBorders>
              <w:top w:val="nil"/>
              <w:left w:val="nil"/>
              <w:bottom w:val="nil"/>
              <w:right w:val="nil"/>
            </w:tcBorders>
            <w:shd w:val="clear" w:color="000000" w:fill="FFFFFF"/>
            <w:noWrap/>
            <w:vAlign w:val="center"/>
            <w:hideMark/>
          </w:tcPr>
          <w:p w14:paraId="79884B12"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6.9</w:t>
            </w:r>
          </w:p>
        </w:tc>
        <w:tc>
          <w:tcPr>
            <w:tcW w:w="754" w:type="dxa"/>
            <w:tcBorders>
              <w:top w:val="nil"/>
              <w:left w:val="nil"/>
              <w:bottom w:val="nil"/>
              <w:right w:val="single" w:sz="18" w:space="0" w:color="auto"/>
            </w:tcBorders>
            <w:shd w:val="clear" w:color="000000" w:fill="FFFFFF"/>
            <w:noWrap/>
            <w:vAlign w:val="center"/>
            <w:hideMark/>
          </w:tcPr>
          <w:p w14:paraId="7CB4E42D"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5.2</w:t>
            </w:r>
          </w:p>
        </w:tc>
        <w:tc>
          <w:tcPr>
            <w:tcW w:w="815" w:type="dxa"/>
            <w:tcBorders>
              <w:top w:val="nil"/>
              <w:left w:val="nil"/>
              <w:bottom w:val="nil"/>
            </w:tcBorders>
            <w:shd w:val="clear" w:color="000000" w:fill="FFFFFF"/>
            <w:vAlign w:val="center"/>
          </w:tcPr>
          <w:p w14:paraId="42A28F41"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5.1</w:t>
            </w:r>
          </w:p>
        </w:tc>
        <w:tc>
          <w:tcPr>
            <w:tcW w:w="889" w:type="dxa"/>
            <w:tcBorders>
              <w:top w:val="nil"/>
              <w:left w:val="nil"/>
              <w:bottom w:val="nil"/>
            </w:tcBorders>
            <w:shd w:val="clear" w:color="000000" w:fill="FFFFFF"/>
            <w:vAlign w:val="center"/>
          </w:tcPr>
          <w:p w14:paraId="715E82A8"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6.7</w:t>
            </w:r>
          </w:p>
        </w:tc>
        <w:tc>
          <w:tcPr>
            <w:tcW w:w="767" w:type="dxa"/>
            <w:tcBorders>
              <w:top w:val="nil"/>
              <w:left w:val="nil"/>
              <w:bottom w:val="nil"/>
              <w:right w:val="single" w:sz="18" w:space="0" w:color="auto"/>
            </w:tcBorders>
            <w:shd w:val="clear" w:color="000000" w:fill="FFFFFF"/>
            <w:vAlign w:val="center"/>
          </w:tcPr>
          <w:p w14:paraId="51C76343"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4.6</w:t>
            </w:r>
          </w:p>
        </w:tc>
      </w:tr>
      <w:tr w:rsidR="006E624D" w:rsidRPr="00D309F4" w14:paraId="70268D76" w14:textId="77777777" w:rsidTr="000A5A1F">
        <w:trPr>
          <w:trHeight w:val="295"/>
          <w:jc w:val="center"/>
        </w:trPr>
        <w:tc>
          <w:tcPr>
            <w:tcW w:w="4387" w:type="dxa"/>
            <w:tcBorders>
              <w:top w:val="nil"/>
              <w:left w:val="single" w:sz="18" w:space="0" w:color="auto"/>
              <w:right w:val="single" w:sz="18" w:space="0" w:color="auto"/>
            </w:tcBorders>
            <w:shd w:val="clear" w:color="000000" w:fill="FFFFFF"/>
            <w:noWrap/>
            <w:vAlign w:val="center"/>
            <w:hideMark/>
          </w:tcPr>
          <w:p w14:paraId="1FD1BA86"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The ability to charge/"refuel" at home</w:t>
            </w:r>
          </w:p>
        </w:tc>
        <w:tc>
          <w:tcPr>
            <w:tcW w:w="810" w:type="dxa"/>
            <w:tcBorders>
              <w:top w:val="nil"/>
              <w:left w:val="single" w:sz="18" w:space="0" w:color="auto"/>
              <w:right w:val="nil"/>
            </w:tcBorders>
            <w:shd w:val="clear" w:color="000000" w:fill="FFFFFF"/>
            <w:noWrap/>
            <w:vAlign w:val="center"/>
            <w:hideMark/>
          </w:tcPr>
          <w:p w14:paraId="4BED58CE"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8.4</w:t>
            </w:r>
          </w:p>
        </w:tc>
        <w:tc>
          <w:tcPr>
            <w:tcW w:w="1041" w:type="dxa"/>
            <w:tcBorders>
              <w:top w:val="nil"/>
              <w:left w:val="nil"/>
              <w:right w:val="nil"/>
            </w:tcBorders>
            <w:shd w:val="clear" w:color="000000" w:fill="FFFFFF"/>
            <w:noWrap/>
            <w:vAlign w:val="center"/>
            <w:hideMark/>
          </w:tcPr>
          <w:p w14:paraId="6B74C487"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20.4</w:t>
            </w:r>
          </w:p>
        </w:tc>
        <w:tc>
          <w:tcPr>
            <w:tcW w:w="754" w:type="dxa"/>
            <w:tcBorders>
              <w:top w:val="nil"/>
              <w:left w:val="nil"/>
              <w:right w:val="single" w:sz="18" w:space="0" w:color="auto"/>
            </w:tcBorders>
            <w:shd w:val="clear" w:color="000000" w:fill="FFFFFF"/>
            <w:noWrap/>
            <w:vAlign w:val="center"/>
            <w:hideMark/>
          </w:tcPr>
          <w:p w14:paraId="79A46C3F"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16.8</w:t>
            </w:r>
          </w:p>
        </w:tc>
        <w:tc>
          <w:tcPr>
            <w:tcW w:w="815" w:type="dxa"/>
            <w:tcBorders>
              <w:top w:val="nil"/>
              <w:left w:val="nil"/>
            </w:tcBorders>
            <w:shd w:val="clear" w:color="000000" w:fill="FFFFFF"/>
            <w:vAlign w:val="center"/>
          </w:tcPr>
          <w:p w14:paraId="33D99ACF"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8.2</w:t>
            </w:r>
          </w:p>
        </w:tc>
        <w:tc>
          <w:tcPr>
            <w:tcW w:w="889" w:type="dxa"/>
            <w:tcBorders>
              <w:top w:val="nil"/>
              <w:left w:val="nil"/>
            </w:tcBorders>
            <w:shd w:val="clear" w:color="000000" w:fill="FFFFFF"/>
            <w:vAlign w:val="center"/>
          </w:tcPr>
          <w:p w14:paraId="3E14BCA8"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20.7</w:t>
            </w:r>
          </w:p>
        </w:tc>
        <w:tc>
          <w:tcPr>
            <w:tcW w:w="767" w:type="dxa"/>
            <w:tcBorders>
              <w:top w:val="nil"/>
              <w:left w:val="nil"/>
              <w:right w:val="single" w:sz="18" w:space="0" w:color="auto"/>
            </w:tcBorders>
            <w:shd w:val="clear" w:color="000000" w:fill="FFFFFF"/>
            <w:vAlign w:val="center"/>
          </w:tcPr>
          <w:p w14:paraId="3C96617B"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14.5</w:t>
            </w:r>
          </w:p>
        </w:tc>
      </w:tr>
      <w:tr w:rsidR="006E624D" w:rsidRPr="00D309F4" w14:paraId="32FAF445" w14:textId="77777777" w:rsidTr="000A5A1F">
        <w:trPr>
          <w:trHeight w:val="295"/>
          <w:jc w:val="center"/>
        </w:trPr>
        <w:tc>
          <w:tcPr>
            <w:tcW w:w="4387" w:type="dxa"/>
            <w:tcBorders>
              <w:top w:val="nil"/>
              <w:left w:val="single" w:sz="18" w:space="0" w:color="auto"/>
              <w:bottom w:val="single" w:sz="18" w:space="0" w:color="auto"/>
              <w:right w:val="single" w:sz="18" w:space="0" w:color="auto"/>
            </w:tcBorders>
            <w:shd w:val="clear" w:color="000000" w:fill="FFFFFF"/>
            <w:noWrap/>
            <w:vAlign w:val="center"/>
            <w:hideMark/>
          </w:tcPr>
          <w:p w14:paraId="120DE9A5" w14:textId="77777777" w:rsidR="006E624D" w:rsidRPr="00D309F4" w:rsidRDefault="006E624D"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Concerns about climate change</w:t>
            </w:r>
          </w:p>
        </w:tc>
        <w:tc>
          <w:tcPr>
            <w:tcW w:w="810" w:type="dxa"/>
            <w:tcBorders>
              <w:top w:val="nil"/>
              <w:left w:val="single" w:sz="18" w:space="0" w:color="auto"/>
              <w:bottom w:val="single" w:sz="18" w:space="0" w:color="auto"/>
              <w:right w:val="nil"/>
            </w:tcBorders>
            <w:shd w:val="clear" w:color="000000" w:fill="FFFFFF"/>
            <w:noWrap/>
            <w:vAlign w:val="center"/>
            <w:hideMark/>
          </w:tcPr>
          <w:p w14:paraId="3AC9297F"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34.5</w:t>
            </w:r>
          </w:p>
        </w:tc>
        <w:tc>
          <w:tcPr>
            <w:tcW w:w="1041" w:type="dxa"/>
            <w:tcBorders>
              <w:top w:val="nil"/>
              <w:left w:val="nil"/>
              <w:bottom w:val="single" w:sz="18" w:space="0" w:color="auto"/>
              <w:right w:val="nil"/>
            </w:tcBorders>
            <w:shd w:val="clear" w:color="000000" w:fill="FFFFFF"/>
            <w:noWrap/>
            <w:vAlign w:val="center"/>
            <w:hideMark/>
          </w:tcPr>
          <w:p w14:paraId="5249BCB6"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16.0</w:t>
            </w:r>
          </w:p>
        </w:tc>
        <w:tc>
          <w:tcPr>
            <w:tcW w:w="754" w:type="dxa"/>
            <w:tcBorders>
              <w:top w:val="nil"/>
              <w:left w:val="nil"/>
              <w:bottom w:val="single" w:sz="18" w:space="0" w:color="auto"/>
              <w:right w:val="single" w:sz="18" w:space="0" w:color="auto"/>
            </w:tcBorders>
            <w:shd w:val="clear" w:color="000000" w:fill="FFFFFF"/>
            <w:noWrap/>
            <w:vAlign w:val="center"/>
            <w:hideMark/>
          </w:tcPr>
          <w:p w14:paraId="71D96835" w14:textId="77777777" w:rsidR="006E624D" w:rsidRPr="00D309F4" w:rsidRDefault="006E624D" w:rsidP="009E0B91">
            <w:pPr>
              <w:tabs>
                <w:tab w:val="decimal" w:pos="240"/>
              </w:tabs>
              <w:spacing w:after="0" w:line="240" w:lineRule="auto"/>
              <w:jc w:val="center"/>
              <w:rPr>
                <w:rFonts w:eastAsia="Times New Roman" w:cs="Times New Roman"/>
                <w:kern w:val="0"/>
                <w:sz w:val="20"/>
                <w:szCs w:val="20"/>
                <w14:ligatures w14:val="none"/>
              </w:rPr>
            </w:pPr>
            <w:r w:rsidRPr="00D309F4">
              <w:rPr>
                <w:rFonts w:cs="Times New Roman"/>
                <w:sz w:val="20"/>
                <w:szCs w:val="20"/>
              </w:rPr>
              <w:t>12.3</w:t>
            </w:r>
          </w:p>
        </w:tc>
        <w:tc>
          <w:tcPr>
            <w:tcW w:w="815" w:type="dxa"/>
            <w:tcBorders>
              <w:top w:val="nil"/>
              <w:left w:val="nil"/>
              <w:bottom w:val="single" w:sz="18" w:space="0" w:color="auto"/>
            </w:tcBorders>
            <w:shd w:val="clear" w:color="000000" w:fill="FFFFFF"/>
            <w:vAlign w:val="center"/>
          </w:tcPr>
          <w:p w14:paraId="3C7FAE25"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31.9</w:t>
            </w:r>
          </w:p>
        </w:tc>
        <w:tc>
          <w:tcPr>
            <w:tcW w:w="889" w:type="dxa"/>
            <w:tcBorders>
              <w:top w:val="nil"/>
              <w:left w:val="nil"/>
              <w:bottom w:val="single" w:sz="18" w:space="0" w:color="auto"/>
            </w:tcBorders>
            <w:shd w:val="clear" w:color="000000" w:fill="FFFFFF"/>
            <w:vAlign w:val="center"/>
          </w:tcPr>
          <w:p w14:paraId="094882B5"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16.1</w:t>
            </w:r>
          </w:p>
        </w:tc>
        <w:tc>
          <w:tcPr>
            <w:tcW w:w="767" w:type="dxa"/>
            <w:tcBorders>
              <w:top w:val="nil"/>
              <w:left w:val="nil"/>
              <w:bottom w:val="single" w:sz="18" w:space="0" w:color="auto"/>
              <w:right w:val="single" w:sz="18" w:space="0" w:color="auto"/>
            </w:tcBorders>
            <w:shd w:val="clear" w:color="000000" w:fill="FFFFFF"/>
            <w:vAlign w:val="center"/>
          </w:tcPr>
          <w:p w14:paraId="3DCB153F" w14:textId="77777777" w:rsidR="006E624D" w:rsidRPr="00D309F4" w:rsidRDefault="006E624D" w:rsidP="009E0B91">
            <w:pPr>
              <w:tabs>
                <w:tab w:val="decimal" w:pos="240"/>
              </w:tabs>
              <w:spacing w:after="0" w:line="240" w:lineRule="auto"/>
              <w:jc w:val="center"/>
              <w:rPr>
                <w:rFonts w:cs="Times New Roman"/>
                <w:sz w:val="20"/>
                <w:szCs w:val="20"/>
              </w:rPr>
            </w:pPr>
            <w:r w:rsidRPr="00D309F4">
              <w:rPr>
                <w:rFonts w:cs="Times New Roman"/>
                <w:sz w:val="20"/>
                <w:szCs w:val="20"/>
              </w:rPr>
              <w:t>13.2</w:t>
            </w:r>
          </w:p>
        </w:tc>
      </w:tr>
    </w:tbl>
    <w:p w14:paraId="6079C17F" w14:textId="77777777" w:rsidR="006E624D" w:rsidRPr="00D309F4" w:rsidRDefault="006E624D" w:rsidP="006E624D">
      <w:pPr>
        <w:spacing w:after="0" w:line="240" w:lineRule="auto"/>
        <w:jc w:val="both"/>
        <w:rPr>
          <w:rFonts w:cs="Times New Roman"/>
          <w:b/>
          <w:bCs/>
        </w:rPr>
      </w:pPr>
    </w:p>
    <w:p w14:paraId="344D8E28" w14:textId="77777777" w:rsidR="00011140" w:rsidRPr="00D309F4" w:rsidRDefault="00011140" w:rsidP="00264D08">
      <w:pPr>
        <w:spacing w:after="0" w:line="240" w:lineRule="auto"/>
        <w:jc w:val="both"/>
        <w:rPr>
          <w:rFonts w:cs="Times New Roman"/>
          <w:b/>
          <w:bCs/>
        </w:rPr>
        <w:sectPr w:rsidR="00011140" w:rsidRPr="00D309F4" w:rsidSect="009B4556">
          <w:footerReference w:type="default" r:id="rId363"/>
          <w:pgSz w:w="12240" w:h="15840"/>
          <w:pgMar w:top="1440" w:right="1440" w:bottom="1440" w:left="1440" w:header="720" w:footer="720" w:gutter="0"/>
          <w:pgNumType w:start="1"/>
          <w:cols w:space="720"/>
          <w:docGrid w:linePitch="360"/>
        </w:sectPr>
      </w:pPr>
    </w:p>
    <w:p w14:paraId="62CDB969" w14:textId="62B77689" w:rsidR="005A040E" w:rsidRPr="00D309F4" w:rsidRDefault="00A80E71" w:rsidP="00264D08">
      <w:pPr>
        <w:spacing w:after="0" w:line="240" w:lineRule="auto"/>
        <w:jc w:val="both"/>
        <w:rPr>
          <w:rFonts w:cs="Times New Roman"/>
          <w:b/>
          <w:bCs/>
          <w:sz w:val="22"/>
          <w:szCs w:val="22"/>
        </w:rPr>
      </w:pPr>
      <w:bookmarkStart w:id="40" w:name="_Hlk190959691"/>
      <w:r w:rsidRPr="00D309F4">
        <w:rPr>
          <w:rFonts w:cs="Times New Roman"/>
          <w:b/>
          <w:bCs/>
          <w:sz w:val="22"/>
          <w:szCs w:val="22"/>
        </w:rPr>
        <w:lastRenderedPageBreak/>
        <w:t xml:space="preserve">Table </w:t>
      </w:r>
      <w:r w:rsidR="00B266BC" w:rsidRPr="00D309F4">
        <w:rPr>
          <w:rFonts w:cs="Times New Roman"/>
          <w:b/>
          <w:bCs/>
          <w:sz w:val="22"/>
          <w:szCs w:val="22"/>
        </w:rPr>
        <w:t xml:space="preserve">3: Determinants of Latent Variables </w:t>
      </w:r>
    </w:p>
    <w:p w14:paraId="05296D35" w14:textId="77777777" w:rsidR="005A040E" w:rsidRPr="00D309F4" w:rsidRDefault="005A040E" w:rsidP="00264D08">
      <w:pPr>
        <w:spacing w:after="0" w:line="240" w:lineRule="auto"/>
        <w:jc w:val="both"/>
        <w:rPr>
          <w:rFonts w:cs="Times New Roman"/>
          <w:b/>
          <w:bCs/>
          <w:sz w:val="22"/>
          <w:szCs w:val="22"/>
        </w:rPr>
      </w:pPr>
    </w:p>
    <w:tbl>
      <w:tblPr>
        <w:tblW w:w="9787" w:type="dxa"/>
        <w:jc w:val="center"/>
        <w:tblLayout w:type="fixed"/>
        <w:tblCellMar>
          <w:left w:w="29" w:type="dxa"/>
          <w:right w:w="58" w:type="dxa"/>
        </w:tblCellMar>
        <w:tblLook w:val="04A0" w:firstRow="1" w:lastRow="0" w:firstColumn="1" w:lastColumn="0" w:noHBand="0" w:noVBand="1"/>
      </w:tblPr>
      <w:tblGrid>
        <w:gridCol w:w="4207"/>
        <w:gridCol w:w="810"/>
        <w:gridCol w:w="522"/>
        <w:gridCol w:w="18"/>
        <w:gridCol w:w="810"/>
        <w:gridCol w:w="596"/>
        <w:gridCol w:w="34"/>
        <w:gridCol w:w="810"/>
        <w:gridCol w:w="630"/>
        <w:gridCol w:w="810"/>
        <w:gridCol w:w="540"/>
      </w:tblGrid>
      <w:tr w:rsidR="004910E0" w:rsidRPr="00D309F4" w14:paraId="25C63E63" w14:textId="77777777" w:rsidTr="004E51A8">
        <w:trPr>
          <w:trHeight w:val="230"/>
          <w:jc w:val="center"/>
        </w:trPr>
        <w:tc>
          <w:tcPr>
            <w:tcW w:w="4207" w:type="dxa"/>
            <w:vMerge w:val="restart"/>
            <w:tcBorders>
              <w:top w:val="single" w:sz="18" w:space="0" w:color="auto"/>
              <w:left w:val="single" w:sz="18" w:space="0" w:color="auto"/>
              <w:bottom w:val="single" w:sz="8" w:space="0" w:color="000000"/>
              <w:right w:val="single" w:sz="18" w:space="0" w:color="auto"/>
            </w:tcBorders>
            <w:shd w:val="clear" w:color="000000" w:fill="FFFFFF"/>
            <w:noWrap/>
            <w:vAlign w:val="center"/>
            <w:hideMark/>
          </w:tcPr>
          <w:p w14:paraId="33920D49" w14:textId="77777777" w:rsidR="00CE3188" w:rsidRPr="00D309F4" w:rsidRDefault="00CE3188" w:rsidP="00CE3188">
            <w:pPr>
              <w:spacing w:after="0" w:line="240" w:lineRule="auto"/>
              <w:jc w:val="center"/>
              <w:rPr>
                <w:rFonts w:eastAsia="Times New Roman" w:cs="Times New Roman"/>
                <w:b/>
                <w:bCs/>
                <w:color w:val="000000"/>
                <w:kern w:val="0"/>
                <w:sz w:val="20"/>
                <w:szCs w:val="20"/>
                <w14:ligatures w14:val="none"/>
              </w:rPr>
            </w:pPr>
            <w:bookmarkStart w:id="41" w:name="RANGE!C2"/>
            <w:bookmarkStart w:id="42" w:name="_Hlk198820837"/>
            <w:r w:rsidRPr="00D309F4">
              <w:rPr>
                <w:rFonts w:eastAsia="Times New Roman" w:cs="Times New Roman"/>
                <w:b/>
                <w:bCs/>
                <w:color w:val="000000"/>
                <w:kern w:val="0"/>
                <w:sz w:val="20"/>
                <w:szCs w:val="20"/>
                <w14:ligatures w14:val="none"/>
              </w:rPr>
              <w:t>Latent Variable Structural Equation Model</w:t>
            </w:r>
            <w:bookmarkEnd w:id="41"/>
          </w:p>
        </w:tc>
        <w:tc>
          <w:tcPr>
            <w:tcW w:w="1332" w:type="dxa"/>
            <w:gridSpan w:val="2"/>
            <w:tcBorders>
              <w:top w:val="single" w:sz="18" w:space="0" w:color="auto"/>
              <w:left w:val="single" w:sz="18" w:space="0" w:color="auto"/>
              <w:bottom w:val="single" w:sz="18" w:space="0" w:color="auto"/>
              <w:right w:val="single" w:sz="4" w:space="0" w:color="000000"/>
            </w:tcBorders>
            <w:shd w:val="clear" w:color="000000" w:fill="FFFFFF"/>
            <w:vAlign w:val="center"/>
            <w:hideMark/>
          </w:tcPr>
          <w:p w14:paraId="05146BE9" w14:textId="77777777" w:rsidR="00CE3188" w:rsidRPr="00D309F4" w:rsidRDefault="00CE3188" w:rsidP="00CE3188">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Green Lifestyle Propensity</w:t>
            </w:r>
          </w:p>
        </w:tc>
        <w:tc>
          <w:tcPr>
            <w:tcW w:w="1424" w:type="dxa"/>
            <w:gridSpan w:val="3"/>
            <w:tcBorders>
              <w:top w:val="single" w:sz="18" w:space="0" w:color="auto"/>
              <w:left w:val="nil"/>
              <w:bottom w:val="single" w:sz="18" w:space="0" w:color="auto"/>
              <w:right w:val="single" w:sz="4" w:space="0" w:color="000000"/>
            </w:tcBorders>
            <w:shd w:val="clear" w:color="000000" w:fill="FFFFFF"/>
            <w:vAlign w:val="center"/>
            <w:hideMark/>
          </w:tcPr>
          <w:p w14:paraId="7B7C7A92" w14:textId="77777777" w:rsidR="00CE3188" w:rsidRPr="00D309F4" w:rsidRDefault="00CE3188" w:rsidP="00CE3188">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Vehicle Functionality Preference</w:t>
            </w:r>
          </w:p>
        </w:tc>
        <w:tc>
          <w:tcPr>
            <w:tcW w:w="1474" w:type="dxa"/>
            <w:gridSpan w:val="3"/>
            <w:tcBorders>
              <w:top w:val="single" w:sz="18" w:space="0" w:color="auto"/>
              <w:left w:val="nil"/>
              <w:bottom w:val="single" w:sz="18" w:space="0" w:color="auto"/>
              <w:right w:val="single" w:sz="4" w:space="0" w:color="000000"/>
            </w:tcBorders>
            <w:shd w:val="clear" w:color="000000" w:fill="FFFFFF"/>
            <w:vAlign w:val="center"/>
            <w:hideMark/>
          </w:tcPr>
          <w:p w14:paraId="71772454" w14:textId="77777777" w:rsidR="00CE3188" w:rsidRPr="00D309F4" w:rsidRDefault="00CE3188" w:rsidP="00CE3188">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EV Cost and Maintenance Perception</w:t>
            </w:r>
          </w:p>
        </w:tc>
        <w:tc>
          <w:tcPr>
            <w:tcW w:w="1350" w:type="dxa"/>
            <w:gridSpan w:val="2"/>
            <w:tcBorders>
              <w:top w:val="single" w:sz="18" w:space="0" w:color="auto"/>
              <w:left w:val="nil"/>
              <w:bottom w:val="single" w:sz="18" w:space="0" w:color="auto"/>
              <w:right w:val="single" w:sz="18" w:space="0" w:color="auto"/>
            </w:tcBorders>
            <w:shd w:val="clear" w:color="000000" w:fill="FFFFFF"/>
            <w:vAlign w:val="center"/>
            <w:hideMark/>
          </w:tcPr>
          <w:p w14:paraId="02B99CEF" w14:textId="0C7112B8" w:rsidR="00CE3188" w:rsidRPr="00D309F4" w:rsidRDefault="00CE3188" w:rsidP="00CE3188">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 xml:space="preserve">EV Battery </w:t>
            </w:r>
            <w:r w:rsidR="005D2EDB" w:rsidRPr="00D309F4">
              <w:rPr>
                <w:rFonts w:eastAsia="Times New Roman" w:cs="Times New Roman"/>
                <w:b/>
                <w:bCs/>
                <w:color w:val="000000"/>
                <w:kern w:val="0"/>
                <w:sz w:val="20"/>
                <w:szCs w:val="20"/>
                <w14:ligatures w14:val="none"/>
              </w:rPr>
              <w:t>Range and Charging</w:t>
            </w:r>
            <w:r w:rsidRPr="00D309F4">
              <w:rPr>
                <w:rFonts w:eastAsia="Times New Roman" w:cs="Times New Roman"/>
                <w:b/>
                <w:bCs/>
                <w:color w:val="000000"/>
                <w:kern w:val="0"/>
                <w:sz w:val="20"/>
                <w:szCs w:val="20"/>
                <w14:ligatures w14:val="none"/>
              </w:rPr>
              <w:t xml:space="preserve"> Perception</w:t>
            </w:r>
          </w:p>
        </w:tc>
      </w:tr>
      <w:tr w:rsidR="001330A3" w:rsidRPr="00D309F4" w14:paraId="349B2282" w14:textId="77777777" w:rsidTr="004E51A8">
        <w:trPr>
          <w:trHeight w:val="230"/>
          <w:jc w:val="center"/>
        </w:trPr>
        <w:tc>
          <w:tcPr>
            <w:tcW w:w="4207" w:type="dxa"/>
            <w:vMerge/>
            <w:tcBorders>
              <w:top w:val="single" w:sz="8" w:space="0" w:color="auto"/>
              <w:left w:val="single" w:sz="18" w:space="0" w:color="auto"/>
              <w:bottom w:val="single" w:sz="18" w:space="0" w:color="auto"/>
              <w:right w:val="single" w:sz="18" w:space="0" w:color="auto"/>
            </w:tcBorders>
            <w:vAlign w:val="center"/>
            <w:hideMark/>
          </w:tcPr>
          <w:p w14:paraId="41543355" w14:textId="77777777" w:rsidR="00CE3188" w:rsidRPr="00D309F4" w:rsidRDefault="00CE3188" w:rsidP="00CE3188">
            <w:pPr>
              <w:spacing w:after="0" w:line="240" w:lineRule="auto"/>
              <w:rPr>
                <w:rFonts w:eastAsia="Times New Roman" w:cs="Times New Roman"/>
                <w:b/>
                <w:bCs/>
                <w:color w:val="000000"/>
                <w:kern w:val="0"/>
                <w:sz w:val="20"/>
                <w:szCs w:val="20"/>
                <w14:ligatures w14:val="none"/>
              </w:rPr>
            </w:pPr>
          </w:p>
        </w:tc>
        <w:tc>
          <w:tcPr>
            <w:tcW w:w="810" w:type="dxa"/>
            <w:tcBorders>
              <w:top w:val="single" w:sz="18" w:space="0" w:color="auto"/>
              <w:left w:val="single" w:sz="18" w:space="0" w:color="auto"/>
              <w:bottom w:val="single" w:sz="18" w:space="0" w:color="auto"/>
              <w:right w:val="nil"/>
            </w:tcBorders>
            <w:shd w:val="clear" w:color="000000" w:fill="FFFFFF"/>
            <w:noWrap/>
            <w:vAlign w:val="center"/>
            <w:hideMark/>
          </w:tcPr>
          <w:p w14:paraId="56422CC7"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Coeff.</w:t>
            </w:r>
          </w:p>
        </w:tc>
        <w:tc>
          <w:tcPr>
            <w:tcW w:w="540" w:type="dxa"/>
            <w:gridSpan w:val="2"/>
            <w:tcBorders>
              <w:top w:val="single" w:sz="18" w:space="0" w:color="auto"/>
              <w:left w:val="nil"/>
              <w:bottom w:val="single" w:sz="18" w:space="0" w:color="auto"/>
              <w:right w:val="single" w:sz="4" w:space="0" w:color="auto"/>
            </w:tcBorders>
            <w:shd w:val="clear" w:color="000000" w:fill="FFFFFF"/>
            <w:noWrap/>
            <w:vAlign w:val="center"/>
            <w:hideMark/>
          </w:tcPr>
          <w:p w14:paraId="43BCB385"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393FDE5E"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Coeff.</w:t>
            </w:r>
          </w:p>
        </w:tc>
        <w:tc>
          <w:tcPr>
            <w:tcW w:w="630" w:type="dxa"/>
            <w:gridSpan w:val="2"/>
            <w:tcBorders>
              <w:top w:val="single" w:sz="18" w:space="0" w:color="auto"/>
              <w:left w:val="nil"/>
              <w:bottom w:val="single" w:sz="18" w:space="0" w:color="auto"/>
              <w:right w:val="single" w:sz="4" w:space="0" w:color="auto"/>
            </w:tcBorders>
            <w:shd w:val="clear" w:color="000000" w:fill="FFFFFF"/>
            <w:noWrap/>
            <w:vAlign w:val="center"/>
            <w:hideMark/>
          </w:tcPr>
          <w:p w14:paraId="624288F3"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2D8CB316"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Coeff.</w:t>
            </w:r>
          </w:p>
        </w:tc>
        <w:tc>
          <w:tcPr>
            <w:tcW w:w="630" w:type="dxa"/>
            <w:tcBorders>
              <w:top w:val="single" w:sz="18" w:space="0" w:color="auto"/>
              <w:left w:val="nil"/>
              <w:bottom w:val="single" w:sz="18" w:space="0" w:color="auto"/>
              <w:right w:val="single" w:sz="4" w:space="0" w:color="auto"/>
            </w:tcBorders>
            <w:shd w:val="clear" w:color="000000" w:fill="FFFFFF"/>
            <w:noWrap/>
            <w:vAlign w:val="center"/>
            <w:hideMark/>
          </w:tcPr>
          <w:p w14:paraId="09BF208C"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04504E44"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Coeff.</w:t>
            </w:r>
          </w:p>
        </w:tc>
        <w:tc>
          <w:tcPr>
            <w:tcW w:w="540" w:type="dxa"/>
            <w:tcBorders>
              <w:top w:val="single" w:sz="18" w:space="0" w:color="auto"/>
              <w:left w:val="nil"/>
              <w:bottom w:val="single" w:sz="18" w:space="0" w:color="auto"/>
              <w:right w:val="single" w:sz="18" w:space="0" w:color="auto"/>
            </w:tcBorders>
            <w:shd w:val="clear" w:color="000000" w:fill="FFFFFF"/>
            <w:noWrap/>
            <w:vAlign w:val="center"/>
            <w:hideMark/>
          </w:tcPr>
          <w:p w14:paraId="17D72B0C" w14:textId="77777777" w:rsidR="00CE3188" w:rsidRPr="00D309F4" w:rsidRDefault="00CE3188" w:rsidP="00CE3188">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r>
      <w:tr w:rsidR="00897433" w:rsidRPr="00D309F4" w14:paraId="7380DC10" w14:textId="77777777" w:rsidTr="0077202E">
        <w:trPr>
          <w:trHeight w:val="230"/>
          <w:jc w:val="center"/>
        </w:trPr>
        <w:tc>
          <w:tcPr>
            <w:tcW w:w="4207" w:type="dxa"/>
            <w:tcBorders>
              <w:top w:val="single" w:sz="18" w:space="0" w:color="auto"/>
              <w:left w:val="single" w:sz="18" w:space="0" w:color="auto"/>
              <w:bottom w:val="nil"/>
              <w:right w:val="single" w:sz="18" w:space="0" w:color="auto"/>
            </w:tcBorders>
            <w:shd w:val="clear" w:color="000000" w:fill="FFFFFF"/>
            <w:noWrap/>
            <w:vAlign w:val="center"/>
            <w:hideMark/>
          </w:tcPr>
          <w:p w14:paraId="3E87A314" w14:textId="77777777" w:rsidR="00CE3188" w:rsidRPr="00D309F4" w:rsidRDefault="00CE3188" w:rsidP="00CE3188">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Gender (male)</w:t>
            </w:r>
          </w:p>
        </w:tc>
        <w:tc>
          <w:tcPr>
            <w:tcW w:w="810" w:type="dxa"/>
            <w:tcBorders>
              <w:top w:val="single" w:sz="18" w:space="0" w:color="auto"/>
              <w:left w:val="single" w:sz="18" w:space="0" w:color="auto"/>
              <w:bottom w:val="nil"/>
              <w:right w:val="nil"/>
            </w:tcBorders>
            <w:shd w:val="clear" w:color="000000" w:fill="FFFFFF"/>
            <w:noWrap/>
            <w:vAlign w:val="center"/>
            <w:hideMark/>
          </w:tcPr>
          <w:p w14:paraId="74880589" w14:textId="1B4AE573"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single" w:sz="18" w:space="0" w:color="auto"/>
              <w:left w:val="nil"/>
              <w:bottom w:val="nil"/>
              <w:right w:val="single" w:sz="4" w:space="0" w:color="auto"/>
            </w:tcBorders>
            <w:shd w:val="clear" w:color="000000" w:fill="FFFFFF"/>
            <w:noWrap/>
            <w:vAlign w:val="center"/>
            <w:hideMark/>
          </w:tcPr>
          <w:p w14:paraId="21495FB8" w14:textId="235137A2"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single" w:sz="18" w:space="0" w:color="auto"/>
              <w:left w:val="nil"/>
              <w:bottom w:val="nil"/>
              <w:right w:val="nil"/>
            </w:tcBorders>
            <w:shd w:val="clear" w:color="000000" w:fill="FFFFFF"/>
            <w:noWrap/>
            <w:vAlign w:val="center"/>
            <w:hideMark/>
          </w:tcPr>
          <w:p w14:paraId="16E9CE91" w14:textId="7DD006E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single" w:sz="18" w:space="0" w:color="auto"/>
              <w:left w:val="nil"/>
              <w:bottom w:val="nil"/>
              <w:right w:val="single" w:sz="4" w:space="0" w:color="auto"/>
            </w:tcBorders>
            <w:shd w:val="clear" w:color="000000" w:fill="FFFFFF"/>
            <w:noWrap/>
            <w:vAlign w:val="center"/>
            <w:hideMark/>
          </w:tcPr>
          <w:p w14:paraId="22A65769" w14:textId="30A6EACC"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single" w:sz="18" w:space="0" w:color="auto"/>
              <w:left w:val="nil"/>
              <w:bottom w:val="nil"/>
              <w:right w:val="nil"/>
            </w:tcBorders>
            <w:shd w:val="clear" w:color="000000" w:fill="FFFFFF"/>
            <w:noWrap/>
            <w:vAlign w:val="center"/>
            <w:hideMark/>
          </w:tcPr>
          <w:p w14:paraId="62741C9A" w14:textId="0E8A6436"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single" w:sz="18" w:space="0" w:color="auto"/>
              <w:left w:val="nil"/>
              <w:bottom w:val="nil"/>
              <w:right w:val="single" w:sz="4" w:space="0" w:color="auto"/>
            </w:tcBorders>
            <w:shd w:val="clear" w:color="000000" w:fill="FFFFFF"/>
            <w:noWrap/>
            <w:vAlign w:val="center"/>
            <w:hideMark/>
          </w:tcPr>
          <w:p w14:paraId="1B7A2866" w14:textId="6E3325C2"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single" w:sz="18" w:space="0" w:color="auto"/>
              <w:left w:val="nil"/>
              <w:bottom w:val="nil"/>
              <w:right w:val="nil"/>
            </w:tcBorders>
            <w:shd w:val="clear" w:color="000000" w:fill="FFFFFF"/>
            <w:noWrap/>
            <w:vAlign w:val="center"/>
            <w:hideMark/>
          </w:tcPr>
          <w:p w14:paraId="386C8C79" w14:textId="3B3C81E2"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single" w:sz="18" w:space="0" w:color="auto"/>
              <w:left w:val="nil"/>
              <w:bottom w:val="nil"/>
              <w:right w:val="single" w:sz="18" w:space="0" w:color="auto"/>
            </w:tcBorders>
            <w:shd w:val="clear" w:color="000000" w:fill="FFFFFF"/>
            <w:noWrap/>
            <w:vAlign w:val="center"/>
            <w:hideMark/>
          </w:tcPr>
          <w:p w14:paraId="3755D95F" w14:textId="1B4F7F10"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F1419F" w:rsidRPr="00D309F4" w14:paraId="232BFEF7"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318747C0" w14:textId="7EE74A9C" w:rsidR="00F1419F" w:rsidRPr="00D309F4" w:rsidRDefault="00F1419F" w:rsidP="00F1419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Female</w:t>
            </w:r>
          </w:p>
        </w:tc>
        <w:tc>
          <w:tcPr>
            <w:tcW w:w="810" w:type="dxa"/>
            <w:tcBorders>
              <w:top w:val="nil"/>
              <w:left w:val="single" w:sz="18" w:space="0" w:color="auto"/>
              <w:bottom w:val="nil"/>
              <w:right w:val="nil"/>
            </w:tcBorders>
            <w:shd w:val="clear" w:color="000000" w:fill="FFFFFF"/>
            <w:noWrap/>
            <w:vAlign w:val="center"/>
            <w:hideMark/>
          </w:tcPr>
          <w:p w14:paraId="2DD866FE" w14:textId="7A2DF553"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0.18</w:t>
            </w:r>
          </w:p>
        </w:tc>
        <w:tc>
          <w:tcPr>
            <w:tcW w:w="540" w:type="dxa"/>
            <w:gridSpan w:val="2"/>
            <w:tcBorders>
              <w:top w:val="nil"/>
              <w:left w:val="nil"/>
              <w:bottom w:val="nil"/>
              <w:right w:val="single" w:sz="4" w:space="0" w:color="auto"/>
            </w:tcBorders>
            <w:shd w:val="clear" w:color="000000" w:fill="FFFFFF"/>
            <w:noWrap/>
            <w:vAlign w:val="center"/>
            <w:hideMark/>
          </w:tcPr>
          <w:p w14:paraId="61F3FABC" w14:textId="00980539"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w:t>
            </w:r>
            <w:r w:rsidR="00C70EB1" w:rsidRPr="00D309F4">
              <w:rPr>
                <w:rFonts w:cs="Times New Roman"/>
                <w:sz w:val="20"/>
                <w:szCs w:val="20"/>
              </w:rPr>
              <w:t>8</w:t>
            </w:r>
            <w:r w:rsidRPr="00D309F4">
              <w:rPr>
                <w:rFonts w:cs="Times New Roman"/>
                <w:sz w:val="20"/>
                <w:szCs w:val="20"/>
              </w:rPr>
              <w:t>9</w:t>
            </w:r>
          </w:p>
        </w:tc>
        <w:tc>
          <w:tcPr>
            <w:tcW w:w="810" w:type="dxa"/>
            <w:tcBorders>
              <w:top w:val="nil"/>
              <w:left w:val="nil"/>
              <w:bottom w:val="nil"/>
              <w:right w:val="nil"/>
            </w:tcBorders>
            <w:shd w:val="clear" w:color="000000" w:fill="FFFFFF"/>
            <w:noWrap/>
            <w:vAlign w:val="center"/>
            <w:hideMark/>
          </w:tcPr>
          <w:p w14:paraId="67E6DDAE" w14:textId="36C3EFC1"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0.23</w:t>
            </w:r>
          </w:p>
        </w:tc>
        <w:tc>
          <w:tcPr>
            <w:tcW w:w="630" w:type="dxa"/>
            <w:gridSpan w:val="2"/>
            <w:tcBorders>
              <w:top w:val="nil"/>
              <w:left w:val="nil"/>
              <w:bottom w:val="nil"/>
              <w:right w:val="single" w:sz="4" w:space="0" w:color="auto"/>
            </w:tcBorders>
            <w:shd w:val="clear" w:color="000000" w:fill="FFFFFF"/>
            <w:noWrap/>
            <w:vAlign w:val="center"/>
            <w:hideMark/>
          </w:tcPr>
          <w:p w14:paraId="1ED33ED2" w14:textId="630D16E6"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2.2</w:t>
            </w:r>
            <w:r w:rsidR="0080641E" w:rsidRPr="00D309F4">
              <w:rPr>
                <w:rFonts w:cs="Times New Roman"/>
                <w:sz w:val="20"/>
                <w:szCs w:val="20"/>
              </w:rPr>
              <w:t>8</w:t>
            </w:r>
          </w:p>
        </w:tc>
        <w:tc>
          <w:tcPr>
            <w:tcW w:w="810" w:type="dxa"/>
            <w:tcBorders>
              <w:top w:val="nil"/>
              <w:left w:val="nil"/>
              <w:bottom w:val="nil"/>
              <w:right w:val="nil"/>
            </w:tcBorders>
            <w:shd w:val="clear" w:color="000000" w:fill="FFFFFF"/>
            <w:noWrap/>
            <w:vAlign w:val="center"/>
            <w:hideMark/>
          </w:tcPr>
          <w:p w14:paraId="291DB344" w14:textId="0834626E"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w:t>
            </w:r>
            <w:r w:rsidR="00B7725F" w:rsidRPr="00D309F4">
              <w:rPr>
                <w:rFonts w:cs="Times New Roman"/>
                <w:sz w:val="20"/>
                <w:szCs w:val="20"/>
              </w:rPr>
              <w:t>59</w:t>
            </w:r>
          </w:p>
        </w:tc>
        <w:tc>
          <w:tcPr>
            <w:tcW w:w="630" w:type="dxa"/>
            <w:tcBorders>
              <w:top w:val="nil"/>
              <w:left w:val="nil"/>
              <w:bottom w:val="nil"/>
              <w:right w:val="single" w:sz="4" w:space="0" w:color="auto"/>
            </w:tcBorders>
            <w:shd w:val="clear" w:color="000000" w:fill="FFFFFF"/>
            <w:noWrap/>
            <w:vAlign w:val="center"/>
            <w:hideMark/>
          </w:tcPr>
          <w:p w14:paraId="7372FB49" w14:textId="5CB0D1FA"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-6.0</w:t>
            </w:r>
            <w:r w:rsidR="00B7725F" w:rsidRPr="00D309F4">
              <w:rPr>
                <w:rFonts w:cs="Times New Roman"/>
                <w:sz w:val="20"/>
                <w:szCs w:val="20"/>
              </w:rPr>
              <w:t>3</w:t>
            </w:r>
          </w:p>
        </w:tc>
        <w:tc>
          <w:tcPr>
            <w:tcW w:w="810" w:type="dxa"/>
            <w:tcBorders>
              <w:top w:val="nil"/>
              <w:left w:val="nil"/>
              <w:bottom w:val="nil"/>
              <w:right w:val="nil"/>
            </w:tcBorders>
            <w:shd w:val="clear" w:color="000000" w:fill="FFFFFF"/>
            <w:noWrap/>
            <w:vAlign w:val="center"/>
            <w:hideMark/>
          </w:tcPr>
          <w:p w14:paraId="1D1F1995" w14:textId="77777777"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4D25188F" w14:textId="53CA58FC"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CE3188" w:rsidRPr="00D309F4" w14:paraId="1F4BDFC7"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9E11B7A" w14:textId="77777777" w:rsidR="00CE3188" w:rsidRPr="00D309F4" w:rsidRDefault="00CE3188" w:rsidP="00CE3188">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Age (18-34)</w:t>
            </w:r>
          </w:p>
        </w:tc>
        <w:tc>
          <w:tcPr>
            <w:tcW w:w="810" w:type="dxa"/>
            <w:tcBorders>
              <w:top w:val="nil"/>
              <w:left w:val="single" w:sz="18" w:space="0" w:color="auto"/>
              <w:bottom w:val="nil"/>
              <w:right w:val="nil"/>
            </w:tcBorders>
            <w:shd w:val="clear" w:color="000000" w:fill="FFFFFF"/>
            <w:noWrap/>
            <w:vAlign w:val="center"/>
            <w:hideMark/>
          </w:tcPr>
          <w:p w14:paraId="7BE7F7AD" w14:textId="14C4A307"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0D159852" w14:textId="56AEF119"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108127A2" w14:textId="106436B5"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45DA1AEA" w14:textId="6F93836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5B474B2A" w14:textId="092636A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591B6106" w14:textId="1A0C86B5"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A660A0F" w14:textId="6D988AE5"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079CA3FD" w14:textId="1015556D"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A432FF" w:rsidRPr="00D309F4" w14:paraId="72D90765"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3CD497FB" w14:textId="77777777"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35-49</w:t>
            </w:r>
          </w:p>
        </w:tc>
        <w:tc>
          <w:tcPr>
            <w:tcW w:w="810" w:type="dxa"/>
            <w:tcBorders>
              <w:top w:val="nil"/>
              <w:left w:val="single" w:sz="18" w:space="0" w:color="auto"/>
              <w:bottom w:val="nil"/>
              <w:right w:val="nil"/>
            </w:tcBorders>
            <w:shd w:val="clear" w:color="000000" w:fill="FFFFFF"/>
            <w:noWrap/>
            <w:vAlign w:val="center"/>
            <w:hideMark/>
          </w:tcPr>
          <w:p w14:paraId="42D744FC"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577E585A" w14:textId="1D7AEF2C"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510689D"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018A0271" w14:textId="103623C9"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68C4D65"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6F81D2D6" w14:textId="08077D5C"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2825B75" w14:textId="0674509F"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-0.4</w:t>
            </w:r>
            <w:r w:rsidR="00C460CF" w:rsidRPr="00D309F4">
              <w:rPr>
                <w:rFonts w:cs="Times New Roman"/>
                <w:sz w:val="20"/>
                <w:szCs w:val="20"/>
              </w:rPr>
              <w:t>2</w:t>
            </w:r>
          </w:p>
        </w:tc>
        <w:tc>
          <w:tcPr>
            <w:tcW w:w="540" w:type="dxa"/>
            <w:tcBorders>
              <w:top w:val="nil"/>
              <w:left w:val="nil"/>
              <w:bottom w:val="nil"/>
              <w:right w:val="single" w:sz="18" w:space="0" w:color="auto"/>
            </w:tcBorders>
            <w:shd w:val="clear" w:color="000000" w:fill="FFFFFF"/>
            <w:noWrap/>
            <w:vAlign w:val="center"/>
            <w:hideMark/>
          </w:tcPr>
          <w:p w14:paraId="3DFB758A" w14:textId="37458D59"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-3.0</w:t>
            </w:r>
            <w:r w:rsidR="00C460CF" w:rsidRPr="00D309F4">
              <w:rPr>
                <w:rFonts w:cs="Times New Roman"/>
                <w:sz w:val="20"/>
                <w:szCs w:val="20"/>
              </w:rPr>
              <w:t>7</w:t>
            </w:r>
          </w:p>
        </w:tc>
      </w:tr>
      <w:tr w:rsidR="00A432FF" w:rsidRPr="00D309F4" w14:paraId="7E29CFF1"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0AFDACD9" w14:textId="77777777"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50-64</w:t>
            </w:r>
          </w:p>
        </w:tc>
        <w:tc>
          <w:tcPr>
            <w:tcW w:w="810" w:type="dxa"/>
            <w:tcBorders>
              <w:top w:val="nil"/>
              <w:left w:val="single" w:sz="18" w:space="0" w:color="auto"/>
              <w:bottom w:val="nil"/>
              <w:right w:val="nil"/>
            </w:tcBorders>
            <w:shd w:val="clear" w:color="000000" w:fill="FFFFFF"/>
            <w:noWrap/>
            <w:vAlign w:val="center"/>
            <w:hideMark/>
          </w:tcPr>
          <w:p w14:paraId="40DCBDC0"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6F683C13" w14:textId="2260F3C3"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CD59021" w14:textId="1B15C6BD"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0.27</w:t>
            </w:r>
          </w:p>
        </w:tc>
        <w:tc>
          <w:tcPr>
            <w:tcW w:w="630" w:type="dxa"/>
            <w:gridSpan w:val="2"/>
            <w:tcBorders>
              <w:top w:val="nil"/>
              <w:left w:val="nil"/>
              <w:bottom w:val="nil"/>
              <w:right w:val="single" w:sz="4" w:space="0" w:color="auto"/>
            </w:tcBorders>
            <w:shd w:val="clear" w:color="000000" w:fill="FFFFFF"/>
            <w:noWrap/>
            <w:vAlign w:val="center"/>
            <w:hideMark/>
          </w:tcPr>
          <w:p w14:paraId="7806F2C3" w14:textId="258A98B2"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2.16</w:t>
            </w:r>
          </w:p>
        </w:tc>
        <w:tc>
          <w:tcPr>
            <w:tcW w:w="810" w:type="dxa"/>
            <w:tcBorders>
              <w:top w:val="nil"/>
              <w:left w:val="nil"/>
              <w:bottom w:val="nil"/>
              <w:right w:val="nil"/>
            </w:tcBorders>
            <w:shd w:val="clear" w:color="000000" w:fill="FFFFFF"/>
            <w:noWrap/>
            <w:vAlign w:val="center"/>
            <w:hideMark/>
          </w:tcPr>
          <w:p w14:paraId="3D9C2C8F"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2B663E65" w14:textId="7C74424C"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C74775F" w14:textId="2F0DD6E0"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-0.62</w:t>
            </w:r>
          </w:p>
        </w:tc>
        <w:tc>
          <w:tcPr>
            <w:tcW w:w="540" w:type="dxa"/>
            <w:tcBorders>
              <w:top w:val="nil"/>
              <w:left w:val="nil"/>
              <w:bottom w:val="nil"/>
              <w:right w:val="single" w:sz="18" w:space="0" w:color="auto"/>
            </w:tcBorders>
            <w:shd w:val="clear" w:color="000000" w:fill="FFFFFF"/>
            <w:noWrap/>
            <w:vAlign w:val="center"/>
            <w:hideMark/>
          </w:tcPr>
          <w:p w14:paraId="6B142058" w14:textId="024C61E8"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-5.0</w:t>
            </w:r>
            <w:r w:rsidR="00C460CF" w:rsidRPr="00D309F4">
              <w:rPr>
                <w:rFonts w:cs="Times New Roman"/>
                <w:sz w:val="20"/>
                <w:szCs w:val="20"/>
              </w:rPr>
              <w:t>2</w:t>
            </w:r>
          </w:p>
        </w:tc>
      </w:tr>
      <w:tr w:rsidR="00A432FF" w:rsidRPr="00D309F4" w14:paraId="7D464BA9"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251B5A0C" w14:textId="77777777"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65+</w:t>
            </w:r>
          </w:p>
        </w:tc>
        <w:tc>
          <w:tcPr>
            <w:tcW w:w="810" w:type="dxa"/>
            <w:tcBorders>
              <w:top w:val="nil"/>
              <w:left w:val="single" w:sz="18" w:space="0" w:color="auto"/>
              <w:bottom w:val="nil"/>
              <w:right w:val="nil"/>
            </w:tcBorders>
            <w:shd w:val="clear" w:color="000000" w:fill="FFFFFF"/>
            <w:noWrap/>
            <w:vAlign w:val="center"/>
            <w:hideMark/>
          </w:tcPr>
          <w:p w14:paraId="255A3DD3"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12029BBA" w14:textId="1320623C"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91CDA68" w14:textId="085B2435"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0.53</w:t>
            </w:r>
          </w:p>
        </w:tc>
        <w:tc>
          <w:tcPr>
            <w:tcW w:w="630" w:type="dxa"/>
            <w:gridSpan w:val="2"/>
            <w:tcBorders>
              <w:top w:val="nil"/>
              <w:left w:val="nil"/>
              <w:bottom w:val="nil"/>
              <w:right w:val="single" w:sz="4" w:space="0" w:color="auto"/>
            </w:tcBorders>
            <w:shd w:val="clear" w:color="000000" w:fill="FFFFFF"/>
            <w:noWrap/>
            <w:vAlign w:val="center"/>
            <w:hideMark/>
          </w:tcPr>
          <w:p w14:paraId="32F38539" w14:textId="132F5CCC"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3.9</w:t>
            </w:r>
            <w:r w:rsidR="0080641E" w:rsidRPr="00D309F4">
              <w:rPr>
                <w:rFonts w:cs="Times New Roman"/>
                <w:sz w:val="20"/>
                <w:szCs w:val="20"/>
              </w:rPr>
              <w:t>2</w:t>
            </w:r>
          </w:p>
        </w:tc>
        <w:tc>
          <w:tcPr>
            <w:tcW w:w="810" w:type="dxa"/>
            <w:tcBorders>
              <w:top w:val="nil"/>
              <w:left w:val="nil"/>
              <w:bottom w:val="nil"/>
              <w:right w:val="nil"/>
            </w:tcBorders>
            <w:shd w:val="clear" w:color="000000" w:fill="FFFFFF"/>
            <w:noWrap/>
            <w:vAlign w:val="center"/>
            <w:hideMark/>
          </w:tcPr>
          <w:p w14:paraId="434AB373"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23D31128" w14:textId="5C655EC1"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345DEDB" w14:textId="7B69BD8B"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-0.66</w:t>
            </w:r>
          </w:p>
        </w:tc>
        <w:tc>
          <w:tcPr>
            <w:tcW w:w="540" w:type="dxa"/>
            <w:tcBorders>
              <w:top w:val="nil"/>
              <w:left w:val="nil"/>
              <w:bottom w:val="nil"/>
              <w:right w:val="single" w:sz="18" w:space="0" w:color="auto"/>
            </w:tcBorders>
            <w:shd w:val="clear" w:color="000000" w:fill="FFFFFF"/>
            <w:noWrap/>
            <w:vAlign w:val="center"/>
            <w:hideMark/>
          </w:tcPr>
          <w:p w14:paraId="5A8361A8" w14:textId="7275B06E"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-5.77</w:t>
            </w:r>
          </w:p>
        </w:tc>
      </w:tr>
      <w:tr w:rsidR="0079018A" w:rsidRPr="00D309F4" w14:paraId="42D442FC"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5A498174" w14:textId="77777777" w:rsidR="0079018A" w:rsidRPr="00D309F4" w:rsidRDefault="0079018A"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Ethnicity (not Hispanic)</w:t>
            </w:r>
          </w:p>
        </w:tc>
        <w:tc>
          <w:tcPr>
            <w:tcW w:w="810" w:type="dxa"/>
            <w:tcBorders>
              <w:top w:val="nil"/>
              <w:left w:val="single" w:sz="18" w:space="0" w:color="auto"/>
              <w:bottom w:val="nil"/>
              <w:right w:val="nil"/>
            </w:tcBorders>
            <w:shd w:val="clear" w:color="000000" w:fill="FFFFFF"/>
            <w:noWrap/>
            <w:vAlign w:val="center"/>
            <w:hideMark/>
          </w:tcPr>
          <w:p w14:paraId="50F836E0"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5D5E1341"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D158352"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3D5BD168"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67D5CEC"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126290EB"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A5E5046"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3F3A8384"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A432FF" w:rsidRPr="00D309F4" w14:paraId="60668FEF"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41A83D4" w14:textId="3583086F"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Hispanic</w:t>
            </w:r>
          </w:p>
        </w:tc>
        <w:tc>
          <w:tcPr>
            <w:tcW w:w="810" w:type="dxa"/>
            <w:tcBorders>
              <w:top w:val="nil"/>
              <w:left w:val="single" w:sz="18" w:space="0" w:color="auto"/>
              <w:bottom w:val="nil"/>
              <w:right w:val="nil"/>
            </w:tcBorders>
            <w:shd w:val="clear" w:color="000000" w:fill="FFFFFF"/>
            <w:noWrap/>
            <w:vAlign w:val="center"/>
            <w:hideMark/>
          </w:tcPr>
          <w:p w14:paraId="68404463" w14:textId="45A3E8C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-0.41</w:t>
            </w:r>
          </w:p>
        </w:tc>
        <w:tc>
          <w:tcPr>
            <w:tcW w:w="540" w:type="dxa"/>
            <w:gridSpan w:val="2"/>
            <w:tcBorders>
              <w:top w:val="nil"/>
              <w:left w:val="nil"/>
              <w:bottom w:val="nil"/>
              <w:right w:val="single" w:sz="4" w:space="0" w:color="auto"/>
            </w:tcBorders>
            <w:shd w:val="clear" w:color="000000" w:fill="FFFFFF"/>
            <w:noWrap/>
            <w:vAlign w:val="center"/>
            <w:hideMark/>
          </w:tcPr>
          <w:p w14:paraId="048C8B25" w14:textId="1516C4EB"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-3.75</w:t>
            </w:r>
          </w:p>
        </w:tc>
        <w:tc>
          <w:tcPr>
            <w:tcW w:w="810" w:type="dxa"/>
            <w:tcBorders>
              <w:top w:val="nil"/>
              <w:left w:val="nil"/>
              <w:bottom w:val="nil"/>
              <w:right w:val="nil"/>
            </w:tcBorders>
            <w:shd w:val="clear" w:color="000000" w:fill="FFFFFF"/>
            <w:noWrap/>
            <w:vAlign w:val="center"/>
            <w:hideMark/>
          </w:tcPr>
          <w:p w14:paraId="1EC2C39D" w14:textId="1B07BD20"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0.3</w:t>
            </w:r>
            <w:r w:rsidR="00B7725F" w:rsidRPr="00D309F4">
              <w:rPr>
                <w:rFonts w:cs="Times New Roman"/>
                <w:sz w:val="20"/>
                <w:szCs w:val="20"/>
              </w:rPr>
              <w:t>1</w:t>
            </w:r>
          </w:p>
        </w:tc>
        <w:tc>
          <w:tcPr>
            <w:tcW w:w="630" w:type="dxa"/>
            <w:gridSpan w:val="2"/>
            <w:tcBorders>
              <w:top w:val="nil"/>
              <w:left w:val="nil"/>
              <w:bottom w:val="nil"/>
              <w:right w:val="single" w:sz="4" w:space="0" w:color="auto"/>
            </w:tcBorders>
            <w:shd w:val="clear" w:color="000000" w:fill="FFFFFF"/>
            <w:noWrap/>
            <w:vAlign w:val="center"/>
            <w:hideMark/>
          </w:tcPr>
          <w:p w14:paraId="30D72837" w14:textId="12EF4540"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2.2</w:t>
            </w:r>
            <w:r w:rsidR="00B7725F" w:rsidRPr="00D309F4">
              <w:rPr>
                <w:rFonts w:cs="Times New Roman"/>
                <w:sz w:val="20"/>
                <w:szCs w:val="20"/>
              </w:rPr>
              <w:t>6</w:t>
            </w:r>
          </w:p>
        </w:tc>
        <w:tc>
          <w:tcPr>
            <w:tcW w:w="810" w:type="dxa"/>
            <w:tcBorders>
              <w:top w:val="nil"/>
              <w:left w:val="nil"/>
              <w:bottom w:val="nil"/>
              <w:right w:val="nil"/>
            </w:tcBorders>
            <w:shd w:val="clear" w:color="000000" w:fill="FFFFFF"/>
            <w:noWrap/>
            <w:vAlign w:val="center"/>
            <w:hideMark/>
          </w:tcPr>
          <w:p w14:paraId="492E9913" w14:textId="5DEE3488"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-0.53</w:t>
            </w:r>
          </w:p>
        </w:tc>
        <w:tc>
          <w:tcPr>
            <w:tcW w:w="630" w:type="dxa"/>
            <w:tcBorders>
              <w:top w:val="nil"/>
              <w:left w:val="nil"/>
              <w:bottom w:val="nil"/>
              <w:right w:val="single" w:sz="4" w:space="0" w:color="auto"/>
            </w:tcBorders>
            <w:shd w:val="clear" w:color="000000" w:fill="FFFFFF"/>
            <w:noWrap/>
            <w:vAlign w:val="center"/>
            <w:hideMark/>
          </w:tcPr>
          <w:p w14:paraId="1BB3589A" w14:textId="00406CD0"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-4.1</w:t>
            </w:r>
            <w:r w:rsidR="00AB65AB" w:rsidRPr="00D309F4">
              <w:rPr>
                <w:rFonts w:cs="Times New Roman"/>
                <w:sz w:val="20"/>
                <w:szCs w:val="20"/>
              </w:rPr>
              <w:t>1</w:t>
            </w:r>
          </w:p>
        </w:tc>
        <w:tc>
          <w:tcPr>
            <w:tcW w:w="810" w:type="dxa"/>
            <w:tcBorders>
              <w:top w:val="nil"/>
              <w:left w:val="nil"/>
              <w:bottom w:val="nil"/>
              <w:right w:val="nil"/>
            </w:tcBorders>
            <w:shd w:val="clear" w:color="000000" w:fill="FFFFFF"/>
            <w:noWrap/>
            <w:vAlign w:val="center"/>
            <w:hideMark/>
          </w:tcPr>
          <w:p w14:paraId="4A5AD899" w14:textId="7B6A0F9B"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0.41</w:t>
            </w:r>
          </w:p>
        </w:tc>
        <w:tc>
          <w:tcPr>
            <w:tcW w:w="540" w:type="dxa"/>
            <w:tcBorders>
              <w:top w:val="nil"/>
              <w:left w:val="nil"/>
              <w:bottom w:val="nil"/>
              <w:right w:val="single" w:sz="18" w:space="0" w:color="auto"/>
            </w:tcBorders>
            <w:shd w:val="clear" w:color="000000" w:fill="FFFFFF"/>
            <w:noWrap/>
            <w:vAlign w:val="center"/>
            <w:hideMark/>
          </w:tcPr>
          <w:p w14:paraId="1A343875" w14:textId="429B22C2"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3.4</w:t>
            </w:r>
            <w:r w:rsidR="008773AA" w:rsidRPr="00D309F4">
              <w:rPr>
                <w:rFonts w:cs="Times New Roman"/>
                <w:sz w:val="20"/>
                <w:szCs w:val="20"/>
              </w:rPr>
              <w:t>7</w:t>
            </w:r>
          </w:p>
        </w:tc>
      </w:tr>
      <w:tr w:rsidR="0079018A" w:rsidRPr="00D309F4" w14:paraId="41E6005B"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5E39CABB" w14:textId="77777777" w:rsidR="0079018A" w:rsidRPr="00D309F4" w:rsidRDefault="0079018A"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Race (white)</w:t>
            </w:r>
          </w:p>
        </w:tc>
        <w:tc>
          <w:tcPr>
            <w:tcW w:w="810" w:type="dxa"/>
            <w:tcBorders>
              <w:top w:val="nil"/>
              <w:left w:val="single" w:sz="18" w:space="0" w:color="auto"/>
              <w:bottom w:val="nil"/>
              <w:right w:val="nil"/>
            </w:tcBorders>
            <w:shd w:val="clear" w:color="000000" w:fill="FFFFFF"/>
            <w:noWrap/>
            <w:vAlign w:val="center"/>
            <w:hideMark/>
          </w:tcPr>
          <w:p w14:paraId="6A23558D"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6895F875"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5C699278"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5924E9FF"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831C4C2"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2856409D"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FF97D83"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7150C016" w14:textId="77777777" w:rsidR="0079018A" w:rsidRPr="00D309F4" w:rsidRDefault="0079018A"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A432FF" w:rsidRPr="00D309F4" w14:paraId="2A815F01"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2FA88058" w14:textId="6D6781BF"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Non-white</w:t>
            </w:r>
          </w:p>
        </w:tc>
        <w:tc>
          <w:tcPr>
            <w:tcW w:w="810" w:type="dxa"/>
            <w:tcBorders>
              <w:top w:val="nil"/>
              <w:left w:val="single" w:sz="18" w:space="0" w:color="auto"/>
              <w:bottom w:val="nil"/>
              <w:right w:val="nil"/>
            </w:tcBorders>
            <w:shd w:val="clear" w:color="000000" w:fill="FFFFFF"/>
            <w:noWrap/>
            <w:vAlign w:val="center"/>
            <w:hideMark/>
          </w:tcPr>
          <w:p w14:paraId="6E508F46"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2395726F"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753C57F"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23CC6351"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30AED85"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0546F205"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DBF501C" w14:textId="2F6C763E"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0.17</w:t>
            </w:r>
          </w:p>
        </w:tc>
        <w:tc>
          <w:tcPr>
            <w:tcW w:w="540" w:type="dxa"/>
            <w:tcBorders>
              <w:top w:val="nil"/>
              <w:left w:val="nil"/>
              <w:bottom w:val="nil"/>
              <w:right w:val="single" w:sz="18" w:space="0" w:color="auto"/>
            </w:tcBorders>
            <w:shd w:val="clear" w:color="000000" w:fill="FFFFFF"/>
            <w:noWrap/>
            <w:vAlign w:val="center"/>
            <w:hideMark/>
          </w:tcPr>
          <w:p w14:paraId="7F70EEAD" w14:textId="1282B574"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2.01</w:t>
            </w:r>
          </w:p>
        </w:tc>
      </w:tr>
      <w:tr w:rsidR="00CE3188" w:rsidRPr="00D309F4" w14:paraId="43DFC289"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0CD1863D" w14:textId="77777777" w:rsidR="00CE3188" w:rsidRPr="00D309F4" w:rsidRDefault="00CE3188" w:rsidP="00CE3188">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Employment (employed)</w:t>
            </w:r>
          </w:p>
        </w:tc>
        <w:tc>
          <w:tcPr>
            <w:tcW w:w="810" w:type="dxa"/>
            <w:tcBorders>
              <w:top w:val="nil"/>
              <w:left w:val="single" w:sz="18" w:space="0" w:color="auto"/>
              <w:bottom w:val="nil"/>
              <w:right w:val="nil"/>
            </w:tcBorders>
            <w:shd w:val="clear" w:color="000000" w:fill="FFFFFF"/>
            <w:noWrap/>
            <w:vAlign w:val="center"/>
            <w:hideMark/>
          </w:tcPr>
          <w:p w14:paraId="5D177EBE" w14:textId="37F0EC7A"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69661BC8" w14:textId="30ACE069"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D44C2EB" w14:textId="7329D8A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21F65D22" w14:textId="276AA8C9"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35F97D4" w14:textId="41DA008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05505585" w14:textId="63544A1C"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5ED76F3" w14:textId="33ABFE0C"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31F94BDA" w14:textId="683DDF15"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F1419F" w:rsidRPr="00D309F4" w14:paraId="3084CDB3"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7A36E186" w14:textId="77777777" w:rsidR="00F1419F" w:rsidRPr="00D309F4" w:rsidRDefault="00F1419F" w:rsidP="00F1419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Retired</w:t>
            </w:r>
          </w:p>
        </w:tc>
        <w:tc>
          <w:tcPr>
            <w:tcW w:w="810" w:type="dxa"/>
            <w:tcBorders>
              <w:top w:val="nil"/>
              <w:left w:val="single" w:sz="18" w:space="0" w:color="auto"/>
              <w:bottom w:val="nil"/>
              <w:right w:val="nil"/>
            </w:tcBorders>
            <w:shd w:val="clear" w:color="000000" w:fill="FFFFFF"/>
            <w:noWrap/>
            <w:vAlign w:val="center"/>
            <w:hideMark/>
          </w:tcPr>
          <w:p w14:paraId="2676D721" w14:textId="77777777"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3827D3CC" w14:textId="28A428D5"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AF50589" w14:textId="77777777"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54E23D19" w14:textId="3CBF450D"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64ECA51" w14:textId="1CA011DD"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0.24</w:t>
            </w:r>
          </w:p>
        </w:tc>
        <w:tc>
          <w:tcPr>
            <w:tcW w:w="630" w:type="dxa"/>
            <w:tcBorders>
              <w:top w:val="nil"/>
              <w:left w:val="nil"/>
              <w:bottom w:val="nil"/>
              <w:right w:val="single" w:sz="4" w:space="0" w:color="auto"/>
            </w:tcBorders>
            <w:shd w:val="clear" w:color="000000" w:fill="FFFFFF"/>
            <w:noWrap/>
            <w:vAlign w:val="center"/>
            <w:hideMark/>
          </w:tcPr>
          <w:p w14:paraId="17B43DED" w14:textId="1CD0135C"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2.37</w:t>
            </w:r>
          </w:p>
        </w:tc>
        <w:tc>
          <w:tcPr>
            <w:tcW w:w="810" w:type="dxa"/>
            <w:tcBorders>
              <w:top w:val="nil"/>
              <w:left w:val="nil"/>
              <w:bottom w:val="nil"/>
              <w:right w:val="nil"/>
            </w:tcBorders>
            <w:shd w:val="clear" w:color="000000" w:fill="FFFFFF"/>
            <w:noWrap/>
            <w:vAlign w:val="center"/>
            <w:hideMark/>
          </w:tcPr>
          <w:p w14:paraId="78B85EEC" w14:textId="77777777"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541E7BEB" w14:textId="10C8DD1E"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CE3188" w:rsidRPr="00D309F4" w14:paraId="550CF499"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71D41202" w14:textId="4CF81DF6" w:rsidR="00CE3188" w:rsidRPr="00D309F4" w:rsidRDefault="00CE3188" w:rsidP="00CE3188">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Education (less than bachelor</w:t>
            </w:r>
            <w:r w:rsidR="0097080D"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s degree)</w:t>
            </w:r>
          </w:p>
        </w:tc>
        <w:tc>
          <w:tcPr>
            <w:tcW w:w="810" w:type="dxa"/>
            <w:tcBorders>
              <w:top w:val="nil"/>
              <w:left w:val="single" w:sz="18" w:space="0" w:color="auto"/>
              <w:bottom w:val="nil"/>
              <w:right w:val="nil"/>
            </w:tcBorders>
            <w:shd w:val="clear" w:color="000000" w:fill="FFFFFF"/>
            <w:noWrap/>
            <w:vAlign w:val="center"/>
            <w:hideMark/>
          </w:tcPr>
          <w:p w14:paraId="6FC3C997" w14:textId="04D76FC4"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4519913A" w14:textId="57E75797"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0E54327" w14:textId="61182E32"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764DE3EA" w14:textId="77B1150B"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52D836B" w14:textId="5F8141E0"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5E17652E" w14:textId="7CC92A61"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42917039" w14:textId="4C6BBCAE"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608B24BB" w14:textId="5C323959"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F1419F" w:rsidRPr="00D309F4" w14:paraId="188A804D"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D10632D" w14:textId="4733A77B" w:rsidR="00F1419F" w:rsidRPr="00D309F4" w:rsidRDefault="00F1419F" w:rsidP="00F1419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Bachelor</w:t>
            </w:r>
            <w:r w:rsidR="0097080D"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s degree</w:t>
            </w:r>
          </w:p>
        </w:tc>
        <w:tc>
          <w:tcPr>
            <w:tcW w:w="810" w:type="dxa"/>
            <w:tcBorders>
              <w:top w:val="nil"/>
              <w:left w:val="single" w:sz="18" w:space="0" w:color="auto"/>
              <w:bottom w:val="nil"/>
              <w:right w:val="nil"/>
            </w:tcBorders>
            <w:shd w:val="clear" w:color="000000" w:fill="FFFFFF"/>
            <w:noWrap/>
            <w:vAlign w:val="center"/>
            <w:hideMark/>
          </w:tcPr>
          <w:p w14:paraId="28B9AE22" w14:textId="549132FC"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0.5</w:t>
            </w:r>
            <w:r w:rsidR="0080641E" w:rsidRPr="00D309F4">
              <w:rPr>
                <w:rFonts w:cs="Times New Roman"/>
                <w:sz w:val="20"/>
                <w:szCs w:val="20"/>
              </w:rPr>
              <w:t>3</w:t>
            </w:r>
          </w:p>
        </w:tc>
        <w:tc>
          <w:tcPr>
            <w:tcW w:w="540" w:type="dxa"/>
            <w:gridSpan w:val="2"/>
            <w:tcBorders>
              <w:top w:val="nil"/>
              <w:left w:val="nil"/>
              <w:bottom w:val="nil"/>
              <w:right w:val="single" w:sz="4" w:space="0" w:color="auto"/>
            </w:tcBorders>
            <w:shd w:val="clear" w:color="000000" w:fill="FFFFFF"/>
            <w:noWrap/>
            <w:vAlign w:val="center"/>
            <w:hideMark/>
          </w:tcPr>
          <w:p w14:paraId="765A20B2" w14:textId="615DD2D9"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4.8</w:t>
            </w:r>
            <w:r w:rsidR="0080641E" w:rsidRPr="00D309F4">
              <w:rPr>
                <w:rFonts w:cs="Times New Roman"/>
                <w:sz w:val="20"/>
                <w:szCs w:val="20"/>
              </w:rPr>
              <w:t>5</w:t>
            </w:r>
          </w:p>
        </w:tc>
        <w:tc>
          <w:tcPr>
            <w:tcW w:w="810" w:type="dxa"/>
            <w:tcBorders>
              <w:top w:val="nil"/>
              <w:left w:val="nil"/>
              <w:bottom w:val="nil"/>
              <w:right w:val="nil"/>
            </w:tcBorders>
            <w:shd w:val="clear" w:color="000000" w:fill="FFFFFF"/>
            <w:noWrap/>
            <w:vAlign w:val="center"/>
            <w:hideMark/>
          </w:tcPr>
          <w:p w14:paraId="7AA53E67" w14:textId="77777777"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3057EB6E" w14:textId="0DCEF8E1"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7EFB819" w14:textId="676EBED9"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0.5</w:t>
            </w:r>
            <w:r w:rsidR="00AB65AB" w:rsidRPr="00D309F4">
              <w:rPr>
                <w:rFonts w:cs="Times New Roman"/>
                <w:sz w:val="20"/>
                <w:szCs w:val="20"/>
              </w:rPr>
              <w:t>4</w:t>
            </w:r>
          </w:p>
        </w:tc>
        <w:tc>
          <w:tcPr>
            <w:tcW w:w="630" w:type="dxa"/>
            <w:tcBorders>
              <w:top w:val="nil"/>
              <w:left w:val="nil"/>
              <w:bottom w:val="nil"/>
              <w:right w:val="single" w:sz="4" w:space="0" w:color="auto"/>
            </w:tcBorders>
            <w:shd w:val="clear" w:color="000000" w:fill="FFFFFF"/>
            <w:noWrap/>
            <w:vAlign w:val="center"/>
            <w:hideMark/>
          </w:tcPr>
          <w:p w14:paraId="02766875" w14:textId="1E9C79E1"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4.</w:t>
            </w:r>
            <w:r w:rsidR="00AB65AB" w:rsidRPr="00D309F4">
              <w:rPr>
                <w:rFonts w:cs="Times New Roman"/>
                <w:sz w:val="20"/>
                <w:szCs w:val="20"/>
              </w:rPr>
              <w:t>39</w:t>
            </w:r>
          </w:p>
        </w:tc>
        <w:tc>
          <w:tcPr>
            <w:tcW w:w="810" w:type="dxa"/>
            <w:tcBorders>
              <w:top w:val="nil"/>
              <w:left w:val="nil"/>
              <w:bottom w:val="nil"/>
              <w:right w:val="nil"/>
            </w:tcBorders>
            <w:shd w:val="clear" w:color="000000" w:fill="FFFFFF"/>
            <w:noWrap/>
            <w:vAlign w:val="center"/>
            <w:hideMark/>
          </w:tcPr>
          <w:p w14:paraId="13920E06" w14:textId="77777777"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6530B487" w14:textId="582E98A4" w:rsidR="00F1419F" w:rsidRPr="00D309F4" w:rsidRDefault="00F1419F"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A432FF" w:rsidRPr="00D309F4" w14:paraId="53DA57FC"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1468DAF9" w14:textId="77777777"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Graduate degree</w:t>
            </w:r>
          </w:p>
        </w:tc>
        <w:tc>
          <w:tcPr>
            <w:tcW w:w="810" w:type="dxa"/>
            <w:tcBorders>
              <w:top w:val="nil"/>
              <w:left w:val="single" w:sz="18" w:space="0" w:color="auto"/>
              <w:bottom w:val="nil"/>
              <w:right w:val="nil"/>
            </w:tcBorders>
            <w:shd w:val="clear" w:color="000000" w:fill="FFFFFF"/>
            <w:noWrap/>
            <w:vAlign w:val="center"/>
            <w:hideMark/>
          </w:tcPr>
          <w:p w14:paraId="15A5437F" w14:textId="34FEA82B"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0.82</w:t>
            </w:r>
          </w:p>
        </w:tc>
        <w:tc>
          <w:tcPr>
            <w:tcW w:w="540" w:type="dxa"/>
            <w:gridSpan w:val="2"/>
            <w:tcBorders>
              <w:top w:val="nil"/>
              <w:left w:val="nil"/>
              <w:bottom w:val="nil"/>
              <w:right w:val="single" w:sz="4" w:space="0" w:color="auto"/>
            </w:tcBorders>
            <w:shd w:val="clear" w:color="000000" w:fill="FFFFFF"/>
            <w:noWrap/>
            <w:vAlign w:val="center"/>
            <w:hideMark/>
          </w:tcPr>
          <w:p w14:paraId="001B2C18" w14:textId="40F26D6F"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6.70</w:t>
            </w:r>
          </w:p>
        </w:tc>
        <w:tc>
          <w:tcPr>
            <w:tcW w:w="810" w:type="dxa"/>
            <w:tcBorders>
              <w:top w:val="nil"/>
              <w:left w:val="nil"/>
              <w:bottom w:val="nil"/>
              <w:right w:val="nil"/>
            </w:tcBorders>
            <w:shd w:val="clear" w:color="000000" w:fill="FFFFFF"/>
            <w:noWrap/>
            <w:vAlign w:val="center"/>
            <w:hideMark/>
          </w:tcPr>
          <w:p w14:paraId="2D7736BD"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517BB5F8" w14:textId="0EA2C1AB"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1200D3FF" w14:textId="7647FFCA"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0.73</w:t>
            </w:r>
          </w:p>
        </w:tc>
        <w:tc>
          <w:tcPr>
            <w:tcW w:w="630" w:type="dxa"/>
            <w:tcBorders>
              <w:top w:val="nil"/>
              <w:left w:val="nil"/>
              <w:bottom w:val="nil"/>
              <w:right w:val="single" w:sz="4" w:space="0" w:color="auto"/>
            </w:tcBorders>
            <w:shd w:val="clear" w:color="000000" w:fill="FFFFFF"/>
            <w:noWrap/>
            <w:vAlign w:val="center"/>
            <w:hideMark/>
          </w:tcPr>
          <w:p w14:paraId="44D19C80" w14:textId="2D790D84"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5.76</w:t>
            </w:r>
          </w:p>
        </w:tc>
        <w:tc>
          <w:tcPr>
            <w:tcW w:w="810" w:type="dxa"/>
            <w:tcBorders>
              <w:top w:val="nil"/>
              <w:left w:val="nil"/>
              <w:bottom w:val="nil"/>
              <w:right w:val="nil"/>
            </w:tcBorders>
            <w:shd w:val="clear" w:color="000000" w:fill="FFFFFF"/>
            <w:noWrap/>
            <w:vAlign w:val="center"/>
            <w:hideMark/>
          </w:tcPr>
          <w:p w14:paraId="386DC38D" w14:textId="73FC678E"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0.2</w:t>
            </w:r>
            <w:r w:rsidR="006F2538" w:rsidRPr="00D309F4">
              <w:rPr>
                <w:rFonts w:cs="Times New Roman"/>
                <w:sz w:val="20"/>
                <w:szCs w:val="20"/>
              </w:rPr>
              <w:t>2</w:t>
            </w:r>
          </w:p>
        </w:tc>
        <w:tc>
          <w:tcPr>
            <w:tcW w:w="540" w:type="dxa"/>
            <w:tcBorders>
              <w:top w:val="nil"/>
              <w:left w:val="nil"/>
              <w:bottom w:val="nil"/>
              <w:right w:val="single" w:sz="18" w:space="0" w:color="auto"/>
            </w:tcBorders>
            <w:shd w:val="clear" w:color="000000" w:fill="FFFFFF"/>
            <w:noWrap/>
            <w:vAlign w:val="center"/>
            <w:hideMark/>
          </w:tcPr>
          <w:p w14:paraId="65F3C506" w14:textId="57B316C6"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2.07</w:t>
            </w:r>
          </w:p>
        </w:tc>
      </w:tr>
      <w:tr w:rsidR="00CE3188" w:rsidRPr="00D309F4" w14:paraId="25C824DC"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3F6D9FBD" w14:textId="77777777" w:rsidR="00CE3188" w:rsidRPr="00D309F4" w:rsidRDefault="00CE3188" w:rsidP="00CE3188">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Household income (less than $100,000)</w:t>
            </w:r>
          </w:p>
        </w:tc>
        <w:tc>
          <w:tcPr>
            <w:tcW w:w="810" w:type="dxa"/>
            <w:tcBorders>
              <w:top w:val="nil"/>
              <w:left w:val="single" w:sz="18" w:space="0" w:color="auto"/>
              <w:bottom w:val="nil"/>
              <w:right w:val="nil"/>
            </w:tcBorders>
            <w:shd w:val="clear" w:color="000000" w:fill="FFFFFF"/>
            <w:noWrap/>
            <w:vAlign w:val="center"/>
            <w:hideMark/>
          </w:tcPr>
          <w:p w14:paraId="6B95DB7E" w14:textId="10C082D5"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6F1255B3" w14:textId="4467CDEA"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D6EA7A5" w14:textId="5D536E1C"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092222E9" w14:textId="64B41BC9"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DA2006F" w14:textId="6C9AD245"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4AF7A094" w14:textId="0A81A29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18D82A28" w14:textId="2A48637D"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37D5F296" w14:textId="361D6EF4"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A432FF" w:rsidRPr="00D309F4" w14:paraId="6C9B9784"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0A3AC086" w14:textId="77777777"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$100,000 - $199,999</w:t>
            </w:r>
          </w:p>
        </w:tc>
        <w:tc>
          <w:tcPr>
            <w:tcW w:w="810" w:type="dxa"/>
            <w:tcBorders>
              <w:top w:val="nil"/>
              <w:left w:val="single" w:sz="18" w:space="0" w:color="auto"/>
              <w:bottom w:val="nil"/>
              <w:right w:val="nil"/>
            </w:tcBorders>
            <w:shd w:val="clear" w:color="000000" w:fill="FFFFFF"/>
            <w:noWrap/>
            <w:vAlign w:val="center"/>
            <w:hideMark/>
          </w:tcPr>
          <w:p w14:paraId="0AF89BCA"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7E7D5651" w14:textId="2236577E"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9655BA3"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30793995" w14:textId="19C72FE1"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5A2D9E7" w14:textId="27E3C072"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0.35</w:t>
            </w:r>
          </w:p>
        </w:tc>
        <w:tc>
          <w:tcPr>
            <w:tcW w:w="630" w:type="dxa"/>
            <w:tcBorders>
              <w:top w:val="nil"/>
              <w:left w:val="nil"/>
              <w:bottom w:val="nil"/>
              <w:right w:val="single" w:sz="4" w:space="0" w:color="auto"/>
            </w:tcBorders>
            <w:shd w:val="clear" w:color="000000" w:fill="FFFFFF"/>
            <w:noWrap/>
            <w:vAlign w:val="center"/>
            <w:hideMark/>
          </w:tcPr>
          <w:p w14:paraId="438E456A" w14:textId="351DA2FB"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3.1</w:t>
            </w:r>
            <w:r w:rsidR="00AB65AB" w:rsidRPr="00D309F4">
              <w:rPr>
                <w:rFonts w:cs="Times New Roman"/>
                <w:sz w:val="20"/>
                <w:szCs w:val="20"/>
              </w:rPr>
              <w:t>6</w:t>
            </w:r>
          </w:p>
        </w:tc>
        <w:tc>
          <w:tcPr>
            <w:tcW w:w="810" w:type="dxa"/>
            <w:tcBorders>
              <w:top w:val="nil"/>
              <w:left w:val="nil"/>
              <w:bottom w:val="nil"/>
              <w:right w:val="nil"/>
            </w:tcBorders>
            <w:shd w:val="clear" w:color="000000" w:fill="FFFFFF"/>
            <w:noWrap/>
            <w:vAlign w:val="center"/>
            <w:hideMark/>
          </w:tcPr>
          <w:p w14:paraId="4409CCD3"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470381E9" w14:textId="09847992"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A432FF" w:rsidRPr="00D309F4" w14:paraId="7052916A"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281094EC" w14:textId="77777777" w:rsidR="00A432FF" w:rsidRPr="00D309F4" w:rsidRDefault="00A432FF" w:rsidP="00A432FF">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$200,000+</w:t>
            </w:r>
          </w:p>
        </w:tc>
        <w:tc>
          <w:tcPr>
            <w:tcW w:w="810" w:type="dxa"/>
            <w:tcBorders>
              <w:top w:val="nil"/>
              <w:left w:val="single" w:sz="18" w:space="0" w:color="auto"/>
              <w:bottom w:val="nil"/>
              <w:right w:val="nil"/>
            </w:tcBorders>
            <w:shd w:val="clear" w:color="000000" w:fill="FFFFFF"/>
            <w:noWrap/>
            <w:vAlign w:val="center"/>
            <w:hideMark/>
          </w:tcPr>
          <w:p w14:paraId="1F2DDFDA" w14:textId="65FC2D2D"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0.29</w:t>
            </w:r>
          </w:p>
        </w:tc>
        <w:tc>
          <w:tcPr>
            <w:tcW w:w="540" w:type="dxa"/>
            <w:gridSpan w:val="2"/>
            <w:tcBorders>
              <w:top w:val="nil"/>
              <w:left w:val="nil"/>
              <w:bottom w:val="nil"/>
              <w:right w:val="single" w:sz="4" w:space="0" w:color="auto"/>
            </w:tcBorders>
            <w:shd w:val="clear" w:color="000000" w:fill="FFFFFF"/>
            <w:noWrap/>
            <w:vAlign w:val="center"/>
            <w:hideMark/>
          </w:tcPr>
          <w:p w14:paraId="3DF177ED" w14:textId="4D023C58"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2.2</w:t>
            </w:r>
            <w:r w:rsidR="0080641E" w:rsidRPr="00D309F4">
              <w:rPr>
                <w:rFonts w:cs="Times New Roman"/>
                <w:sz w:val="20"/>
                <w:szCs w:val="20"/>
              </w:rPr>
              <w:t>3</w:t>
            </w:r>
          </w:p>
        </w:tc>
        <w:tc>
          <w:tcPr>
            <w:tcW w:w="810" w:type="dxa"/>
            <w:tcBorders>
              <w:top w:val="nil"/>
              <w:left w:val="nil"/>
              <w:bottom w:val="nil"/>
              <w:right w:val="nil"/>
            </w:tcBorders>
            <w:shd w:val="clear" w:color="000000" w:fill="FFFFFF"/>
            <w:noWrap/>
            <w:vAlign w:val="center"/>
            <w:hideMark/>
          </w:tcPr>
          <w:p w14:paraId="73928EBE"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587B1272" w14:textId="3A389DAC"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47F9056" w14:textId="741CED5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0.57</w:t>
            </w:r>
          </w:p>
        </w:tc>
        <w:tc>
          <w:tcPr>
            <w:tcW w:w="630" w:type="dxa"/>
            <w:tcBorders>
              <w:top w:val="nil"/>
              <w:left w:val="nil"/>
              <w:bottom w:val="nil"/>
              <w:right w:val="single" w:sz="4" w:space="0" w:color="auto"/>
            </w:tcBorders>
            <w:shd w:val="clear" w:color="000000" w:fill="FFFFFF"/>
            <w:noWrap/>
            <w:vAlign w:val="center"/>
            <w:hideMark/>
          </w:tcPr>
          <w:p w14:paraId="2CD0DC74" w14:textId="69D1C88B"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3.4</w:t>
            </w:r>
            <w:r w:rsidR="00C460CF" w:rsidRPr="00D309F4">
              <w:rPr>
                <w:rFonts w:cs="Times New Roman"/>
                <w:sz w:val="20"/>
                <w:szCs w:val="20"/>
              </w:rPr>
              <w:t>6</w:t>
            </w:r>
          </w:p>
        </w:tc>
        <w:tc>
          <w:tcPr>
            <w:tcW w:w="810" w:type="dxa"/>
            <w:tcBorders>
              <w:top w:val="nil"/>
              <w:left w:val="nil"/>
              <w:bottom w:val="nil"/>
              <w:right w:val="nil"/>
            </w:tcBorders>
            <w:shd w:val="clear" w:color="000000" w:fill="FFFFFF"/>
            <w:noWrap/>
            <w:vAlign w:val="center"/>
            <w:hideMark/>
          </w:tcPr>
          <w:p w14:paraId="63A6243B" w14:textId="7777777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77C8E052" w14:textId="29059BD7" w:rsidR="00A432FF" w:rsidRPr="00D309F4" w:rsidRDefault="00A432FF"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CE3188" w:rsidRPr="00D309F4" w14:paraId="6925C646"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2AA17171" w14:textId="1529F9DE" w:rsidR="00CE3188" w:rsidRPr="00D309F4" w:rsidRDefault="00CE3188" w:rsidP="00CE3188">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Household type (single</w:t>
            </w:r>
            <w:r w:rsidR="00874CFC"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family home)</w:t>
            </w:r>
          </w:p>
        </w:tc>
        <w:tc>
          <w:tcPr>
            <w:tcW w:w="810" w:type="dxa"/>
            <w:tcBorders>
              <w:top w:val="nil"/>
              <w:left w:val="single" w:sz="18" w:space="0" w:color="auto"/>
              <w:bottom w:val="nil"/>
              <w:right w:val="nil"/>
            </w:tcBorders>
            <w:shd w:val="clear" w:color="000000" w:fill="FFFFFF"/>
            <w:noWrap/>
            <w:vAlign w:val="center"/>
            <w:hideMark/>
          </w:tcPr>
          <w:p w14:paraId="0E89BF1D" w14:textId="57383E1A"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557584D0" w14:textId="23B351B9"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18751221" w14:textId="3152FDB9"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5E454B69" w14:textId="57DC820A"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36AE9AA" w14:textId="41759FA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5792F586" w14:textId="587BE58C"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BE1FC8F" w14:textId="2422180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67A2BC7C" w14:textId="4B01B604"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FD7B7B" w:rsidRPr="00D309F4" w14:paraId="486BAA98"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934547A" w14:textId="4B3DCCB6" w:rsidR="00FD7B7B" w:rsidRPr="00D309F4" w:rsidRDefault="00FD7B7B" w:rsidP="00FD7B7B">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w:t>
            </w:r>
            <w:r w:rsidR="00874CFC" w:rsidRPr="00D309F4">
              <w:rPr>
                <w:rFonts w:eastAsia="Times New Roman" w:cs="Times New Roman"/>
                <w:kern w:val="0"/>
                <w:sz w:val="20"/>
                <w:szCs w:val="20"/>
                <w14:ligatures w14:val="none"/>
              </w:rPr>
              <w:t>M</w:t>
            </w:r>
            <w:r w:rsidRPr="00D309F4">
              <w:rPr>
                <w:rFonts w:eastAsia="Times New Roman" w:cs="Times New Roman"/>
                <w:kern w:val="0"/>
                <w:sz w:val="20"/>
                <w:szCs w:val="20"/>
                <w14:ligatures w14:val="none"/>
              </w:rPr>
              <w:t>ultifamily home</w:t>
            </w:r>
            <w:r w:rsidR="00874CFC" w:rsidRPr="00D309F4">
              <w:rPr>
                <w:rFonts w:eastAsia="Times New Roman" w:cs="Times New Roman"/>
                <w:kern w:val="0"/>
                <w:sz w:val="20"/>
                <w:szCs w:val="20"/>
                <w14:ligatures w14:val="none"/>
              </w:rPr>
              <w:t xml:space="preserve"> or apartment</w:t>
            </w:r>
          </w:p>
        </w:tc>
        <w:tc>
          <w:tcPr>
            <w:tcW w:w="810" w:type="dxa"/>
            <w:tcBorders>
              <w:top w:val="nil"/>
              <w:left w:val="single" w:sz="18" w:space="0" w:color="auto"/>
              <w:bottom w:val="nil"/>
              <w:right w:val="nil"/>
            </w:tcBorders>
            <w:shd w:val="clear" w:color="000000" w:fill="FFFFFF"/>
            <w:noWrap/>
            <w:vAlign w:val="center"/>
            <w:hideMark/>
          </w:tcPr>
          <w:p w14:paraId="1799BF7D"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0053D8DC" w14:textId="1BB084A2"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BB3171C"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108A66F1" w14:textId="5DDCF1C6"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89BDE47"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7EAB2281" w14:textId="0034183E"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657B178" w14:textId="62CAA01D"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0.28</w:t>
            </w:r>
          </w:p>
        </w:tc>
        <w:tc>
          <w:tcPr>
            <w:tcW w:w="540" w:type="dxa"/>
            <w:tcBorders>
              <w:top w:val="nil"/>
              <w:left w:val="nil"/>
              <w:bottom w:val="nil"/>
              <w:right w:val="single" w:sz="18" w:space="0" w:color="auto"/>
            </w:tcBorders>
            <w:shd w:val="clear" w:color="000000" w:fill="FFFFFF"/>
            <w:noWrap/>
            <w:vAlign w:val="center"/>
            <w:hideMark/>
          </w:tcPr>
          <w:p w14:paraId="6D3FECC8" w14:textId="0B144F7A"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2.41</w:t>
            </w:r>
          </w:p>
        </w:tc>
      </w:tr>
      <w:tr w:rsidR="00CE3188" w:rsidRPr="00D309F4" w14:paraId="3C71E448"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57C5F76" w14:textId="77777777" w:rsidR="00CE3188" w:rsidRPr="00D309F4" w:rsidRDefault="00CE3188" w:rsidP="00CE3188">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Charging station density (low)</w:t>
            </w:r>
          </w:p>
        </w:tc>
        <w:tc>
          <w:tcPr>
            <w:tcW w:w="810" w:type="dxa"/>
            <w:tcBorders>
              <w:top w:val="nil"/>
              <w:left w:val="single" w:sz="18" w:space="0" w:color="auto"/>
              <w:bottom w:val="nil"/>
              <w:right w:val="nil"/>
            </w:tcBorders>
            <w:shd w:val="clear" w:color="000000" w:fill="FFFFFF"/>
            <w:noWrap/>
            <w:vAlign w:val="center"/>
            <w:hideMark/>
          </w:tcPr>
          <w:p w14:paraId="6F670E53" w14:textId="6992B7CC"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gridSpan w:val="2"/>
            <w:tcBorders>
              <w:top w:val="nil"/>
              <w:left w:val="nil"/>
              <w:bottom w:val="nil"/>
              <w:right w:val="single" w:sz="4" w:space="0" w:color="auto"/>
            </w:tcBorders>
            <w:shd w:val="clear" w:color="000000" w:fill="FFFFFF"/>
            <w:noWrap/>
            <w:vAlign w:val="center"/>
            <w:hideMark/>
          </w:tcPr>
          <w:p w14:paraId="5F9D8BE6" w14:textId="3CA1EC92"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A0CD93C" w14:textId="2AFD6EA3"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gridSpan w:val="2"/>
            <w:tcBorders>
              <w:top w:val="nil"/>
              <w:left w:val="nil"/>
              <w:bottom w:val="nil"/>
              <w:right w:val="single" w:sz="4" w:space="0" w:color="auto"/>
            </w:tcBorders>
            <w:shd w:val="clear" w:color="000000" w:fill="FFFFFF"/>
            <w:noWrap/>
            <w:vAlign w:val="center"/>
            <w:hideMark/>
          </w:tcPr>
          <w:p w14:paraId="19F6B51B" w14:textId="578A35A3"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88E8C46" w14:textId="6C38808F"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7FA82D7F" w14:textId="4EA8DFB1"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1E659B2" w14:textId="3F9A58F3"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2D0BE58C" w14:textId="1F533F57" w:rsidR="00CE3188" w:rsidRPr="00D309F4" w:rsidRDefault="00CE3188" w:rsidP="0077202E">
            <w:pPr>
              <w:tabs>
                <w:tab w:val="decimal" w:pos="242"/>
              </w:tabs>
              <w:spacing w:after="0" w:line="240" w:lineRule="auto"/>
              <w:jc w:val="center"/>
              <w:rPr>
                <w:rFonts w:eastAsia="Times New Roman" w:cs="Times New Roman"/>
                <w:color w:val="000000"/>
                <w:kern w:val="0"/>
                <w:sz w:val="20"/>
                <w:szCs w:val="20"/>
                <w14:ligatures w14:val="none"/>
              </w:rPr>
            </w:pPr>
          </w:p>
        </w:tc>
      </w:tr>
      <w:tr w:rsidR="00FD7B7B" w:rsidRPr="00D309F4" w14:paraId="4A7FAC40"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784F6F60" w14:textId="77777777" w:rsidR="00FD7B7B" w:rsidRPr="00D309F4" w:rsidRDefault="00FD7B7B" w:rsidP="00FD7B7B">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Medium</w:t>
            </w:r>
          </w:p>
        </w:tc>
        <w:tc>
          <w:tcPr>
            <w:tcW w:w="810" w:type="dxa"/>
            <w:tcBorders>
              <w:top w:val="nil"/>
              <w:left w:val="single" w:sz="18" w:space="0" w:color="auto"/>
              <w:bottom w:val="nil"/>
              <w:right w:val="nil"/>
            </w:tcBorders>
            <w:shd w:val="clear" w:color="000000" w:fill="FFFFFF"/>
            <w:noWrap/>
            <w:vAlign w:val="center"/>
            <w:hideMark/>
          </w:tcPr>
          <w:p w14:paraId="1A70B22F"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707075BC" w14:textId="57B1B702"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561A423"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2DE2897D" w14:textId="57C6AFBA"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6C151C8"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216B498A" w14:textId="7C5050E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BF0EB7B" w14:textId="586D9023"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0.12</w:t>
            </w:r>
          </w:p>
        </w:tc>
        <w:tc>
          <w:tcPr>
            <w:tcW w:w="540" w:type="dxa"/>
            <w:tcBorders>
              <w:top w:val="nil"/>
              <w:left w:val="nil"/>
              <w:bottom w:val="nil"/>
              <w:right w:val="single" w:sz="18" w:space="0" w:color="auto"/>
            </w:tcBorders>
            <w:shd w:val="clear" w:color="000000" w:fill="FFFFFF"/>
            <w:noWrap/>
            <w:vAlign w:val="center"/>
            <w:hideMark/>
          </w:tcPr>
          <w:p w14:paraId="548697F0" w14:textId="30076EC3"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1.8</w:t>
            </w:r>
            <w:r w:rsidR="006F2538" w:rsidRPr="00D309F4">
              <w:rPr>
                <w:rFonts w:cs="Times New Roman"/>
                <w:sz w:val="20"/>
                <w:szCs w:val="20"/>
              </w:rPr>
              <w:t>2</w:t>
            </w:r>
          </w:p>
        </w:tc>
      </w:tr>
      <w:tr w:rsidR="00FD7B7B" w:rsidRPr="00D309F4" w14:paraId="360D89CD" w14:textId="77777777" w:rsidTr="0077202E">
        <w:trPr>
          <w:trHeight w:val="230"/>
          <w:jc w:val="center"/>
        </w:trPr>
        <w:tc>
          <w:tcPr>
            <w:tcW w:w="4207" w:type="dxa"/>
            <w:tcBorders>
              <w:top w:val="nil"/>
              <w:left w:val="single" w:sz="18" w:space="0" w:color="auto"/>
              <w:bottom w:val="single" w:sz="18" w:space="0" w:color="auto"/>
              <w:right w:val="single" w:sz="18" w:space="0" w:color="auto"/>
            </w:tcBorders>
            <w:shd w:val="clear" w:color="000000" w:fill="FFFFFF"/>
            <w:noWrap/>
            <w:vAlign w:val="center"/>
            <w:hideMark/>
          </w:tcPr>
          <w:p w14:paraId="1EFFF9D4" w14:textId="77777777" w:rsidR="00FD7B7B" w:rsidRPr="00D309F4" w:rsidRDefault="00FD7B7B" w:rsidP="00FD7B7B">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High</w:t>
            </w:r>
          </w:p>
        </w:tc>
        <w:tc>
          <w:tcPr>
            <w:tcW w:w="810" w:type="dxa"/>
            <w:tcBorders>
              <w:top w:val="nil"/>
              <w:left w:val="single" w:sz="18" w:space="0" w:color="auto"/>
              <w:bottom w:val="single" w:sz="18" w:space="0" w:color="auto"/>
              <w:right w:val="nil"/>
            </w:tcBorders>
            <w:shd w:val="clear" w:color="000000" w:fill="FFFFFF"/>
            <w:noWrap/>
            <w:vAlign w:val="center"/>
            <w:hideMark/>
          </w:tcPr>
          <w:p w14:paraId="5D20070A"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single" w:sz="18" w:space="0" w:color="auto"/>
              <w:right w:val="single" w:sz="4" w:space="0" w:color="auto"/>
            </w:tcBorders>
            <w:shd w:val="clear" w:color="000000" w:fill="FFFFFF"/>
            <w:noWrap/>
            <w:vAlign w:val="center"/>
            <w:hideMark/>
          </w:tcPr>
          <w:p w14:paraId="30BB0059" w14:textId="303CA20F"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11091786"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single" w:sz="18" w:space="0" w:color="auto"/>
              <w:right w:val="single" w:sz="4" w:space="0" w:color="auto"/>
            </w:tcBorders>
            <w:shd w:val="clear" w:color="000000" w:fill="FFFFFF"/>
            <w:noWrap/>
            <w:vAlign w:val="center"/>
            <w:hideMark/>
          </w:tcPr>
          <w:p w14:paraId="24D82435" w14:textId="2121E1E8"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12F1C565" w14:textId="77777777"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single" w:sz="18" w:space="0" w:color="auto"/>
              <w:right w:val="single" w:sz="4" w:space="0" w:color="auto"/>
            </w:tcBorders>
            <w:shd w:val="clear" w:color="000000" w:fill="FFFFFF"/>
            <w:noWrap/>
            <w:vAlign w:val="center"/>
            <w:hideMark/>
          </w:tcPr>
          <w:p w14:paraId="602E79BF" w14:textId="2BE44D8F"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72018E38" w14:textId="5AF2B0FD"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0.23</w:t>
            </w:r>
          </w:p>
        </w:tc>
        <w:tc>
          <w:tcPr>
            <w:tcW w:w="540" w:type="dxa"/>
            <w:tcBorders>
              <w:top w:val="nil"/>
              <w:left w:val="nil"/>
              <w:bottom w:val="single" w:sz="18" w:space="0" w:color="auto"/>
              <w:right w:val="single" w:sz="18" w:space="0" w:color="auto"/>
            </w:tcBorders>
            <w:shd w:val="clear" w:color="000000" w:fill="FFFFFF"/>
            <w:noWrap/>
            <w:vAlign w:val="center"/>
            <w:hideMark/>
          </w:tcPr>
          <w:p w14:paraId="40B9E185" w14:textId="6DD432B5" w:rsidR="00FD7B7B" w:rsidRPr="00D309F4" w:rsidRDefault="00FD7B7B" w:rsidP="0077202E">
            <w:pPr>
              <w:tabs>
                <w:tab w:val="decimal" w:pos="24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2.71</w:t>
            </w:r>
          </w:p>
        </w:tc>
      </w:tr>
      <w:tr w:rsidR="001330A3" w:rsidRPr="00D309F4" w14:paraId="03C36EA1" w14:textId="77777777" w:rsidTr="004E51A8">
        <w:trPr>
          <w:trHeight w:val="230"/>
          <w:jc w:val="center"/>
        </w:trPr>
        <w:tc>
          <w:tcPr>
            <w:tcW w:w="4207" w:type="dxa"/>
            <w:tcBorders>
              <w:top w:val="single" w:sz="18" w:space="0" w:color="auto"/>
              <w:left w:val="single" w:sz="18" w:space="0" w:color="auto"/>
              <w:bottom w:val="single" w:sz="18" w:space="0" w:color="auto"/>
              <w:right w:val="single" w:sz="18" w:space="0" w:color="auto"/>
            </w:tcBorders>
            <w:shd w:val="clear" w:color="000000" w:fill="FFFFFF"/>
            <w:noWrap/>
            <w:vAlign w:val="center"/>
            <w:hideMark/>
          </w:tcPr>
          <w:p w14:paraId="406C592F" w14:textId="77777777" w:rsidR="00CE3188" w:rsidRPr="00D309F4" w:rsidRDefault="00CE3188" w:rsidP="00CE3188">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Latent Variable Measurement Equation Model</w:t>
            </w:r>
          </w:p>
        </w:tc>
        <w:tc>
          <w:tcPr>
            <w:tcW w:w="810" w:type="dxa"/>
            <w:tcBorders>
              <w:top w:val="single" w:sz="18" w:space="0" w:color="auto"/>
              <w:left w:val="single" w:sz="18" w:space="0" w:color="auto"/>
              <w:bottom w:val="single" w:sz="18" w:space="0" w:color="auto"/>
              <w:right w:val="nil"/>
            </w:tcBorders>
            <w:shd w:val="clear" w:color="000000" w:fill="FFFFFF"/>
            <w:noWrap/>
            <w:vAlign w:val="center"/>
            <w:hideMark/>
          </w:tcPr>
          <w:p w14:paraId="17A64681"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Loading</w:t>
            </w:r>
          </w:p>
        </w:tc>
        <w:tc>
          <w:tcPr>
            <w:tcW w:w="540" w:type="dxa"/>
            <w:gridSpan w:val="2"/>
            <w:tcBorders>
              <w:top w:val="single" w:sz="18" w:space="0" w:color="auto"/>
              <w:left w:val="nil"/>
              <w:bottom w:val="single" w:sz="18" w:space="0" w:color="auto"/>
              <w:right w:val="single" w:sz="4" w:space="0" w:color="auto"/>
            </w:tcBorders>
            <w:shd w:val="clear" w:color="000000" w:fill="FFFFFF"/>
            <w:noWrap/>
            <w:vAlign w:val="center"/>
            <w:hideMark/>
          </w:tcPr>
          <w:p w14:paraId="60EB81F4"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45E5453B"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Loading</w:t>
            </w:r>
          </w:p>
        </w:tc>
        <w:tc>
          <w:tcPr>
            <w:tcW w:w="630" w:type="dxa"/>
            <w:gridSpan w:val="2"/>
            <w:tcBorders>
              <w:top w:val="single" w:sz="18" w:space="0" w:color="auto"/>
              <w:left w:val="nil"/>
              <w:bottom w:val="single" w:sz="18" w:space="0" w:color="auto"/>
              <w:right w:val="single" w:sz="4" w:space="0" w:color="auto"/>
            </w:tcBorders>
            <w:shd w:val="clear" w:color="000000" w:fill="FFFFFF"/>
            <w:noWrap/>
            <w:vAlign w:val="center"/>
            <w:hideMark/>
          </w:tcPr>
          <w:p w14:paraId="079DCF3D"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4C2412BA"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Loading</w:t>
            </w:r>
          </w:p>
        </w:tc>
        <w:tc>
          <w:tcPr>
            <w:tcW w:w="630" w:type="dxa"/>
            <w:tcBorders>
              <w:top w:val="single" w:sz="18" w:space="0" w:color="auto"/>
              <w:left w:val="nil"/>
              <w:bottom w:val="single" w:sz="18" w:space="0" w:color="auto"/>
              <w:right w:val="single" w:sz="4" w:space="0" w:color="auto"/>
            </w:tcBorders>
            <w:shd w:val="clear" w:color="000000" w:fill="FFFFFF"/>
            <w:noWrap/>
            <w:vAlign w:val="center"/>
            <w:hideMark/>
          </w:tcPr>
          <w:p w14:paraId="1EEF52EC"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5E4CEA0B"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Loading</w:t>
            </w:r>
          </w:p>
        </w:tc>
        <w:tc>
          <w:tcPr>
            <w:tcW w:w="540" w:type="dxa"/>
            <w:tcBorders>
              <w:top w:val="single" w:sz="18" w:space="0" w:color="auto"/>
              <w:left w:val="nil"/>
              <w:bottom w:val="single" w:sz="18" w:space="0" w:color="auto"/>
              <w:right w:val="single" w:sz="18" w:space="0" w:color="auto"/>
            </w:tcBorders>
            <w:shd w:val="clear" w:color="000000" w:fill="FFFFFF"/>
            <w:noWrap/>
            <w:vAlign w:val="center"/>
            <w:hideMark/>
          </w:tcPr>
          <w:p w14:paraId="47BB9EAF"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r>
      <w:tr w:rsidR="008D323A" w:rsidRPr="00D309F4" w14:paraId="15D10898" w14:textId="77777777" w:rsidTr="0077202E">
        <w:trPr>
          <w:trHeight w:val="230"/>
          <w:jc w:val="center"/>
        </w:trPr>
        <w:tc>
          <w:tcPr>
            <w:tcW w:w="4207" w:type="dxa"/>
            <w:tcBorders>
              <w:top w:val="single" w:sz="18" w:space="0" w:color="auto"/>
              <w:left w:val="single" w:sz="18" w:space="0" w:color="auto"/>
              <w:bottom w:val="nil"/>
              <w:right w:val="single" w:sz="18" w:space="0" w:color="auto"/>
            </w:tcBorders>
            <w:shd w:val="clear" w:color="000000" w:fill="FFFFFF"/>
            <w:noWrap/>
            <w:vAlign w:val="center"/>
            <w:hideMark/>
          </w:tcPr>
          <w:p w14:paraId="7B77BBCD" w14:textId="082C7E23"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I feel a personal obligation to do my part to move</w:t>
            </w:r>
            <w:r w:rsidR="0097080D" w:rsidRPr="00D309F4">
              <w:rPr>
                <w:rFonts w:eastAsia="Times New Roman" w:cs="Times New Roman"/>
                <w:kern w:val="0"/>
                <w:sz w:val="20"/>
                <w:szCs w:val="20"/>
                <w14:ligatures w14:val="none"/>
              </w:rPr>
              <w:t xml:space="preserve"> </w:t>
            </w:r>
            <w:r w:rsidRPr="00D309F4">
              <w:rPr>
                <w:rFonts w:eastAsia="Times New Roman" w:cs="Times New Roman"/>
                <w:kern w:val="0"/>
                <w:sz w:val="20"/>
                <w:szCs w:val="20"/>
                <w14:ligatures w14:val="none"/>
              </w:rPr>
              <w:t xml:space="preserve">the country toward a renewable energy future </w:t>
            </w:r>
          </w:p>
        </w:tc>
        <w:tc>
          <w:tcPr>
            <w:tcW w:w="810" w:type="dxa"/>
            <w:tcBorders>
              <w:top w:val="single" w:sz="18" w:space="0" w:color="auto"/>
              <w:left w:val="single" w:sz="18" w:space="0" w:color="auto"/>
              <w:bottom w:val="nil"/>
              <w:right w:val="nil"/>
            </w:tcBorders>
            <w:shd w:val="clear" w:color="000000" w:fill="FFFFFF"/>
            <w:noWrap/>
            <w:vAlign w:val="center"/>
            <w:hideMark/>
          </w:tcPr>
          <w:p w14:paraId="3B6C92D8" w14:textId="6D1C950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1.26</w:t>
            </w:r>
          </w:p>
        </w:tc>
        <w:tc>
          <w:tcPr>
            <w:tcW w:w="540" w:type="dxa"/>
            <w:gridSpan w:val="2"/>
            <w:tcBorders>
              <w:top w:val="single" w:sz="18" w:space="0" w:color="auto"/>
              <w:left w:val="nil"/>
              <w:bottom w:val="nil"/>
              <w:right w:val="single" w:sz="4" w:space="0" w:color="auto"/>
            </w:tcBorders>
            <w:shd w:val="clear" w:color="000000" w:fill="FFFFFF"/>
            <w:noWrap/>
            <w:vAlign w:val="center"/>
            <w:hideMark/>
          </w:tcPr>
          <w:p w14:paraId="4F4A4D8C" w14:textId="2330FBC8"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11.23</w:t>
            </w:r>
          </w:p>
        </w:tc>
        <w:tc>
          <w:tcPr>
            <w:tcW w:w="810" w:type="dxa"/>
            <w:tcBorders>
              <w:top w:val="single" w:sz="18" w:space="0" w:color="auto"/>
              <w:left w:val="nil"/>
              <w:bottom w:val="nil"/>
              <w:right w:val="nil"/>
            </w:tcBorders>
            <w:shd w:val="clear" w:color="000000" w:fill="FFFFFF"/>
            <w:noWrap/>
            <w:vAlign w:val="center"/>
            <w:hideMark/>
          </w:tcPr>
          <w:p w14:paraId="708DCEF8"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single" w:sz="18" w:space="0" w:color="auto"/>
              <w:left w:val="nil"/>
              <w:bottom w:val="nil"/>
              <w:right w:val="single" w:sz="4" w:space="0" w:color="auto"/>
            </w:tcBorders>
            <w:shd w:val="clear" w:color="000000" w:fill="FFFFFF"/>
            <w:noWrap/>
            <w:vAlign w:val="center"/>
            <w:hideMark/>
          </w:tcPr>
          <w:p w14:paraId="0B49FB81" w14:textId="70803D5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single" w:sz="18" w:space="0" w:color="auto"/>
              <w:left w:val="nil"/>
              <w:bottom w:val="nil"/>
              <w:right w:val="nil"/>
            </w:tcBorders>
            <w:shd w:val="clear" w:color="000000" w:fill="FFFFFF"/>
            <w:noWrap/>
            <w:vAlign w:val="center"/>
            <w:hideMark/>
          </w:tcPr>
          <w:p w14:paraId="30423DA2"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single" w:sz="18" w:space="0" w:color="auto"/>
              <w:left w:val="nil"/>
              <w:bottom w:val="nil"/>
              <w:right w:val="single" w:sz="4" w:space="0" w:color="auto"/>
            </w:tcBorders>
            <w:shd w:val="clear" w:color="000000" w:fill="FFFFFF"/>
            <w:noWrap/>
            <w:vAlign w:val="center"/>
            <w:hideMark/>
          </w:tcPr>
          <w:p w14:paraId="78434B69" w14:textId="02BE1D02"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single" w:sz="18" w:space="0" w:color="auto"/>
              <w:left w:val="nil"/>
              <w:bottom w:val="nil"/>
              <w:right w:val="nil"/>
            </w:tcBorders>
            <w:shd w:val="clear" w:color="000000" w:fill="FFFFFF"/>
            <w:noWrap/>
            <w:vAlign w:val="center"/>
            <w:hideMark/>
          </w:tcPr>
          <w:p w14:paraId="48B0F9FF"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single" w:sz="18" w:space="0" w:color="auto"/>
              <w:left w:val="nil"/>
              <w:bottom w:val="nil"/>
              <w:right w:val="single" w:sz="18" w:space="0" w:color="auto"/>
            </w:tcBorders>
            <w:shd w:val="clear" w:color="000000" w:fill="FFFFFF"/>
            <w:noWrap/>
            <w:vAlign w:val="center"/>
            <w:hideMark/>
          </w:tcPr>
          <w:p w14:paraId="48739968" w14:textId="526B8681"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6C64A234"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0F437295" w14:textId="6DBBD04B"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I feel a personal obligation to do my part to</w:t>
            </w:r>
            <w:r w:rsidR="0097080D" w:rsidRPr="00D309F4">
              <w:rPr>
                <w:rFonts w:eastAsia="Times New Roman" w:cs="Times New Roman"/>
                <w:kern w:val="0"/>
                <w:sz w:val="20"/>
                <w:szCs w:val="20"/>
                <w14:ligatures w14:val="none"/>
              </w:rPr>
              <w:t xml:space="preserve"> </w:t>
            </w:r>
            <w:r w:rsidRPr="00D309F4">
              <w:rPr>
                <w:rFonts w:eastAsia="Times New Roman" w:cs="Times New Roman"/>
                <w:kern w:val="0"/>
                <w:sz w:val="20"/>
                <w:szCs w:val="20"/>
                <w14:ligatures w14:val="none"/>
              </w:rPr>
              <w:t>address climate change</w:t>
            </w:r>
          </w:p>
        </w:tc>
        <w:tc>
          <w:tcPr>
            <w:tcW w:w="810" w:type="dxa"/>
            <w:tcBorders>
              <w:top w:val="nil"/>
              <w:left w:val="single" w:sz="18" w:space="0" w:color="auto"/>
              <w:bottom w:val="nil"/>
              <w:right w:val="nil"/>
            </w:tcBorders>
            <w:shd w:val="clear" w:color="000000" w:fill="FFFFFF"/>
            <w:noWrap/>
            <w:vAlign w:val="center"/>
            <w:hideMark/>
          </w:tcPr>
          <w:p w14:paraId="298F7CEC" w14:textId="5EAABB5A"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1.44</w:t>
            </w:r>
          </w:p>
        </w:tc>
        <w:tc>
          <w:tcPr>
            <w:tcW w:w="540" w:type="dxa"/>
            <w:gridSpan w:val="2"/>
            <w:tcBorders>
              <w:top w:val="nil"/>
              <w:left w:val="nil"/>
              <w:bottom w:val="nil"/>
              <w:right w:val="single" w:sz="4" w:space="0" w:color="auto"/>
            </w:tcBorders>
            <w:shd w:val="clear" w:color="000000" w:fill="FFFFFF"/>
            <w:noWrap/>
            <w:vAlign w:val="center"/>
            <w:hideMark/>
          </w:tcPr>
          <w:p w14:paraId="00B82575" w14:textId="65D53D61"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9.6</w:t>
            </w:r>
            <w:r w:rsidR="00873FB5" w:rsidRPr="00D309F4">
              <w:rPr>
                <w:rFonts w:cs="Times New Roman"/>
                <w:sz w:val="20"/>
                <w:szCs w:val="20"/>
              </w:rPr>
              <w:t>2</w:t>
            </w:r>
          </w:p>
        </w:tc>
        <w:tc>
          <w:tcPr>
            <w:tcW w:w="810" w:type="dxa"/>
            <w:tcBorders>
              <w:top w:val="nil"/>
              <w:left w:val="nil"/>
              <w:bottom w:val="nil"/>
              <w:right w:val="nil"/>
            </w:tcBorders>
            <w:shd w:val="clear" w:color="000000" w:fill="FFFFFF"/>
            <w:noWrap/>
            <w:vAlign w:val="center"/>
            <w:hideMark/>
          </w:tcPr>
          <w:p w14:paraId="3381A410"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0F7FDA40" w14:textId="0213E63A"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6E47F76"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76FAA885" w14:textId="5073DDA4"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91FE5F7"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27C5DAB9" w14:textId="080ABA9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3B4A67A0"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BAF8B2A" w14:textId="77777777"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I feel guilty when I waste energy</w:t>
            </w:r>
          </w:p>
        </w:tc>
        <w:tc>
          <w:tcPr>
            <w:tcW w:w="810" w:type="dxa"/>
            <w:tcBorders>
              <w:top w:val="nil"/>
              <w:left w:val="single" w:sz="18" w:space="0" w:color="auto"/>
              <w:bottom w:val="nil"/>
              <w:right w:val="nil"/>
            </w:tcBorders>
            <w:shd w:val="clear" w:color="000000" w:fill="FFFFFF"/>
            <w:noWrap/>
            <w:vAlign w:val="center"/>
            <w:hideMark/>
          </w:tcPr>
          <w:p w14:paraId="487AC836" w14:textId="06EA172B"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0.99</w:t>
            </w:r>
          </w:p>
        </w:tc>
        <w:tc>
          <w:tcPr>
            <w:tcW w:w="540" w:type="dxa"/>
            <w:gridSpan w:val="2"/>
            <w:tcBorders>
              <w:top w:val="nil"/>
              <w:left w:val="nil"/>
              <w:bottom w:val="nil"/>
              <w:right w:val="single" w:sz="4" w:space="0" w:color="auto"/>
            </w:tcBorders>
            <w:shd w:val="clear" w:color="000000" w:fill="FFFFFF"/>
            <w:noWrap/>
            <w:vAlign w:val="center"/>
            <w:hideMark/>
          </w:tcPr>
          <w:p w14:paraId="295FA67F" w14:textId="340A7C95"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16.02</w:t>
            </w:r>
          </w:p>
        </w:tc>
        <w:tc>
          <w:tcPr>
            <w:tcW w:w="810" w:type="dxa"/>
            <w:tcBorders>
              <w:top w:val="nil"/>
              <w:left w:val="nil"/>
              <w:bottom w:val="nil"/>
              <w:right w:val="nil"/>
            </w:tcBorders>
            <w:shd w:val="clear" w:color="000000" w:fill="FFFFFF"/>
            <w:noWrap/>
            <w:vAlign w:val="center"/>
            <w:hideMark/>
          </w:tcPr>
          <w:p w14:paraId="558318AC"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215663B7" w14:textId="1EA6084E"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A3C262C"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40910C6C" w14:textId="6299680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17966C0B"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00BBAF8D" w14:textId="3239EB7B"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0D37D498"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30762FD5" w14:textId="77777777"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For me, vehicles have practical purposes only</w:t>
            </w:r>
          </w:p>
        </w:tc>
        <w:tc>
          <w:tcPr>
            <w:tcW w:w="810" w:type="dxa"/>
            <w:tcBorders>
              <w:top w:val="nil"/>
              <w:left w:val="single" w:sz="18" w:space="0" w:color="auto"/>
              <w:bottom w:val="nil"/>
              <w:right w:val="nil"/>
            </w:tcBorders>
            <w:shd w:val="clear" w:color="000000" w:fill="FFFFFF"/>
            <w:noWrap/>
            <w:vAlign w:val="center"/>
            <w:hideMark/>
          </w:tcPr>
          <w:p w14:paraId="4115C0FE"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7A99961A" w14:textId="730B93F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1206EBC" w14:textId="3E74B54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0.91</w:t>
            </w:r>
          </w:p>
        </w:tc>
        <w:tc>
          <w:tcPr>
            <w:tcW w:w="630" w:type="dxa"/>
            <w:gridSpan w:val="2"/>
            <w:tcBorders>
              <w:top w:val="nil"/>
              <w:left w:val="nil"/>
              <w:bottom w:val="nil"/>
              <w:right w:val="single" w:sz="4" w:space="0" w:color="auto"/>
            </w:tcBorders>
            <w:shd w:val="clear" w:color="000000" w:fill="FFFFFF"/>
            <w:noWrap/>
            <w:vAlign w:val="center"/>
            <w:hideMark/>
          </w:tcPr>
          <w:p w14:paraId="044515EA" w14:textId="40A0A75A"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10.0</w:t>
            </w:r>
            <w:r w:rsidR="00873FB5" w:rsidRPr="00D309F4">
              <w:rPr>
                <w:rFonts w:cs="Times New Roman"/>
                <w:sz w:val="20"/>
                <w:szCs w:val="20"/>
              </w:rPr>
              <w:t>4</w:t>
            </w:r>
          </w:p>
        </w:tc>
        <w:tc>
          <w:tcPr>
            <w:tcW w:w="810" w:type="dxa"/>
            <w:tcBorders>
              <w:top w:val="nil"/>
              <w:left w:val="nil"/>
              <w:bottom w:val="nil"/>
              <w:right w:val="nil"/>
            </w:tcBorders>
            <w:shd w:val="clear" w:color="000000" w:fill="FFFFFF"/>
            <w:noWrap/>
            <w:vAlign w:val="center"/>
            <w:hideMark/>
          </w:tcPr>
          <w:p w14:paraId="69666FF9"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19E2859E" w14:textId="1E38531C"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222CAFEE"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2765F369" w14:textId="71D90DB2"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55212D87"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31E38FB4" w14:textId="65F6B294"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The functional quality of a vehicle is more</w:t>
            </w:r>
            <w:r w:rsidR="0097080D" w:rsidRPr="00D309F4">
              <w:rPr>
                <w:rFonts w:eastAsia="Times New Roman" w:cs="Times New Roman"/>
                <w:kern w:val="0"/>
                <w:sz w:val="20"/>
                <w:szCs w:val="20"/>
                <w14:ligatures w14:val="none"/>
              </w:rPr>
              <w:t xml:space="preserve"> </w:t>
            </w:r>
            <w:r w:rsidRPr="00D309F4">
              <w:rPr>
                <w:rFonts w:eastAsia="Times New Roman" w:cs="Times New Roman"/>
                <w:kern w:val="0"/>
                <w:sz w:val="20"/>
                <w:szCs w:val="20"/>
                <w14:ligatures w14:val="none"/>
              </w:rPr>
              <w:t>important than its make</w:t>
            </w:r>
          </w:p>
        </w:tc>
        <w:tc>
          <w:tcPr>
            <w:tcW w:w="810" w:type="dxa"/>
            <w:tcBorders>
              <w:top w:val="nil"/>
              <w:left w:val="single" w:sz="18" w:space="0" w:color="auto"/>
              <w:bottom w:val="nil"/>
              <w:right w:val="nil"/>
            </w:tcBorders>
            <w:shd w:val="clear" w:color="000000" w:fill="FFFFFF"/>
            <w:noWrap/>
            <w:vAlign w:val="center"/>
            <w:hideMark/>
          </w:tcPr>
          <w:p w14:paraId="020CC6FC"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3F3A55D0" w14:textId="2EEF4C2B"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BFAE31C" w14:textId="3CDD34A9"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0.89</w:t>
            </w:r>
          </w:p>
        </w:tc>
        <w:tc>
          <w:tcPr>
            <w:tcW w:w="630" w:type="dxa"/>
            <w:gridSpan w:val="2"/>
            <w:tcBorders>
              <w:top w:val="nil"/>
              <w:left w:val="nil"/>
              <w:bottom w:val="nil"/>
              <w:right w:val="single" w:sz="4" w:space="0" w:color="auto"/>
            </w:tcBorders>
            <w:shd w:val="clear" w:color="000000" w:fill="FFFFFF"/>
            <w:noWrap/>
            <w:vAlign w:val="center"/>
            <w:hideMark/>
          </w:tcPr>
          <w:p w14:paraId="22E76BC9" w14:textId="6E40FDDC"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10.3</w:t>
            </w:r>
            <w:r w:rsidR="00873FB5" w:rsidRPr="00D309F4">
              <w:rPr>
                <w:rFonts w:cs="Times New Roman"/>
                <w:sz w:val="20"/>
                <w:szCs w:val="20"/>
              </w:rPr>
              <w:t>4</w:t>
            </w:r>
          </w:p>
        </w:tc>
        <w:tc>
          <w:tcPr>
            <w:tcW w:w="810" w:type="dxa"/>
            <w:tcBorders>
              <w:top w:val="nil"/>
              <w:left w:val="nil"/>
              <w:bottom w:val="nil"/>
              <w:right w:val="nil"/>
            </w:tcBorders>
            <w:shd w:val="clear" w:color="000000" w:fill="FFFFFF"/>
            <w:noWrap/>
            <w:vAlign w:val="center"/>
            <w:hideMark/>
          </w:tcPr>
          <w:p w14:paraId="231EC3DB"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6E4C671F" w14:textId="2D49D3AE"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41D03CE"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6827ACE8" w14:textId="044A8DA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075D7B25"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74DC676F" w14:textId="77777777"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A vehicle provides status and prestige</w:t>
            </w:r>
          </w:p>
        </w:tc>
        <w:tc>
          <w:tcPr>
            <w:tcW w:w="810" w:type="dxa"/>
            <w:tcBorders>
              <w:top w:val="nil"/>
              <w:left w:val="single" w:sz="18" w:space="0" w:color="auto"/>
              <w:bottom w:val="nil"/>
              <w:right w:val="nil"/>
            </w:tcBorders>
            <w:shd w:val="clear" w:color="000000" w:fill="FFFFFF"/>
            <w:noWrap/>
            <w:vAlign w:val="center"/>
            <w:hideMark/>
          </w:tcPr>
          <w:p w14:paraId="467913E5"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2DFD1AB9" w14:textId="3B2A3363"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1F6FF93" w14:textId="4D79B769"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-0.83</w:t>
            </w:r>
          </w:p>
        </w:tc>
        <w:tc>
          <w:tcPr>
            <w:tcW w:w="630" w:type="dxa"/>
            <w:gridSpan w:val="2"/>
            <w:tcBorders>
              <w:top w:val="nil"/>
              <w:left w:val="nil"/>
              <w:bottom w:val="nil"/>
              <w:right w:val="single" w:sz="4" w:space="0" w:color="auto"/>
            </w:tcBorders>
            <w:shd w:val="clear" w:color="000000" w:fill="FFFFFF"/>
            <w:noWrap/>
            <w:vAlign w:val="center"/>
            <w:hideMark/>
          </w:tcPr>
          <w:p w14:paraId="5BB79878" w14:textId="4E57DCC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-12.3</w:t>
            </w:r>
            <w:r w:rsidR="00873FB5" w:rsidRPr="00D309F4">
              <w:rPr>
                <w:rFonts w:cs="Times New Roman"/>
                <w:sz w:val="20"/>
                <w:szCs w:val="20"/>
              </w:rPr>
              <w:t>3</w:t>
            </w:r>
          </w:p>
        </w:tc>
        <w:tc>
          <w:tcPr>
            <w:tcW w:w="810" w:type="dxa"/>
            <w:tcBorders>
              <w:top w:val="nil"/>
              <w:left w:val="nil"/>
              <w:bottom w:val="nil"/>
              <w:right w:val="nil"/>
            </w:tcBorders>
            <w:shd w:val="clear" w:color="000000" w:fill="FFFFFF"/>
            <w:noWrap/>
            <w:vAlign w:val="center"/>
            <w:hideMark/>
          </w:tcPr>
          <w:p w14:paraId="2D612D47"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0412D609" w14:textId="5D023B5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1A9D78E"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4BBF5CF2" w14:textId="39ACA69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136618F9"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2849FC01" w14:textId="44F3180A"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EVs have a better return on investment </w:t>
            </w:r>
          </w:p>
        </w:tc>
        <w:tc>
          <w:tcPr>
            <w:tcW w:w="810" w:type="dxa"/>
            <w:tcBorders>
              <w:top w:val="nil"/>
              <w:left w:val="single" w:sz="18" w:space="0" w:color="auto"/>
              <w:bottom w:val="nil"/>
              <w:right w:val="nil"/>
            </w:tcBorders>
            <w:shd w:val="clear" w:color="000000" w:fill="FFFFFF"/>
            <w:noWrap/>
            <w:vAlign w:val="center"/>
            <w:hideMark/>
          </w:tcPr>
          <w:p w14:paraId="395589BB"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21919CD5" w14:textId="2F80E5F3"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A3A5F4F"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5C6741EC" w14:textId="7F0259FD"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058EDFA" w14:textId="0A12F104"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0.97</w:t>
            </w:r>
          </w:p>
        </w:tc>
        <w:tc>
          <w:tcPr>
            <w:tcW w:w="630" w:type="dxa"/>
            <w:tcBorders>
              <w:top w:val="nil"/>
              <w:left w:val="nil"/>
              <w:bottom w:val="nil"/>
              <w:right w:val="single" w:sz="4" w:space="0" w:color="auto"/>
            </w:tcBorders>
            <w:shd w:val="clear" w:color="000000" w:fill="FFFFFF"/>
            <w:noWrap/>
            <w:vAlign w:val="center"/>
            <w:hideMark/>
          </w:tcPr>
          <w:p w14:paraId="6EAE513B" w14:textId="54F7D136"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15.</w:t>
            </w:r>
            <w:r w:rsidR="00873FB5" w:rsidRPr="00D309F4">
              <w:rPr>
                <w:rFonts w:cs="Times New Roman"/>
                <w:sz w:val="20"/>
                <w:szCs w:val="20"/>
              </w:rPr>
              <w:t>58</w:t>
            </w:r>
          </w:p>
        </w:tc>
        <w:tc>
          <w:tcPr>
            <w:tcW w:w="810" w:type="dxa"/>
            <w:tcBorders>
              <w:top w:val="nil"/>
              <w:left w:val="nil"/>
              <w:bottom w:val="nil"/>
              <w:right w:val="nil"/>
            </w:tcBorders>
            <w:shd w:val="clear" w:color="000000" w:fill="FFFFFF"/>
            <w:noWrap/>
            <w:vAlign w:val="center"/>
            <w:hideMark/>
          </w:tcPr>
          <w:p w14:paraId="306F343B"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35337D99" w14:textId="18434064"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1B56DB46"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4ED8B962" w14:textId="77777777"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EVs have better maintenance requirements </w:t>
            </w:r>
          </w:p>
        </w:tc>
        <w:tc>
          <w:tcPr>
            <w:tcW w:w="810" w:type="dxa"/>
            <w:tcBorders>
              <w:top w:val="nil"/>
              <w:left w:val="single" w:sz="18" w:space="0" w:color="auto"/>
              <w:bottom w:val="nil"/>
              <w:right w:val="nil"/>
            </w:tcBorders>
            <w:shd w:val="clear" w:color="000000" w:fill="FFFFFF"/>
            <w:noWrap/>
            <w:vAlign w:val="center"/>
            <w:hideMark/>
          </w:tcPr>
          <w:p w14:paraId="6B4CD5E4"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7DB67E3D" w14:textId="6709EB02"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5D15F873"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2EE92B38" w14:textId="02898BCA"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422BDC35" w14:textId="7D05C8C4"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1.30</w:t>
            </w:r>
          </w:p>
        </w:tc>
        <w:tc>
          <w:tcPr>
            <w:tcW w:w="630" w:type="dxa"/>
            <w:tcBorders>
              <w:top w:val="nil"/>
              <w:left w:val="nil"/>
              <w:bottom w:val="nil"/>
              <w:right w:val="single" w:sz="4" w:space="0" w:color="auto"/>
            </w:tcBorders>
            <w:shd w:val="clear" w:color="000000" w:fill="FFFFFF"/>
            <w:noWrap/>
            <w:vAlign w:val="center"/>
            <w:hideMark/>
          </w:tcPr>
          <w:p w14:paraId="27ABC76E" w14:textId="694018F0"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14.60</w:t>
            </w:r>
          </w:p>
        </w:tc>
        <w:tc>
          <w:tcPr>
            <w:tcW w:w="810" w:type="dxa"/>
            <w:tcBorders>
              <w:top w:val="nil"/>
              <w:left w:val="nil"/>
              <w:bottom w:val="nil"/>
              <w:right w:val="nil"/>
            </w:tcBorders>
            <w:shd w:val="clear" w:color="000000" w:fill="FFFFFF"/>
            <w:noWrap/>
            <w:vAlign w:val="center"/>
            <w:hideMark/>
          </w:tcPr>
          <w:p w14:paraId="040E8934"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3CB232E2" w14:textId="71C4729C"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8D323A" w:rsidRPr="00D309F4" w14:paraId="58FBC823"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E26D7BB" w14:textId="77777777" w:rsidR="008D323A" w:rsidRPr="00D309F4" w:rsidRDefault="008D323A"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EVs have a better operating cost </w:t>
            </w:r>
          </w:p>
        </w:tc>
        <w:tc>
          <w:tcPr>
            <w:tcW w:w="810" w:type="dxa"/>
            <w:tcBorders>
              <w:top w:val="nil"/>
              <w:left w:val="single" w:sz="18" w:space="0" w:color="auto"/>
              <w:bottom w:val="nil"/>
              <w:right w:val="nil"/>
            </w:tcBorders>
            <w:shd w:val="clear" w:color="000000" w:fill="FFFFFF"/>
            <w:noWrap/>
            <w:vAlign w:val="center"/>
            <w:hideMark/>
          </w:tcPr>
          <w:p w14:paraId="632F0FD3"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1F7F0B43" w14:textId="186DCDA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67DFDB9C"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11F8DA73" w14:textId="4777375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12E11B0A" w14:textId="1B641A7B"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1.26</w:t>
            </w:r>
          </w:p>
        </w:tc>
        <w:tc>
          <w:tcPr>
            <w:tcW w:w="630" w:type="dxa"/>
            <w:tcBorders>
              <w:top w:val="nil"/>
              <w:left w:val="nil"/>
              <w:bottom w:val="nil"/>
              <w:right w:val="single" w:sz="4" w:space="0" w:color="auto"/>
            </w:tcBorders>
            <w:shd w:val="clear" w:color="000000" w:fill="FFFFFF"/>
            <w:noWrap/>
            <w:vAlign w:val="center"/>
            <w:hideMark/>
          </w:tcPr>
          <w:p w14:paraId="60D6F704" w14:textId="6416109B"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15.33</w:t>
            </w:r>
          </w:p>
        </w:tc>
        <w:tc>
          <w:tcPr>
            <w:tcW w:w="810" w:type="dxa"/>
            <w:tcBorders>
              <w:top w:val="nil"/>
              <w:left w:val="nil"/>
              <w:bottom w:val="nil"/>
              <w:right w:val="nil"/>
            </w:tcBorders>
            <w:shd w:val="clear" w:color="000000" w:fill="FFFFFF"/>
            <w:noWrap/>
            <w:vAlign w:val="center"/>
            <w:hideMark/>
          </w:tcPr>
          <w:p w14:paraId="31CF50FC" w14:textId="77777777"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7962A909" w14:textId="4392DCDF" w:rsidR="008D323A" w:rsidRPr="00D309F4" w:rsidRDefault="008D323A" w:rsidP="0077202E">
            <w:pPr>
              <w:tabs>
                <w:tab w:val="decimal" w:pos="62"/>
              </w:tabs>
              <w:spacing w:after="0" w:line="240" w:lineRule="auto"/>
              <w:jc w:val="center"/>
              <w:rPr>
                <w:rFonts w:eastAsia="Times New Roman" w:cs="Times New Roman"/>
                <w:color w:val="000000"/>
                <w:kern w:val="0"/>
                <w:sz w:val="20"/>
                <w:szCs w:val="20"/>
                <w14:ligatures w14:val="none"/>
              </w:rPr>
            </w:pPr>
          </w:p>
        </w:tc>
      </w:tr>
      <w:tr w:rsidR="0077202E" w:rsidRPr="00D309F4" w14:paraId="29691F56"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4E39C8F2" w14:textId="16E05974" w:rsidR="0077202E" w:rsidRPr="00D309F4" w:rsidRDefault="0077202E"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EVs have a better driving range before needing to</w:t>
            </w:r>
            <w:r w:rsidR="0097080D" w:rsidRPr="00D309F4">
              <w:rPr>
                <w:rFonts w:eastAsia="Times New Roman" w:cs="Times New Roman"/>
                <w:kern w:val="0"/>
                <w:sz w:val="20"/>
                <w:szCs w:val="20"/>
                <w14:ligatures w14:val="none"/>
              </w:rPr>
              <w:t xml:space="preserve"> </w:t>
            </w:r>
            <w:r w:rsidRPr="00D309F4">
              <w:rPr>
                <w:rFonts w:eastAsia="Times New Roman" w:cs="Times New Roman"/>
                <w:kern w:val="0"/>
                <w:sz w:val="20"/>
                <w:szCs w:val="20"/>
                <w14:ligatures w14:val="none"/>
              </w:rPr>
              <w:t xml:space="preserve">refuel </w:t>
            </w:r>
          </w:p>
        </w:tc>
        <w:tc>
          <w:tcPr>
            <w:tcW w:w="810" w:type="dxa"/>
            <w:tcBorders>
              <w:top w:val="nil"/>
              <w:left w:val="single" w:sz="18" w:space="0" w:color="auto"/>
              <w:bottom w:val="nil"/>
              <w:right w:val="nil"/>
            </w:tcBorders>
            <w:shd w:val="clear" w:color="000000" w:fill="FFFFFF"/>
            <w:noWrap/>
            <w:vAlign w:val="center"/>
            <w:hideMark/>
          </w:tcPr>
          <w:p w14:paraId="19DECAC7"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1315E620" w14:textId="74302FCD"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4A2A0515"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4911DDF4" w14:textId="77A6AEAD"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4D7CC5FD"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46C44769" w14:textId="50880F91"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72F47270" w14:textId="20609AA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1.05</w:t>
            </w:r>
          </w:p>
        </w:tc>
        <w:tc>
          <w:tcPr>
            <w:tcW w:w="540" w:type="dxa"/>
            <w:tcBorders>
              <w:top w:val="nil"/>
              <w:left w:val="nil"/>
              <w:bottom w:val="nil"/>
              <w:right w:val="single" w:sz="18" w:space="0" w:color="auto"/>
            </w:tcBorders>
            <w:shd w:val="clear" w:color="000000" w:fill="FFFFFF"/>
            <w:noWrap/>
            <w:vAlign w:val="center"/>
            <w:hideMark/>
          </w:tcPr>
          <w:p w14:paraId="26D73716" w14:textId="34C87ACC"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12.37</w:t>
            </w:r>
          </w:p>
        </w:tc>
      </w:tr>
      <w:tr w:rsidR="0077202E" w:rsidRPr="00D309F4" w14:paraId="0694A604"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40E3DFA3" w14:textId="4649E4CB" w:rsidR="0077202E" w:rsidRPr="00D309F4" w:rsidRDefault="0077202E"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EVs have better convenience of refueling/charging </w:t>
            </w:r>
          </w:p>
        </w:tc>
        <w:tc>
          <w:tcPr>
            <w:tcW w:w="810" w:type="dxa"/>
            <w:tcBorders>
              <w:top w:val="nil"/>
              <w:left w:val="single" w:sz="18" w:space="0" w:color="auto"/>
              <w:bottom w:val="nil"/>
              <w:right w:val="nil"/>
            </w:tcBorders>
            <w:shd w:val="clear" w:color="000000" w:fill="FFFFFF"/>
            <w:noWrap/>
            <w:vAlign w:val="center"/>
            <w:hideMark/>
          </w:tcPr>
          <w:p w14:paraId="01074F4E"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107A03B5" w14:textId="0ECA1D19"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3ECFC37"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25949792" w14:textId="7ACAFF60"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5087861B"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7A3095A1" w14:textId="58B40806"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4E94583" w14:textId="61C96DAF"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0.96</w:t>
            </w:r>
          </w:p>
        </w:tc>
        <w:tc>
          <w:tcPr>
            <w:tcW w:w="540" w:type="dxa"/>
            <w:tcBorders>
              <w:top w:val="nil"/>
              <w:left w:val="nil"/>
              <w:bottom w:val="nil"/>
              <w:right w:val="single" w:sz="18" w:space="0" w:color="auto"/>
            </w:tcBorders>
            <w:shd w:val="clear" w:color="000000" w:fill="FFFFFF"/>
            <w:noWrap/>
            <w:vAlign w:val="center"/>
            <w:hideMark/>
          </w:tcPr>
          <w:p w14:paraId="741C8E86" w14:textId="31408E6D"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11.2</w:t>
            </w:r>
            <w:r w:rsidR="00C52966" w:rsidRPr="00D309F4">
              <w:rPr>
                <w:rFonts w:cs="Times New Roman"/>
                <w:sz w:val="20"/>
                <w:szCs w:val="20"/>
              </w:rPr>
              <w:t>8</w:t>
            </w:r>
          </w:p>
        </w:tc>
      </w:tr>
      <w:tr w:rsidR="0077202E" w:rsidRPr="00D309F4" w14:paraId="05AFE716" w14:textId="77777777" w:rsidTr="0077202E">
        <w:trPr>
          <w:trHeight w:val="230"/>
          <w:jc w:val="center"/>
        </w:trPr>
        <w:tc>
          <w:tcPr>
            <w:tcW w:w="4207" w:type="dxa"/>
            <w:tcBorders>
              <w:top w:val="nil"/>
              <w:left w:val="single" w:sz="18" w:space="0" w:color="auto"/>
              <w:bottom w:val="single" w:sz="18" w:space="0" w:color="auto"/>
              <w:right w:val="single" w:sz="18" w:space="0" w:color="auto"/>
            </w:tcBorders>
            <w:shd w:val="clear" w:color="000000" w:fill="FFFFFF"/>
            <w:noWrap/>
            <w:vAlign w:val="center"/>
            <w:hideMark/>
          </w:tcPr>
          <w:p w14:paraId="0FB19A55" w14:textId="77777777" w:rsidR="0077202E" w:rsidRPr="00D309F4" w:rsidRDefault="0077202E" w:rsidP="0097080D">
            <w:pPr>
              <w:spacing w:after="0" w:line="240" w:lineRule="auto"/>
              <w:ind w:left="308" w:hanging="270"/>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EVs are good for long-distance trips </w:t>
            </w:r>
          </w:p>
        </w:tc>
        <w:tc>
          <w:tcPr>
            <w:tcW w:w="810" w:type="dxa"/>
            <w:tcBorders>
              <w:top w:val="nil"/>
              <w:left w:val="single" w:sz="18" w:space="0" w:color="auto"/>
              <w:bottom w:val="single" w:sz="18" w:space="0" w:color="auto"/>
              <w:right w:val="nil"/>
            </w:tcBorders>
            <w:shd w:val="clear" w:color="000000" w:fill="FFFFFF"/>
            <w:noWrap/>
            <w:vAlign w:val="center"/>
            <w:hideMark/>
          </w:tcPr>
          <w:p w14:paraId="2B7A6F2B"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single" w:sz="18" w:space="0" w:color="auto"/>
              <w:right w:val="single" w:sz="4" w:space="0" w:color="auto"/>
            </w:tcBorders>
            <w:shd w:val="clear" w:color="000000" w:fill="FFFFFF"/>
            <w:noWrap/>
            <w:vAlign w:val="center"/>
            <w:hideMark/>
          </w:tcPr>
          <w:p w14:paraId="1307989E" w14:textId="0DA4BBA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2576B0A1"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single" w:sz="18" w:space="0" w:color="auto"/>
              <w:right w:val="single" w:sz="4" w:space="0" w:color="auto"/>
            </w:tcBorders>
            <w:shd w:val="clear" w:color="000000" w:fill="FFFFFF"/>
            <w:noWrap/>
            <w:vAlign w:val="center"/>
            <w:hideMark/>
          </w:tcPr>
          <w:p w14:paraId="5562D20D" w14:textId="03BFB79C"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4B211417" w14:textId="7777777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single" w:sz="18" w:space="0" w:color="auto"/>
              <w:right w:val="single" w:sz="4" w:space="0" w:color="auto"/>
            </w:tcBorders>
            <w:shd w:val="clear" w:color="000000" w:fill="FFFFFF"/>
            <w:noWrap/>
            <w:vAlign w:val="center"/>
            <w:hideMark/>
          </w:tcPr>
          <w:p w14:paraId="4F0C8840" w14:textId="6CF38927"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2ED3ED8C" w14:textId="50DEEF71"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1.21</w:t>
            </w:r>
          </w:p>
        </w:tc>
        <w:tc>
          <w:tcPr>
            <w:tcW w:w="540" w:type="dxa"/>
            <w:tcBorders>
              <w:top w:val="nil"/>
              <w:left w:val="nil"/>
              <w:bottom w:val="single" w:sz="18" w:space="0" w:color="auto"/>
              <w:right w:val="single" w:sz="18" w:space="0" w:color="auto"/>
            </w:tcBorders>
            <w:shd w:val="clear" w:color="000000" w:fill="FFFFFF"/>
            <w:noWrap/>
            <w:vAlign w:val="center"/>
            <w:hideMark/>
          </w:tcPr>
          <w:p w14:paraId="134CD5B9" w14:textId="460AF890" w:rsidR="0077202E" w:rsidRPr="00D309F4" w:rsidRDefault="0077202E" w:rsidP="0077202E">
            <w:pPr>
              <w:tabs>
                <w:tab w:val="decimal" w:pos="6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15.21</w:t>
            </w:r>
          </w:p>
        </w:tc>
      </w:tr>
      <w:tr w:rsidR="001330A3" w:rsidRPr="00D309F4" w14:paraId="2EF761DA" w14:textId="77777777" w:rsidTr="004E51A8">
        <w:trPr>
          <w:trHeight w:val="230"/>
          <w:jc w:val="center"/>
        </w:trPr>
        <w:tc>
          <w:tcPr>
            <w:tcW w:w="4207" w:type="dxa"/>
            <w:tcBorders>
              <w:top w:val="single" w:sz="18" w:space="0" w:color="auto"/>
              <w:left w:val="single" w:sz="18" w:space="0" w:color="auto"/>
              <w:bottom w:val="single" w:sz="18" w:space="0" w:color="auto"/>
              <w:right w:val="single" w:sz="18" w:space="0" w:color="auto"/>
            </w:tcBorders>
            <w:shd w:val="clear" w:color="000000" w:fill="FFFFFF"/>
            <w:noWrap/>
            <w:vAlign w:val="center"/>
            <w:hideMark/>
          </w:tcPr>
          <w:p w14:paraId="4840F868" w14:textId="77777777" w:rsidR="00CE3188" w:rsidRPr="00D309F4" w:rsidRDefault="00CE3188" w:rsidP="00CE3188">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Correlations between Latent Variables</w:t>
            </w:r>
          </w:p>
        </w:tc>
        <w:tc>
          <w:tcPr>
            <w:tcW w:w="810" w:type="dxa"/>
            <w:tcBorders>
              <w:top w:val="single" w:sz="18" w:space="0" w:color="auto"/>
              <w:left w:val="single" w:sz="18" w:space="0" w:color="auto"/>
              <w:bottom w:val="single" w:sz="18" w:space="0" w:color="auto"/>
              <w:right w:val="nil"/>
            </w:tcBorders>
            <w:shd w:val="clear" w:color="000000" w:fill="FFFFFF"/>
            <w:noWrap/>
            <w:vAlign w:val="center"/>
            <w:hideMark/>
          </w:tcPr>
          <w:p w14:paraId="7F867735" w14:textId="55E180D2" w:rsidR="00CE3188" w:rsidRPr="00D309F4" w:rsidRDefault="00CE3188" w:rsidP="005F4B1C">
            <w:pPr>
              <w:spacing w:after="0" w:line="240" w:lineRule="auto"/>
              <w:jc w:val="center"/>
              <w:rPr>
                <w:rFonts w:eastAsia="Times New Roman" w:cs="Times New Roman"/>
                <w:color w:val="000000"/>
                <w:kern w:val="0"/>
                <w:sz w:val="20"/>
                <w:szCs w:val="20"/>
                <w14:ligatures w14:val="none"/>
              </w:rPr>
            </w:pPr>
          </w:p>
        </w:tc>
        <w:tc>
          <w:tcPr>
            <w:tcW w:w="540" w:type="dxa"/>
            <w:gridSpan w:val="2"/>
            <w:tcBorders>
              <w:top w:val="single" w:sz="18" w:space="0" w:color="auto"/>
              <w:left w:val="nil"/>
              <w:bottom w:val="single" w:sz="18" w:space="0" w:color="auto"/>
              <w:right w:val="single" w:sz="4" w:space="0" w:color="auto"/>
            </w:tcBorders>
            <w:shd w:val="clear" w:color="000000" w:fill="FFFFFF"/>
            <w:noWrap/>
            <w:vAlign w:val="center"/>
            <w:hideMark/>
          </w:tcPr>
          <w:p w14:paraId="64982CC1" w14:textId="4717E89B" w:rsidR="00CE3188" w:rsidRPr="00D309F4" w:rsidRDefault="00CE3188" w:rsidP="005F4B1C">
            <w:pPr>
              <w:spacing w:after="0" w:line="240" w:lineRule="auto"/>
              <w:jc w:val="center"/>
              <w:rPr>
                <w:rFonts w:eastAsia="Times New Roman" w:cs="Times New Roman"/>
                <w:color w:val="000000"/>
                <w:kern w:val="0"/>
                <w:sz w:val="20"/>
                <w:szCs w:val="20"/>
                <w14:ligatures w14:val="none"/>
              </w:rPr>
            </w:pPr>
          </w:p>
        </w:tc>
        <w:tc>
          <w:tcPr>
            <w:tcW w:w="810" w:type="dxa"/>
            <w:tcBorders>
              <w:top w:val="single" w:sz="18" w:space="0" w:color="auto"/>
              <w:left w:val="nil"/>
              <w:bottom w:val="single" w:sz="18" w:space="0" w:color="auto"/>
              <w:right w:val="nil"/>
            </w:tcBorders>
            <w:shd w:val="clear" w:color="000000" w:fill="FFFFFF"/>
            <w:noWrap/>
            <w:vAlign w:val="center"/>
            <w:hideMark/>
          </w:tcPr>
          <w:p w14:paraId="3CF9D5BC"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Coeff.</w:t>
            </w:r>
          </w:p>
        </w:tc>
        <w:tc>
          <w:tcPr>
            <w:tcW w:w="630" w:type="dxa"/>
            <w:gridSpan w:val="2"/>
            <w:tcBorders>
              <w:top w:val="single" w:sz="18" w:space="0" w:color="auto"/>
              <w:left w:val="nil"/>
              <w:bottom w:val="single" w:sz="18" w:space="0" w:color="auto"/>
              <w:right w:val="single" w:sz="4" w:space="0" w:color="auto"/>
            </w:tcBorders>
            <w:shd w:val="clear" w:color="000000" w:fill="FFFFFF"/>
            <w:noWrap/>
            <w:vAlign w:val="center"/>
            <w:hideMark/>
          </w:tcPr>
          <w:p w14:paraId="57895D2B"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4BC82C96"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Coeff.</w:t>
            </w:r>
          </w:p>
        </w:tc>
        <w:tc>
          <w:tcPr>
            <w:tcW w:w="630" w:type="dxa"/>
            <w:tcBorders>
              <w:top w:val="single" w:sz="18" w:space="0" w:color="auto"/>
              <w:left w:val="nil"/>
              <w:bottom w:val="single" w:sz="18" w:space="0" w:color="auto"/>
              <w:right w:val="single" w:sz="4" w:space="0" w:color="auto"/>
            </w:tcBorders>
            <w:shd w:val="clear" w:color="000000" w:fill="FFFFFF"/>
            <w:noWrap/>
            <w:vAlign w:val="center"/>
            <w:hideMark/>
          </w:tcPr>
          <w:p w14:paraId="59635AE5"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c>
          <w:tcPr>
            <w:tcW w:w="810" w:type="dxa"/>
            <w:tcBorders>
              <w:top w:val="single" w:sz="18" w:space="0" w:color="auto"/>
              <w:left w:val="nil"/>
              <w:bottom w:val="single" w:sz="18" w:space="0" w:color="auto"/>
              <w:right w:val="nil"/>
            </w:tcBorders>
            <w:shd w:val="clear" w:color="000000" w:fill="FFFFFF"/>
            <w:noWrap/>
            <w:vAlign w:val="center"/>
            <w:hideMark/>
          </w:tcPr>
          <w:p w14:paraId="53A2EC51"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Coeff.</w:t>
            </w:r>
          </w:p>
        </w:tc>
        <w:tc>
          <w:tcPr>
            <w:tcW w:w="540" w:type="dxa"/>
            <w:tcBorders>
              <w:top w:val="single" w:sz="18" w:space="0" w:color="auto"/>
              <w:left w:val="nil"/>
              <w:bottom w:val="single" w:sz="18" w:space="0" w:color="auto"/>
              <w:right w:val="single" w:sz="18" w:space="0" w:color="auto"/>
            </w:tcBorders>
            <w:shd w:val="clear" w:color="000000" w:fill="FFFFFF"/>
            <w:noWrap/>
            <w:vAlign w:val="center"/>
            <w:hideMark/>
          </w:tcPr>
          <w:p w14:paraId="2C50B332" w14:textId="77777777" w:rsidR="00CE3188" w:rsidRPr="00D309F4" w:rsidRDefault="00CE3188" w:rsidP="005F4B1C">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t-stat</w:t>
            </w:r>
          </w:p>
        </w:tc>
      </w:tr>
      <w:tr w:rsidR="00886524" w:rsidRPr="00D309F4" w14:paraId="607E6B7A" w14:textId="77777777" w:rsidTr="0077202E">
        <w:trPr>
          <w:trHeight w:val="230"/>
          <w:jc w:val="center"/>
        </w:trPr>
        <w:tc>
          <w:tcPr>
            <w:tcW w:w="4207" w:type="dxa"/>
            <w:tcBorders>
              <w:top w:val="single" w:sz="18" w:space="0" w:color="auto"/>
              <w:left w:val="single" w:sz="18" w:space="0" w:color="auto"/>
              <w:bottom w:val="nil"/>
              <w:right w:val="single" w:sz="18" w:space="0" w:color="auto"/>
            </w:tcBorders>
            <w:shd w:val="clear" w:color="000000" w:fill="FFFFFF"/>
            <w:noWrap/>
            <w:vAlign w:val="center"/>
            <w:hideMark/>
          </w:tcPr>
          <w:p w14:paraId="6371B61E" w14:textId="77777777" w:rsidR="00886524" w:rsidRPr="00D309F4" w:rsidRDefault="00886524" w:rsidP="00886524">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Green Lifestyle Propensity</w:t>
            </w:r>
          </w:p>
        </w:tc>
        <w:tc>
          <w:tcPr>
            <w:tcW w:w="810" w:type="dxa"/>
            <w:tcBorders>
              <w:top w:val="single" w:sz="18" w:space="0" w:color="auto"/>
              <w:left w:val="single" w:sz="18" w:space="0" w:color="auto"/>
              <w:bottom w:val="nil"/>
              <w:right w:val="nil"/>
            </w:tcBorders>
            <w:shd w:val="clear" w:color="000000" w:fill="FFFFFF"/>
            <w:noWrap/>
            <w:vAlign w:val="center"/>
            <w:hideMark/>
          </w:tcPr>
          <w:p w14:paraId="1C649982" w14:textId="77777777"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single" w:sz="18" w:space="0" w:color="auto"/>
              <w:left w:val="nil"/>
              <w:bottom w:val="nil"/>
              <w:right w:val="single" w:sz="4" w:space="0" w:color="auto"/>
            </w:tcBorders>
            <w:shd w:val="clear" w:color="000000" w:fill="FFFFFF"/>
            <w:noWrap/>
            <w:vAlign w:val="center"/>
            <w:hideMark/>
          </w:tcPr>
          <w:p w14:paraId="5A61C653" w14:textId="7B4366DC"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p>
        </w:tc>
        <w:tc>
          <w:tcPr>
            <w:tcW w:w="810" w:type="dxa"/>
            <w:tcBorders>
              <w:top w:val="single" w:sz="18" w:space="0" w:color="auto"/>
              <w:left w:val="nil"/>
              <w:bottom w:val="nil"/>
              <w:right w:val="nil"/>
            </w:tcBorders>
            <w:shd w:val="clear" w:color="000000" w:fill="FFFFFF"/>
            <w:noWrap/>
            <w:vAlign w:val="center"/>
            <w:hideMark/>
          </w:tcPr>
          <w:p w14:paraId="74023D89" w14:textId="0C733111"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0.17</w:t>
            </w:r>
          </w:p>
        </w:tc>
        <w:tc>
          <w:tcPr>
            <w:tcW w:w="630" w:type="dxa"/>
            <w:gridSpan w:val="2"/>
            <w:tcBorders>
              <w:top w:val="single" w:sz="18" w:space="0" w:color="auto"/>
              <w:left w:val="nil"/>
              <w:bottom w:val="nil"/>
              <w:right w:val="single" w:sz="4" w:space="0" w:color="auto"/>
            </w:tcBorders>
            <w:shd w:val="clear" w:color="000000" w:fill="FFFFFF"/>
            <w:noWrap/>
            <w:vAlign w:val="center"/>
            <w:hideMark/>
          </w:tcPr>
          <w:p w14:paraId="14FF9361" w14:textId="162097E4"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2.64</w:t>
            </w:r>
          </w:p>
        </w:tc>
        <w:tc>
          <w:tcPr>
            <w:tcW w:w="810" w:type="dxa"/>
            <w:tcBorders>
              <w:top w:val="single" w:sz="18" w:space="0" w:color="auto"/>
              <w:left w:val="nil"/>
              <w:bottom w:val="nil"/>
              <w:right w:val="nil"/>
            </w:tcBorders>
            <w:shd w:val="clear" w:color="000000" w:fill="FFFFFF"/>
            <w:noWrap/>
            <w:vAlign w:val="center"/>
            <w:hideMark/>
          </w:tcPr>
          <w:p w14:paraId="2BC5A537" w14:textId="5B1E0FCA"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0.56</w:t>
            </w:r>
          </w:p>
        </w:tc>
        <w:tc>
          <w:tcPr>
            <w:tcW w:w="630" w:type="dxa"/>
            <w:tcBorders>
              <w:top w:val="single" w:sz="18" w:space="0" w:color="auto"/>
              <w:left w:val="nil"/>
              <w:bottom w:val="nil"/>
              <w:right w:val="single" w:sz="4" w:space="0" w:color="auto"/>
            </w:tcBorders>
            <w:shd w:val="clear" w:color="000000" w:fill="FFFFFF"/>
            <w:noWrap/>
            <w:vAlign w:val="center"/>
            <w:hideMark/>
          </w:tcPr>
          <w:p w14:paraId="585FF291" w14:textId="4365F633"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10.0</w:t>
            </w:r>
            <w:r w:rsidR="00F13231" w:rsidRPr="00D309F4">
              <w:rPr>
                <w:rFonts w:cs="Times New Roman"/>
                <w:sz w:val="20"/>
                <w:szCs w:val="20"/>
              </w:rPr>
              <w:t>7</w:t>
            </w:r>
          </w:p>
        </w:tc>
        <w:tc>
          <w:tcPr>
            <w:tcW w:w="810" w:type="dxa"/>
            <w:tcBorders>
              <w:top w:val="single" w:sz="18" w:space="0" w:color="auto"/>
              <w:left w:val="nil"/>
              <w:bottom w:val="nil"/>
              <w:right w:val="nil"/>
            </w:tcBorders>
            <w:shd w:val="clear" w:color="000000" w:fill="FFFFFF"/>
            <w:noWrap/>
            <w:vAlign w:val="center"/>
            <w:hideMark/>
          </w:tcPr>
          <w:p w14:paraId="73E9785E" w14:textId="231AC86B"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0.43</w:t>
            </w:r>
          </w:p>
        </w:tc>
        <w:tc>
          <w:tcPr>
            <w:tcW w:w="540" w:type="dxa"/>
            <w:tcBorders>
              <w:top w:val="single" w:sz="18" w:space="0" w:color="auto"/>
              <w:left w:val="nil"/>
              <w:bottom w:val="nil"/>
              <w:right w:val="single" w:sz="18" w:space="0" w:color="auto"/>
            </w:tcBorders>
            <w:shd w:val="clear" w:color="000000" w:fill="FFFFFF"/>
            <w:noWrap/>
            <w:vAlign w:val="center"/>
            <w:hideMark/>
          </w:tcPr>
          <w:p w14:paraId="5EBBAA3A" w14:textId="39A2D387"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7.2</w:t>
            </w:r>
            <w:r w:rsidR="00F13231" w:rsidRPr="00D309F4">
              <w:rPr>
                <w:rFonts w:cs="Times New Roman"/>
                <w:sz w:val="20"/>
                <w:szCs w:val="20"/>
              </w:rPr>
              <w:t>7</w:t>
            </w:r>
          </w:p>
        </w:tc>
      </w:tr>
      <w:tr w:rsidR="00886524" w:rsidRPr="00D309F4" w14:paraId="51AF88D5" w14:textId="77777777" w:rsidTr="0077202E">
        <w:trPr>
          <w:trHeight w:val="230"/>
          <w:jc w:val="center"/>
        </w:trPr>
        <w:tc>
          <w:tcPr>
            <w:tcW w:w="4207" w:type="dxa"/>
            <w:tcBorders>
              <w:top w:val="nil"/>
              <w:left w:val="single" w:sz="18" w:space="0" w:color="auto"/>
              <w:bottom w:val="nil"/>
              <w:right w:val="single" w:sz="18" w:space="0" w:color="auto"/>
            </w:tcBorders>
            <w:shd w:val="clear" w:color="000000" w:fill="FFFFFF"/>
            <w:noWrap/>
            <w:vAlign w:val="center"/>
            <w:hideMark/>
          </w:tcPr>
          <w:p w14:paraId="6CEE238D" w14:textId="77777777" w:rsidR="00886524" w:rsidRPr="00D309F4" w:rsidRDefault="00886524" w:rsidP="00886524">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Vehicle Functionality Preference</w:t>
            </w:r>
          </w:p>
        </w:tc>
        <w:tc>
          <w:tcPr>
            <w:tcW w:w="810" w:type="dxa"/>
            <w:tcBorders>
              <w:top w:val="nil"/>
              <w:left w:val="single" w:sz="18" w:space="0" w:color="auto"/>
              <w:bottom w:val="nil"/>
              <w:right w:val="nil"/>
            </w:tcBorders>
            <w:shd w:val="clear" w:color="000000" w:fill="FFFFFF"/>
            <w:noWrap/>
            <w:vAlign w:val="center"/>
            <w:hideMark/>
          </w:tcPr>
          <w:p w14:paraId="06D6B836" w14:textId="77777777"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nil"/>
              <w:right w:val="single" w:sz="4" w:space="0" w:color="auto"/>
            </w:tcBorders>
            <w:shd w:val="clear" w:color="000000" w:fill="FFFFFF"/>
            <w:noWrap/>
            <w:vAlign w:val="center"/>
            <w:hideMark/>
          </w:tcPr>
          <w:p w14:paraId="766596F4" w14:textId="63CDFCFB"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325CF658" w14:textId="77777777"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nil"/>
              <w:right w:val="single" w:sz="4" w:space="0" w:color="auto"/>
            </w:tcBorders>
            <w:shd w:val="clear" w:color="000000" w:fill="FFFFFF"/>
            <w:noWrap/>
            <w:vAlign w:val="center"/>
            <w:hideMark/>
          </w:tcPr>
          <w:p w14:paraId="3363506E" w14:textId="706F1B26"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nil"/>
              <w:right w:val="nil"/>
            </w:tcBorders>
            <w:shd w:val="clear" w:color="000000" w:fill="FFFFFF"/>
            <w:noWrap/>
            <w:vAlign w:val="center"/>
            <w:hideMark/>
          </w:tcPr>
          <w:p w14:paraId="04116A3A" w14:textId="3C5C910E"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0.09</w:t>
            </w:r>
          </w:p>
        </w:tc>
        <w:tc>
          <w:tcPr>
            <w:tcW w:w="630" w:type="dxa"/>
            <w:tcBorders>
              <w:top w:val="nil"/>
              <w:left w:val="nil"/>
              <w:bottom w:val="nil"/>
              <w:right w:val="single" w:sz="4" w:space="0" w:color="auto"/>
            </w:tcBorders>
            <w:shd w:val="clear" w:color="000000" w:fill="FFFFFF"/>
            <w:noWrap/>
            <w:vAlign w:val="center"/>
            <w:hideMark/>
          </w:tcPr>
          <w:p w14:paraId="2B24D384" w14:textId="3699A315"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1.5</w:t>
            </w:r>
            <w:r w:rsidR="00F13231" w:rsidRPr="00D309F4">
              <w:rPr>
                <w:rFonts w:cs="Times New Roman"/>
                <w:sz w:val="20"/>
                <w:szCs w:val="20"/>
              </w:rPr>
              <w:t>7</w:t>
            </w:r>
          </w:p>
        </w:tc>
        <w:tc>
          <w:tcPr>
            <w:tcW w:w="810" w:type="dxa"/>
            <w:tcBorders>
              <w:top w:val="nil"/>
              <w:left w:val="nil"/>
              <w:bottom w:val="nil"/>
              <w:right w:val="nil"/>
            </w:tcBorders>
            <w:shd w:val="clear" w:color="000000" w:fill="FFFFFF"/>
            <w:noWrap/>
            <w:vAlign w:val="center"/>
            <w:hideMark/>
          </w:tcPr>
          <w:p w14:paraId="3ED33B61" w14:textId="228A77DA"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0.08</w:t>
            </w:r>
          </w:p>
        </w:tc>
        <w:tc>
          <w:tcPr>
            <w:tcW w:w="540" w:type="dxa"/>
            <w:tcBorders>
              <w:top w:val="nil"/>
              <w:left w:val="nil"/>
              <w:bottom w:val="nil"/>
              <w:right w:val="single" w:sz="18" w:space="0" w:color="auto"/>
            </w:tcBorders>
            <w:shd w:val="clear" w:color="000000" w:fill="FFFFFF"/>
            <w:noWrap/>
            <w:vAlign w:val="center"/>
            <w:hideMark/>
          </w:tcPr>
          <w:p w14:paraId="4899DC91" w14:textId="57E8F000"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1.69</w:t>
            </w:r>
          </w:p>
        </w:tc>
      </w:tr>
      <w:tr w:rsidR="00886524" w:rsidRPr="00D309F4" w14:paraId="24E0BC08" w14:textId="77777777" w:rsidTr="0077202E">
        <w:trPr>
          <w:trHeight w:val="230"/>
          <w:jc w:val="center"/>
        </w:trPr>
        <w:tc>
          <w:tcPr>
            <w:tcW w:w="4207" w:type="dxa"/>
            <w:tcBorders>
              <w:top w:val="nil"/>
              <w:left w:val="single" w:sz="18" w:space="0" w:color="auto"/>
              <w:bottom w:val="single" w:sz="18" w:space="0" w:color="auto"/>
              <w:right w:val="single" w:sz="18" w:space="0" w:color="auto"/>
            </w:tcBorders>
            <w:shd w:val="clear" w:color="000000" w:fill="FFFFFF"/>
            <w:noWrap/>
            <w:vAlign w:val="center"/>
            <w:hideMark/>
          </w:tcPr>
          <w:p w14:paraId="56212B45" w14:textId="77777777" w:rsidR="00886524" w:rsidRPr="00D309F4" w:rsidRDefault="00886524" w:rsidP="00886524">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EV Cost and Maintenance Perception</w:t>
            </w:r>
          </w:p>
        </w:tc>
        <w:tc>
          <w:tcPr>
            <w:tcW w:w="810" w:type="dxa"/>
            <w:tcBorders>
              <w:top w:val="nil"/>
              <w:left w:val="single" w:sz="18" w:space="0" w:color="auto"/>
              <w:bottom w:val="single" w:sz="18" w:space="0" w:color="auto"/>
              <w:right w:val="nil"/>
            </w:tcBorders>
            <w:shd w:val="clear" w:color="000000" w:fill="FFFFFF"/>
            <w:noWrap/>
            <w:vAlign w:val="center"/>
            <w:hideMark/>
          </w:tcPr>
          <w:p w14:paraId="5185D261" w14:textId="77777777"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540" w:type="dxa"/>
            <w:gridSpan w:val="2"/>
            <w:tcBorders>
              <w:top w:val="nil"/>
              <w:left w:val="nil"/>
              <w:bottom w:val="single" w:sz="18" w:space="0" w:color="auto"/>
              <w:right w:val="single" w:sz="4" w:space="0" w:color="auto"/>
            </w:tcBorders>
            <w:shd w:val="clear" w:color="000000" w:fill="FFFFFF"/>
            <w:noWrap/>
            <w:vAlign w:val="center"/>
            <w:hideMark/>
          </w:tcPr>
          <w:p w14:paraId="15E4A4B0" w14:textId="71716535"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7F8EB86B" w14:textId="77777777"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gridSpan w:val="2"/>
            <w:tcBorders>
              <w:top w:val="nil"/>
              <w:left w:val="nil"/>
              <w:bottom w:val="single" w:sz="18" w:space="0" w:color="auto"/>
              <w:right w:val="single" w:sz="4" w:space="0" w:color="auto"/>
            </w:tcBorders>
            <w:shd w:val="clear" w:color="000000" w:fill="FFFFFF"/>
            <w:noWrap/>
            <w:vAlign w:val="center"/>
            <w:hideMark/>
          </w:tcPr>
          <w:p w14:paraId="2145E1D3" w14:textId="26448B61"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10F5265C" w14:textId="77777777"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630" w:type="dxa"/>
            <w:tcBorders>
              <w:top w:val="nil"/>
              <w:left w:val="nil"/>
              <w:bottom w:val="single" w:sz="18" w:space="0" w:color="auto"/>
              <w:right w:val="single" w:sz="4" w:space="0" w:color="auto"/>
            </w:tcBorders>
            <w:shd w:val="clear" w:color="000000" w:fill="FFFFFF"/>
            <w:noWrap/>
            <w:vAlign w:val="center"/>
            <w:hideMark/>
          </w:tcPr>
          <w:p w14:paraId="27CD4E92" w14:textId="2EA3DC16"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p>
        </w:tc>
        <w:tc>
          <w:tcPr>
            <w:tcW w:w="810" w:type="dxa"/>
            <w:tcBorders>
              <w:top w:val="nil"/>
              <w:left w:val="nil"/>
              <w:bottom w:val="single" w:sz="18" w:space="0" w:color="auto"/>
              <w:right w:val="nil"/>
            </w:tcBorders>
            <w:shd w:val="clear" w:color="000000" w:fill="FFFFFF"/>
            <w:noWrap/>
            <w:vAlign w:val="center"/>
            <w:hideMark/>
          </w:tcPr>
          <w:p w14:paraId="0A4C04E5" w14:textId="61758FB6"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0.54</w:t>
            </w:r>
          </w:p>
        </w:tc>
        <w:tc>
          <w:tcPr>
            <w:tcW w:w="540" w:type="dxa"/>
            <w:tcBorders>
              <w:top w:val="nil"/>
              <w:left w:val="nil"/>
              <w:bottom w:val="single" w:sz="18" w:space="0" w:color="auto"/>
              <w:right w:val="single" w:sz="18" w:space="0" w:color="auto"/>
            </w:tcBorders>
            <w:shd w:val="clear" w:color="000000" w:fill="FFFFFF"/>
            <w:noWrap/>
            <w:vAlign w:val="center"/>
            <w:hideMark/>
          </w:tcPr>
          <w:p w14:paraId="21646E1B" w14:textId="69388ED3" w:rsidR="00886524" w:rsidRPr="00D309F4" w:rsidRDefault="00886524" w:rsidP="0077202E">
            <w:pPr>
              <w:tabs>
                <w:tab w:val="decimal" w:pos="152"/>
              </w:tabs>
              <w:spacing w:after="0" w:line="240" w:lineRule="auto"/>
              <w:jc w:val="center"/>
              <w:rPr>
                <w:rFonts w:eastAsia="Times New Roman" w:cs="Times New Roman"/>
                <w:color w:val="000000"/>
                <w:kern w:val="0"/>
                <w:sz w:val="20"/>
                <w:szCs w:val="20"/>
                <w14:ligatures w14:val="none"/>
              </w:rPr>
            </w:pPr>
            <w:r w:rsidRPr="00D309F4">
              <w:rPr>
                <w:rFonts w:cs="Times New Roman"/>
                <w:sz w:val="20"/>
                <w:szCs w:val="20"/>
              </w:rPr>
              <w:t>11.0</w:t>
            </w:r>
            <w:r w:rsidR="00F13231" w:rsidRPr="00D309F4">
              <w:rPr>
                <w:rFonts w:cs="Times New Roman"/>
                <w:sz w:val="20"/>
                <w:szCs w:val="20"/>
              </w:rPr>
              <w:t>9</w:t>
            </w:r>
          </w:p>
        </w:tc>
      </w:tr>
      <w:bookmarkEnd w:id="42"/>
    </w:tbl>
    <w:p w14:paraId="72FE56FB" w14:textId="77777777" w:rsidR="005A040E" w:rsidRPr="00D309F4" w:rsidRDefault="005A040E" w:rsidP="00264D08">
      <w:pPr>
        <w:spacing w:after="0" w:line="240" w:lineRule="auto"/>
        <w:jc w:val="both"/>
        <w:rPr>
          <w:rFonts w:cs="Times New Roman"/>
          <w:b/>
          <w:bCs/>
        </w:rPr>
      </w:pPr>
    </w:p>
    <w:p w14:paraId="4C01400F" w14:textId="77777777" w:rsidR="005A040E" w:rsidRPr="00D309F4" w:rsidRDefault="005A040E" w:rsidP="00264D08">
      <w:pPr>
        <w:spacing w:after="0" w:line="240" w:lineRule="auto"/>
        <w:jc w:val="both"/>
        <w:rPr>
          <w:rFonts w:cs="Times New Roman"/>
          <w:b/>
          <w:bCs/>
        </w:rPr>
        <w:sectPr w:rsidR="005A040E" w:rsidRPr="00D309F4" w:rsidSect="00CE3188">
          <w:pgSz w:w="12240" w:h="15840"/>
          <w:pgMar w:top="1440" w:right="1440" w:bottom="1440" w:left="1440" w:header="720" w:footer="720" w:gutter="0"/>
          <w:cols w:space="720"/>
          <w:docGrid w:linePitch="360"/>
        </w:sectPr>
      </w:pPr>
    </w:p>
    <w:p w14:paraId="71A8E46F" w14:textId="77777777" w:rsidR="00034676" w:rsidRPr="00D309F4" w:rsidRDefault="00034676" w:rsidP="00034676">
      <w:pPr>
        <w:spacing w:after="0" w:line="240" w:lineRule="auto"/>
        <w:jc w:val="both"/>
        <w:rPr>
          <w:rFonts w:cs="Times New Roman"/>
          <w:b/>
          <w:bCs/>
          <w:sz w:val="22"/>
          <w:szCs w:val="22"/>
        </w:rPr>
      </w:pPr>
      <w:bookmarkStart w:id="43" w:name="_Hlk198715411"/>
      <w:r w:rsidRPr="00D309F4">
        <w:rPr>
          <w:rFonts w:cs="Times New Roman"/>
          <w:b/>
          <w:bCs/>
          <w:sz w:val="22"/>
          <w:szCs w:val="22"/>
        </w:rPr>
        <w:lastRenderedPageBreak/>
        <w:t>Table 4: Main Estimation Results</w:t>
      </w:r>
    </w:p>
    <w:p w14:paraId="77505B06" w14:textId="77777777" w:rsidR="00034676" w:rsidRPr="00D309F4" w:rsidRDefault="00034676" w:rsidP="00034676">
      <w:pPr>
        <w:spacing w:after="0" w:line="240" w:lineRule="auto"/>
        <w:jc w:val="both"/>
        <w:rPr>
          <w:rFonts w:cs="Times New Roman"/>
          <w:b/>
          <w:bCs/>
          <w:sz w:val="22"/>
          <w:szCs w:val="22"/>
        </w:rPr>
      </w:pPr>
      <w:bookmarkStart w:id="44" w:name="_Hlk190959621"/>
    </w:p>
    <w:tbl>
      <w:tblPr>
        <w:tblW w:w="14366" w:type="dxa"/>
        <w:jc w:val="center"/>
        <w:tblLayout w:type="fixed"/>
        <w:tblCellMar>
          <w:left w:w="29" w:type="dxa"/>
          <w:right w:w="0" w:type="dxa"/>
        </w:tblCellMar>
        <w:tblLook w:val="04A0" w:firstRow="1" w:lastRow="0" w:firstColumn="1" w:lastColumn="0" w:noHBand="0" w:noVBand="1"/>
      </w:tblPr>
      <w:tblGrid>
        <w:gridCol w:w="3577"/>
        <w:gridCol w:w="564"/>
        <w:gridCol w:w="593"/>
        <w:gridCol w:w="632"/>
        <w:gridCol w:w="538"/>
        <w:gridCol w:w="631"/>
        <w:gridCol w:w="631"/>
        <w:gridCol w:w="720"/>
        <w:gridCol w:w="540"/>
        <w:gridCol w:w="540"/>
        <w:gridCol w:w="630"/>
        <w:gridCol w:w="540"/>
        <w:gridCol w:w="540"/>
        <w:gridCol w:w="630"/>
        <w:gridCol w:w="630"/>
        <w:gridCol w:w="630"/>
        <w:gridCol w:w="540"/>
        <w:gridCol w:w="720"/>
        <w:gridCol w:w="540"/>
      </w:tblGrid>
      <w:tr w:rsidR="00E837CC" w:rsidRPr="00D309F4" w14:paraId="6F88EA36" w14:textId="77777777" w:rsidTr="00A66E92">
        <w:trPr>
          <w:cantSplit/>
          <w:trHeight w:val="144"/>
          <w:tblHeader/>
          <w:jc w:val="center"/>
        </w:trPr>
        <w:tc>
          <w:tcPr>
            <w:tcW w:w="3577" w:type="dxa"/>
            <w:vMerge w:val="restart"/>
            <w:tcBorders>
              <w:top w:val="single" w:sz="18" w:space="0" w:color="auto"/>
              <w:left w:val="single" w:sz="18" w:space="0" w:color="auto"/>
              <w:bottom w:val="single" w:sz="18" w:space="0" w:color="auto"/>
              <w:right w:val="single" w:sz="18" w:space="0" w:color="auto"/>
            </w:tcBorders>
            <w:shd w:val="clear" w:color="000000" w:fill="FFFFFF"/>
            <w:noWrap/>
            <w:vAlign w:val="center"/>
            <w:hideMark/>
          </w:tcPr>
          <w:p w14:paraId="60C0FA2D" w14:textId="77777777"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Variables (base)</w:t>
            </w:r>
          </w:p>
        </w:tc>
        <w:tc>
          <w:tcPr>
            <w:tcW w:w="1157" w:type="dxa"/>
            <w:gridSpan w:val="2"/>
            <w:tcBorders>
              <w:top w:val="single" w:sz="18" w:space="0" w:color="auto"/>
              <w:left w:val="single" w:sz="18" w:space="0" w:color="auto"/>
              <w:bottom w:val="single" w:sz="18" w:space="0" w:color="auto"/>
              <w:right w:val="single" w:sz="18" w:space="0" w:color="auto"/>
            </w:tcBorders>
            <w:shd w:val="clear" w:color="000000" w:fill="FFFFFF"/>
            <w:vAlign w:val="center"/>
            <w:hideMark/>
          </w:tcPr>
          <w:p w14:paraId="664A7A12" w14:textId="77777777"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EV ownership</w:t>
            </w:r>
          </w:p>
        </w:tc>
        <w:tc>
          <w:tcPr>
            <w:tcW w:w="1170" w:type="dxa"/>
            <w:gridSpan w:val="2"/>
            <w:tcBorders>
              <w:top w:val="single" w:sz="18" w:space="0" w:color="auto"/>
              <w:left w:val="single" w:sz="18" w:space="0" w:color="auto"/>
              <w:bottom w:val="single" w:sz="18" w:space="0" w:color="auto"/>
              <w:right w:val="single" w:sz="4" w:space="0" w:color="000000"/>
            </w:tcBorders>
            <w:shd w:val="clear" w:color="000000" w:fill="FFFFFF"/>
            <w:vAlign w:val="center"/>
            <w:hideMark/>
          </w:tcPr>
          <w:p w14:paraId="5239E9B1" w14:textId="77777777"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Rising gas prices</w:t>
            </w:r>
          </w:p>
        </w:tc>
        <w:tc>
          <w:tcPr>
            <w:tcW w:w="1262" w:type="dxa"/>
            <w:gridSpan w:val="2"/>
            <w:tcBorders>
              <w:top w:val="single" w:sz="18" w:space="0" w:color="auto"/>
              <w:left w:val="nil"/>
              <w:bottom w:val="single" w:sz="18" w:space="0" w:color="auto"/>
              <w:right w:val="single" w:sz="4" w:space="0" w:color="auto"/>
            </w:tcBorders>
            <w:shd w:val="clear" w:color="000000" w:fill="FFFFFF"/>
            <w:vAlign w:val="center"/>
          </w:tcPr>
          <w:p w14:paraId="2F90D0E1" w14:textId="729B1AC0"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Take advantage of incentives</w:t>
            </w:r>
          </w:p>
        </w:tc>
        <w:tc>
          <w:tcPr>
            <w:tcW w:w="1260" w:type="dxa"/>
            <w:gridSpan w:val="2"/>
            <w:tcBorders>
              <w:top w:val="single" w:sz="18" w:space="0" w:color="auto"/>
              <w:left w:val="single" w:sz="4" w:space="0" w:color="auto"/>
              <w:bottom w:val="single" w:sz="18" w:space="0" w:color="auto"/>
              <w:right w:val="single" w:sz="4" w:space="0" w:color="000000"/>
            </w:tcBorders>
            <w:shd w:val="clear" w:color="000000" w:fill="FFFFFF"/>
            <w:vAlign w:val="center"/>
            <w:hideMark/>
          </w:tcPr>
          <w:p w14:paraId="1AF01A48" w14:textId="77777777"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Interest in the technology</w:t>
            </w:r>
          </w:p>
        </w:tc>
        <w:tc>
          <w:tcPr>
            <w:tcW w:w="1170" w:type="dxa"/>
            <w:gridSpan w:val="2"/>
            <w:tcBorders>
              <w:top w:val="single" w:sz="18" w:space="0" w:color="auto"/>
              <w:left w:val="single" w:sz="4" w:space="0" w:color="auto"/>
              <w:bottom w:val="single" w:sz="18" w:space="0" w:color="auto"/>
              <w:right w:val="single" w:sz="4" w:space="0" w:color="000000"/>
            </w:tcBorders>
            <w:shd w:val="clear" w:color="000000" w:fill="FFFFFF"/>
            <w:vAlign w:val="center"/>
          </w:tcPr>
          <w:p w14:paraId="12C70D63" w14:textId="61303C56"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Interest in a specific brand/model</w:t>
            </w:r>
          </w:p>
        </w:tc>
        <w:tc>
          <w:tcPr>
            <w:tcW w:w="1080" w:type="dxa"/>
            <w:gridSpan w:val="2"/>
            <w:tcBorders>
              <w:top w:val="single" w:sz="18" w:space="0" w:color="auto"/>
              <w:left w:val="nil"/>
              <w:bottom w:val="single" w:sz="18" w:space="0" w:color="auto"/>
              <w:right w:val="single" w:sz="4" w:space="0" w:color="000000"/>
            </w:tcBorders>
            <w:shd w:val="clear" w:color="000000" w:fill="FFFFFF"/>
            <w:vAlign w:val="center"/>
            <w:hideMark/>
          </w:tcPr>
          <w:p w14:paraId="79593985" w14:textId="64A9BF87"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Test drove one</w:t>
            </w:r>
          </w:p>
        </w:tc>
        <w:tc>
          <w:tcPr>
            <w:tcW w:w="1260" w:type="dxa"/>
            <w:gridSpan w:val="2"/>
            <w:tcBorders>
              <w:top w:val="single" w:sz="18" w:space="0" w:color="auto"/>
              <w:left w:val="nil"/>
              <w:bottom w:val="single" w:sz="18" w:space="0" w:color="auto"/>
              <w:right w:val="single" w:sz="4" w:space="0" w:color="000000"/>
            </w:tcBorders>
            <w:shd w:val="clear" w:color="000000" w:fill="FFFFFF"/>
            <w:vAlign w:val="center"/>
            <w:hideMark/>
          </w:tcPr>
          <w:p w14:paraId="6F00AA1C" w14:textId="2745845A"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Heard about EVs from friends/family</w:t>
            </w:r>
          </w:p>
        </w:tc>
        <w:tc>
          <w:tcPr>
            <w:tcW w:w="1170" w:type="dxa"/>
            <w:gridSpan w:val="2"/>
            <w:tcBorders>
              <w:top w:val="single" w:sz="18" w:space="0" w:color="auto"/>
              <w:left w:val="nil"/>
              <w:bottom w:val="single" w:sz="18" w:space="0" w:color="auto"/>
              <w:right w:val="single" w:sz="4" w:space="0" w:color="000000"/>
            </w:tcBorders>
            <w:shd w:val="clear" w:color="000000" w:fill="FFFFFF"/>
            <w:vAlign w:val="center"/>
          </w:tcPr>
          <w:p w14:paraId="078AEBB0" w14:textId="30F34750"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Ability to charge at home</w:t>
            </w:r>
          </w:p>
        </w:tc>
        <w:tc>
          <w:tcPr>
            <w:tcW w:w="1260" w:type="dxa"/>
            <w:gridSpan w:val="2"/>
            <w:tcBorders>
              <w:top w:val="single" w:sz="18" w:space="0" w:color="auto"/>
              <w:left w:val="nil"/>
              <w:bottom w:val="single" w:sz="18" w:space="0" w:color="auto"/>
              <w:right w:val="single" w:sz="18" w:space="0" w:color="auto"/>
            </w:tcBorders>
            <w:shd w:val="clear" w:color="000000" w:fill="FFFFFF"/>
            <w:vAlign w:val="center"/>
          </w:tcPr>
          <w:p w14:paraId="7780679F" w14:textId="61A4B14F" w:rsidR="00DB1E4D" w:rsidRPr="00D309F4" w:rsidRDefault="00DB1E4D"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Concerns about climate change</w:t>
            </w:r>
          </w:p>
        </w:tc>
      </w:tr>
      <w:tr w:rsidR="00E837CC" w:rsidRPr="00D309F4" w14:paraId="448DBFC1" w14:textId="77777777" w:rsidTr="00A66E92">
        <w:trPr>
          <w:cantSplit/>
          <w:trHeight w:val="144"/>
          <w:tblHeader/>
          <w:jc w:val="center"/>
        </w:trPr>
        <w:tc>
          <w:tcPr>
            <w:tcW w:w="3577" w:type="dxa"/>
            <w:vMerge/>
            <w:tcBorders>
              <w:top w:val="single" w:sz="18" w:space="0" w:color="auto"/>
              <w:left w:val="single" w:sz="18" w:space="0" w:color="auto"/>
              <w:bottom w:val="single" w:sz="18" w:space="0" w:color="auto"/>
              <w:right w:val="single" w:sz="18" w:space="0" w:color="auto"/>
            </w:tcBorders>
            <w:vAlign w:val="center"/>
            <w:hideMark/>
          </w:tcPr>
          <w:p w14:paraId="728E0BE1" w14:textId="77777777" w:rsidR="002103BB" w:rsidRPr="00D309F4" w:rsidRDefault="002103BB" w:rsidP="002103BB">
            <w:pPr>
              <w:spacing w:after="0" w:line="240" w:lineRule="auto"/>
              <w:rPr>
                <w:rFonts w:eastAsia="Times New Roman" w:cs="Times New Roman"/>
                <w:kern w:val="0"/>
                <w:sz w:val="20"/>
                <w:szCs w:val="20"/>
                <w14:ligatures w14:val="none"/>
              </w:rPr>
            </w:pPr>
          </w:p>
        </w:tc>
        <w:tc>
          <w:tcPr>
            <w:tcW w:w="564" w:type="dxa"/>
            <w:tcBorders>
              <w:top w:val="single" w:sz="18" w:space="0" w:color="auto"/>
              <w:left w:val="single" w:sz="18" w:space="0" w:color="auto"/>
              <w:bottom w:val="single" w:sz="18" w:space="0" w:color="auto"/>
              <w:right w:val="nil"/>
            </w:tcBorders>
            <w:shd w:val="clear" w:color="000000" w:fill="FFFFFF"/>
            <w:noWrap/>
            <w:vAlign w:val="center"/>
            <w:hideMark/>
          </w:tcPr>
          <w:p w14:paraId="4E6AB717"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93" w:type="dxa"/>
            <w:tcBorders>
              <w:top w:val="single" w:sz="18" w:space="0" w:color="auto"/>
              <w:left w:val="nil"/>
              <w:bottom w:val="single" w:sz="18" w:space="0" w:color="auto"/>
              <w:right w:val="single" w:sz="18" w:space="0" w:color="auto"/>
            </w:tcBorders>
            <w:shd w:val="clear" w:color="000000" w:fill="FFFFFF"/>
            <w:noWrap/>
            <w:vAlign w:val="center"/>
            <w:hideMark/>
          </w:tcPr>
          <w:p w14:paraId="6EFECD09"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2" w:type="dxa"/>
            <w:tcBorders>
              <w:top w:val="single" w:sz="18" w:space="0" w:color="auto"/>
              <w:left w:val="single" w:sz="18" w:space="0" w:color="auto"/>
              <w:bottom w:val="single" w:sz="18" w:space="0" w:color="auto"/>
              <w:right w:val="nil"/>
            </w:tcBorders>
            <w:shd w:val="clear" w:color="000000" w:fill="FFFFFF"/>
            <w:noWrap/>
            <w:vAlign w:val="center"/>
            <w:hideMark/>
          </w:tcPr>
          <w:p w14:paraId="400CD0C0"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38" w:type="dxa"/>
            <w:tcBorders>
              <w:top w:val="single" w:sz="18" w:space="0" w:color="auto"/>
              <w:left w:val="nil"/>
              <w:bottom w:val="single" w:sz="18" w:space="0" w:color="auto"/>
              <w:right w:val="single" w:sz="4" w:space="0" w:color="auto"/>
            </w:tcBorders>
            <w:shd w:val="clear" w:color="000000" w:fill="FFFFFF"/>
            <w:noWrap/>
            <w:vAlign w:val="center"/>
            <w:hideMark/>
          </w:tcPr>
          <w:p w14:paraId="46B1209A"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1" w:type="dxa"/>
            <w:tcBorders>
              <w:top w:val="single" w:sz="18" w:space="0" w:color="auto"/>
              <w:left w:val="nil"/>
              <w:bottom w:val="single" w:sz="18" w:space="0" w:color="auto"/>
              <w:right w:val="nil"/>
            </w:tcBorders>
            <w:shd w:val="clear" w:color="000000" w:fill="FFFFFF"/>
            <w:vAlign w:val="center"/>
          </w:tcPr>
          <w:p w14:paraId="14A1AF9A" w14:textId="57A50A6A"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631" w:type="dxa"/>
            <w:tcBorders>
              <w:top w:val="single" w:sz="18" w:space="0" w:color="auto"/>
              <w:left w:val="nil"/>
              <w:bottom w:val="single" w:sz="18" w:space="0" w:color="auto"/>
              <w:right w:val="single" w:sz="4" w:space="0" w:color="auto"/>
            </w:tcBorders>
            <w:shd w:val="clear" w:color="000000" w:fill="FFFFFF"/>
            <w:vAlign w:val="center"/>
          </w:tcPr>
          <w:p w14:paraId="6185AD97" w14:textId="718D7486"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720" w:type="dxa"/>
            <w:tcBorders>
              <w:top w:val="single" w:sz="18" w:space="0" w:color="auto"/>
              <w:left w:val="single" w:sz="4" w:space="0" w:color="auto"/>
              <w:bottom w:val="single" w:sz="18" w:space="0" w:color="auto"/>
              <w:right w:val="nil"/>
            </w:tcBorders>
            <w:shd w:val="clear" w:color="000000" w:fill="FFFFFF"/>
            <w:noWrap/>
            <w:vAlign w:val="center"/>
            <w:hideMark/>
          </w:tcPr>
          <w:p w14:paraId="143C9F65" w14:textId="0AEA81E4"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4" w:space="0" w:color="auto"/>
            </w:tcBorders>
            <w:shd w:val="clear" w:color="000000" w:fill="FFFFFF"/>
            <w:noWrap/>
            <w:vAlign w:val="center"/>
            <w:hideMark/>
          </w:tcPr>
          <w:p w14:paraId="74BBAB4C"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540" w:type="dxa"/>
            <w:tcBorders>
              <w:top w:val="single" w:sz="18" w:space="0" w:color="auto"/>
              <w:left w:val="nil"/>
              <w:bottom w:val="single" w:sz="18" w:space="0" w:color="auto"/>
              <w:right w:val="nil"/>
            </w:tcBorders>
            <w:shd w:val="clear" w:color="000000" w:fill="FFFFFF"/>
            <w:noWrap/>
            <w:vAlign w:val="center"/>
            <w:hideMark/>
          </w:tcPr>
          <w:p w14:paraId="5EA778FF"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630" w:type="dxa"/>
            <w:tcBorders>
              <w:top w:val="single" w:sz="18" w:space="0" w:color="auto"/>
              <w:left w:val="nil"/>
              <w:bottom w:val="single" w:sz="18" w:space="0" w:color="auto"/>
              <w:right w:val="single" w:sz="4" w:space="0" w:color="auto"/>
            </w:tcBorders>
            <w:shd w:val="clear" w:color="000000" w:fill="FFFFFF"/>
            <w:noWrap/>
            <w:vAlign w:val="center"/>
            <w:hideMark/>
          </w:tcPr>
          <w:p w14:paraId="59D9A82D"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540" w:type="dxa"/>
            <w:tcBorders>
              <w:top w:val="single" w:sz="18" w:space="0" w:color="auto"/>
              <w:left w:val="nil"/>
              <w:bottom w:val="single" w:sz="18" w:space="0" w:color="auto"/>
              <w:right w:val="nil"/>
            </w:tcBorders>
            <w:shd w:val="clear" w:color="000000" w:fill="FFFFFF"/>
            <w:noWrap/>
            <w:vAlign w:val="center"/>
            <w:hideMark/>
          </w:tcPr>
          <w:p w14:paraId="0E15A283"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4" w:space="0" w:color="auto"/>
            </w:tcBorders>
            <w:shd w:val="clear" w:color="000000" w:fill="FFFFFF"/>
            <w:noWrap/>
            <w:vAlign w:val="center"/>
            <w:hideMark/>
          </w:tcPr>
          <w:p w14:paraId="6F083F19"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0" w:type="dxa"/>
            <w:tcBorders>
              <w:top w:val="single" w:sz="18" w:space="0" w:color="auto"/>
              <w:left w:val="nil"/>
              <w:bottom w:val="single" w:sz="18" w:space="0" w:color="auto"/>
              <w:right w:val="nil"/>
            </w:tcBorders>
            <w:shd w:val="clear" w:color="000000" w:fill="FFFFFF"/>
            <w:noWrap/>
            <w:vAlign w:val="center"/>
            <w:hideMark/>
          </w:tcPr>
          <w:p w14:paraId="2A69952C"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630" w:type="dxa"/>
            <w:tcBorders>
              <w:top w:val="single" w:sz="18" w:space="0" w:color="auto"/>
              <w:left w:val="nil"/>
              <w:bottom w:val="single" w:sz="18" w:space="0" w:color="auto"/>
              <w:right w:val="single" w:sz="4" w:space="0" w:color="auto"/>
            </w:tcBorders>
            <w:shd w:val="clear" w:color="000000" w:fill="FFFFFF"/>
            <w:noWrap/>
            <w:vAlign w:val="center"/>
            <w:hideMark/>
          </w:tcPr>
          <w:p w14:paraId="2F8C92D3"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0" w:type="dxa"/>
            <w:tcBorders>
              <w:top w:val="single" w:sz="18" w:space="0" w:color="auto"/>
              <w:left w:val="nil"/>
              <w:bottom w:val="single" w:sz="18" w:space="0" w:color="auto"/>
              <w:right w:val="nil"/>
            </w:tcBorders>
            <w:shd w:val="clear" w:color="000000" w:fill="FFFFFF"/>
            <w:noWrap/>
            <w:vAlign w:val="center"/>
            <w:hideMark/>
          </w:tcPr>
          <w:p w14:paraId="3EE97A53"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4" w:space="0" w:color="auto"/>
            </w:tcBorders>
            <w:shd w:val="clear" w:color="000000" w:fill="FFFFFF"/>
            <w:noWrap/>
            <w:vAlign w:val="center"/>
            <w:hideMark/>
          </w:tcPr>
          <w:p w14:paraId="1E069B8B"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720" w:type="dxa"/>
            <w:tcBorders>
              <w:top w:val="single" w:sz="18" w:space="0" w:color="auto"/>
              <w:left w:val="nil"/>
              <w:bottom w:val="single" w:sz="18" w:space="0" w:color="auto"/>
              <w:right w:val="nil"/>
            </w:tcBorders>
            <w:shd w:val="clear" w:color="000000" w:fill="FFFFFF"/>
            <w:noWrap/>
            <w:vAlign w:val="center"/>
            <w:hideMark/>
          </w:tcPr>
          <w:p w14:paraId="7E89F1B8"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18" w:space="0" w:color="auto"/>
            </w:tcBorders>
            <w:shd w:val="clear" w:color="000000" w:fill="FFFFFF"/>
            <w:noWrap/>
            <w:vAlign w:val="center"/>
            <w:hideMark/>
          </w:tcPr>
          <w:p w14:paraId="0D0B11F7" w14:textId="77777777" w:rsidR="002103BB" w:rsidRPr="00D309F4" w:rsidRDefault="002103BB" w:rsidP="002103BB">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r>
      <w:tr w:rsidR="00E837CC" w:rsidRPr="00D309F4" w14:paraId="33BA3CAD" w14:textId="77777777" w:rsidTr="00A66E92">
        <w:trPr>
          <w:trHeight w:val="144"/>
          <w:jc w:val="center"/>
        </w:trPr>
        <w:tc>
          <w:tcPr>
            <w:tcW w:w="3577" w:type="dxa"/>
            <w:tcBorders>
              <w:top w:val="single" w:sz="18" w:space="0" w:color="auto"/>
              <w:left w:val="single" w:sz="18" w:space="0" w:color="auto"/>
              <w:bottom w:val="single" w:sz="18" w:space="0" w:color="auto"/>
              <w:right w:val="single" w:sz="18" w:space="0" w:color="auto"/>
            </w:tcBorders>
            <w:shd w:val="clear" w:color="000000" w:fill="FFFFFF"/>
            <w:noWrap/>
            <w:vAlign w:val="center"/>
            <w:hideMark/>
          </w:tcPr>
          <w:p w14:paraId="0D023325" w14:textId="77777777" w:rsidR="00DE6462" w:rsidRPr="00D309F4" w:rsidRDefault="00DE6462" w:rsidP="00DE6462">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Constant</w:t>
            </w:r>
          </w:p>
        </w:tc>
        <w:tc>
          <w:tcPr>
            <w:tcW w:w="564" w:type="dxa"/>
            <w:tcBorders>
              <w:top w:val="single" w:sz="18" w:space="0" w:color="auto"/>
              <w:left w:val="single" w:sz="18" w:space="0" w:color="auto"/>
              <w:bottom w:val="single" w:sz="18" w:space="0" w:color="auto"/>
              <w:right w:val="nil"/>
            </w:tcBorders>
            <w:shd w:val="clear" w:color="000000" w:fill="FFFFFF"/>
            <w:noWrap/>
            <w:vAlign w:val="bottom"/>
            <w:hideMark/>
          </w:tcPr>
          <w:p w14:paraId="2870D8BA" w14:textId="339774E9"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-1.80</w:t>
            </w:r>
          </w:p>
        </w:tc>
        <w:tc>
          <w:tcPr>
            <w:tcW w:w="593" w:type="dxa"/>
            <w:tcBorders>
              <w:top w:val="single" w:sz="18" w:space="0" w:color="auto"/>
              <w:left w:val="nil"/>
              <w:bottom w:val="single" w:sz="18" w:space="0" w:color="auto"/>
              <w:right w:val="single" w:sz="18" w:space="0" w:color="auto"/>
            </w:tcBorders>
            <w:shd w:val="clear" w:color="000000" w:fill="FFFFFF"/>
            <w:noWrap/>
            <w:vAlign w:val="bottom"/>
            <w:hideMark/>
          </w:tcPr>
          <w:p w14:paraId="0C371996" w14:textId="546CD6F3"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-5.39</w:t>
            </w:r>
          </w:p>
        </w:tc>
        <w:tc>
          <w:tcPr>
            <w:tcW w:w="632" w:type="dxa"/>
            <w:tcBorders>
              <w:top w:val="single" w:sz="18" w:space="0" w:color="auto"/>
              <w:left w:val="single" w:sz="18" w:space="0" w:color="auto"/>
              <w:bottom w:val="single" w:sz="18" w:space="0" w:color="auto"/>
              <w:right w:val="nil"/>
            </w:tcBorders>
            <w:shd w:val="clear" w:color="000000" w:fill="FFFFFF"/>
            <w:noWrap/>
            <w:vAlign w:val="center"/>
            <w:hideMark/>
          </w:tcPr>
          <w:p w14:paraId="38DD43F1" w14:textId="77777777"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single" w:sz="18" w:space="0" w:color="auto"/>
              <w:left w:val="nil"/>
              <w:bottom w:val="single" w:sz="18" w:space="0" w:color="auto"/>
              <w:right w:val="single" w:sz="4" w:space="0" w:color="auto"/>
            </w:tcBorders>
            <w:shd w:val="clear" w:color="000000" w:fill="FFFFFF"/>
            <w:noWrap/>
            <w:vAlign w:val="center"/>
            <w:hideMark/>
          </w:tcPr>
          <w:p w14:paraId="1B845416" w14:textId="77777777"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single" w:sz="18" w:space="0" w:color="auto"/>
              <w:left w:val="nil"/>
              <w:bottom w:val="single" w:sz="18" w:space="0" w:color="auto"/>
              <w:right w:val="nil"/>
            </w:tcBorders>
            <w:shd w:val="clear" w:color="000000" w:fill="FFFFFF"/>
            <w:vAlign w:val="bottom"/>
          </w:tcPr>
          <w:p w14:paraId="46443332" w14:textId="32A0910F" w:rsidR="00DE6462" w:rsidRPr="00D309F4" w:rsidRDefault="00DE6462" w:rsidP="00DE6462">
            <w:pPr>
              <w:tabs>
                <w:tab w:val="decimal" w:pos="140"/>
              </w:tabs>
              <w:spacing w:after="0" w:line="240" w:lineRule="auto"/>
              <w:jc w:val="center"/>
              <w:rPr>
                <w:rFonts w:cs="Times New Roman"/>
                <w:sz w:val="20"/>
                <w:szCs w:val="20"/>
              </w:rPr>
            </w:pPr>
            <w:r w:rsidRPr="00D309F4">
              <w:rPr>
                <w:rFonts w:cs="Times New Roman"/>
                <w:sz w:val="20"/>
                <w:szCs w:val="20"/>
              </w:rPr>
              <w:t>-3.08</w:t>
            </w:r>
          </w:p>
        </w:tc>
        <w:tc>
          <w:tcPr>
            <w:tcW w:w="631" w:type="dxa"/>
            <w:tcBorders>
              <w:top w:val="single" w:sz="18" w:space="0" w:color="auto"/>
              <w:left w:val="nil"/>
              <w:bottom w:val="single" w:sz="18" w:space="0" w:color="auto"/>
              <w:right w:val="single" w:sz="4" w:space="0" w:color="auto"/>
            </w:tcBorders>
            <w:shd w:val="clear" w:color="000000" w:fill="FFFFFF"/>
            <w:vAlign w:val="bottom"/>
          </w:tcPr>
          <w:p w14:paraId="30A4A6DA" w14:textId="27FE4FD5" w:rsidR="00DE6462" w:rsidRPr="00D309F4" w:rsidRDefault="00DE6462" w:rsidP="00DE6462">
            <w:pPr>
              <w:tabs>
                <w:tab w:val="decimal" w:pos="140"/>
              </w:tabs>
              <w:spacing w:after="0" w:line="240" w:lineRule="auto"/>
              <w:jc w:val="center"/>
              <w:rPr>
                <w:rFonts w:cs="Times New Roman"/>
                <w:sz w:val="20"/>
                <w:szCs w:val="20"/>
              </w:rPr>
            </w:pPr>
            <w:r w:rsidRPr="00D309F4">
              <w:rPr>
                <w:rFonts w:cs="Times New Roman"/>
                <w:sz w:val="20"/>
                <w:szCs w:val="20"/>
              </w:rPr>
              <w:t>-7.05</w:t>
            </w:r>
          </w:p>
        </w:tc>
        <w:tc>
          <w:tcPr>
            <w:tcW w:w="720" w:type="dxa"/>
            <w:tcBorders>
              <w:top w:val="single" w:sz="18" w:space="0" w:color="auto"/>
              <w:left w:val="single" w:sz="4" w:space="0" w:color="auto"/>
              <w:bottom w:val="single" w:sz="18" w:space="0" w:color="auto"/>
              <w:right w:val="nil"/>
            </w:tcBorders>
            <w:shd w:val="clear" w:color="000000" w:fill="FFFFFF"/>
            <w:noWrap/>
            <w:vAlign w:val="bottom"/>
            <w:hideMark/>
          </w:tcPr>
          <w:p w14:paraId="3E9A9A2C" w14:textId="58A93D54"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-0.47</w:t>
            </w:r>
          </w:p>
        </w:tc>
        <w:tc>
          <w:tcPr>
            <w:tcW w:w="540" w:type="dxa"/>
            <w:tcBorders>
              <w:top w:val="single" w:sz="18" w:space="0" w:color="auto"/>
              <w:left w:val="nil"/>
              <w:bottom w:val="single" w:sz="18" w:space="0" w:color="auto"/>
              <w:right w:val="single" w:sz="4" w:space="0" w:color="auto"/>
            </w:tcBorders>
            <w:shd w:val="clear" w:color="000000" w:fill="FFFFFF"/>
            <w:noWrap/>
            <w:vAlign w:val="bottom"/>
            <w:hideMark/>
          </w:tcPr>
          <w:p w14:paraId="4C195D14" w14:textId="4B4F7053"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-2.16</w:t>
            </w:r>
          </w:p>
        </w:tc>
        <w:tc>
          <w:tcPr>
            <w:tcW w:w="540" w:type="dxa"/>
            <w:tcBorders>
              <w:top w:val="single" w:sz="18" w:space="0" w:color="auto"/>
              <w:left w:val="nil"/>
              <w:bottom w:val="single" w:sz="18" w:space="0" w:color="auto"/>
              <w:right w:val="nil"/>
            </w:tcBorders>
            <w:shd w:val="clear" w:color="000000" w:fill="FFFFFF"/>
            <w:noWrap/>
            <w:vAlign w:val="bottom"/>
            <w:hideMark/>
          </w:tcPr>
          <w:p w14:paraId="0414B2F8" w14:textId="0DF937E9"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-1.52</w:t>
            </w:r>
          </w:p>
        </w:tc>
        <w:tc>
          <w:tcPr>
            <w:tcW w:w="630" w:type="dxa"/>
            <w:tcBorders>
              <w:top w:val="single" w:sz="18" w:space="0" w:color="auto"/>
              <w:left w:val="nil"/>
              <w:bottom w:val="single" w:sz="18" w:space="0" w:color="auto"/>
              <w:right w:val="single" w:sz="4" w:space="0" w:color="auto"/>
            </w:tcBorders>
            <w:shd w:val="clear" w:color="000000" w:fill="FFFFFF"/>
            <w:noWrap/>
            <w:vAlign w:val="bottom"/>
            <w:hideMark/>
          </w:tcPr>
          <w:p w14:paraId="29227A62" w14:textId="0D49BE3A"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-5.16</w:t>
            </w:r>
          </w:p>
        </w:tc>
        <w:tc>
          <w:tcPr>
            <w:tcW w:w="540" w:type="dxa"/>
            <w:tcBorders>
              <w:top w:val="single" w:sz="18" w:space="0" w:color="auto"/>
              <w:left w:val="nil"/>
              <w:bottom w:val="single" w:sz="18" w:space="0" w:color="auto"/>
              <w:right w:val="nil"/>
            </w:tcBorders>
            <w:shd w:val="clear" w:color="000000" w:fill="FFFFFF"/>
            <w:noWrap/>
            <w:vAlign w:val="bottom"/>
            <w:hideMark/>
          </w:tcPr>
          <w:p w14:paraId="2ABDD479" w14:textId="4460A6B3"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-1.99</w:t>
            </w:r>
          </w:p>
        </w:tc>
        <w:tc>
          <w:tcPr>
            <w:tcW w:w="540" w:type="dxa"/>
            <w:tcBorders>
              <w:top w:val="single" w:sz="18" w:space="0" w:color="auto"/>
              <w:left w:val="nil"/>
              <w:bottom w:val="single" w:sz="18" w:space="0" w:color="auto"/>
              <w:right w:val="single" w:sz="4" w:space="0" w:color="auto"/>
            </w:tcBorders>
            <w:shd w:val="clear" w:color="000000" w:fill="FFFFFF"/>
            <w:noWrap/>
            <w:vAlign w:val="bottom"/>
            <w:hideMark/>
          </w:tcPr>
          <w:p w14:paraId="4F8CFBC0" w14:textId="0CCEE001"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-7.0</w:t>
            </w:r>
            <w:r w:rsidR="00FD1624" w:rsidRPr="00D309F4">
              <w:rPr>
                <w:rFonts w:cs="Times New Roman"/>
                <w:sz w:val="20"/>
                <w:szCs w:val="20"/>
              </w:rPr>
              <w:t>9</w:t>
            </w:r>
          </w:p>
        </w:tc>
        <w:tc>
          <w:tcPr>
            <w:tcW w:w="630" w:type="dxa"/>
            <w:tcBorders>
              <w:top w:val="single" w:sz="18" w:space="0" w:color="auto"/>
              <w:left w:val="nil"/>
              <w:bottom w:val="single" w:sz="18" w:space="0" w:color="auto"/>
              <w:right w:val="nil"/>
            </w:tcBorders>
            <w:shd w:val="clear" w:color="000000" w:fill="FFFFFF"/>
            <w:noWrap/>
            <w:vAlign w:val="bottom"/>
            <w:hideMark/>
          </w:tcPr>
          <w:p w14:paraId="6EA2CDC3" w14:textId="10C4E7CD"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-2.26</w:t>
            </w:r>
          </w:p>
        </w:tc>
        <w:tc>
          <w:tcPr>
            <w:tcW w:w="630" w:type="dxa"/>
            <w:tcBorders>
              <w:top w:val="single" w:sz="18" w:space="0" w:color="auto"/>
              <w:left w:val="nil"/>
              <w:bottom w:val="single" w:sz="18" w:space="0" w:color="auto"/>
              <w:right w:val="single" w:sz="4" w:space="0" w:color="auto"/>
            </w:tcBorders>
            <w:shd w:val="clear" w:color="000000" w:fill="FFFFFF"/>
            <w:noWrap/>
            <w:vAlign w:val="bottom"/>
            <w:hideMark/>
          </w:tcPr>
          <w:p w14:paraId="76BCA9F2" w14:textId="4F452B35"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-5.04</w:t>
            </w:r>
          </w:p>
        </w:tc>
        <w:tc>
          <w:tcPr>
            <w:tcW w:w="630" w:type="dxa"/>
            <w:tcBorders>
              <w:top w:val="single" w:sz="18" w:space="0" w:color="auto"/>
              <w:left w:val="nil"/>
              <w:bottom w:val="single" w:sz="18" w:space="0" w:color="auto"/>
              <w:right w:val="nil"/>
            </w:tcBorders>
            <w:shd w:val="clear" w:color="000000" w:fill="FFFFFF"/>
            <w:noWrap/>
            <w:vAlign w:val="bottom"/>
            <w:hideMark/>
          </w:tcPr>
          <w:p w14:paraId="3ED0AFB6" w14:textId="69527D76"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-0.81</w:t>
            </w:r>
          </w:p>
        </w:tc>
        <w:tc>
          <w:tcPr>
            <w:tcW w:w="540" w:type="dxa"/>
            <w:tcBorders>
              <w:top w:val="single" w:sz="18" w:space="0" w:color="auto"/>
              <w:left w:val="nil"/>
              <w:bottom w:val="single" w:sz="18" w:space="0" w:color="auto"/>
              <w:right w:val="single" w:sz="4" w:space="0" w:color="auto"/>
            </w:tcBorders>
            <w:shd w:val="clear" w:color="000000" w:fill="FFFFFF"/>
            <w:noWrap/>
            <w:vAlign w:val="bottom"/>
            <w:hideMark/>
          </w:tcPr>
          <w:p w14:paraId="66F1AA43" w14:textId="5973B34D"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-2.70</w:t>
            </w:r>
          </w:p>
        </w:tc>
        <w:tc>
          <w:tcPr>
            <w:tcW w:w="720" w:type="dxa"/>
            <w:tcBorders>
              <w:top w:val="single" w:sz="18" w:space="0" w:color="auto"/>
              <w:left w:val="nil"/>
              <w:bottom w:val="single" w:sz="18" w:space="0" w:color="auto"/>
              <w:right w:val="nil"/>
            </w:tcBorders>
            <w:shd w:val="clear" w:color="000000" w:fill="FFFFFF"/>
            <w:noWrap/>
            <w:vAlign w:val="bottom"/>
            <w:hideMark/>
          </w:tcPr>
          <w:p w14:paraId="601DC1AD" w14:textId="4A084D93"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-1.65</w:t>
            </w:r>
          </w:p>
        </w:tc>
        <w:tc>
          <w:tcPr>
            <w:tcW w:w="540" w:type="dxa"/>
            <w:tcBorders>
              <w:top w:val="single" w:sz="18" w:space="0" w:color="auto"/>
              <w:left w:val="nil"/>
              <w:bottom w:val="single" w:sz="18" w:space="0" w:color="auto"/>
              <w:right w:val="single" w:sz="18" w:space="0" w:color="auto"/>
            </w:tcBorders>
            <w:shd w:val="clear" w:color="000000" w:fill="FFFFFF"/>
            <w:noWrap/>
            <w:vAlign w:val="bottom"/>
            <w:hideMark/>
          </w:tcPr>
          <w:p w14:paraId="709BF4EB" w14:textId="57041F86" w:rsidR="00DE6462" w:rsidRPr="00D309F4" w:rsidRDefault="00DE6462" w:rsidP="00DE6462">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-2.28</w:t>
            </w:r>
          </w:p>
        </w:tc>
      </w:tr>
      <w:tr w:rsidR="00E837CC" w:rsidRPr="00D309F4" w14:paraId="5F2B9A51" w14:textId="77777777" w:rsidTr="00A66E92">
        <w:trPr>
          <w:trHeight w:val="144"/>
          <w:jc w:val="center"/>
        </w:trPr>
        <w:tc>
          <w:tcPr>
            <w:tcW w:w="3577" w:type="dxa"/>
            <w:tcBorders>
              <w:top w:val="single" w:sz="18" w:space="0" w:color="auto"/>
              <w:left w:val="single" w:sz="18" w:space="0" w:color="auto"/>
              <w:right w:val="single" w:sz="18" w:space="0" w:color="auto"/>
            </w:tcBorders>
            <w:shd w:val="clear" w:color="000000" w:fill="FFFFFF"/>
            <w:noWrap/>
            <w:vAlign w:val="center"/>
          </w:tcPr>
          <w:p w14:paraId="4622BB9F" w14:textId="3F7F6C2E" w:rsidR="0074417E" w:rsidRPr="00D309F4" w:rsidRDefault="0074417E" w:rsidP="002103BB">
            <w:pPr>
              <w:spacing w:after="0" w:line="240" w:lineRule="auto"/>
              <w:rPr>
                <w:rFonts w:eastAsia="Times New Roman" w:cs="Times New Roman"/>
                <w:b/>
                <w:bCs/>
                <w:i/>
                <w:iCs/>
                <w:kern w:val="0"/>
                <w:sz w:val="20"/>
                <w:szCs w:val="20"/>
                <w14:ligatures w14:val="none"/>
              </w:rPr>
            </w:pPr>
            <w:r w:rsidRPr="00D309F4">
              <w:rPr>
                <w:rFonts w:eastAsia="Times New Roman" w:cs="Times New Roman"/>
                <w:b/>
                <w:bCs/>
                <w:i/>
                <w:iCs/>
                <w:kern w:val="0"/>
                <w:sz w:val="20"/>
                <w:szCs w:val="20"/>
                <w14:ligatures w14:val="none"/>
              </w:rPr>
              <w:t>Latent Constructs</w:t>
            </w:r>
            <w:r w:rsidR="00BA1AAA" w:rsidRPr="00D309F4">
              <w:rPr>
                <w:rFonts w:eastAsia="Times New Roman" w:cs="Times New Roman"/>
                <w:b/>
                <w:bCs/>
                <w:i/>
                <w:iCs/>
                <w:kern w:val="0"/>
                <w:sz w:val="20"/>
                <w:szCs w:val="20"/>
                <w14:ligatures w14:val="none"/>
              </w:rPr>
              <w:t xml:space="preserve"> and Interactions</w:t>
            </w:r>
          </w:p>
        </w:tc>
        <w:tc>
          <w:tcPr>
            <w:tcW w:w="564" w:type="dxa"/>
            <w:tcBorders>
              <w:top w:val="single" w:sz="18" w:space="0" w:color="auto"/>
              <w:left w:val="single" w:sz="18" w:space="0" w:color="auto"/>
              <w:right w:val="nil"/>
            </w:tcBorders>
            <w:shd w:val="clear" w:color="000000" w:fill="FFFFFF"/>
            <w:noWrap/>
            <w:vAlign w:val="center"/>
          </w:tcPr>
          <w:p w14:paraId="3D848D2A" w14:textId="77777777" w:rsidR="0074417E" w:rsidRPr="00D309F4" w:rsidRDefault="0074417E" w:rsidP="002103BB">
            <w:pPr>
              <w:tabs>
                <w:tab w:val="decimal" w:pos="140"/>
              </w:tabs>
              <w:spacing w:after="0" w:line="240" w:lineRule="auto"/>
              <w:jc w:val="center"/>
              <w:rPr>
                <w:rFonts w:cs="Times New Roman"/>
                <w:sz w:val="20"/>
                <w:szCs w:val="20"/>
              </w:rPr>
            </w:pPr>
          </w:p>
        </w:tc>
        <w:tc>
          <w:tcPr>
            <w:tcW w:w="593" w:type="dxa"/>
            <w:tcBorders>
              <w:top w:val="single" w:sz="18" w:space="0" w:color="auto"/>
              <w:left w:val="nil"/>
              <w:right w:val="single" w:sz="18" w:space="0" w:color="auto"/>
            </w:tcBorders>
            <w:shd w:val="clear" w:color="000000" w:fill="FFFFFF"/>
            <w:noWrap/>
            <w:vAlign w:val="center"/>
          </w:tcPr>
          <w:p w14:paraId="21286C43" w14:textId="77777777" w:rsidR="0074417E" w:rsidRPr="00D309F4" w:rsidRDefault="0074417E" w:rsidP="002103BB">
            <w:pPr>
              <w:tabs>
                <w:tab w:val="decimal" w:pos="140"/>
              </w:tabs>
              <w:spacing w:after="0" w:line="240" w:lineRule="auto"/>
              <w:jc w:val="center"/>
              <w:rPr>
                <w:rFonts w:cs="Times New Roman"/>
                <w:sz w:val="20"/>
                <w:szCs w:val="20"/>
              </w:rPr>
            </w:pPr>
          </w:p>
        </w:tc>
        <w:tc>
          <w:tcPr>
            <w:tcW w:w="632" w:type="dxa"/>
            <w:tcBorders>
              <w:top w:val="single" w:sz="18" w:space="0" w:color="auto"/>
              <w:left w:val="single" w:sz="18" w:space="0" w:color="auto"/>
              <w:right w:val="nil"/>
            </w:tcBorders>
            <w:shd w:val="clear" w:color="000000" w:fill="FFFFFF"/>
            <w:noWrap/>
            <w:vAlign w:val="center"/>
          </w:tcPr>
          <w:p w14:paraId="26CDFE50" w14:textId="77777777" w:rsidR="0074417E" w:rsidRPr="00D309F4" w:rsidRDefault="0074417E" w:rsidP="002103BB">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single" w:sz="18" w:space="0" w:color="auto"/>
              <w:left w:val="nil"/>
              <w:right w:val="single" w:sz="4" w:space="0" w:color="auto"/>
            </w:tcBorders>
            <w:shd w:val="clear" w:color="000000" w:fill="FFFFFF"/>
            <w:noWrap/>
            <w:vAlign w:val="center"/>
          </w:tcPr>
          <w:p w14:paraId="47A210D7" w14:textId="77777777" w:rsidR="0074417E" w:rsidRPr="00D309F4" w:rsidRDefault="0074417E" w:rsidP="002103BB">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single" w:sz="18" w:space="0" w:color="auto"/>
              <w:left w:val="nil"/>
              <w:right w:val="nil"/>
            </w:tcBorders>
            <w:shd w:val="clear" w:color="000000" w:fill="FFFFFF"/>
            <w:vAlign w:val="center"/>
          </w:tcPr>
          <w:p w14:paraId="2F6CD06A" w14:textId="77777777" w:rsidR="0074417E" w:rsidRPr="00D309F4" w:rsidRDefault="0074417E" w:rsidP="002103BB">
            <w:pPr>
              <w:tabs>
                <w:tab w:val="decimal" w:pos="140"/>
              </w:tabs>
              <w:spacing w:after="0" w:line="240" w:lineRule="auto"/>
              <w:jc w:val="center"/>
              <w:rPr>
                <w:rFonts w:cs="Times New Roman"/>
                <w:sz w:val="20"/>
                <w:szCs w:val="20"/>
              </w:rPr>
            </w:pPr>
          </w:p>
        </w:tc>
        <w:tc>
          <w:tcPr>
            <w:tcW w:w="631" w:type="dxa"/>
            <w:tcBorders>
              <w:top w:val="single" w:sz="18" w:space="0" w:color="auto"/>
              <w:left w:val="nil"/>
              <w:right w:val="single" w:sz="4" w:space="0" w:color="auto"/>
            </w:tcBorders>
            <w:shd w:val="clear" w:color="000000" w:fill="FFFFFF"/>
            <w:vAlign w:val="center"/>
          </w:tcPr>
          <w:p w14:paraId="7C8430D8" w14:textId="77777777" w:rsidR="0074417E" w:rsidRPr="00D309F4" w:rsidRDefault="0074417E" w:rsidP="002103BB">
            <w:pPr>
              <w:tabs>
                <w:tab w:val="decimal" w:pos="140"/>
              </w:tabs>
              <w:spacing w:after="0" w:line="240" w:lineRule="auto"/>
              <w:jc w:val="center"/>
              <w:rPr>
                <w:rFonts w:cs="Times New Roman"/>
                <w:sz w:val="20"/>
                <w:szCs w:val="20"/>
              </w:rPr>
            </w:pPr>
          </w:p>
        </w:tc>
        <w:tc>
          <w:tcPr>
            <w:tcW w:w="720" w:type="dxa"/>
            <w:tcBorders>
              <w:top w:val="single" w:sz="18" w:space="0" w:color="auto"/>
              <w:left w:val="single" w:sz="4" w:space="0" w:color="auto"/>
              <w:right w:val="nil"/>
            </w:tcBorders>
            <w:shd w:val="clear" w:color="000000" w:fill="FFFFFF"/>
            <w:noWrap/>
            <w:vAlign w:val="center"/>
          </w:tcPr>
          <w:p w14:paraId="7652D377" w14:textId="77777777" w:rsidR="0074417E" w:rsidRPr="00D309F4" w:rsidRDefault="0074417E" w:rsidP="002103BB">
            <w:pPr>
              <w:tabs>
                <w:tab w:val="decimal" w:pos="140"/>
              </w:tabs>
              <w:spacing w:after="0" w:line="240" w:lineRule="auto"/>
              <w:jc w:val="center"/>
              <w:rPr>
                <w:rFonts w:cs="Times New Roman"/>
                <w:sz w:val="20"/>
                <w:szCs w:val="20"/>
              </w:rPr>
            </w:pPr>
          </w:p>
        </w:tc>
        <w:tc>
          <w:tcPr>
            <w:tcW w:w="540" w:type="dxa"/>
            <w:tcBorders>
              <w:top w:val="single" w:sz="18" w:space="0" w:color="auto"/>
              <w:left w:val="nil"/>
              <w:right w:val="single" w:sz="4" w:space="0" w:color="auto"/>
            </w:tcBorders>
            <w:shd w:val="clear" w:color="000000" w:fill="FFFFFF"/>
            <w:noWrap/>
            <w:vAlign w:val="center"/>
          </w:tcPr>
          <w:p w14:paraId="628765F4" w14:textId="77777777" w:rsidR="0074417E" w:rsidRPr="00D309F4" w:rsidRDefault="0074417E" w:rsidP="002103BB">
            <w:pPr>
              <w:tabs>
                <w:tab w:val="decimal" w:pos="140"/>
              </w:tabs>
              <w:spacing w:after="0" w:line="240" w:lineRule="auto"/>
              <w:jc w:val="center"/>
              <w:rPr>
                <w:rFonts w:cs="Times New Roman"/>
                <w:sz w:val="20"/>
                <w:szCs w:val="20"/>
              </w:rPr>
            </w:pPr>
          </w:p>
        </w:tc>
        <w:tc>
          <w:tcPr>
            <w:tcW w:w="540" w:type="dxa"/>
            <w:tcBorders>
              <w:top w:val="single" w:sz="18" w:space="0" w:color="auto"/>
              <w:left w:val="nil"/>
              <w:right w:val="nil"/>
            </w:tcBorders>
            <w:shd w:val="clear" w:color="000000" w:fill="FFFFFF"/>
            <w:noWrap/>
            <w:vAlign w:val="center"/>
          </w:tcPr>
          <w:p w14:paraId="7F5F26DD" w14:textId="77777777" w:rsidR="0074417E" w:rsidRPr="00D309F4" w:rsidRDefault="0074417E" w:rsidP="002103BB">
            <w:pPr>
              <w:tabs>
                <w:tab w:val="decimal" w:pos="140"/>
              </w:tabs>
              <w:spacing w:after="0" w:line="240" w:lineRule="auto"/>
              <w:jc w:val="center"/>
              <w:rPr>
                <w:rFonts w:cs="Times New Roman"/>
                <w:sz w:val="20"/>
                <w:szCs w:val="20"/>
              </w:rPr>
            </w:pPr>
          </w:p>
        </w:tc>
        <w:tc>
          <w:tcPr>
            <w:tcW w:w="630" w:type="dxa"/>
            <w:tcBorders>
              <w:top w:val="single" w:sz="18" w:space="0" w:color="auto"/>
              <w:left w:val="nil"/>
              <w:right w:val="single" w:sz="4" w:space="0" w:color="auto"/>
            </w:tcBorders>
            <w:shd w:val="clear" w:color="000000" w:fill="FFFFFF"/>
            <w:noWrap/>
            <w:vAlign w:val="center"/>
          </w:tcPr>
          <w:p w14:paraId="0062FBB4" w14:textId="77777777" w:rsidR="0074417E" w:rsidRPr="00D309F4" w:rsidRDefault="0074417E" w:rsidP="002103BB">
            <w:pPr>
              <w:tabs>
                <w:tab w:val="decimal" w:pos="140"/>
              </w:tabs>
              <w:spacing w:after="0" w:line="240" w:lineRule="auto"/>
              <w:jc w:val="center"/>
              <w:rPr>
                <w:rFonts w:cs="Times New Roman"/>
                <w:sz w:val="20"/>
                <w:szCs w:val="20"/>
              </w:rPr>
            </w:pPr>
          </w:p>
        </w:tc>
        <w:tc>
          <w:tcPr>
            <w:tcW w:w="540" w:type="dxa"/>
            <w:tcBorders>
              <w:top w:val="single" w:sz="18" w:space="0" w:color="auto"/>
              <w:left w:val="nil"/>
              <w:right w:val="nil"/>
            </w:tcBorders>
            <w:shd w:val="clear" w:color="000000" w:fill="FFFFFF"/>
            <w:noWrap/>
            <w:vAlign w:val="center"/>
          </w:tcPr>
          <w:p w14:paraId="705ECEFA" w14:textId="77777777" w:rsidR="0074417E" w:rsidRPr="00D309F4" w:rsidRDefault="0074417E" w:rsidP="002103BB">
            <w:pPr>
              <w:tabs>
                <w:tab w:val="decimal" w:pos="140"/>
              </w:tabs>
              <w:spacing w:after="0" w:line="240" w:lineRule="auto"/>
              <w:jc w:val="center"/>
              <w:rPr>
                <w:rFonts w:cs="Times New Roman"/>
                <w:sz w:val="20"/>
                <w:szCs w:val="20"/>
              </w:rPr>
            </w:pPr>
          </w:p>
        </w:tc>
        <w:tc>
          <w:tcPr>
            <w:tcW w:w="540" w:type="dxa"/>
            <w:tcBorders>
              <w:top w:val="single" w:sz="18" w:space="0" w:color="auto"/>
              <w:left w:val="nil"/>
              <w:right w:val="single" w:sz="4" w:space="0" w:color="auto"/>
            </w:tcBorders>
            <w:shd w:val="clear" w:color="000000" w:fill="FFFFFF"/>
            <w:noWrap/>
            <w:vAlign w:val="center"/>
          </w:tcPr>
          <w:p w14:paraId="00373B92" w14:textId="77777777" w:rsidR="0074417E" w:rsidRPr="00D309F4" w:rsidRDefault="0074417E" w:rsidP="002103BB">
            <w:pPr>
              <w:tabs>
                <w:tab w:val="decimal" w:pos="140"/>
              </w:tabs>
              <w:spacing w:after="0" w:line="240" w:lineRule="auto"/>
              <w:jc w:val="center"/>
              <w:rPr>
                <w:rFonts w:cs="Times New Roman"/>
                <w:sz w:val="20"/>
                <w:szCs w:val="20"/>
              </w:rPr>
            </w:pPr>
          </w:p>
        </w:tc>
        <w:tc>
          <w:tcPr>
            <w:tcW w:w="630" w:type="dxa"/>
            <w:tcBorders>
              <w:top w:val="single" w:sz="18" w:space="0" w:color="auto"/>
              <w:left w:val="nil"/>
              <w:right w:val="nil"/>
            </w:tcBorders>
            <w:shd w:val="clear" w:color="000000" w:fill="FFFFFF"/>
            <w:noWrap/>
            <w:vAlign w:val="center"/>
          </w:tcPr>
          <w:p w14:paraId="61F4FD5E" w14:textId="77777777" w:rsidR="0074417E" w:rsidRPr="00D309F4" w:rsidRDefault="0074417E" w:rsidP="002103BB">
            <w:pPr>
              <w:tabs>
                <w:tab w:val="decimal" w:pos="140"/>
              </w:tabs>
              <w:spacing w:after="0" w:line="240" w:lineRule="auto"/>
              <w:jc w:val="center"/>
              <w:rPr>
                <w:rFonts w:cs="Times New Roman"/>
                <w:sz w:val="20"/>
                <w:szCs w:val="20"/>
              </w:rPr>
            </w:pPr>
          </w:p>
        </w:tc>
        <w:tc>
          <w:tcPr>
            <w:tcW w:w="630" w:type="dxa"/>
            <w:tcBorders>
              <w:top w:val="single" w:sz="18" w:space="0" w:color="auto"/>
              <w:left w:val="nil"/>
              <w:right w:val="single" w:sz="4" w:space="0" w:color="auto"/>
            </w:tcBorders>
            <w:shd w:val="clear" w:color="000000" w:fill="FFFFFF"/>
            <w:noWrap/>
            <w:vAlign w:val="center"/>
          </w:tcPr>
          <w:p w14:paraId="0EA8FB3C" w14:textId="77777777" w:rsidR="0074417E" w:rsidRPr="00D309F4" w:rsidRDefault="0074417E" w:rsidP="002103BB">
            <w:pPr>
              <w:tabs>
                <w:tab w:val="decimal" w:pos="140"/>
              </w:tabs>
              <w:spacing w:after="0" w:line="240" w:lineRule="auto"/>
              <w:jc w:val="center"/>
              <w:rPr>
                <w:rFonts w:cs="Times New Roman"/>
                <w:sz w:val="20"/>
                <w:szCs w:val="20"/>
              </w:rPr>
            </w:pPr>
          </w:p>
        </w:tc>
        <w:tc>
          <w:tcPr>
            <w:tcW w:w="630" w:type="dxa"/>
            <w:tcBorders>
              <w:top w:val="single" w:sz="18" w:space="0" w:color="auto"/>
              <w:left w:val="nil"/>
              <w:right w:val="nil"/>
            </w:tcBorders>
            <w:shd w:val="clear" w:color="000000" w:fill="FFFFFF"/>
            <w:noWrap/>
            <w:vAlign w:val="center"/>
          </w:tcPr>
          <w:p w14:paraId="03BAE6DF" w14:textId="77777777" w:rsidR="0074417E" w:rsidRPr="00D309F4" w:rsidRDefault="0074417E" w:rsidP="002103BB">
            <w:pPr>
              <w:tabs>
                <w:tab w:val="decimal" w:pos="140"/>
              </w:tabs>
              <w:spacing w:after="0" w:line="240" w:lineRule="auto"/>
              <w:jc w:val="center"/>
              <w:rPr>
                <w:rFonts w:cs="Times New Roman"/>
                <w:sz w:val="20"/>
                <w:szCs w:val="20"/>
              </w:rPr>
            </w:pPr>
          </w:p>
        </w:tc>
        <w:tc>
          <w:tcPr>
            <w:tcW w:w="540" w:type="dxa"/>
            <w:tcBorders>
              <w:top w:val="single" w:sz="18" w:space="0" w:color="auto"/>
              <w:left w:val="nil"/>
              <w:right w:val="single" w:sz="4" w:space="0" w:color="auto"/>
            </w:tcBorders>
            <w:shd w:val="clear" w:color="000000" w:fill="FFFFFF"/>
            <w:noWrap/>
            <w:vAlign w:val="center"/>
          </w:tcPr>
          <w:p w14:paraId="3437A3B9" w14:textId="77777777" w:rsidR="0074417E" w:rsidRPr="00D309F4" w:rsidRDefault="0074417E" w:rsidP="002103BB">
            <w:pPr>
              <w:tabs>
                <w:tab w:val="decimal" w:pos="140"/>
              </w:tabs>
              <w:spacing w:after="0" w:line="240" w:lineRule="auto"/>
              <w:jc w:val="center"/>
              <w:rPr>
                <w:rFonts w:cs="Times New Roman"/>
                <w:sz w:val="20"/>
                <w:szCs w:val="20"/>
              </w:rPr>
            </w:pPr>
          </w:p>
        </w:tc>
        <w:tc>
          <w:tcPr>
            <w:tcW w:w="720" w:type="dxa"/>
            <w:tcBorders>
              <w:top w:val="single" w:sz="18" w:space="0" w:color="auto"/>
              <w:left w:val="nil"/>
              <w:right w:val="nil"/>
            </w:tcBorders>
            <w:shd w:val="clear" w:color="000000" w:fill="FFFFFF"/>
            <w:noWrap/>
            <w:vAlign w:val="center"/>
          </w:tcPr>
          <w:p w14:paraId="5590B836" w14:textId="77777777" w:rsidR="0074417E" w:rsidRPr="00D309F4" w:rsidRDefault="0074417E" w:rsidP="002103BB">
            <w:pPr>
              <w:tabs>
                <w:tab w:val="decimal" w:pos="140"/>
              </w:tabs>
              <w:spacing w:after="0" w:line="240" w:lineRule="auto"/>
              <w:jc w:val="center"/>
              <w:rPr>
                <w:rFonts w:cs="Times New Roman"/>
                <w:sz w:val="20"/>
                <w:szCs w:val="20"/>
              </w:rPr>
            </w:pPr>
          </w:p>
        </w:tc>
        <w:tc>
          <w:tcPr>
            <w:tcW w:w="540" w:type="dxa"/>
            <w:tcBorders>
              <w:top w:val="single" w:sz="18" w:space="0" w:color="auto"/>
              <w:left w:val="nil"/>
              <w:right w:val="single" w:sz="18" w:space="0" w:color="auto"/>
            </w:tcBorders>
            <w:shd w:val="clear" w:color="000000" w:fill="FFFFFF"/>
            <w:noWrap/>
            <w:vAlign w:val="center"/>
          </w:tcPr>
          <w:p w14:paraId="2BF7DED0" w14:textId="77777777" w:rsidR="0074417E" w:rsidRPr="00D309F4" w:rsidRDefault="0074417E" w:rsidP="002103BB">
            <w:pPr>
              <w:tabs>
                <w:tab w:val="decimal" w:pos="140"/>
              </w:tabs>
              <w:spacing w:after="0" w:line="240" w:lineRule="auto"/>
              <w:jc w:val="center"/>
              <w:rPr>
                <w:rFonts w:cs="Times New Roman"/>
                <w:sz w:val="20"/>
                <w:szCs w:val="20"/>
              </w:rPr>
            </w:pPr>
          </w:p>
        </w:tc>
      </w:tr>
      <w:tr w:rsidR="00E837CC" w:rsidRPr="00D309F4" w14:paraId="086297AE" w14:textId="77777777" w:rsidTr="00A66E92">
        <w:trPr>
          <w:trHeight w:val="144"/>
          <w:jc w:val="center"/>
        </w:trPr>
        <w:tc>
          <w:tcPr>
            <w:tcW w:w="3577" w:type="dxa"/>
            <w:tcBorders>
              <w:left w:val="single" w:sz="18" w:space="0" w:color="auto"/>
              <w:bottom w:val="nil"/>
              <w:right w:val="single" w:sz="18" w:space="0" w:color="auto"/>
            </w:tcBorders>
            <w:shd w:val="clear" w:color="000000" w:fill="FFFFFF"/>
            <w:noWrap/>
            <w:vAlign w:val="center"/>
            <w:hideMark/>
          </w:tcPr>
          <w:p w14:paraId="0AB68042" w14:textId="7D46D1A8" w:rsidR="00150253" w:rsidRPr="00D309F4" w:rsidRDefault="00150253" w:rsidP="00150253">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GLP</w:t>
            </w:r>
          </w:p>
        </w:tc>
        <w:tc>
          <w:tcPr>
            <w:tcW w:w="564" w:type="dxa"/>
            <w:tcBorders>
              <w:left w:val="single" w:sz="18" w:space="0" w:color="auto"/>
              <w:bottom w:val="nil"/>
              <w:right w:val="nil"/>
            </w:tcBorders>
            <w:shd w:val="clear" w:color="000000" w:fill="FFFFFF"/>
            <w:noWrap/>
            <w:vAlign w:val="bottom"/>
            <w:hideMark/>
          </w:tcPr>
          <w:p w14:paraId="16631B6D" w14:textId="47378ABE"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1.14</w:t>
            </w:r>
          </w:p>
        </w:tc>
        <w:tc>
          <w:tcPr>
            <w:tcW w:w="593" w:type="dxa"/>
            <w:tcBorders>
              <w:left w:val="nil"/>
              <w:bottom w:val="nil"/>
              <w:right w:val="single" w:sz="18" w:space="0" w:color="auto"/>
            </w:tcBorders>
            <w:shd w:val="clear" w:color="000000" w:fill="FFFFFF"/>
            <w:noWrap/>
            <w:vAlign w:val="bottom"/>
            <w:hideMark/>
          </w:tcPr>
          <w:p w14:paraId="731FE7F5" w14:textId="7AB22CC9"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4.76</w:t>
            </w:r>
          </w:p>
        </w:tc>
        <w:tc>
          <w:tcPr>
            <w:tcW w:w="632" w:type="dxa"/>
            <w:tcBorders>
              <w:left w:val="single" w:sz="18" w:space="0" w:color="auto"/>
              <w:bottom w:val="nil"/>
              <w:right w:val="nil"/>
            </w:tcBorders>
            <w:shd w:val="clear" w:color="000000" w:fill="FFFFFF"/>
            <w:noWrap/>
            <w:vAlign w:val="center"/>
            <w:hideMark/>
          </w:tcPr>
          <w:p w14:paraId="2A128729"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nil"/>
              <w:right w:val="single" w:sz="4" w:space="0" w:color="auto"/>
            </w:tcBorders>
            <w:shd w:val="clear" w:color="000000" w:fill="FFFFFF"/>
            <w:noWrap/>
            <w:vAlign w:val="center"/>
            <w:hideMark/>
          </w:tcPr>
          <w:p w14:paraId="23D7EBC4"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bottom w:val="nil"/>
              <w:right w:val="nil"/>
            </w:tcBorders>
            <w:shd w:val="clear" w:color="000000" w:fill="FFFFFF"/>
          </w:tcPr>
          <w:p w14:paraId="2C7821CF" w14:textId="7DD7B72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-0.30</w:t>
            </w:r>
          </w:p>
        </w:tc>
        <w:tc>
          <w:tcPr>
            <w:tcW w:w="631" w:type="dxa"/>
            <w:tcBorders>
              <w:left w:val="nil"/>
              <w:bottom w:val="nil"/>
              <w:right w:val="single" w:sz="4" w:space="0" w:color="auto"/>
            </w:tcBorders>
            <w:shd w:val="clear" w:color="000000" w:fill="FFFFFF"/>
          </w:tcPr>
          <w:p w14:paraId="3EE51B7A" w14:textId="52EDFE54"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-1.36</w:t>
            </w:r>
          </w:p>
        </w:tc>
        <w:tc>
          <w:tcPr>
            <w:tcW w:w="720" w:type="dxa"/>
            <w:tcBorders>
              <w:left w:val="single" w:sz="4" w:space="0" w:color="auto"/>
              <w:bottom w:val="nil"/>
              <w:right w:val="nil"/>
            </w:tcBorders>
            <w:shd w:val="clear" w:color="000000" w:fill="FFFFFF"/>
            <w:noWrap/>
            <w:vAlign w:val="center"/>
            <w:hideMark/>
          </w:tcPr>
          <w:p w14:paraId="2D7C76B3" w14:textId="1B80FFE1"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hideMark/>
          </w:tcPr>
          <w:p w14:paraId="1AE28938"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hideMark/>
          </w:tcPr>
          <w:p w14:paraId="7FB6FB29"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hideMark/>
          </w:tcPr>
          <w:p w14:paraId="29CE6196"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hideMark/>
          </w:tcPr>
          <w:p w14:paraId="6D827D8C"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hideMark/>
          </w:tcPr>
          <w:p w14:paraId="42175DB1"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hideMark/>
          </w:tcPr>
          <w:p w14:paraId="157236A1"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hideMark/>
          </w:tcPr>
          <w:p w14:paraId="59A68478"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6434E275" w14:textId="26E87CD6" w:rsidR="00150253" w:rsidRPr="00D309F4" w:rsidRDefault="00E837CC"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5BE08DCD" w14:textId="406C65A1"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nil"/>
              <w:bottom w:val="nil"/>
              <w:right w:val="nil"/>
            </w:tcBorders>
            <w:shd w:val="clear" w:color="000000" w:fill="FFFFFF"/>
            <w:noWrap/>
            <w:vAlign w:val="bottom"/>
            <w:hideMark/>
          </w:tcPr>
          <w:p w14:paraId="50ACCF82" w14:textId="01227EC9"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1.83</w:t>
            </w:r>
          </w:p>
        </w:tc>
        <w:tc>
          <w:tcPr>
            <w:tcW w:w="540" w:type="dxa"/>
            <w:tcBorders>
              <w:left w:val="nil"/>
              <w:bottom w:val="nil"/>
              <w:right w:val="single" w:sz="18" w:space="0" w:color="auto"/>
            </w:tcBorders>
            <w:shd w:val="clear" w:color="000000" w:fill="FFFFFF"/>
            <w:noWrap/>
            <w:vAlign w:val="bottom"/>
            <w:hideMark/>
          </w:tcPr>
          <w:p w14:paraId="10A1867F" w14:textId="3398BEEE"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2.57</w:t>
            </w:r>
          </w:p>
        </w:tc>
      </w:tr>
      <w:tr w:rsidR="00E837CC" w:rsidRPr="00D309F4" w14:paraId="00DD24A5" w14:textId="77777777" w:rsidTr="00A66E92">
        <w:trPr>
          <w:trHeight w:val="144"/>
          <w:jc w:val="center"/>
        </w:trPr>
        <w:tc>
          <w:tcPr>
            <w:tcW w:w="3577" w:type="dxa"/>
            <w:tcBorders>
              <w:left w:val="single" w:sz="18" w:space="0" w:color="auto"/>
              <w:bottom w:val="nil"/>
              <w:right w:val="single" w:sz="18" w:space="0" w:color="auto"/>
            </w:tcBorders>
            <w:shd w:val="clear" w:color="000000" w:fill="FFFFFF"/>
            <w:noWrap/>
            <w:vAlign w:val="center"/>
          </w:tcPr>
          <w:p w14:paraId="51280686" w14:textId="61AC3EA4" w:rsidR="000D70CA" w:rsidRPr="00D309F4" w:rsidRDefault="000D70CA" w:rsidP="000D70CA">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GLP * Age 35-49</w:t>
            </w:r>
          </w:p>
        </w:tc>
        <w:tc>
          <w:tcPr>
            <w:tcW w:w="564" w:type="dxa"/>
            <w:tcBorders>
              <w:left w:val="single" w:sz="18" w:space="0" w:color="auto"/>
              <w:bottom w:val="nil"/>
              <w:right w:val="nil"/>
            </w:tcBorders>
            <w:shd w:val="clear" w:color="000000" w:fill="FFFFFF"/>
            <w:noWrap/>
          </w:tcPr>
          <w:p w14:paraId="078F33AD" w14:textId="27EC01A8"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0.49</w:t>
            </w:r>
          </w:p>
        </w:tc>
        <w:tc>
          <w:tcPr>
            <w:tcW w:w="593" w:type="dxa"/>
            <w:tcBorders>
              <w:left w:val="nil"/>
              <w:bottom w:val="nil"/>
              <w:right w:val="single" w:sz="18" w:space="0" w:color="auto"/>
            </w:tcBorders>
            <w:shd w:val="clear" w:color="000000" w:fill="FFFFFF"/>
            <w:noWrap/>
          </w:tcPr>
          <w:p w14:paraId="1BBE2407" w14:textId="240848F9"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2.27</w:t>
            </w:r>
          </w:p>
        </w:tc>
        <w:tc>
          <w:tcPr>
            <w:tcW w:w="632" w:type="dxa"/>
            <w:tcBorders>
              <w:left w:val="single" w:sz="18" w:space="0" w:color="auto"/>
              <w:bottom w:val="nil"/>
              <w:right w:val="nil"/>
            </w:tcBorders>
            <w:shd w:val="clear" w:color="000000" w:fill="FFFFFF"/>
            <w:noWrap/>
            <w:vAlign w:val="center"/>
          </w:tcPr>
          <w:p w14:paraId="6878F283" w14:textId="6CE4421C"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nil"/>
              <w:right w:val="single" w:sz="4" w:space="0" w:color="auto"/>
            </w:tcBorders>
            <w:shd w:val="clear" w:color="000000" w:fill="FFFFFF"/>
            <w:noWrap/>
            <w:vAlign w:val="center"/>
          </w:tcPr>
          <w:p w14:paraId="02FC80DB"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bottom w:val="nil"/>
              <w:right w:val="nil"/>
            </w:tcBorders>
            <w:shd w:val="clear" w:color="000000" w:fill="FFFFFF"/>
          </w:tcPr>
          <w:p w14:paraId="2BE80F4D" w14:textId="0BC91B38" w:rsidR="000D70CA" w:rsidRPr="00D309F4" w:rsidRDefault="000D70CA" w:rsidP="000D70CA">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left w:val="nil"/>
              <w:bottom w:val="nil"/>
              <w:right w:val="single" w:sz="4" w:space="0" w:color="auto"/>
            </w:tcBorders>
            <w:shd w:val="clear" w:color="000000" w:fill="FFFFFF"/>
          </w:tcPr>
          <w:p w14:paraId="009FCA3B" w14:textId="77777777" w:rsidR="000D70CA" w:rsidRPr="00D309F4" w:rsidRDefault="000D70CA" w:rsidP="000D70CA">
            <w:pPr>
              <w:tabs>
                <w:tab w:val="decimal" w:pos="140"/>
              </w:tabs>
              <w:spacing w:after="0" w:line="240" w:lineRule="auto"/>
              <w:jc w:val="center"/>
              <w:rPr>
                <w:rFonts w:cs="Times New Roman"/>
                <w:sz w:val="20"/>
                <w:szCs w:val="20"/>
              </w:rPr>
            </w:pPr>
          </w:p>
        </w:tc>
        <w:tc>
          <w:tcPr>
            <w:tcW w:w="720" w:type="dxa"/>
            <w:tcBorders>
              <w:left w:val="single" w:sz="4" w:space="0" w:color="auto"/>
              <w:bottom w:val="nil"/>
              <w:right w:val="nil"/>
            </w:tcBorders>
            <w:shd w:val="clear" w:color="000000" w:fill="FFFFFF"/>
            <w:noWrap/>
            <w:vAlign w:val="center"/>
          </w:tcPr>
          <w:p w14:paraId="0D1DE7F8" w14:textId="3D25EE50"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4F58C0DA"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1AEB5389" w14:textId="73344B0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50F072F4"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3376DFB8" w14:textId="382F2ED3"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727170F4"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05073C0D" w14:textId="0524220F"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0197787F"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2AF65556" w14:textId="563B3EEA" w:rsidR="000D70CA" w:rsidRPr="00D309F4" w:rsidRDefault="000D70CA" w:rsidP="000D70CA">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47349CBC" w14:textId="77777777" w:rsidR="000D70CA" w:rsidRPr="00D309F4" w:rsidRDefault="000D70CA" w:rsidP="000D70CA">
            <w:pPr>
              <w:tabs>
                <w:tab w:val="decimal" w:pos="140"/>
              </w:tabs>
              <w:spacing w:after="0" w:line="240" w:lineRule="auto"/>
              <w:jc w:val="center"/>
              <w:rPr>
                <w:rFonts w:cs="Times New Roman"/>
                <w:sz w:val="20"/>
                <w:szCs w:val="20"/>
              </w:rPr>
            </w:pPr>
          </w:p>
        </w:tc>
        <w:tc>
          <w:tcPr>
            <w:tcW w:w="720" w:type="dxa"/>
            <w:tcBorders>
              <w:left w:val="nil"/>
              <w:bottom w:val="nil"/>
              <w:right w:val="nil"/>
            </w:tcBorders>
            <w:shd w:val="clear" w:color="000000" w:fill="FFFFFF"/>
            <w:noWrap/>
          </w:tcPr>
          <w:p w14:paraId="486DAB21" w14:textId="39E969F4"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0.32</w:t>
            </w:r>
          </w:p>
        </w:tc>
        <w:tc>
          <w:tcPr>
            <w:tcW w:w="540" w:type="dxa"/>
            <w:tcBorders>
              <w:left w:val="nil"/>
              <w:bottom w:val="nil"/>
              <w:right w:val="single" w:sz="18" w:space="0" w:color="auto"/>
            </w:tcBorders>
            <w:shd w:val="clear" w:color="000000" w:fill="FFFFFF"/>
            <w:noWrap/>
          </w:tcPr>
          <w:p w14:paraId="324AF671" w14:textId="4A929267"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1.32</w:t>
            </w:r>
          </w:p>
        </w:tc>
      </w:tr>
      <w:tr w:rsidR="00E837CC" w:rsidRPr="00D309F4" w14:paraId="6CA3FABB" w14:textId="77777777" w:rsidTr="00A66E92">
        <w:trPr>
          <w:trHeight w:val="144"/>
          <w:jc w:val="center"/>
        </w:trPr>
        <w:tc>
          <w:tcPr>
            <w:tcW w:w="3577" w:type="dxa"/>
            <w:tcBorders>
              <w:left w:val="single" w:sz="18" w:space="0" w:color="auto"/>
              <w:bottom w:val="nil"/>
              <w:right w:val="single" w:sz="18" w:space="0" w:color="auto"/>
            </w:tcBorders>
            <w:shd w:val="clear" w:color="000000" w:fill="FFFFFF"/>
            <w:noWrap/>
            <w:vAlign w:val="center"/>
          </w:tcPr>
          <w:p w14:paraId="2ABA06C1" w14:textId="74074E4F" w:rsidR="000D70CA" w:rsidRPr="00D309F4" w:rsidRDefault="000D70CA" w:rsidP="000D70CA">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GLP * Age 50-64</w:t>
            </w:r>
          </w:p>
        </w:tc>
        <w:tc>
          <w:tcPr>
            <w:tcW w:w="564" w:type="dxa"/>
            <w:tcBorders>
              <w:left w:val="single" w:sz="18" w:space="0" w:color="auto"/>
              <w:bottom w:val="nil"/>
              <w:right w:val="nil"/>
            </w:tcBorders>
            <w:shd w:val="clear" w:color="000000" w:fill="FFFFFF"/>
            <w:noWrap/>
          </w:tcPr>
          <w:p w14:paraId="3DA1D3BC" w14:textId="5754252F"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0.64</w:t>
            </w:r>
          </w:p>
        </w:tc>
        <w:tc>
          <w:tcPr>
            <w:tcW w:w="593" w:type="dxa"/>
            <w:tcBorders>
              <w:left w:val="nil"/>
              <w:bottom w:val="nil"/>
              <w:right w:val="single" w:sz="18" w:space="0" w:color="auto"/>
            </w:tcBorders>
            <w:shd w:val="clear" w:color="000000" w:fill="FFFFFF"/>
            <w:noWrap/>
          </w:tcPr>
          <w:p w14:paraId="0444A0ED" w14:textId="522358E9"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2.58</w:t>
            </w:r>
          </w:p>
        </w:tc>
        <w:tc>
          <w:tcPr>
            <w:tcW w:w="632" w:type="dxa"/>
            <w:tcBorders>
              <w:left w:val="single" w:sz="18" w:space="0" w:color="auto"/>
              <w:bottom w:val="nil"/>
              <w:right w:val="nil"/>
            </w:tcBorders>
            <w:shd w:val="clear" w:color="000000" w:fill="FFFFFF"/>
            <w:noWrap/>
            <w:vAlign w:val="center"/>
          </w:tcPr>
          <w:p w14:paraId="57DE5E77" w14:textId="3116BE82"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nil"/>
              <w:right w:val="single" w:sz="4" w:space="0" w:color="auto"/>
            </w:tcBorders>
            <w:shd w:val="clear" w:color="000000" w:fill="FFFFFF"/>
            <w:noWrap/>
            <w:vAlign w:val="center"/>
          </w:tcPr>
          <w:p w14:paraId="08DAE82E"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bottom w:val="nil"/>
              <w:right w:val="nil"/>
            </w:tcBorders>
            <w:shd w:val="clear" w:color="000000" w:fill="FFFFFF"/>
          </w:tcPr>
          <w:p w14:paraId="5109E43B" w14:textId="50974F3A" w:rsidR="000D70CA" w:rsidRPr="00D309F4" w:rsidRDefault="000D70CA" w:rsidP="000D70CA">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left w:val="nil"/>
              <w:bottom w:val="nil"/>
              <w:right w:val="single" w:sz="4" w:space="0" w:color="auto"/>
            </w:tcBorders>
            <w:shd w:val="clear" w:color="000000" w:fill="FFFFFF"/>
          </w:tcPr>
          <w:p w14:paraId="03859C21" w14:textId="77777777" w:rsidR="000D70CA" w:rsidRPr="00D309F4" w:rsidRDefault="000D70CA" w:rsidP="000D70CA">
            <w:pPr>
              <w:tabs>
                <w:tab w:val="decimal" w:pos="140"/>
              </w:tabs>
              <w:spacing w:after="0" w:line="240" w:lineRule="auto"/>
              <w:jc w:val="center"/>
              <w:rPr>
                <w:rFonts w:cs="Times New Roman"/>
                <w:sz w:val="20"/>
                <w:szCs w:val="20"/>
              </w:rPr>
            </w:pPr>
          </w:p>
        </w:tc>
        <w:tc>
          <w:tcPr>
            <w:tcW w:w="720" w:type="dxa"/>
            <w:tcBorders>
              <w:left w:val="single" w:sz="4" w:space="0" w:color="auto"/>
              <w:bottom w:val="nil"/>
              <w:right w:val="nil"/>
            </w:tcBorders>
            <w:shd w:val="clear" w:color="000000" w:fill="FFFFFF"/>
            <w:noWrap/>
            <w:vAlign w:val="center"/>
          </w:tcPr>
          <w:p w14:paraId="37C358A8" w14:textId="57C74148"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5C2D077C"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468513D0" w14:textId="12203F80"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7A55DE63"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4B417546" w14:textId="7A30CAE4"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293CDB44"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1EB49B91" w14:textId="3CE4924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11C0D7AE"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2E1EE50F" w14:textId="27CC749A" w:rsidR="000D70CA" w:rsidRPr="00D309F4" w:rsidRDefault="000D70CA" w:rsidP="000D70CA">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724648C9" w14:textId="77777777" w:rsidR="000D70CA" w:rsidRPr="00D309F4" w:rsidRDefault="000D70CA" w:rsidP="000D70CA">
            <w:pPr>
              <w:tabs>
                <w:tab w:val="decimal" w:pos="140"/>
              </w:tabs>
              <w:spacing w:after="0" w:line="240" w:lineRule="auto"/>
              <w:jc w:val="center"/>
              <w:rPr>
                <w:rFonts w:cs="Times New Roman"/>
                <w:sz w:val="20"/>
                <w:szCs w:val="20"/>
              </w:rPr>
            </w:pPr>
          </w:p>
        </w:tc>
        <w:tc>
          <w:tcPr>
            <w:tcW w:w="720" w:type="dxa"/>
            <w:tcBorders>
              <w:left w:val="nil"/>
              <w:bottom w:val="nil"/>
              <w:right w:val="nil"/>
            </w:tcBorders>
            <w:shd w:val="clear" w:color="000000" w:fill="FFFFFF"/>
            <w:noWrap/>
          </w:tcPr>
          <w:p w14:paraId="0D634D25" w14:textId="69A2045F"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0.52</w:t>
            </w:r>
          </w:p>
        </w:tc>
        <w:tc>
          <w:tcPr>
            <w:tcW w:w="540" w:type="dxa"/>
            <w:tcBorders>
              <w:left w:val="nil"/>
              <w:bottom w:val="nil"/>
              <w:right w:val="single" w:sz="18" w:space="0" w:color="auto"/>
            </w:tcBorders>
            <w:shd w:val="clear" w:color="000000" w:fill="FFFFFF"/>
            <w:noWrap/>
          </w:tcPr>
          <w:p w14:paraId="35933D50" w14:textId="078E94D8"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1.93</w:t>
            </w:r>
          </w:p>
        </w:tc>
      </w:tr>
      <w:tr w:rsidR="00E837CC" w:rsidRPr="00D309F4" w14:paraId="5D541606" w14:textId="77777777" w:rsidTr="00A66E92">
        <w:trPr>
          <w:trHeight w:val="144"/>
          <w:jc w:val="center"/>
        </w:trPr>
        <w:tc>
          <w:tcPr>
            <w:tcW w:w="3577" w:type="dxa"/>
            <w:tcBorders>
              <w:left w:val="single" w:sz="18" w:space="0" w:color="auto"/>
              <w:bottom w:val="nil"/>
              <w:right w:val="single" w:sz="18" w:space="0" w:color="auto"/>
            </w:tcBorders>
            <w:shd w:val="clear" w:color="000000" w:fill="FFFFFF"/>
            <w:noWrap/>
            <w:vAlign w:val="center"/>
          </w:tcPr>
          <w:p w14:paraId="6C9FCDAE" w14:textId="03F0DE44" w:rsidR="000D70CA" w:rsidRPr="00D309F4" w:rsidRDefault="000D70CA" w:rsidP="000D70CA">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GLP * Age 65+</w:t>
            </w:r>
          </w:p>
        </w:tc>
        <w:tc>
          <w:tcPr>
            <w:tcW w:w="564" w:type="dxa"/>
            <w:tcBorders>
              <w:left w:val="single" w:sz="18" w:space="0" w:color="auto"/>
              <w:bottom w:val="nil"/>
              <w:right w:val="nil"/>
            </w:tcBorders>
            <w:shd w:val="clear" w:color="000000" w:fill="FFFFFF"/>
            <w:noWrap/>
          </w:tcPr>
          <w:p w14:paraId="49A27616" w14:textId="4A8B883B"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0.72</w:t>
            </w:r>
          </w:p>
        </w:tc>
        <w:tc>
          <w:tcPr>
            <w:tcW w:w="593" w:type="dxa"/>
            <w:tcBorders>
              <w:left w:val="nil"/>
              <w:bottom w:val="nil"/>
              <w:right w:val="single" w:sz="18" w:space="0" w:color="auto"/>
            </w:tcBorders>
            <w:shd w:val="clear" w:color="000000" w:fill="FFFFFF"/>
            <w:noWrap/>
          </w:tcPr>
          <w:p w14:paraId="7898F6CA" w14:textId="65F61BBE"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2.15</w:t>
            </w:r>
          </w:p>
        </w:tc>
        <w:tc>
          <w:tcPr>
            <w:tcW w:w="632" w:type="dxa"/>
            <w:tcBorders>
              <w:left w:val="single" w:sz="18" w:space="0" w:color="auto"/>
              <w:bottom w:val="nil"/>
              <w:right w:val="nil"/>
            </w:tcBorders>
            <w:shd w:val="clear" w:color="000000" w:fill="FFFFFF"/>
            <w:noWrap/>
            <w:vAlign w:val="center"/>
          </w:tcPr>
          <w:p w14:paraId="1F40AA8E" w14:textId="2D933FD6"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nil"/>
              <w:right w:val="single" w:sz="4" w:space="0" w:color="auto"/>
            </w:tcBorders>
            <w:shd w:val="clear" w:color="000000" w:fill="FFFFFF"/>
            <w:noWrap/>
            <w:vAlign w:val="center"/>
          </w:tcPr>
          <w:p w14:paraId="0EDBD724"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bottom w:val="nil"/>
              <w:right w:val="nil"/>
            </w:tcBorders>
            <w:shd w:val="clear" w:color="000000" w:fill="FFFFFF"/>
          </w:tcPr>
          <w:p w14:paraId="22D9337B" w14:textId="0504B93B"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1" w:type="dxa"/>
            <w:tcBorders>
              <w:left w:val="nil"/>
              <w:bottom w:val="nil"/>
              <w:right w:val="single" w:sz="4" w:space="0" w:color="auto"/>
            </w:tcBorders>
            <w:shd w:val="clear" w:color="000000" w:fill="FFFFFF"/>
          </w:tcPr>
          <w:p w14:paraId="0198C064" w14:textId="77777777" w:rsidR="000D70CA" w:rsidRPr="00D309F4" w:rsidRDefault="000D70CA" w:rsidP="000D70CA">
            <w:pPr>
              <w:tabs>
                <w:tab w:val="decimal" w:pos="140"/>
              </w:tabs>
              <w:spacing w:after="0" w:line="240" w:lineRule="auto"/>
              <w:jc w:val="center"/>
              <w:rPr>
                <w:rFonts w:cs="Times New Roman"/>
                <w:sz w:val="20"/>
                <w:szCs w:val="20"/>
              </w:rPr>
            </w:pPr>
          </w:p>
        </w:tc>
        <w:tc>
          <w:tcPr>
            <w:tcW w:w="720" w:type="dxa"/>
            <w:tcBorders>
              <w:left w:val="single" w:sz="4" w:space="0" w:color="auto"/>
              <w:bottom w:val="nil"/>
              <w:right w:val="nil"/>
            </w:tcBorders>
            <w:shd w:val="clear" w:color="000000" w:fill="FFFFFF"/>
            <w:noWrap/>
            <w:vAlign w:val="center"/>
          </w:tcPr>
          <w:p w14:paraId="5C197379" w14:textId="2142C0A9"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576FDD2C"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7984BBB8" w14:textId="18E5DE0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742280C5"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6AB2FA61" w14:textId="458362B9"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6F3C3BF8"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74D58609" w14:textId="5C6F252D"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3E840BAB" w14:textId="77777777"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6AC07776" w14:textId="2EF2249D" w:rsidR="000D70CA" w:rsidRPr="00D309F4" w:rsidRDefault="000D70CA" w:rsidP="000D70CA">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74B3C99F" w14:textId="77777777" w:rsidR="000D70CA" w:rsidRPr="00D309F4" w:rsidRDefault="000D70CA" w:rsidP="000D70CA">
            <w:pPr>
              <w:tabs>
                <w:tab w:val="decimal" w:pos="140"/>
              </w:tabs>
              <w:spacing w:after="0" w:line="240" w:lineRule="auto"/>
              <w:jc w:val="center"/>
              <w:rPr>
                <w:rFonts w:cs="Times New Roman"/>
                <w:sz w:val="20"/>
                <w:szCs w:val="20"/>
              </w:rPr>
            </w:pPr>
          </w:p>
        </w:tc>
        <w:tc>
          <w:tcPr>
            <w:tcW w:w="720" w:type="dxa"/>
            <w:tcBorders>
              <w:left w:val="nil"/>
              <w:bottom w:val="nil"/>
              <w:right w:val="nil"/>
            </w:tcBorders>
            <w:shd w:val="clear" w:color="000000" w:fill="FFFFFF"/>
            <w:noWrap/>
          </w:tcPr>
          <w:p w14:paraId="304ADE36" w14:textId="1A7358C7"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0.76</w:t>
            </w:r>
          </w:p>
        </w:tc>
        <w:tc>
          <w:tcPr>
            <w:tcW w:w="540" w:type="dxa"/>
            <w:tcBorders>
              <w:left w:val="nil"/>
              <w:bottom w:val="nil"/>
              <w:right w:val="single" w:sz="18" w:space="0" w:color="auto"/>
            </w:tcBorders>
            <w:shd w:val="clear" w:color="000000" w:fill="FFFFFF"/>
            <w:noWrap/>
          </w:tcPr>
          <w:p w14:paraId="433B846D" w14:textId="5621978B" w:rsidR="000D70CA" w:rsidRPr="00D309F4" w:rsidRDefault="000D70CA" w:rsidP="000D70CA">
            <w:pPr>
              <w:tabs>
                <w:tab w:val="decimal" w:pos="140"/>
              </w:tabs>
              <w:spacing w:after="0" w:line="240" w:lineRule="auto"/>
              <w:jc w:val="center"/>
              <w:rPr>
                <w:rFonts w:cs="Times New Roman"/>
                <w:sz w:val="20"/>
                <w:szCs w:val="20"/>
              </w:rPr>
            </w:pPr>
            <w:r w:rsidRPr="00D309F4">
              <w:rPr>
                <w:rFonts w:cs="Times New Roman"/>
                <w:sz w:val="20"/>
                <w:szCs w:val="20"/>
              </w:rPr>
              <w:t>2.55</w:t>
            </w:r>
          </w:p>
        </w:tc>
      </w:tr>
      <w:tr w:rsidR="00E837CC" w:rsidRPr="00D309F4" w14:paraId="42FF5DE6" w14:textId="77777777" w:rsidTr="00A66E92">
        <w:trPr>
          <w:trHeight w:val="144"/>
          <w:jc w:val="center"/>
        </w:trPr>
        <w:tc>
          <w:tcPr>
            <w:tcW w:w="3577" w:type="dxa"/>
            <w:tcBorders>
              <w:left w:val="single" w:sz="18" w:space="0" w:color="auto"/>
              <w:bottom w:val="nil"/>
              <w:right w:val="single" w:sz="18" w:space="0" w:color="auto"/>
            </w:tcBorders>
            <w:shd w:val="clear" w:color="000000" w:fill="FFFFFF"/>
            <w:noWrap/>
            <w:vAlign w:val="center"/>
          </w:tcPr>
          <w:p w14:paraId="3FEFCDEF" w14:textId="670647DD" w:rsidR="00150253" w:rsidRPr="00D309F4" w:rsidRDefault="00150253" w:rsidP="00150253">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GLP * Income $100,000 - $199,999</w:t>
            </w:r>
          </w:p>
        </w:tc>
        <w:tc>
          <w:tcPr>
            <w:tcW w:w="564" w:type="dxa"/>
            <w:tcBorders>
              <w:left w:val="single" w:sz="18" w:space="0" w:color="auto"/>
              <w:bottom w:val="nil"/>
              <w:right w:val="nil"/>
            </w:tcBorders>
            <w:shd w:val="clear" w:color="000000" w:fill="FFFFFF"/>
            <w:noWrap/>
          </w:tcPr>
          <w:p w14:paraId="6DBC2AC7" w14:textId="64AC32F2"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0.39</w:t>
            </w:r>
          </w:p>
        </w:tc>
        <w:tc>
          <w:tcPr>
            <w:tcW w:w="593" w:type="dxa"/>
            <w:tcBorders>
              <w:left w:val="nil"/>
              <w:bottom w:val="nil"/>
              <w:right w:val="single" w:sz="18" w:space="0" w:color="auto"/>
            </w:tcBorders>
            <w:shd w:val="clear" w:color="000000" w:fill="FFFFFF"/>
            <w:noWrap/>
          </w:tcPr>
          <w:p w14:paraId="66C21624" w14:textId="77743291"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1.</w:t>
            </w:r>
            <w:r w:rsidR="002C5D38" w:rsidRPr="00D309F4">
              <w:rPr>
                <w:rFonts w:cs="Times New Roman"/>
                <w:sz w:val="20"/>
                <w:szCs w:val="20"/>
              </w:rPr>
              <w:t>44</w:t>
            </w:r>
          </w:p>
        </w:tc>
        <w:tc>
          <w:tcPr>
            <w:tcW w:w="632" w:type="dxa"/>
            <w:tcBorders>
              <w:left w:val="single" w:sz="18" w:space="0" w:color="auto"/>
              <w:bottom w:val="nil"/>
              <w:right w:val="nil"/>
            </w:tcBorders>
            <w:shd w:val="clear" w:color="000000" w:fill="FFFFFF"/>
            <w:noWrap/>
            <w:vAlign w:val="center"/>
          </w:tcPr>
          <w:p w14:paraId="3ED85B0A" w14:textId="2CC68BA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nil"/>
              <w:right w:val="single" w:sz="4" w:space="0" w:color="auto"/>
            </w:tcBorders>
            <w:shd w:val="clear" w:color="000000" w:fill="FFFFFF"/>
            <w:noWrap/>
            <w:vAlign w:val="center"/>
          </w:tcPr>
          <w:p w14:paraId="0D29610F"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bottom w:val="nil"/>
              <w:right w:val="nil"/>
            </w:tcBorders>
            <w:shd w:val="clear" w:color="000000" w:fill="FFFFFF"/>
          </w:tcPr>
          <w:p w14:paraId="077D2870" w14:textId="001A862E" w:rsidR="00150253" w:rsidRPr="00D309F4" w:rsidRDefault="00150253" w:rsidP="00150253">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left w:val="nil"/>
              <w:bottom w:val="nil"/>
              <w:right w:val="single" w:sz="4" w:space="0" w:color="auto"/>
            </w:tcBorders>
            <w:shd w:val="clear" w:color="000000" w:fill="FFFFFF"/>
          </w:tcPr>
          <w:p w14:paraId="6784F5B3" w14:textId="77777777" w:rsidR="00150253" w:rsidRPr="00D309F4" w:rsidRDefault="00150253" w:rsidP="00150253">
            <w:pPr>
              <w:tabs>
                <w:tab w:val="decimal" w:pos="140"/>
              </w:tabs>
              <w:spacing w:after="0" w:line="240" w:lineRule="auto"/>
              <w:jc w:val="center"/>
              <w:rPr>
                <w:rFonts w:cs="Times New Roman"/>
                <w:sz w:val="20"/>
                <w:szCs w:val="20"/>
              </w:rPr>
            </w:pPr>
          </w:p>
        </w:tc>
        <w:tc>
          <w:tcPr>
            <w:tcW w:w="720" w:type="dxa"/>
            <w:tcBorders>
              <w:left w:val="single" w:sz="4" w:space="0" w:color="auto"/>
              <w:bottom w:val="nil"/>
              <w:right w:val="nil"/>
            </w:tcBorders>
            <w:shd w:val="clear" w:color="000000" w:fill="FFFFFF"/>
            <w:noWrap/>
            <w:vAlign w:val="center"/>
          </w:tcPr>
          <w:p w14:paraId="72D2C9E3" w14:textId="731DD2A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1B97FEF4"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311CA94A" w14:textId="7ACF065B"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33973CC6"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4C0336F2" w14:textId="3C86F658"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325FB28A"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1C511CB2" w14:textId="6AD1B0F3"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6EC693DB"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5323256E" w14:textId="76BE18E4" w:rsidR="00150253" w:rsidRPr="00D309F4" w:rsidRDefault="00150253" w:rsidP="00150253">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065FC3F5" w14:textId="77777777" w:rsidR="00150253" w:rsidRPr="00D309F4" w:rsidRDefault="00150253" w:rsidP="00150253">
            <w:pPr>
              <w:tabs>
                <w:tab w:val="decimal" w:pos="140"/>
              </w:tabs>
              <w:spacing w:after="0" w:line="240" w:lineRule="auto"/>
              <w:jc w:val="center"/>
              <w:rPr>
                <w:rFonts w:cs="Times New Roman"/>
                <w:sz w:val="20"/>
                <w:szCs w:val="20"/>
              </w:rPr>
            </w:pPr>
          </w:p>
        </w:tc>
        <w:tc>
          <w:tcPr>
            <w:tcW w:w="720" w:type="dxa"/>
            <w:tcBorders>
              <w:left w:val="nil"/>
              <w:bottom w:val="nil"/>
              <w:right w:val="nil"/>
            </w:tcBorders>
            <w:shd w:val="clear" w:color="000000" w:fill="FFFFFF"/>
            <w:noWrap/>
          </w:tcPr>
          <w:p w14:paraId="22ED3D10" w14:textId="162E3797"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0.59</w:t>
            </w:r>
          </w:p>
        </w:tc>
        <w:tc>
          <w:tcPr>
            <w:tcW w:w="540" w:type="dxa"/>
            <w:tcBorders>
              <w:left w:val="nil"/>
              <w:bottom w:val="nil"/>
              <w:right w:val="single" w:sz="18" w:space="0" w:color="auto"/>
            </w:tcBorders>
            <w:shd w:val="clear" w:color="000000" w:fill="FFFFFF"/>
            <w:noWrap/>
          </w:tcPr>
          <w:p w14:paraId="024C44FD" w14:textId="061764C4"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2.21</w:t>
            </w:r>
          </w:p>
        </w:tc>
      </w:tr>
      <w:tr w:rsidR="00E837CC" w:rsidRPr="00D309F4" w14:paraId="28DE8231" w14:textId="77777777" w:rsidTr="00A66E92">
        <w:trPr>
          <w:trHeight w:val="144"/>
          <w:jc w:val="center"/>
        </w:trPr>
        <w:tc>
          <w:tcPr>
            <w:tcW w:w="3577" w:type="dxa"/>
            <w:tcBorders>
              <w:left w:val="single" w:sz="18" w:space="0" w:color="auto"/>
              <w:bottom w:val="nil"/>
              <w:right w:val="single" w:sz="18" w:space="0" w:color="auto"/>
            </w:tcBorders>
            <w:shd w:val="clear" w:color="000000" w:fill="FFFFFF"/>
            <w:noWrap/>
            <w:vAlign w:val="center"/>
          </w:tcPr>
          <w:p w14:paraId="215B25EF" w14:textId="51BFEE49" w:rsidR="00150253" w:rsidRPr="00D309F4" w:rsidRDefault="00150253" w:rsidP="00150253">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GLP * Income $200,000+</w:t>
            </w:r>
          </w:p>
        </w:tc>
        <w:tc>
          <w:tcPr>
            <w:tcW w:w="564" w:type="dxa"/>
            <w:tcBorders>
              <w:left w:val="single" w:sz="18" w:space="0" w:color="auto"/>
              <w:bottom w:val="nil"/>
              <w:right w:val="nil"/>
            </w:tcBorders>
            <w:shd w:val="clear" w:color="000000" w:fill="FFFFFF"/>
            <w:noWrap/>
          </w:tcPr>
          <w:p w14:paraId="40CB17FE" w14:textId="43048AE9"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0.61</w:t>
            </w:r>
          </w:p>
        </w:tc>
        <w:tc>
          <w:tcPr>
            <w:tcW w:w="593" w:type="dxa"/>
            <w:tcBorders>
              <w:left w:val="nil"/>
              <w:bottom w:val="nil"/>
              <w:right w:val="single" w:sz="18" w:space="0" w:color="auto"/>
            </w:tcBorders>
            <w:shd w:val="clear" w:color="000000" w:fill="FFFFFF"/>
            <w:noWrap/>
          </w:tcPr>
          <w:p w14:paraId="4A6440C4" w14:textId="3FC4EB52"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1.</w:t>
            </w:r>
            <w:r w:rsidR="007E02D6" w:rsidRPr="00D309F4">
              <w:rPr>
                <w:rFonts w:cs="Times New Roman"/>
                <w:sz w:val="20"/>
                <w:szCs w:val="20"/>
              </w:rPr>
              <w:t>6</w:t>
            </w:r>
            <w:r w:rsidRPr="00D309F4">
              <w:rPr>
                <w:rFonts w:cs="Times New Roman"/>
                <w:sz w:val="20"/>
                <w:szCs w:val="20"/>
              </w:rPr>
              <w:t>2</w:t>
            </w:r>
          </w:p>
        </w:tc>
        <w:tc>
          <w:tcPr>
            <w:tcW w:w="632" w:type="dxa"/>
            <w:tcBorders>
              <w:left w:val="single" w:sz="18" w:space="0" w:color="auto"/>
              <w:bottom w:val="nil"/>
              <w:right w:val="nil"/>
            </w:tcBorders>
            <w:shd w:val="clear" w:color="000000" w:fill="FFFFFF"/>
            <w:noWrap/>
            <w:vAlign w:val="center"/>
          </w:tcPr>
          <w:p w14:paraId="031582B6" w14:textId="386F65ED"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nil"/>
              <w:right w:val="single" w:sz="4" w:space="0" w:color="auto"/>
            </w:tcBorders>
            <w:shd w:val="clear" w:color="000000" w:fill="FFFFFF"/>
            <w:noWrap/>
            <w:vAlign w:val="center"/>
          </w:tcPr>
          <w:p w14:paraId="6B443BFC"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bottom w:val="nil"/>
              <w:right w:val="nil"/>
            </w:tcBorders>
            <w:shd w:val="clear" w:color="000000" w:fill="FFFFFF"/>
          </w:tcPr>
          <w:p w14:paraId="33BE1169" w14:textId="6E39D344" w:rsidR="00150253" w:rsidRPr="00D309F4" w:rsidRDefault="00150253" w:rsidP="00150253">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left w:val="nil"/>
              <w:bottom w:val="nil"/>
              <w:right w:val="single" w:sz="4" w:space="0" w:color="auto"/>
            </w:tcBorders>
            <w:shd w:val="clear" w:color="000000" w:fill="FFFFFF"/>
          </w:tcPr>
          <w:p w14:paraId="1DAEB20D" w14:textId="77777777" w:rsidR="00150253" w:rsidRPr="00D309F4" w:rsidRDefault="00150253" w:rsidP="00150253">
            <w:pPr>
              <w:tabs>
                <w:tab w:val="decimal" w:pos="140"/>
              </w:tabs>
              <w:spacing w:after="0" w:line="240" w:lineRule="auto"/>
              <w:jc w:val="center"/>
              <w:rPr>
                <w:rFonts w:cs="Times New Roman"/>
                <w:sz w:val="20"/>
                <w:szCs w:val="20"/>
              </w:rPr>
            </w:pPr>
          </w:p>
        </w:tc>
        <w:tc>
          <w:tcPr>
            <w:tcW w:w="720" w:type="dxa"/>
            <w:tcBorders>
              <w:left w:val="single" w:sz="4" w:space="0" w:color="auto"/>
              <w:bottom w:val="nil"/>
              <w:right w:val="nil"/>
            </w:tcBorders>
            <w:shd w:val="clear" w:color="000000" w:fill="FFFFFF"/>
            <w:noWrap/>
            <w:vAlign w:val="center"/>
          </w:tcPr>
          <w:p w14:paraId="51F16C72" w14:textId="3DFBC399"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35DA3572"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0F411CB3" w14:textId="6C618FC2"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4FF6C10A"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nil"/>
              <w:right w:val="nil"/>
            </w:tcBorders>
            <w:shd w:val="clear" w:color="000000" w:fill="FFFFFF"/>
            <w:noWrap/>
            <w:vAlign w:val="center"/>
          </w:tcPr>
          <w:p w14:paraId="48587772" w14:textId="79244396"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04EB2FF4"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4D9B4775" w14:textId="1F3EB019"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nil"/>
              <w:right w:val="single" w:sz="4" w:space="0" w:color="auto"/>
            </w:tcBorders>
            <w:shd w:val="clear" w:color="000000" w:fill="FFFFFF"/>
            <w:noWrap/>
            <w:vAlign w:val="center"/>
          </w:tcPr>
          <w:p w14:paraId="59112699" w14:textId="77777777" w:rsidR="00150253" w:rsidRPr="00D309F4" w:rsidRDefault="00150253" w:rsidP="00150253">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nil"/>
              <w:right w:val="nil"/>
            </w:tcBorders>
            <w:shd w:val="clear" w:color="000000" w:fill="FFFFFF"/>
            <w:noWrap/>
            <w:vAlign w:val="center"/>
          </w:tcPr>
          <w:p w14:paraId="0202A649" w14:textId="20B952AF" w:rsidR="00150253" w:rsidRPr="00D309F4" w:rsidRDefault="00150253" w:rsidP="00150253">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left w:val="nil"/>
              <w:bottom w:val="nil"/>
              <w:right w:val="single" w:sz="4" w:space="0" w:color="auto"/>
            </w:tcBorders>
            <w:shd w:val="clear" w:color="000000" w:fill="FFFFFF"/>
            <w:noWrap/>
            <w:vAlign w:val="center"/>
          </w:tcPr>
          <w:p w14:paraId="3AB1E4CF" w14:textId="77777777" w:rsidR="00150253" w:rsidRPr="00D309F4" w:rsidRDefault="00150253" w:rsidP="00150253">
            <w:pPr>
              <w:tabs>
                <w:tab w:val="decimal" w:pos="140"/>
              </w:tabs>
              <w:spacing w:after="0" w:line="240" w:lineRule="auto"/>
              <w:jc w:val="center"/>
              <w:rPr>
                <w:rFonts w:cs="Times New Roman"/>
                <w:sz w:val="20"/>
                <w:szCs w:val="20"/>
              </w:rPr>
            </w:pPr>
          </w:p>
        </w:tc>
        <w:tc>
          <w:tcPr>
            <w:tcW w:w="720" w:type="dxa"/>
            <w:tcBorders>
              <w:left w:val="nil"/>
              <w:bottom w:val="nil"/>
              <w:right w:val="nil"/>
            </w:tcBorders>
            <w:shd w:val="clear" w:color="000000" w:fill="FFFFFF"/>
            <w:noWrap/>
          </w:tcPr>
          <w:p w14:paraId="55A3AC12" w14:textId="4A815C90"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0.61</w:t>
            </w:r>
          </w:p>
        </w:tc>
        <w:tc>
          <w:tcPr>
            <w:tcW w:w="540" w:type="dxa"/>
            <w:tcBorders>
              <w:left w:val="nil"/>
              <w:bottom w:val="nil"/>
              <w:right w:val="single" w:sz="18" w:space="0" w:color="auto"/>
            </w:tcBorders>
            <w:shd w:val="clear" w:color="000000" w:fill="FFFFFF"/>
            <w:noWrap/>
          </w:tcPr>
          <w:p w14:paraId="030D1B57" w14:textId="5FC8E457" w:rsidR="00150253" w:rsidRPr="00D309F4" w:rsidRDefault="00150253" w:rsidP="00150253">
            <w:pPr>
              <w:tabs>
                <w:tab w:val="decimal" w:pos="140"/>
              </w:tabs>
              <w:spacing w:after="0" w:line="240" w:lineRule="auto"/>
              <w:jc w:val="center"/>
              <w:rPr>
                <w:rFonts w:cs="Times New Roman"/>
                <w:sz w:val="20"/>
                <w:szCs w:val="20"/>
              </w:rPr>
            </w:pPr>
            <w:r w:rsidRPr="00D309F4">
              <w:rPr>
                <w:rFonts w:cs="Times New Roman"/>
                <w:sz w:val="20"/>
                <w:szCs w:val="20"/>
              </w:rPr>
              <w:t>2.35</w:t>
            </w:r>
          </w:p>
        </w:tc>
      </w:tr>
      <w:tr w:rsidR="00E837CC" w:rsidRPr="00D309F4" w14:paraId="58A3AFED"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496190E7" w14:textId="67FF17AE" w:rsidR="00595C60" w:rsidRPr="00D309F4" w:rsidRDefault="00595C60" w:rsidP="00595C60">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VFP</w:t>
            </w:r>
          </w:p>
        </w:tc>
        <w:tc>
          <w:tcPr>
            <w:tcW w:w="564" w:type="dxa"/>
            <w:tcBorders>
              <w:top w:val="nil"/>
              <w:left w:val="single" w:sz="18" w:space="0" w:color="auto"/>
              <w:bottom w:val="nil"/>
              <w:right w:val="nil"/>
            </w:tcBorders>
            <w:shd w:val="clear" w:color="000000" w:fill="FFFFFF"/>
            <w:noWrap/>
            <w:hideMark/>
          </w:tcPr>
          <w:p w14:paraId="3F00CB94" w14:textId="0084925E"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w:t>
            </w:r>
            <w:r w:rsidR="005013D6" w:rsidRPr="00D309F4">
              <w:rPr>
                <w:rFonts w:cs="Times New Roman"/>
                <w:sz w:val="20"/>
                <w:szCs w:val="20"/>
              </w:rPr>
              <w:t>69</w:t>
            </w:r>
          </w:p>
        </w:tc>
        <w:tc>
          <w:tcPr>
            <w:tcW w:w="593" w:type="dxa"/>
            <w:tcBorders>
              <w:top w:val="nil"/>
              <w:left w:val="nil"/>
              <w:bottom w:val="nil"/>
              <w:right w:val="single" w:sz="18" w:space="0" w:color="auto"/>
            </w:tcBorders>
            <w:shd w:val="clear" w:color="000000" w:fill="FFFFFF"/>
            <w:noWrap/>
            <w:hideMark/>
          </w:tcPr>
          <w:p w14:paraId="1C8EC88E" w14:textId="2331D754"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w:t>
            </w:r>
            <w:r w:rsidR="00755CB7" w:rsidRPr="00D309F4">
              <w:rPr>
                <w:rFonts w:cs="Times New Roman"/>
                <w:sz w:val="20"/>
                <w:szCs w:val="20"/>
              </w:rPr>
              <w:t>4</w:t>
            </w:r>
            <w:r w:rsidRPr="00D309F4">
              <w:rPr>
                <w:rFonts w:cs="Times New Roman"/>
                <w:sz w:val="20"/>
                <w:szCs w:val="20"/>
              </w:rPr>
              <w:t>.</w:t>
            </w:r>
            <w:r w:rsidR="00755CB7" w:rsidRPr="00D309F4">
              <w:rPr>
                <w:rFonts w:cs="Times New Roman"/>
                <w:sz w:val="20"/>
                <w:szCs w:val="20"/>
              </w:rPr>
              <w:t>75</w:t>
            </w:r>
          </w:p>
        </w:tc>
        <w:tc>
          <w:tcPr>
            <w:tcW w:w="632" w:type="dxa"/>
            <w:tcBorders>
              <w:top w:val="nil"/>
              <w:left w:val="single" w:sz="18" w:space="0" w:color="auto"/>
              <w:bottom w:val="nil"/>
              <w:right w:val="nil"/>
            </w:tcBorders>
            <w:shd w:val="clear" w:color="000000" w:fill="FFFFFF"/>
            <w:noWrap/>
            <w:vAlign w:val="center"/>
            <w:hideMark/>
          </w:tcPr>
          <w:p w14:paraId="2CB0B69F"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hideMark/>
          </w:tcPr>
          <w:p w14:paraId="125AACBC"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2DA77F7C" w14:textId="412CB1B4"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1.00</w:t>
            </w:r>
          </w:p>
        </w:tc>
        <w:tc>
          <w:tcPr>
            <w:tcW w:w="631" w:type="dxa"/>
            <w:tcBorders>
              <w:top w:val="nil"/>
              <w:left w:val="nil"/>
              <w:bottom w:val="nil"/>
              <w:right w:val="single" w:sz="4" w:space="0" w:color="auto"/>
            </w:tcBorders>
            <w:shd w:val="clear" w:color="000000" w:fill="FFFFFF"/>
            <w:vAlign w:val="bottom"/>
          </w:tcPr>
          <w:p w14:paraId="41A7B2A7" w14:textId="18CEE9B3"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2.34</w:t>
            </w:r>
          </w:p>
        </w:tc>
        <w:tc>
          <w:tcPr>
            <w:tcW w:w="720" w:type="dxa"/>
            <w:tcBorders>
              <w:top w:val="nil"/>
              <w:left w:val="single" w:sz="4" w:space="0" w:color="auto"/>
              <w:bottom w:val="nil"/>
              <w:right w:val="nil"/>
            </w:tcBorders>
            <w:shd w:val="clear" w:color="000000" w:fill="FFFFFF"/>
            <w:noWrap/>
            <w:vAlign w:val="center"/>
            <w:hideMark/>
          </w:tcPr>
          <w:p w14:paraId="3BA159E6" w14:textId="16D9EEB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3802AFD6"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hideMark/>
          </w:tcPr>
          <w:p w14:paraId="5A207211" w14:textId="6B4FB0DB"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-0.45</w:t>
            </w:r>
          </w:p>
        </w:tc>
        <w:tc>
          <w:tcPr>
            <w:tcW w:w="630" w:type="dxa"/>
            <w:tcBorders>
              <w:top w:val="nil"/>
              <w:left w:val="nil"/>
              <w:bottom w:val="nil"/>
              <w:right w:val="single" w:sz="4" w:space="0" w:color="auto"/>
            </w:tcBorders>
            <w:shd w:val="clear" w:color="000000" w:fill="FFFFFF"/>
            <w:noWrap/>
            <w:vAlign w:val="bottom"/>
            <w:hideMark/>
          </w:tcPr>
          <w:p w14:paraId="29C4E166" w14:textId="2E6766D0"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-1.28</w:t>
            </w:r>
          </w:p>
        </w:tc>
        <w:tc>
          <w:tcPr>
            <w:tcW w:w="540" w:type="dxa"/>
            <w:tcBorders>
              <w:top w:val="nil"/>
              <w:left w:val="nil"/>
              <w:bottom w:val="nil"/>
              <w:right w:val="nil"/>
            </w:tcBorders>
            <w:shd w:val="clear" w:color="000000" w:fill="FFFFFF"/>
            <w:noWrap/>
            <w:vAlign w:val="center"/>
            <w:hideMark/>
          </w:tcPr>
          <w:p w14:paraId="0107DD20"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25BACAA6"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09FD1ABA"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4DF6F712"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bottom"/>
            <w:hideMark/>
          </w:tcPr>
          <w:p w14:paraId="16715727" w14:textId="4A1E66F0"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1.2</w:t>
            </w:r>
            <w:r w:rsidR="00817BB7" w:rsidRPr="00D309F4">
              <w:rPr>
                <w:rFonts w:cs="Times New Roman"/>
                <w:sz w:val="20"/>
                <w:szCs w:val="20"/>
              </w:rPr>
              <w:t>0</w:t>
            </w:r>
          </w:p>
        </w:tc>
        <w:tc>
          <w:tcPr>
            <w:tcW w:w="540" w:type="dxa"/>
            <w:tcBorders>
              <w:top w:val="nil"/>
              <w:left w:val="nil"/>
              <w:bottom w:val="nil"/>
              <w:right w:val="single" w:sz="4" w:space="0" w:color="auto"/>
            </w:tcBorders>
            <w:shd w:val="clear" w:color="000000" w:fill="FFFFFF"/>
            <w:noWrap/>
            <w:vAlign w:val="bottom"/>
            <w:hideMark/>
          </w:tcPr>
          <w:p w14:paraId="15293AA7" w14:textId="2FFF8F66"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3.79</w:t>
            </w:r>
          </w:p>
        </w:tc>
        <w:tc>
          <w:tcPr>
            <w:tcW w:w="720" w:type="dxa"/>
            <w:tcBorders>
              <w:top w:val="nil"/>
              <w:left w:val="nil"/>
              <w:bottom w:val="nil"/>
              <w:right w:val="nil"/>
            </w:tcBorders>
            <w:shd w:val="clear" w:color="000000" w:fill="FFFFFF"/>
            <w:noWrap/>
            <w:vAlign w:val="center"/>
            <w:hideMark/>
          </w:tcPr>
          <w:p w14:paraId="69BBD715"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6637263B" w14:textId="77777777" w:rsidR="00595C60" w:rsidRPr="00D309F4" w:rsidRDefault="00595C60" w:rsidP="00595C60">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52DBED36"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1E02FC5E" w14:textId="6C805223"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VFP * PHEV</w:t>
            </w:r>
          </w:p>
        </w:tc>
        <w:tc>
          <w:tcPr>
            <w:tcW w:w="564" w:type="dxa"/>
            <w:tcBorders>
              <w:top w:val="nil"/>
              <w:left w:val="single" w:sz="18" w:space="0" w:color="auto"/>
              <w:bottom w:val="nil"/>
              <w:right w:val="nil"/>
            </w:tcBorders>
            <w:shd w:val="clear" w:color="000000" w:fill="FFFFFF"/>
            <w:noWrap/>
          </w:tcPr>
          <w:p w14:paraId="73985459" w14:textId="3289C501" w:rsidR="00755CB7" w:rsidRPr="00D309F4" w:rsidRDefault="00D43BD9" w:rsidP="00755CB7">
            <w:pPr>
              <w:tabs>
                <w:tab w:val="decimal" w:pos="140"/>
              </w:tabs>
              <w:spacing w:after="0" w:line="240" w:lineRule="auto"/>
              <w:jc w:val="center"/>
              <w:rPr>
                <w:rFonts w:cs="Times New Roman"/>
                <w:sz w:val="20"/>
                <w:szCs w:val="20"/>
              </w:rPr>
            </w:pPr>
            <w:r w:rsidRPr="00D309F4">
              <w:rPr>
                <w:rFonts w:cs="Times New Roman"/>
                <w:sz w:val="20"/>
                <w:szCs w:val="20"/>
              </w:rPr>
              <w:t>0.73</w:t>
            </w:r>
          </w:p>
        </w:tc>
        <w:tc>
          <w:tcPr>
            <w:tcW w:w="593" w:type="dxa"/>
            <w:tcBorders>
              <w:top w:val="nil"/>
              <w:left w:val="nil"/>
              <w:bottom w:val="nil"/>
              <w:right w:val="single" w:sz="18" w:space="0" w:color="auto"/>
            </w:tcBorders>
            <w:shd w:val="clear" w:color="000000" w:fill="FFFFFF"/>
            <w:noWrap/>
          </w:tcPr>
          <w:p w14:paraId="35E8CEFF" w14:textId="46D38C57" w:rsidR="00755CB7" w:rsidRPr="00D309F4" w:rsidRDefault="00D43BD9" w:rsidP="00755CB7">
            <w:pPr>
              <w:tabs>
                <w:tab w:val="decimal" w:pos="140"/>
              </w:tabs>
              <w:spacing w:after="0" w:line="240" w:lineRule="auto"/>
              <w:jc w:val="center"/>
              <w:rPr>
                <w:rFonts w:cs="Times New Roman"/>
                <w:sz w:val="20"/>
                <w:szCs w:val="20"/>
              </w:rPr>
            </w:pPr>
            <w:r w:rsidRPr="00D309F4">
              <w:rPr>
                <w:rFonts w:cs="Times New Roman"/>
                <w:sz w:val="20"/>
                <w:szCs w:val="20"/>
              </w:rPr>
              <w:t>1.67</w:t>
            </w:r>
          </w:p>
        </w:tc>
        <w:tc>
          <w:tcPr>
            <w:tcW w:w="632" w:type="dxa"/>
            <w:tcBorders>
              <w:top w:val="nil"/>
              <w:left w:val="single" w:sz="18" w:space="0" w:color="auto"/>
              <w:bottom w:val="nil"/>
              <w:right w:val="nil"/>
            </w:tcBorders>
            <w:shd w:val="clear" w:color="000000" w:fill="FFFFFF"/>
            <w:noWrap/>
            <w:vAlign w:val="center"/>
          </w:tcPr>
          <w:p w14:paraId="3F59DF6F" w14:textId="4D1CC429"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75DD742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4BBDB2F1" w14:textId="639E3654"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478698FF"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11A8597D" w14:textId="479721C3"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027DC4A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tcPr>
          <w:p w14:paraId="2DED6BD8" w14:textId="0BF7093D"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084F1404"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5CBFA010" w14:textId="1F2A2302"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3E6C720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615E9BA7" w14:textId="2E8DBFE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0586493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bottom"/>
          </w:tcPr>
          <w:p w14:paraId="0BB3538B" w14:textId="0F078890"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7998B470"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724F2EAF" w14:textId="2F0EC40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62BEF57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19207AA1"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461CAC00" w14:textId="6C7F13C4"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VFP * Age 35-49</w:t>
            </w:r>
          </w:p>
        </w:tc>
        <w:tc>
          <w:tcPr>
            <w:tcW w:w="564" w:type="dxa"/>
            <w:tcBorders>
              <w:top w:val="nil"/>
              <w:left w:val="single" w:sz="18" w:space="0" w:color="auto"/>
              <w:bottom w:val="nil"/>
              <w:right w:val="nil"/>
            </w:tcBorders>
            <w:shd w:val="clear" w:color="000000" w:fill="FFFFFF"/>
            <w:noWrap/>
          </w:tcPr>
          <w:p w14:paraId="54FF5B88" w14:textId="62263672"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-0.31</w:t>
            </w:r>
          </w:p>
        </w:tc>
        <w:tc>
          <w:tcPr>
            <w:tcW w:w="593" w:type="dxa"/>
            <w:tcBorders>
              <w:top w:val="nil"/>
              <w:left w:val="nil"/>
              <w:bottom w:val="nil"/>
              <w:right w:val="single" w:sz="18" w:space="0" w:color="auto"/>
            </w:tcBorders>
            <w:shd w:val="clear" w:color="000000" w:fill="FFFFFF"/>
            <w:noWrap/>
          </w:tcPr>
          <w:p w14:paraId="636760F2" w14:textId="6F039126"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-1.72</w:t>
            </w:r>
          </w:p>
        </w:tc>
        <w:tc>
          <w:tcPr>
            <w:tcW w:w="632" w:type="dxa"/>
            <w:tcBorders>
              <w:top w:val="nil"/>
              <w:left w:val="single" w:sz="18" w:space="0" w:color="auto"/>
              <w:bottom w:val="nil"/>
              <w:right w:val="nil"/>
            </w:tcBorders>
            <w:shd w:val="clear" w:color="000000" w:fill="FFFFFF"/>
            <w:noWrap/>
            <w:vAlign w:val="center"/>
          </w:tcPr>
          <w:p w14:paraId="0FFF1D60" w14:textId="54C4DAF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4916B03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0672D446" w14:textId="66EC9EFB"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7E462DEF"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655D25FA" w14:textId="26E5D8AE"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4186E74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tcPr>
          <w:p w14:paraId="6F634124" w14:textId="5E00BF20"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4DC704AD"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670B51C3" w14:textId="2ACABAF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384C9BC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6E00F762" w14:textId="459810E3"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361F5F7E" w14:textId="77777777" w:rsidR="00755CB7" w:rsidRPr="00D309F4" w:rsidRDefault="00755CB7" w:rsidP="00755CB7">
            <w:pPr>
              <w:tabs>
                <w:tab w:val="decimal" w:pos="140"/>
              </w:tabs>
              <w:spacing w:after="0" w:line="240" w:lineRule="auto"/>
              <w:jc w:val="center"/>
              <w:rPr>
                <w:rFonts w:cs="Times New Roman"/>
                <w:sz w:val="20"/>
                <w:szCs w:val="20"/>
              </w:rPr>
            </w:pPr>
          </w:p>
        </w:tc>
        <w:tc>
          <w:tcPr>
            <w:tcW w:w="630" w:type="dxa"/>
            <w:tcBorders>
              <w:top w:val="nil"/>
              <w:left w:val="nil"/>
              <w:bottom w:val="nil"/>
              <w:right w:val="nil"/>
            </w:tcBorders>
            <w:shd w:val="clear" w:color="000000" w:fill="FFFFFF"/>
            <w:noWrap/>
            <w:vAlign w:val="bottom"/>
          </w:tcPr>
          <w:p w14:paraId="6C9F2609" w14:textId="6FE978D8"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30830921"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2E01F328" w14:textId="7EAD656A"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1BDA19E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3B501CB4"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2B288B3E" w14:textId="76E4418F"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VFP * Age 50-64</w:t>
            </w:r>
          </w:p>
        </w:tc>
        <w:tc>
          <w:tcPr>
            <w:tcW w:w="564" w:type="dxa"/>
            <w:tcBorders>
              <w:top w:val="nil"/>
              <w:left w:val="single" w:sz="18" w:space="0" w:color="auto"/>
              <w:bottom w:val="nil"/>
              <w:right w:val="nil"/>
            </w:tcBorders>
            <w:shd w:val="clear" w:color="000000" w:fill="FFFFFF"/>
            <w:noWrap/>
          </w:tcPr>
          <w:p w14:paraId="4D728C82" w14:textId="2DB3F460"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-0.50</w:t>
            </w:r>
          </w:p>
        </w:tc>
        <w:tc>
          <w:tcPr>
            <w:tcW w:w="593" w:type="dxa"/>
            <w:tcBorders>
              <w:top w:val="nil"/>
              <w:left w:val="nil"/>
              <w:bottom w:val="nil"/>
              <w:right w:val="single" w:sz="18" w:space="0" w:color="auto"/>
            </w:tcBorders>
            <w:shd w:val="clear" w:color="000000" w:fill="FFFFFF"/>
            <w:noWrap/>
          </w:tcPr>
          <w:p w14:paraId="3E853FE7" w14:textId="6BB2D03A"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-3.10</w:t>
            </w:r>
          </w:p>
        </w:tc>
        <w:tc>
          <w:tcPr>
            <w:tcW w:w="632" w:type="dxa"/>
            <w:tcBorders>
              <w:top w:val="nil"/>
              <w:left w:val="single" w:sz="18" w:space="0" w:color="auto"/>
              <w:bottom w:val="nil"/>
              <w:right w:val="nil"/>
            </w:tcBorders>
            <w:shd w:val="clear" w:color="000000" w:fill="FFFFFF"/>
            <w:noWrap/>
            <w:vAlign w:val="center"/>
          </w:tcPr>
          <w:p w14:paraId="18F1513E" w14:textId="1CF6F21A"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7CC6869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67258114" w14:textId="1A851D82"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24D5C7CA"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385E5CF6" w14:textId="5182E59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1721154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tcPr>
          <w:p w14:paraId="6B39D1FA" w14:textId="3D1FDFE5"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243962D3"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48910DFF" w14:textId="436B065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7FD2C53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53E4465D" w14:textId="0DFCB2A0"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776C3BF8" w14:textId="77777777" w:rsidR="00755CB7" w:rsidRPr="00D309F4" w:rsidRDefault="00755CB7" w:rsidP="00755CB7">
            <w:pPr>
              <w:tabs>
                <w:tab w:val="decimal" w:pos="140"/>
              </w:tabs>
              <w:spacing w:after="0" w:line="240" w:lineRule="auto"/>
              <w:jc w:val="center"/>
              <w:rPr>
                <w:rFonts w:cs="Times New Roman"/>
                <w:sz w:val="20"/>
                <w:szCs w:val="20"/>
              </w:rPr>
            </w:pPr>
          </w:p>
        </w:tc>
        <w:tc>
          <w:tcPr>
            <w:tcW w:w="630" w:type="dxa"/>
            <w:tcBorders>
              <w:top w:val="nil"/>
              <w:left w:val="nil"/>
              <w:bottom w:val="nil"/>
              <w:right w:val="nil"/>
            </w:tcBorders>
            <w:shd w:val="clear" w:color="000000" w:fill="FFFFFF"/>
            <w:noWrap/>
            <w:vAlign w:val="bottom"/>
          </w:tcPr>
          <w:p w14:paraId="0E457F4D" w14:textId="24099961"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1B315729"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4EE97D7C" w14:textId="29D7C1D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6E7FE3B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6D14CEFD"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4AFF749B" w14:textId="45EB3A9B"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VFP * Age 65+</w:t>
            </w:r>
          </w:p>
        </w:tc>
        <w:tc>
          <w:tcPr>
            <w:tcW w:w="564" w:type="dxa"/>
            <w:tcBorders>
              <w:top w:val="nil"/>
              <w:left w:val="single" w:sz="18" w:space="0" w:color="auto"/>
              <w:bottom w:val="nil"/>
              <w:right w:val="nil"/>
            </w:tcBorders>
            <w:shd w:val="clear" w:color="000000" w:fill="FFFFFF"/>
            <w:noWrap/>
          </w:tcPr>
          <w:p w14:paraId="45292B56" w14:textId="6C3417C2"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-0.55</w:t>
            </w:r>
          </w:p>
        </w:tc>
        <w:tc>
          <w:tcPr>
            <w:tcW w:w="593" w:type="dxa"/>
            <w:tcBorders>
              <w:top w:val="nil"/>
              <w:left w:val="nil"/>
              <w:bottom w:val="nil"/>
              <w:right w:val="single" w:sz="18" w:space="0" w:color="auto"/>
            </w:tcBorders>
            <w:shd w:val="clear" w:color="000000" w:fill="FFFFFF"/>
            <w:noWrap/>
          </w:tcPr>
          <w:p w14:paraId="57705197" w14:textId="25806A4F"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-2.15</w:t>
            </w:r>
          </w:p>
        </w:tc>
        <w:tc>
          <w:tcPr>
            <w:tcW w:w="632" w:type="dxa"/>
            <w:tcBorders>
              <w:top w:val="nil"/>
              <w:left w:val="single" w:sz="18" w:space="0" w:color="auto"/>
              <w:bottom w:val="nil"/>
              <w:right w:val="nil"/>
            </w:tcBorders>
            <w:shd w:val="clear" w:color="000000" w:fill="FFFFFF"/>
            <w:noWrap/>
            <w:vAlign w:val="center"/>
          </w:tcPr>
          <w:p w14:paraId="0AF6F569" w14:textId="43A3CA06"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3F3171A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66E2939F" w14:textId="49D3CAEE"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1D46272F"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275A098C" w14:textId="2469A05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442D00A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tcPr>
          <w:p w14:paraId="0D7FA4E6" w14:textId="5BF154B2"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74E5B9EF"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2C1AF060" w14:textId="7F2EA90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208451B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0F40A8B7" w14:textId="425E0645"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3E951AEB" w14:textId="77777777" w:rsidR="00755CB7" w:rsidRPr="00D309F4" w:rsidRDefault="00755CB7" w:rsidP="00755CB7">
            <w:pPr>
              <w:tabs>
                <w:tab w:val="decimal" w:pos="140"/>
              </w:tabs>
              <w:spacing w:after="0" w:line="240" w:lineRule="auto"/>
              <w:jc w:val="center"/>
              <w:rPr>
                <w:rFonts w:cs="Times New Roman"/>
                <w:sz w:val="20"/>
                <w:szCs w:val="20"/>
              </w:rPr>
            </w:pPr>
          </w:p>
        </w:tc>
        <w:tc>
          <w:tcPr>
            <w:tcW w:w="630" w:type="dxa"/>
            <w:tcBorders>
              <w:top w:val="nil"/>
              <w:left w:val="nil"/>
              <w:bottom w:val="nil"/>
              <w:right w:val="nil"/>
            </w:tcBorders>
            <w:shd w:val="clear" w:color="000000" w:fill="FFFFFF"/>
            <w:noWrap/>
            <w:vAlign w:val="bottom"/>
          </w:tcPr>
          <w:p w14:paraId="79368A2D" w14:textId="50C2F7D2"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3C5FD443"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435EE82E" w14:textId="56D96B29"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2AFDFE6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7E9BD85D"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61CEC1DB" w14:textId="11F55AD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VFP * Income $100,000 - $199,999</w:t>
            </w:r>
          </w:p>
        </w:tc>
        <w:tc>
          <w:tcPr>
            <w:tcW w:w="564" w:type="dxa"/>
            <w:tcBorders>
              <w:top w:val="nil"/>
              <w:left w:val="single" w:sz="18" w:space="0" w:color="auto"/>
              <w:bottom w:val="nil"/>
              <w:right w:val="nil"/>
            </w:tcBorders>
            <w:shd w:val="clear" w:color="000000" w:fill="FFFFFF"/>
            <w:noWrap/>
          </w:tcPr>
          <w:p w14:paraId="53EFE1F3" w14:textId="0016A476"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-0.40</w:t>
            </w:r>
          </w:p>
        </w:tc>
        <w:tc>
          <w:tcPr>
            <w:tcW w:w="593" w:type="dxa"/>
            <w:tcBorders>
              <w:top w:val="nil"/>
              <w:left w:val="nil"/>
              <w:bottom w:val="nil"/>
              <w:right w:val="single" w:sz="18" w:space="0" w:color="auto"/>
            </w:tcBorders>
            <w:shd w:val="clear" w:color="000000" w:fill="FFFFFF"/>
            <w:noWrap/>
          </w:tcPr>
          <w:p w14:paraId="34BBF6A1" w14:textId="7FAFFD02"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-2.00</w:t>
            </w:r>
          </w:p>
        </w:tc>
        <w:tc>
          <w:tcPr>
            <w:tcW w:w="632" w:type="dxa"/>
            <w:tcBorders>
              <w:top w:val="nil"/>
              <w:left w:val="single" w:sz="18" w:space="0" w:color="auto"/>
              <w:bottom w:val="nil"/>
              <w:right w:val="nil"/>
            </w:tcBorders>
            <w:shd w:val="clear" w:color="000000" w:fill="FFFFFF"/>
            <w:noWrap/>
            <w:vAlign w:val="center"/>
          </w:tcPr>
          <w:p w14:paraId="29F13FAD" w14:textId="6C620B4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2724AAB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44B6D4CC" w14:textId="528872C9"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350E8288"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08B26EE1" w14:textId="1FA083B8"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40546E8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tcPr>
          <w:p w14:paraId="0221F5A3" w14:textId="2FF8F1FB"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6BD91C98"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032ADDC6" w14:textId="4CA4104A"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1E8AA45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tcPr>
          <w:p w14:paraId="47D03670" w14:textId="4A9DBAE2"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-0.42</w:t>
            </w:r>
          </w:p>
        </w:tc>
        <w:tc>
          <w:tcPr>
            <w:tcW w:w="630" w:type="dxa"/>
            <w:tcBorders>
              <w:top w:val="nil"/>
              <w:left w:val="nil"/>
              <w:bottom w:val="nil"/>
              <w:right w:val="single" w:sz="4" w:space="0" w:color="auto"/>
            </w:tcBorders>
            <w:shd w:val="clear" w:color="000000" w:fill="FFFFFF"/>
            <w:noWrap/>
          </w:tcPr>
          <w:p w14:paraId="19C54F71" w14:textId="20174D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-1.39</w:t>
            </w:r>
          </w:p>
        </w:tc>
        <w:tc>
          <w:tcPr>
            <w:tcW w:w="630" w:type="dxa"/>
            <w:tcBorders>
              <w:top w:val="nil"/>
              <w:left w:val="nil"/>
              <w:bottom w:val="nil"/>
              <w:right w:val="nil"/>
            </w:tcBorders>
            <w:shd w:val="clear" w:color="000000" w:fill="FFFFFF"/>
            <w:noWrap/>
            <w:vAlign w:val="bottom"/>
          </w:tcPr>
          <w:p w14:paraId="418552FB" w14:textId="1820BF76"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32CD321D"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05084E97" w14:textId="1EBECF80"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2ABBB85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76708712"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6DF2CA73" w14:textId="20B9F94A"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VFP * Income $200,000+</w:t>
            </w:r>
          </w:p>
        </w:tc>
        <w:tc>
          <w:tcPr>
            <w:tcW w:w="564" w:type="dxa"/>
            <w:tcBorders>
              <w:top w:val="nil"/>
              <w:left w:val="single" w:sz="18" w:space="0" w:color="auto"/>
              <w:bottom w:val="nil"/>
              <w:right w:val="nil"/>
            </w:tcBorders>
            <w:shd w:val="clear" w:color="000000" w:fill="FFFFFF"/>
            <w:noWrap/>
          </w:tcPr>
          <w:p w14:paraId="164D89D4" w14:textId="1D8A3422"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-0.77</w:t>
            </w:r>
          </w:p>
        </w:tc>
        <w:tc>
          <w:tcPr>
            <w:tcW w:w="593" w:type="dxa"/>
            <w:tcBorders>
              <w:top w:val="nil"/>
              <w:left w:val="nil"/>
              <w:bottom w:val="nil"/>
              <w:right w:val="single" w:sz="18" w:space="0" w:color="auto"/>
            </w:tcBorders>
            <w:shd w:val="clear" w:color="000000" w:fill="FFFFFF"/>
            <w:noWrap/>
          </w:tcPr>
          <w:p w14:paraId="37AD3ACB" w14:textId="59FECDF2"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-2.72</w:t>
            </w:r>
          </w:p>
        </w:tc>
        <w:tc>
          <w:tcPr>
            <w:tcW w:w="632" w:type="dxa"/>
            <w:tcBorders>
              <w:top w:val="nil"/>
              <w:left w:val="single" w:sz="18" w:space="0" w:color="auto"/>
              <w:bottom w:val="nil"/>
              <w:right w:val="nil"/>
            </w:tcBorders>
            <w:shd w:val="clear" w:color="000000" w:fill="FFFFFF"/>
            <w:noWrap/>
            <w:vAlign w:val="center"/>
          </w:tcPr>
          <w:p w14:paraId="0BB5611B" w14:textId="54890618"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485AF6B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64B897C2" w14:textId="7236207C"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18A2EB49"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3D290206" w14:textId="70CD88C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693F63F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tcPr>
          <w:p w14:paraId="3FEBC983" w14:textId="308BF884"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539E6FF2"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00396A17" w14:textId="72893ED2"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35A7994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tcPr>
          <w:p w14:paraId="79B0C123" w14:textId="39038E2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-0.55</w:t>
            </w:r>
          </w:p>
        </w:tc>
        <w:tc>
          <w:tcPr>
            <w:tcW w:w="630" w:type="dxa"/>
            <w:tcBorders>
              <w:top w:val="nil"/>
              <w:left w:val="nil"/>
              <w:bottom w:val="nil"/>
              <w:right w:val="single" w:sz="4" w:space="0" w:color="auto"/>
            </w:tcBorders>
            <w:shd w:val="clear" w:color="000000" w:fill="FFFFFF"/>
            <w:noWrap/>
          </w:tcPr>
          <w:p w14:paraId="0CEE63B7" w14:textId="5870F8F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-1.80</w:t>
            </w:r>
          </w:p>
        </w:tc>
        <w:tc>
          <w:tcPr>
            <w:tcW w:w="630" w:type="dxa"/>
            <w:tcBorders>
              <w:top w:val="nil"/>
              <w:left w:val="nil"/>
              <w:bottom w:val="nil"/>
              <w:right w:val="nil"/>
            </w:tcBorders>
            <w:shd w:val="clear" w:color="000000" w:fill="FFFFFF"/>
            <w:noWrap/>
            <w:vAlign w:val="bottom"/>
          </w:tcPr>
          <w:p w14:paraId="30740AAB" w14:textId="2A9B7979"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6ECA1BE2"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5A9C9E2B" w14:textId="391D42C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456CB53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32869144"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76866DF5" w14:textId="6BAB8605"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VFP * Presence of children</w:t>
            </w:r>
          </w:p>
        </w:tc>
        <w:tc>
          <w:tcPr>
            <w:tcW w:w="564" w:type="dxa"/>
            <w:tcBorders>
              <w:top w:val="nil"/>
              <w:left w:val="single" w:sz="18" w:space="0" w:color="auto"/>
              <w:bottom w:val="nil"/>
              <w:right w:val="nil"/>
            </w:tcBorders>
            <w:shd w:val="clear" w:color="000000" w:fill="FFFFFF"/>
            <w:noWrap/>
          </w:tcPr>
          <w:p w14:paraId="1E3534EF" w14:textId="10B490E3"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0.56</w:t>
            </w:r>
          </w:p>
        </w:tc>
        <w:tc>
          <w:tcPr>
            <w:tcW w:w="593" w:type="dxa"/>
            <w:tcBorders>
              <w:top w:val="nil"/>
              <w:left w:val="nil"/>
              <w:bottom w:val="nil"/>
              <w:right w:val="single" w:sz="18" w:space="0" w:color="auto"/>
            </w:tcBorders>
            <w:shd w:val="clear" w:color="000000" w:fill="FFFFFF"/>
            <w:noWrap/>
          </w:tcPr>
          <w:p w14:paraId="7A3C8212" w14:textId="7A2713A0"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3.20</w:t>
            </w:r>
          </w:p>
        </w:tc>
        <w:tc>
          <w:tcPr>
            <w:tcW w:w="632" w:type="dxa"/>
            <w:tcBorders>
              <w:top w:val="nil"/>
              <w:left w:val="single" w:sz="18" w:space="0" w:color="auto"/>
              <w:bottom w:val="nil"/>
              <w:right w:val="nil"/>
            </w:tcBorders>
            <w:shd w:val="clear" w:color="000000" w:fill="FFFFFF"/>
            <w:noWrap/>
            <w:vAlign w:val="center"/>
          </w:tcPr>
          <w:p w14:paraId="7E56F727" w14:textId="3F413018"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695494D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6CDFF2AB" w14:textId="44E9076B"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666D8B25"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1380028E" w14:textId="5965160A"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30EEBB9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tcPr>
          <w:p w14:paraId="519F0D3B" w14:textId="1CAE8E86"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5DCB82EC"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636A868D" w14:textId="3AC40C9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08B8C1D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32F211AE" w14:textId="53633F4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0B9D044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bottom"/>
          </w:tcPr>
          <w:p w14:paraId="21B8BC08" w14:textId="1B2234E2"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47123BE6"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2190BADA" w14:textId="34F66B5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485CFDE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3D910737"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1AA1076B" w14:textId="6A56ABFC"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CMP</w:t>
            </w:r>
          </w:p>
        </w:tc>
        <w:tc>
          <w:tcPr>
            <w:tcW w:w="564" w:type="dxa"/>
            <w:tcBorders>
              <w:top w:val="nil"/>
              <w:left w:val="single" w:sz="18" w:space="0" w:color="auto"/>
              <w:bottom w:val="nil"/>
              <w:right w:val="nil"/>
            </w:tcBorders>
            <w:shd w:val="clear" w:color="000000" w:fill="FFFFFF"/>
            <w:noWrap/>
            <w:vAlign w:val="bottom"/>
            <w:hideMark/>
          </w:tcPr>
          <w:p w14:paraId="2EA65210" w14:textId="42A7C7C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1.31</w:t>
            </w:r>
          </w:p>
        </w:tc>
        <w:tc>
          <w:tcPr>
            <w:tcW w:w="593" w:type="dxa"/>
            <w:tcBorders>
              <w:top w:val="nil"/>
              <w:left w:val="nil"/>
              <w:bottom w:val="nil"/>
              <w:right w:val="single" w:sz="18" w:space="0" w:color="auto"/>
            </w:tcBorders>
            <w:shd w:val="clear" w:color="000000" w:fill="FFFFFF"/>
            <w:noWrap/>
            <w:vAlign w:val="bottom"/>
            <w:hideMark/>
          </w:tcPr>
          <w:p w14:paraId="3DA70083" w14:textId="7981BEE3"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6.48</w:t>
            </w:r>
          </w:p>
        </w:tc>
        <w:tc>
          <w:tcPr>
            <w:tcW w:w="632" w:type="dxa"/>
            <w:tcBorders>
              <w:top w:val="nil"/>
              <w:left w:val="single" w:sz="18" w:space="0" w:color="auto"/>
              <w:bottom w:val="nil"/>
              <w:right w:val="nil"/>
            </w:tcBorders>
            <w:shd w:val="clear" w:color="000000" w:fill="FFFFFF"/>
            <w:noWrap/>
            <w:vAlign w:val="bottom"/>
            <w:hideMark/>
          </w:tcPr>
          <w:p w14:paraId="4ACB6D1E" w14:textId="046367F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0.79</w:t>
            </w:r>
          </w:p>
        </w:tc>
        <w:tc>
          <w:tcPr>
            <w:tcW w:w="538" w:type="dxa"/>
            <w:tcBorders>
              <w:top w:val="nil"/>
              <w:left w:val="nil"/>
              <w:bottom w:val="nil"/>
              <w:right w:val="single" w:sz="4" w:space="0" w:color="auto"/>
            </w:tcBorders>
            <w:shd w:val="clear" w:color="000000" w:fill="FFFFFF"/>
            <w:noWrap/>
            <w:vAlign w:val="bottom"/>
            <w:hideMark/>
          </w:tcPr>
          <w:p w14:paraId="7925F555" w14:textId="0B5FF296"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3.72</w:t>
            </w:r>
          </w:p>
        </w:tc>
        <w:tc>
          <w:tcPr>
            <w:tcW w:w="631" w:type="dxa"/>
            <w:tcBorders>
              <w:top w:val="nil"/>
              <w:left w:val="nil"/>
              <w:bottom w:val="nil"/>
              <w:right w:val="nil"/>
            </w:tcBorders>
            <w:shd w:val="clear" w:color="000000" w:fill="FFFFFF"/>
            <w:vAlign w:val="bottom"/>
          </w:tcPr>
          <w:p w14:paraId="078BEE96" w14:textId="62E32100"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1.11</w:t>
            </w:r>
          </w:p>
        </w:tc>
        <w:tc>
          <w:tcPr>
            <w:tcW w:w="631" w:type="dxa"/>
            <w:tcBorders>
              <w:top w:val="nil"/>
              <w:left w:val="nil"/>
              <w:bottom w:val="nil"/>
              <w:right w:val="single" w:sz="4" w:space="0" w:color="auto"/>
            </w:tcBorders>
            <w:shd w:val="clear" w:color="000000" w:fill="FFFFFF"/>
            <w:vAlign w:val="bottom"/>
          </w:tcPr>
          <w:p w14:paraId="433D850B" w14:textId="7AEA1F75"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3.44</w:t>
            </w:r>
          </w:p>
        </w:tc>
        <w:tc>
          <w:tcPr>
            <w:tcW w:w="720" w:type="dxa"/>
            <w:tcBorders>
              <w:top w:val="nil"/>
              <w:left w:val="single" w:sz="4" w:space="0" w:color="auto"/>
              <w:bottom w:val="nil"/>
              <w:right w:val="nil"/>
            </w:tcBorders>
            <w:shd w:val="clear" w:color="000000" w:fill="FFFFFF"/>
            <w:noWrap/>
            <w:vAlign w:val="bottom"/>
            <w:hideMark/>
          </w:tcPr>
          <w:p w14:paraId="4041AB20" w14:textId="54C2001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0.42</w:t>
            </w:r>
          </w:p>
        </w:tc>
        <w:tc>
          <w:tcPr>
            <w:tcW w:w="540" w:type="dxa"/>
            <w:tcBorders>
              <w:top w:val="nil"/>
              <w:left w:val="nil"/>
              <w:bottom w:val="nil"/>
              <w:right w:val="single" w:sz="4" w:space="0" w:color="auto"/>
            </w:tcBorders>
            <w:shd w:val="clear" w:color="000000" w:fill="FFFFFF"/>
            <w:noWrap/>
            <w:vAlign w:val="bottom"/>
            <w:hideMark/>
          </w:tcPr>
          <w:p w14:paraId="324EBE2C" w14:textId="21606E6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2.00</w:t>
            </w:r>
          </w:p>
        </w:tc>
        <w:tc>
          <w:tcPr>
            <w:tcW w:w="540" w:type="dxa"/>
            <w:tcBorders>
              <w:top w:val="nil"/>
              <w:left w:val="nil"/>
              <w:bottom w:val="nil"/>
              <w:right w:val="nil"/>
            </w:tcBorders>
            <w:shd w:val="clear" w:color="000000" w:fill="FFFFFF"/>
            <w:noWrap/>
            <w:vAlign w:val="center"/>
            <w:hideMark/>
          </w:tcPr>
          <w:p w14:paraId="11E265C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3566EA7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483EB8E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2947E9D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46E3470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1828DAE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bottom"/>
            <w:hideMark/>
          </w:tcPr>
          <w:p w14:paraId="726246A0" w14:textId="6767895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0.46</w:t>
            </w:r>
          </w:p>
        </w:tc>
        <w:tc>
          <w:tcPr>
            <w:tcW w:w="540" w:type="dxa"/>
            <w:tcBorders>
              <w:top w:val="nil"/>
              <w:left w:val="nil"/>
              <w:bottom w:val="nil"/>
              <w:right w:val="single" w:sz="4" w:space="0" w:color="auto"/>
            </w:tcBorders>
            <w:shd w:val="clear" w:color="000000" w:fill="FFFFFF"/>
            <w:noWrap/>
            <w:vAlign w:val="bottom"/>
            <w:hideMark/>
          </w:tcPr>
          <w:p w14:paraId="3F3C543F" w14:textId="3C942479"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1.86</w:t>
            </w:r>
          </w:p>
        </w:tc>
        <w:tc>
          <w:tcPr>
            <w:tcW w:w="720" w:type="dxa"/>
            <w:tcBorders>
              <w:top w:val="nil"/>
              <w:left w:val="nil"/>
              <w:bottom w:val="nil"/>
              <w:right w:val="nil"/>
            </w:tcBorders>
            <w:shd w:val="clear" w:color="000000" w:fill="FFFFFF"/>
            <w:noWrap/>
            <w:vAlign w:val="bottom"/>
            <w:hideMark/>
          </w:tcPr>
          <w:p w14:paraId="0878D2ED" w14:textId="06B37C13"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-0.92</w:t>
            </w:r>
          </w:p>
        </w:tc>
        <w:tc>
          <w:tcPr>
            <w:tcW w:w="540" w:type="dxa"/>
            <w:tcBorders>
              <w:top w:val="nil"/>
              <w:left w:val="nil"/>
              <w:bottom w:val="nil"/>
              <w:right w:val="single" w:sz="18" w:space="0" w:color="auto"/>
            </w:tcBorders>
            <w:shd w:val="clear" w:color="000000" w:fill="FFFFFF"/>
            <w:noWrap/>
            <w:vAlign w:val="bottom"/>
            <w:hideMark/>
          </w:tcPr>
          <w:p w14:paraId="1E408001" w14:textId="0AB0940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-2.25</w:t>
            </w:r>
          </w:p>
        </w:tc>
      </w:tr>
      <w:tr w:rsidR="00755CB7" w:rsidRPr="00D309F4" w14:paraId="21497FC0"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0462D333" w14:textId="4DA0E902"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CMP * PHEV</w:t>
            </w:r>
          </w:p>
        </w:tc>
        <w:tc>
          <w:tcPr>
            <w:tcW w:w="564" w:type="dxa"/>
            <w:tcBorders>
              <w:top w:val="nil"/>
              <w:left w:val="single" w:sz="18" w:space="0" w:color="auto"/>
              <w:bottom w:val="nil"/>
              <w:right w:val="nil"/>
            </w:tcBorders>
            <w:shd w:val="clear" w:color="000000" w:fill="FFFFFF"/>
            <w:noWrap/>
            <w:vAlign w:val="bottom"/>
          </w:tcPr>
          <w:p w14:paraId="5E4CFAF5" w14:textId="2F5F1BFB"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0.59</w:t>
            </w:r>
          </w:p>
        </w:tc>
        <w:tc>
          <w:tcPr>
            <w:tcW w:w="593" w:type="dxa"/>
            <w:tcBorders>
              <w:top w:val="nil"/>
              <w:left w:val="nil"/>
              <w:bottom w:val="nil"/>
              <w:right w:val="single" w:sz="18" w:space="0" w:color="auto"/>
            </w:tcBorders>
            <w:shd w:val="clear" w:color="000000" w:fill="FFFFFF"/>
            <w:noWrap/>
            <w:vAlign w:val="bottom"/>
          </w:tcPr>
          <w:p w14:paraId="4A446205" w14:textId="55E3600D"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1.75</w:t>
            </w:r>
          </w:p>
        </w:tc>
        <w:tc>
          <w:tcPr>
            <w:tcW w:w="632" w:type="dxa"/>
            <w:tcBorders>
              <w:top w:val="nil"/>
              <w:left w:val="single" w:sz="18" w:space="0" w:color="auto"/>
              <w:bottom w:val="nil"/>
              <w:right w:val="nil"/>
            </w:tcBorders>
            <w:shd w:val="clear" w:color="000000" w:fill="FFFFFF"/>
            <w:noWrap/>
            <w:vAlign w:val="center"/>
          </w:tcPr>
          <w:p w14:paraId="3C712B90" w14:textId="6A65C41E"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tcPr>
          <w:p w14:paraId="5CA113AB" w14:textId="77777777" w:rsidR="00755CB7" w:rsidRPr="00D309F4" w:rsidRDefault="00755CB7" w:rsidP="00755CB7">
            <w:pPr>
              <w:tabs>
                <w:tab w:val="decimal" w:pos="140"/>
              </w:tabs>
              <w:spacing w:after="0" w:line="240" w:lineRule="auto"/>
              <w:jc w:val="center"/>
              <w:rPr>
                <w:rFonts w:cs="Times New Roman"/>
                <w:sz w:val="20"/>
                <w:szCs w:val="20"/>
              </w:rPr>
            </w:pPr>
          </w:p>
        </w:tc>
        <w:tc>
          <w:tcPr>
            <w:tcW w:w="631" w:type="dxa"/>
            <w:tcBorders>
              <w:top w:val="nil"/>
              <w:left w:val="nil"/>
              <w:bottom w:val="nil"/>
              <w:right w:val="nil"/>
            </w:tcBorders>
            <w:shd w:val="clear" w:color="000000" w:fill="FFFFFF"/>
            <w:vAlign w:val="bottom"/>
          </w:tcPr>
          <w:p w14:paraId="2A7C7797" w14:textId="5D21A28A"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bottom"/>
          </w:tcPr>
          <w:p w14:paraId="0404A7FD"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41AD3701" w14:textId="6E657AB2"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2D23EDA4"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bottom"/>
          </w:tcPr>
          <w:p w14:paraId="566082F8" w14:textId="4620F47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bottom"/>
          </w:tcPr>
          <w:p w14:paraId="4F8D4E7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tcPr>
          <w:p w14:paraId="7B090EE9" w14:textId="794ECE4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258E0A5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5530663A" w14:textId="5F4D1060"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3CCEB41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bottom"/>
          </w:tcPr>
          <w:p w14:paraId="60E0655F" w14:textId="2A7A19E7"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bottom"/>
          </w:tcPr>
          <w:p w14:paraId="1B9DC721"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0EECF9C2" w14:textId="29408365"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343646DE" w14:textId="77777777" w:rsidR="00755CB7" w:rsidRPr="00D309F4" w:rsidRDefault="00755CB7" w:rsidP="00755CB7">
            <w:pPr>
              <w:tabs>
                <w:tab w:val="decimal" w:pos="140"/>
              </w:tabs>
              <w:spacing w:after="0" w:line="240" w:lineRule="auto"/>
              <w:jc w:val="center"/>
              <w:rPr>
                <w:rFonts w:cs="Times New Roman"/>
                <w:sz w:val="20"/>
                <w:szCs w:val="20"/>
              </w:rPr>
            </w:pPr>
          </w:p>
        </w:tc>
      </w:tr>
      <w:tr w:rsidR="00755CB7" w:rsidRPr="00D309F4" w14:paraId="55EC1C02"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3F9FE87A" w14:textId="563CBDBF"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CMP * Income $100,000 - $199,999</w:t>
            </w:r>
          </w:p>
        </w:tc>
        <w:tc>
          <w:tcPr>
            <w:tcW w:w="564" w:type="dxa"/>
            <w:tcBorders>
              <w:top w:val="nil"/>
              <w:left w:val="single" w:sz="18" w:space="0" w:color="auto"/>
              <w:bottom w:val="nil"/>
              <w:right w:val="nil"/>
            </w:tcBorders>
            <w:shd w:val="clear" w:color="000000" w:fill="FFFFFF"/>
            <w:noWrap/>
            <w:vAlign w:val="center"/>
          </w:tcPr>
          <w:p w14:paraId="74A65A1F" w14:textId="003CB0FD"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93" w:type="dxa"/>
            <w:tcBorders>
              <w:top w:val="nil"/>
              <w:left w:val="nil"/>
              <w:bottom w:val="nil"/>
              <w:right w:val="single" w:sz="18" w:space="0" w:color="auto"/>
            </w:tcBorders>
            <w:shd w:val="clear" w:color="000000" w:fill="FFFFFF"/>
            <w:noWrap/>
            <w:vAlign w:val="center"/>
          </w:tcPr>
          <w:p w14:paraId="2CDC543E" w14:textId="77777777" w:rsidR="00755CB7" w:rsidRPr="00D309F4" w:rsidRDefault="00755CB7" w:rsidP="00755CB7">
            <w:pPr>
              <w:tabs>
                <w:tab w:val="decimal" w:pos="140"/>
              </w:tabs>
              <w:spacing w:after="0" w:line="240" w:lineRule="auto"/>
              <w:jc w:val="center"/>
              <w:rPr>
                <w:rFonts w:cs="Times New Roman"/>
                <w:sz w:val="20"/>
                <w:szCs w:val="20"/>
              </w:rPr>
            </w:pPr>
          </w:p>
        </w:tc>
        <w:tc>
          <w:tcPr>
            <w:tcW w:w="632" w:type="dxa"/>
            <w:tcBorders>
              <w:top w:val="nil"/>
              <w:left w:val="single" w:sz="18" w:space="0" w:color="auto"/>
              <w:bottom w:val="nil"/>
              <w:right w:val="nil"/>
            </w:tcBorders>
            <w:shd w:val="clear" w:color="000000" w:fill="FFFFFF"/>
            <w:noWrap/>
            <w:vAlign w:val="bottom"/>
          </w:tcPr>
          <w:p w14:paraId="1B98A777" w14:textId="287765EF"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-0.27</w:t>
            </w:r>
          </w:p>
        </w:tc>
        <w:tc>
          <w:tcPr>
            <w:tcW w:w="538" w:type="dxa"/>
            <w:tcBorders>
              <w:top w:val="nil"/>
              <w:left w:val="nil"/>
              <w:bottom w:val="nil"/>
              <w:right w:val="single" w:sz="4" w:space="0" w:color="auto"/>
            </w:tcBorders>
            <w:shd w:val="clear" w:color="000000" w:fill="FFFFFF"/>
            <w:noWrap/>
            <w:vAlign w:val="bottom"/>
          </w:tcPr>
          <w:p w14:paraId="4A5D4B02" w14:textId="02C5C9D6"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-1.35</w:t>
            </w:r>
          </w:p>
        </w:tc>
        <w:tc>
          <w:tcPr>
            <w:tcW w:w="631" w:type="dxa"/>
            <w:tcBorders>
              <w:top w:val="nil"/>
              <w:left w:val="nil"/>
              <w:bottom w:val="nil"/>
              <w:right w:val="nil"/>
            </w:tcBorders>
            <w:shd w:val="clear" w:color="000000" w:fill="FFFFFF"/>
            <w:vAlign w:val="center"/>
          </w:tcPr>
          <w:p w14:paraId="78137034" w14:textId="4497F3BE"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center"/>
          </w:tcPr>
          <w:p w14:paraId="1CC46AFC"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36491532" w14:textId="78B91FCF"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2CBEFC3A"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35DF077A" w14:textId="57F0F4E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482E94F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tcPr>
          <w:p w14:paraId="3E155957" w14:textId="459169E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54112C61"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31E073E9" w14:textId="61AA6BEE"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0ACB6FF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3993F52F" w14:textId="3DE6CB84"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7C31CF5B"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1DECDA9C" w14:textId="431AF825"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228B5296" w14:textId="77777777" w:rsidR="00755CB7" w:rsidRPr="00D309F4" w:rsidRDefault="00755CB7" w:rsidP="00755CB7">
            <w:pPr>
              <w:tabs>
                <w:tab w:val="decimal" w:pos="140"/>
              </w:tabs>
              <w:spacing w:after="0" w:line="240" w:lineRule="auto"/>
              <w:jc w:val="center"/>
              <w:rPr>
                <w:rFonts w:cs="Times New Roman"/>
                <w:sz w:val="20"/>
                <w:szCs w:val="20"/>
              </w:rPr>
            </w:pPr>
          </w:p>
        </w:tc>
      </w:tr>
      <w:tr w:rsidR="00755CB7" w:rsidRPr="00D309F4" w14:paraId="08046276"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tcPr>
          <w:p w14:paraId="30051A86" w14:textId="047E1926"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CMP * Income $200,000+</w:t>
            </w:r>
          </w:p>
        </w:tc>
        <w:tc>
          <w:tcPr>
            <w:tcW w:w="564" w:type="dxa"/>
            <w:tcBorders>
              <w:top w:val="nil"/>
              <w:left w:val="single" w:sz="18" w:space="0" w:color="auto"/>
              <w:bottom w:val="nil"/>
              <w:right w:val="nil"/>
            </w:tcBorders>
            <w:shd w:val="clear" w:color="000000" w:fill="FFFFFF"/>
            <w:noWrap/>
            <w:vAlign w:val="center"/>
          </w:tcPr>
          <w:p w14:paraId="4ED74252" w14:textId="23EC2D91"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93" w:type="dxa"/>
            <w:tcBorders>
              <w:top w:val="nil"/>
              <w:left w:val="nil"/>
              <w:bottom w:val="nil"/>
              <w:right w:val="single" w:sz="18" w:space="0" w:color="auto"/>
            </w:tcBorders>
            <w:shd w:val="clear" w:color="000000" w:fill="FFFFFF"/>
            <w:noWrap/>
            <w:vAlign w:val="center"/>
          </w:tcPr>
          <w:p w14:paraId="3318341C" w14:textId="77777777" w:rsidR="00755CB7" w:rsidRPr="00D309F4" w:rsidRDefault="00755CB7" w:rsidP="00755CB7">
            <w:pPr>
              <w:tabs>
                <w:tab w:val="decimal" w:pos="140"/>
              </w:tabs>
              <w:spacing w:after="0" w:line="240" w:lineRule="auto"/>
              <w:jc w:val="center"/>
              <w:rPr>
                <w:rFonts w:cs="Times New Roman"/>
                <w:sz w:val="20"/>
                <w:szCs w:val="20"/>
              </w:rPr>
            </w:pPr>
          </w:p>
        </w:tc>
        <w:tc>
          <w:tcPr>
            <w:tcW w:w="632" w:type="dxa"/>
            <w:tcBorders>
              <w:top w:val="nil"/>
              <w:left w:val="single" w:sz="18" w:space="0" w:color="auto"/>
              <w:bottom w:val="nil"/>
              <w:right w:val="nil"/>
            </w:tcBorders>
            <w:shd w:val="clear" w:color="000000" w:fill="FFFFFF"/>
            <w:noWrap/>
            <w:vAlign w:val="bottom"/>
          </w:tcPr>
          <w:p w14:paraId="4293D45D" w14:textId="78DCD3CE"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-0.32</w:t>
            </w:r>
          </w:p>
        </w:tc>
        <w:tc>
          <w:tcPr>
            <w:tcW w:w="538" w:type="dxa"/>
            <w:tcBorders>
              <w:top w:val="nil"/>
              <w:left w:val="nil"/>
              <w:bottom w:val="nil"/>
              <w:right w:val="single" w:sz="4" w:space="0" w:color="auto"/>
            </w:tcBorders>
            <w:shd w:val="clear" w:color="000000" w:fill="FFFFFF"/>
            <w:noWrap/>
            <w:vAlign w:val="bottom"/>
          </w:tcPr>
          <w:p w14:paraId="3C46C47C" w14:textId="4AB68777"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-1.65</w:t>
            </w:r>
          </w:p>
        </w:tc>
        <w:tc>
          <w:tcPr>
            <w:tcW w:w="631" w:type="dxa"/>
            <w:tcBorders>
              <w:top w:val="nil"/>
              <w:left w:val="nil"/>
              <w:bottom w:val="nil"/>
              <w:right w:val="nil"/>
            </w:tcBorders>
            <w:shd w:val="clear" w:color="000000" w:fill="FFFFFF"/>
            <w:vAlign w:val="center"/>
          </w:tcPr>
          <w:p w14:paraId="01EC9494" w14:textId="6E33CCD8"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center"/>
          </w:tcPr>
          <w:p w14:paraId="6C0CA8D6"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center"/>
          </w:tcPr>
          <w:p w14:paraId="3CB606FE" w14:textId="13125754"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2E370262"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bottom w:val="nil"/>
              <w:right w:val="nil"/>
            </w:tcBorders>
            <w:shd w:val="clear" w:color="000000" w:fill="FFFFFF"/>
            <w:noWrap/>
            <w:vAlign w:val="center"/>
          </w:tcPr>
          <w:p w14:paraId="0F6347B7" w14:textId="59201830"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6EC2F05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tcPr>
          <w:p w14:paraId="478B815D" w14:textId="162A88A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4DEEB08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58F688BA" w14:textId="10ACEC9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tcPr>
          <w:p w14:paraId="04E81A1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tcPr>
          <w:p w14:paraId="573CD77D" w14:textId="3395544C"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tcPr>
          <w:p w14:paraId="5423C408"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bottom w:val="nil"/>
              <w:right w:val="nil"/>
            </w:tcBorders>
            <w:shd w:val="clear" w:color="000000" w:fill="FFFFFF"/>
            <w:noWrap/>
            <w:vAlign w:val="center"/>
          </w:tcPr>
          <w:p w14:paraId="7B2436C7" w14:textId="0B9C4ADF"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37566242" w14:textId="77777777" w:rsidR="00755CB7" w:rsidRPr="00D309F4" w:rsidRDefault="00755CB7" w:rsidP="00755CB7">
            <w:pPr>
              <w:tabs>
                <w:tab w:val="decimal" w:pos="140"/>
              </w:tabs>
              <w:spacing w:after="0" w:line="240" w:lineRule="auto"/>
              <w:jc w:val="center"/>
              <w:rPr>
                <w:rFonts w:cs="Times New Roman"/>
                <w:sz w:val="20"/>
                <w:szCs w:val="20"/>
              </w:rPr>
            </w:pPr>
          </w:p>
        </w:tc>
      </w:tr>
      <w:tr w:rsidR="00755CB7" w:rsidRPr="00D309F4" w14:paraId="05CDFC38" w14:textId="77777777" w:rsidTr="00A66E92">
        <w:trPr>
          <w:trHeight w:val="144"/>
          <w:jc w:val="center"/>
        </w:trPr>
        <w:tc>
          <w:tcPr>
            <w:tcW w:w="3577" w:type="dxa"/>
            <w:tcBorders>
              <w:top w:val="nil"/>
              <w:left w:val="single" w:sz="18" w:space="0" w:color="auto"/>
              <w:right w:val="single" w:sz="18" w:space="0" w:color="auto"/>
            </w:tcBorders>
            <w:shd w:val="clear" w:color="000000" w:fill="FFFFFF"/>
            <w:noWrap/>
            <w:vAlign w:val="center"/>
          </w:tcPr>
          <w:p w14:paraId="1C72AE45" w14:textId="0528FC7A"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CMP * Presence of children</w:t>
            </w:r>
          </w:p>
        </w:tc>
        <w:tc>
          <w:tcPr>
            <w:tcW w:w="564" w:type="dxa"/>
            <w:tcBorders>
              <w:top w:val="nil"/>
              <w:left w:val="single" w:sz="18" w:space="0" w:color="auto"/>
              <w:right w:val="nil"/>
            </w:tcBorders>
            <w:shd w:val="clear" w:color="000000" w:fill="FFFFFF"/>
            <w:noWrap/>
            <w:vAlign w:val="bottom"/>
          </w:tcPr>
          <w:p w14:paraId="76945465" w14:textId="15CE7F5A"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0.46</w:t>
            </w:r>
          </w:p>
        </w:tc>
        <w:tc>
          <w:tcPr>
            <w:tcW w:w="593" w:type="dxa"/>
            <w:tcBorders>
              <w:top w:val="nil"/>
              <w:left w:val="nil"/>
              <w:right w:val="single" w:sz="18" w:space="0" w:color="auto"/>
            </w:tcBorders>
            <w:shd w:val="clear" w:color="000000" w:fill="FFFFFF"/>
            <w:noWrap/>
            <w:vAlign w:val="bottom"/>
          </w:tcPr>
          <w:p w14:paraId="3376A3E6" w14:textId="2DF85C2A"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2.07</w:t>
            </w:r>
          </w:p>
        </w:tc>
        <w:tc>
          <w:tcPr>
            <w:tcW w:w="632" w:type="dxa"/>
            <w:tcBorders>
              <w:top w:val="nil"/>
              <w:left w:val="single" w:sz="18" w:space="0" w:color="auto"/>
              <w:right w:val="nil"/>
            </w:tcBorders>
            <w:shd w:val="clear" w:color="000000" w:fill="FFFFFF"/>
            <w:noWrap/>
            <w:vAlign w:val="center"/>
          </w:tcPr>
          <w:p w14:paraId="697A761C" w14:textId="7CE576A8"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38" w:type="dxa"/>
            <w:tcBorders>
              <w:top w:val="nil"/>
              <w:left w:val="nil"/>
              <w:right w:val="single" w:sz="4" w:space="0" w:color="auto"/>
            </w:tcBorders>
            <w:shd w:val="clear" w:color="000000" w:fill="FFFFFF"/>
            <w:noWrap/>
            <w:vAlign w:val="center"/>
          </w:tcPr>
          <w:p w14:paraId="1A11FBEC" w14:textId="77777777" w:rsidR="00755CB7" w:rsidRPr="00D309F4" w:rsidRDefault="00755CB7" w:rsidP="00755CB7">
            <w:pPr>
              <w:tabs>
                <w:tab w:val="decimal" w:pos="140"/>
              </w:tabs>
              <w:spacing w:after="0" w:line="240" w:lineRule="auto"/>
              <w:jc w:val="center"/>
              <w:rPr>
                <w:rFonts w:cs="Times New Roman"/>
                <w:sz w:val="20"/>
                <w:szCs w:val="20"/>
              </w:rPr>
            </w:pPr>
          </w:p>
        </w:tc>
        <w:tc>
          <w:tcPr>
            <w:tcW w:w="631" w:type="dxa"/>
            <w:tcBorders>
              <w:top w:val="nil"/>
              <w:left w:val="nil"/>
              <w:right w:val="nil"/>
            </w:tcBorders>
            <w:shd w:val="clear" w:color="000000" w:fill="FFFFFF"/>
            <w:vAlign w:val="center"/>
          </w:tcPr>
          <w:p w14:paraId="3EFA47DA" w14:textId="744909D9"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right w:val="single" w:sz="4" w:space="0" w:color="auto"/>
            </w:tcBorders>
            <w:shd w:val="clear" w:color="000000" w:fill="FFFFFF"/>
            <w:vAlign w:val="center"/>
          </w:tcPr>
          <w:p w14:paraId="22A35C1A"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right w:val="nil"/>
            </w:tcBorders>
            <w:shd w:val="clear" w:color="000000" w:fill="FFFFFF"/>
            <w:noWrap/>
            <w:vAlign w:val="center"/>
          </w:tcPr>
          <w:p w14:paraId="7011061E" w14:textId="3558831E"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tcPr>
          <w:p w14:paraId="5824A156"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top w:val="nil"/>
              <w:left w:val="nil"/>
              <w:right w:val="nil"/>
            </w:tcBorders>
            <w:shd w:val="clear" w:color="000000" w:fill="FFFFFF"/>
            <w:noWrap/>
            <w:vAlign w:val="center"/>
          </w:tcPr>
          <w:p w14:paraId="104E4493" w14:textId="356D353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tcPr>
          <w:p w14:paraId="25A9773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tcPr>
          <w:p w14:paraId="714E910D" w14:textId="646197D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tcPr>
          <w:p w14:paraId="6E1FA26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tcPr>
          <w:p w14:paraId="4EA5F480" w14:textId="1440AB7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tcPr>
          <w:p w14:paraId="4FA1BD6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tcPr>
          <w:p w14:paraId="0AECB9CB" w14:textId="11CD2C9F"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tcPr>
          <w:p w14:paraId="36A06741"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nil"/>
              <w:right w:val="nil"/>
            </w:tcBorders>
            <w:shd w:val="clear" w:color="000000" w:fill="FFFFFF"/>
            <w:noWrap/>
            <w:vAlign w:val="center"/>
          </w:tcPr>
          <w:p w14:paraId="42A5FF88" w14:textId="538DCEE5"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right w:val="single" w:sz="18" w:space="0" w:color="auto"/>
            </w:tcBorders>
            <w:shd w:val="clear" w:color="000000" w:fill="FFFFFF"/>
            <w:noWrap/>
            <w:vAlign w:val="center"/>
          </w:tcPr>
          <w:p w14:paraId="7548D2DA" w14:textId="77777777" w:rsidR="00755CB7" w:rsidRPr="00D309F4" w:rsidRDefault="00755CB7" w:rsidP="00755CB7">
            <w:pPr>
              <w:tabs>
                <w:tab w:val="decimal" w:pos="140"/>
              </w:tabs>
              <w:spacing w:after="0" w:line="240" w:lineRule="auto"/>
              <w:jc w:val="center"/>
              <w:rPr>
                <w:rFonts w:cs="Times New Roman"/>
                <w:sz w:val="20"/>
                <w:szCs w:val="20"/>
              </w:rPr>
            </w:pPr>
          </w:p>
        </w:tc>
      </w:tr>
      <w:tr w:rsidR="00755CB7" w:rsidRPr="00D309F4" w14:paraId="6E4C3162" w14:textId="77777777" w:rsidTr="00A66E92">
        <w:trPr>
          <w:trHeight w:val="144"/>
          <w:jc w:val="center"/>
        </w:trPr>
        <w:tc>
          <w:tcPr>
            <w:tcW w:w="3577" w:type="dxa"/>
            <w:tcBorders>
              <w:top w:val="nil"/>
              <w:left w:val="single" w:sz="18" w:space="0" w:color="auto"/>
              <w:right w:val="single" w:sz="18" w:space="0" w:color="auto"/>
            </w:tcBorders>
            <w:shd w:val="clear" w:color="000000" w:fill="FFFFFF"/>
            <w:noWrap/>
            <w:vAlign w:val="center"/>
            <w:hideMark/>
          </w:tcPr>
          <w:p w14:paraId="7FCE91F5" w14:textId="315EE506"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BRP</w:t>
            </w:r>
          </w:p>
        </w:tc>
        <w:tc>
          <w:tcPr>
            <w:tcW w:w="564" w:type="dxa"/>
            <w:tcBorders>
              <w:top w:val="nil"/>
              <w:left w:val="single" w:sz="18" w:space="0" w:color="auto"/>
              <w:right w:val="nil"/>
            </w:tcBorders>
            <w:shd w:val="clear" w:color="000000" w:fill="FFFFFF"/>
            <w:noWrap/>
            <w:vAlign w:val="bottom"/>
            <w:hideMark/>
          </w:tcPr>
          <w:p w14:paraId="32C2610F" w14:textId="3F29445A"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0.99</w:t>
            </w:r>
          </w:p>
        </w:tc>
        <w:tc>
          <w:tcPr>
            <w:tcW w:w="593" w:type="dxa"/>
            <w:tcBorders>
              <w:top w:val="nil"/>
              <w:left w:val="nil"/>
              <w:right w:val="single" w:sz="18" w:space="0" w:color="auto"/>
            </w:tcBorders>
            <w:shd w:val="clear" w:color="000000" w:fill="FFFFFF"/>
            <w:noWrap/>
            <w:vAlign w:val="bottom"/>
            <w:hideMark/>
          </w:tcPr>
          <w:p w14:paraId="66125C6E" w14:textId="2495B806"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4.19</w:t>
            </w:r>
          </w:p>
        </w:tc>
        <w:tc>
          <w:tcPr>
            <w:tcW w:w="632" w:type="dxa"/>
            <w:tcBorders>
              <w:top w:val="nil"/>
              <w:left w:val="single" w:sz="18" w:space="0" w:color="auto"/>
              <w:right w:val="nil"/>
            </w:tcBorders>
            <w:shd w:val="clear" w:color="000000" w:fill="FFFFFF"/>
            <w:noWrap/>
            <w:vAlign w:val="center"/>
            <w:hideMark/>
          </w:tcPr>
          <w:p w14:paraId="6970DBF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right w:val="single" w:sz="4" w:space="0" w:color="auto"/>
            </w:tcBorders>
            <w:shd w:val="clear" w:color="000000" w:fill="FFFFFF"/>
            <w:noWrap/>
            <w:vAlign w:val="center"/>
            <w:hideMark/>
          </w:tcPr>
          <w:p w14:paraId="29B2DA0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right w:val="nil"/>
            </w:tcBorders>
            <w:shd w:val="clear" w:color="000000" w:fill="FFFFFF"/>
            <w:vAlign w:val="bottom"/>
          </w:tcPr>
          <w:p w14:paraId="74DF25C8" w14:textId="3822922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-0.87</w:t>
            </w:r>
          </w:p>
        </w:tc>
        <w:tc>
          <w:tcPr>
            <w:tcW w:w="631" w:type="dxa"/>
            <w:tcBorders>
              <w:top w:val="nil"/>
              <w:left w:val="nil"/>
              <w:right w:val="single" w:sz="4" w:space="0" w:color="auto"/>
            </w:tcBorders>
            <w:shd w:val="clear" w:color="000000" w:fill="FFFFFF"/>
            <w:vAlign w:val="bottom"/>
          </w:tcPr>
          <w:p w14:paraId="5F1F9813" w14:textId="56597438"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-3.35</w:t>
            </w:r>
          </w:p>
        </w:tc>
        <w:tc>
          <w:tcPr>
            <w:tcW w:w="720" w:type="dxa"/>
            <w:tcBorders>
              <w:top w:val="nil"/>
              <w:left w:val="single" w:sz="4" w:space="0" w:color="auto"/>
              <w:right w:val="nil"/>
            </w:tcBorders>
            <w:shd w:val="clear" w:color="000000" w:fill="FFFFFF"/>
            <w:noWrap/>
            <w:vAlign w:val="center"/>
            <w:hideMark/>
          </w:tcPr>
          <w:p w14:paraId="4D626BAC" w14:textId="77E9CB0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53C9835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bottom"/>
            <w:hideMark/>
          </w:tcPr>
          <w:p w14:paraId="74C19DD6" w14:textId="01B0718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1.31</w:t>
            </w:r>
          </w:p>
        </w:tc>
        <w:tc>
          <w:tcPr>
            <w:tcW w:w="630" w:type="dxa"/>
            <w:tcBorders>
              <w:top w:val="nil"/>
              <w:left w:val="nil"/>
              <w:right w:val="single" w:sz="4" w:space="0" w:color="auto"/>
            </w:tcBorders>
            <w:shd w:val="clear" w:color="000000" w:fill="FFFFFF"/>
            <w:noWrap/>
            <w:vAlign w:val="bottom"/>
            <w:hideMark/>
          </w:tcPr>
          <w:p w14:paraId="42D12223" w14:textId="263E60D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3.39</w:t>
            </w:r>
          </w:p>
        </w:tc>
        <w:tc>
          <w:tcPr>
            <w:tcW w:w="540" w:type="dxa"/>
            <w:tcBorders>
              <w:top w:val="nil"/>
              <w:left w:val="nil"/>
              <w:right w:val="nil"/>
            </w:tcBorders>
            <w:shd w:val="clear" w:color="000000" w:fill="FFFFFF"/>
            <w:noWrap/>
            <w:vAlign w:val="bottom"/>
            <w:hideMark/>
          </w:tcPr>
          <w:p w14:paraId="6C177B3E" w14:textId="2CA9F1EE"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0.63</w:t>
            </w:r>
          </w:p>
        </w:tc>
        <w:tc>
          <w:tcPr>
            <w:tcW w:w="540" w:type="dxa"/>
            <w:tcBorders>
              <w:top w:val="nil"/>
              <w:left w:val="nil"/>
              <w:right w:val="single" w:sz="4" w:space="0" w:color="auto"/>
            </w:tcBorders>
            <w:shd w:val="clear" w:color="000000" w:fill="FFFFFF"/>
            <w:noWrap/>
            <w:vAlign w:val="bottom"/>
            <w:hideMark/>
          </w:tcPr>
          <w:p w14:paraId="5BDFF441" w14:textId="04E55D1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2.43</w:t>
            </w:r>
          </w:p>
        </w:tc>
        <w:tc>
          <w:tcPr>
            <w:tcW w:w="630" w:type="dxa"/>
            <w:tcBorders>
              <w:top w:val="nil"/>
              <w:left w:val="nil"/>
              <w:right w:val="nil"/>
            </w:tcBorders>
            <w:shd w:val="clear" w:color="000000" w:fill="FFFFFF"/>
            <w:noWrap/>
            <w:vAlign w:val="bottom"/>
            <w:hideMark/>
          </w:tcPr>
          <w:p w14:paraId="39AA4FD5" w14:textId="2617A27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0.40</w:t>
            </w:r>
          </w:p>
        </w:tc>
        <w:tc>
          <w:tcPr>
            <w:tcW w:w="630" w:type="dxa"/>
            <w:tcBorders>
              <w:top w:val="nil"/>
              <w:left w:val="nil"/>
              <w:right w:val="single" w:sz="4" w:space="0" w:color="auto"/>
            </w:tcBorders>
            <w:shd w:val="clear" w:color="000000" w:fill="FFFFFF"/>
            <w:noWrap/>
            <w:vAlign w:val="bottom"/>
            <w:hideMark/>
          </w:tcPr>
          <w:p w14:paraId="55C57FA3" w14:textId="2FB85A93"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1.60</w:t>
            </w:r>
          </w:p>
        </w:tc>
        <w:tc>
          <w:tcPr>
            <w:tcW w:w="630" w:type="dxa"/>
            <w:tcBorders>
              <w:top w:val="nil"/>
              <w:left w:val="nil"/>
              <w:right w:val="nil"/>
            </w:tcBorders>
            <w:shd w:val="clear" w:color="000000" w:fill="FFFFFF"/>
            <w:noWrap/>
            <w:vAlign w:val="center"/>
            <w:hideMark/>
          </w:tcPr>
          <w:p w14:paraId="14BE613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66A43C0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right w:val="nil"/>
            </w:tcBorders>
            <w:shd w:val="clear" w:color="000000" w:fill="FFFFFF"/>
            <w:noWrap/>
            <w:vAlign w:val="bottom"/>
            <w:hideMark/>
          </w:tcPr>
          <w:p w14:paraId="459F58C5" w14:textId="151A584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-1.31</w:t>
            </w:r>
          </w:p>
        </w:tc>
        <w:tc>
          <w:tcPr>
            <w:tcW w:w="540" w:type="dxa"/>
            <w:tcBorders>
              <w:top w:val="nil"/>
              <w:left w:val="nil"/>
              <w:right w:val="single" w:sz="18" w:space="0" w:color="auto"/>
            </w:tcBorders>
            <w:shd w:val="clear" w:color="000000" w:fill="FFFFFF"/>
            <w:noWrap/>
            <w:vAlign w:val="bottom"/>
            <w:hideMark/>
          </w:tcPr>
          <w:p w14:paraId="0D1D45F3" w14:textId="4500FFE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-3.28</w:t>
            </w:r>
          </w:p>
        </w:tc>
      </w:tr>
      <w:tr w:rsidR="00755CB7" w:rsidRPr="00D309F4" w14:paraId="01B3C76A" w14:textId="77777777" w:rsidTr="00A66E92">
        <w:trPr>
          <w:trHeight w:val="144"/>
          <w:jc w:val="center"/>
        </w:trPr>
        <w:tc>
          <w:tcPr>
            <w:tcW w:w="3577" w:type="dxa"/>
            <w:tcBorders>
              <w:left w:val="single" w:sz="18" w:space="0" w:color="auto"/>
              <w:bottom w:val="single" w:sz="18" w:space="0" w:color="auto"/>
              <w:right w:val="single" w:sz="18" w:space="0" w:color="auto"/>
            </w:tcBorders>
            <w:shd w:val="clear" w:color="000000" w:fill="FFFFFF"/>
            <w:noWrap/>
            <w:vAlign w:val="center"/>
          </w:tcPr>
          <w:p w14:paraId="6E05AAA9" w14:textId="241B0529"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w:t>
            </w:r>
            <w:r w:rsidR="00E62C48" w:rsidRPr="00D309F4">
              <w:rPr>
                <w:rFonts w:eastAsia="Times New Roman" w:cs="Times New Roman"/>
                <w:kern w:val="0"/>
                <w:sz w:val="20"/>
                <w:szCs w:val="20"/>
                <w14:ligatures w14:val="none"/>
              </w:rPr>
              <w:t>BRP</w:t>
            </w:r>
            <w:r w:rsidRPr="00D309F4">
              <w:rPr>
                <w:rFonts w:eastAsia="Times New Roman" w:cs="Times New Roman"/>
                <w:kern w:val="0"/>
                <w:sz w:val="20"/>
                <w:szCs w:val="20"/>
                <w14:ligatures w14:val="none"/>
              </w:rPr>
              <w:t xml:space="preserve"> * Multifamily home or apartment</w:t>
            </w:r>
          </w:p>
        </w:tc>
        <w:tc>
          <w:tcPr>
            <w:tcW w:w="564" w:type="dxa"/>
            <w:tcBorders>
              <w:left w:val="single" w:sz="18" w:space="0" w:color="auto"/>
              <w:bottom w:val="single" w:sz="18" w:space="0" w:color="auto"/>
              <w:right w:val="nil"/>
            </w:tcBorders>
            <w:shd w:val="clear" w:color="000000" w:fill="FFFFFF"/>
            <w:noWrap/>
            <w:vAlign w:val="bottom"/>
          </w:tcPr>
          <w:p w14:paraId="6A710DF4" w14:textId="1EC18D9B"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0.53</w:t>
            </w:r>
          </w:p>
        </w:tc>
        <w:tc>
          <w:tcPr>
            <w:tcW w:w="593" w:type="dxa"/>
            <w:tcBorders>
              <w:left w:val="nil"/>
              <w:bottom w:val="single" w:sz="18" w:space="0" w:color="auto"/>
              <w:right w:val="single" w:sz="18" w:space="0" w:color="auto"/>
            </w:tcBorders>
            <w:shd w:val="clear" w:color="000000" w:fill="FFFFFF"/>
            <w:noWrap/>
            <w:vAlign w:val="bottom"/>
          </w:tcPr>
          <w:p w14:paraId="0E312D86" w14:textId="02623B78" w:rsidR="00755CB7" w:rsidRPr="00D309F4" w:rsidRDefault="00755CB7" w:rsidP="00755CB7">
            <w:pPr>
              <w:tabs>
                <w:tab w:val="decimal" w:pos="140"/>
              </w:tabs>
              <w:spacing w:after="0" w:line="240" w:lineRule="auto"/>
              <w:jc w:val="center"/>
              <w:rPr>
                <w:rFonts w:cs="Times New Roman"/>
                <w:sz w:val="20"/>
                <w:szCs w:val="20"/>
              </w:rPr>
            </w:pPr>
            <w:r w:rsidRPr="00D309F4">
              <w:rPr>
                <w:rFonts w:cs="Times New Roman"/>
                <w:sz w:val="20"/>
                <w:szCs w:val="20"/>
              </w:rPr>
              <w:t>1.92</w:t>
            </w:r>
          </w:p>
        </w:tc>
        <w:tc>
          <w:tcPr>
            <w:tcW w:w="632" w:type="dxa"/>
            <w:tcBorders>
              <w:left w:val="single" w:sz="18" w:space="0" w:color="auto"/>
              <w:bottom w:val="single" w:sz="18" w:space="0" w:color="auto"/>
              <w:right w:val="nil"/>
            </w:tcBorders>
            <w:shd w:val="clear" w:color="000000" w:fill="FFFFFF"/>
            <w:noWrap/>
            <w:vAlign w:val="center"/>
          </w:tcPr>
          <w:p w14:paraId="0FAC2607" w14:textId="6CBDA40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single" w:sz="18" w:space="0" w:color="auto"/>
              <w:right w:val="single" w:sz="4" w:space="0" w:color="auto"/>
            </w:tcBorders>
            <w:shd w:val="clear" w:color="000000" w:fill="FFFFFF"/>
            <w:noWrap/>
            <w:vAlign w:val="center"/>
          </w:tcPr>
          <w:p w14:paraId="5A3BA4C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bottom w:val="single" w:sz="18" w:space="0" w:color="auto"/>
              <w:right w:val="nil"/>
            </w:tcBorders>
            <w:shd w:val="clear" w:color="000000" w:fill="FFFFFF"/>
            <w:vAlign w:val="center"/>
          </w:tcPr>
          <w:p w14:paraId="3D2E002C" w14:textId="615D52E6"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left w:val="nil"/>
              <w:bottom w:val="single" w:sz="18" w:space="0" w:color="auto"/>
              <w:right w:val="single" w:sz="4" w:space="0" w:color="auto"/>
            </w:tcBorders>
            <w:shd w:val="clear" w:color="000000" w:fill="FFFFFF"/>
            <w:vAlign w:val="center"/>
          </w:tcPr>
          <w:p w14:paraId="28C97E90"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left w:val="single" w:sz="4" w:space="0" w:color="auto"/>
              <w:bottom w:val="single" w:sz="18" w:space="0" w:color="auto"/>
              <w:right w:val="nil"/>
            </w:tcBorders>
            <w:shd w:val="clear" w:color="000000" w:fill="FFFFFF"/>
            <w:noWrap/>
            <w:vAlign w:val="center"/>
          </w:tcPr>
          <w:p w14:paraId="55092756" w14:textId="729C385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single" w:sz="18" w:space="0" w:color="auto"/>
              <w:right w:val="single" w:sz="4" w:space="0" w:color="auto"/>
            </w:tcBorders>
            <w:shd w:val="clear" w:color="000000" w:fill="FFFFFF"/>
            <w:noWrap/>
            <w:vAlign w:val="center"/>
          </w:tcPr>
          <w:p w14:paraId="5B3703F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single" w:sz="18" w:space="0" w:color="auto"/>
              <w:right w:val="nil"/>
            </w:tcBorders>
            <w:shd w:val="clear" w:color="000000" w:fill="FFFFFF"/>
            <w:noWrap/>
            <w:vAlign w:val="center"/>
          </w:tcPr>
          <w:p w14:paraId="689F8F30" w14:textId="6363ACA7"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left w:val="nil"/>
              <w:bottom w:val="single" w:sz="18" w:space="0" w:color="auto"/>
              <w:right w:val="single" w:sz="4" w:space="0" w:color="auto"/>
            </w:tcBorders>
            <w:shd w:val="clear" w:color="000000" w:fill="FFFFFF"/>
            <w:noWrap/>
            <w:vAlign w:val="center"/>
          </w:tcPr>
          <w:p w14:paraId="4C4525B0" w14:textId="77777777" w:rsidR="00755CB7" w:rsidRPr="00D309F4" w:rsidRDefault="00755CB7" w:rsidP="00755CB7">
            <w:pPr>
              <w:tabs>
                <w:tab w:val="decimal" w:pos="140"/>
              </w:tabs>
              <w:spacing w:after="0" w:line="240" w:lineRule="auto"/>
              <w:jc w:val="center"/>
              <w:rPr>
                <w:rFonts w:cs="Times New Roman"/>
                <w:sz w:val="20"/>
                <w:szCs w:val="20"/>
              </w:rPr>
            </w:pPr>
          </w:p>
        </w:tc>
        <w:tc>
          <w:tcPr>
            <w:tcW w:w="540" w:type="dxa"/>
            <w:tcBorders>
              <w:left w:val="nil"/>
              <w:bottom w:val="single" w:sz="18" w:space="0" w:color="auto"/>
              <w:right w:val="nil"/>
            </w:tcBorders>
            <w:shd w:val="clear" w:color="000000" w:fill="FFFFFF"/>
            <w:noWrap/>
            <w:vAlign w:val="center"/>
          </w:tcPr>
          <w:p w14:paraId="13C3B771" w14:textId="730F58F9"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left w:val="nil"/>
              <w:bottom w:val="single" w:sz="18" w:space="0" w:color="auto"/>
              <w:right w:val="single" w:sz="4" w:space="0" w:color="auto"/>
            </w:tcBorders>
            <w:shd w:val="clear" w:color="000000" w:fill="FFFFFF"/>
            <w:noWrap/>
            <w:vAlign w:val="center"/>
          </w:tcPr>
          <w:p w14:paraId="5661301C" w14:textId="77777777" w:rsidR="00755CB7" w:rsidRPr="00D309F4" w:rsidRDefault="00755CB7" w:rsidP="00755CB7">
            <w:pPr>
              <w:tabs>
                <w:tab w:val="decimal" w:pos="140"/>
              </w:tabs>
              <w:spacing w:after="0" w:line="240" w:lineRule="auto"/>
              <w:jc w:val="center"/>
              <w:rPr>
                <w:rFonts w:cs="Times New Roman"/>
                <w:sz w:val="20"/>
                <w:szCs w:val="20"/>
              </w:rPr>
            </w:pPr>
          </w:p>
        </w:tc>
        <w:tc>
          <w:tcPr>
            <w:tcW w:w="630" w:type="dxa"/>
            <w:tcBorders>
              <w:left w:val="nil"/>
              <w:bottom w:val="single" w:sz="18" w:space="0" w:color="auto"/>
              <w:right w:val="nil"/>
            </w:tcBorders>
            <w:shd w:val="clear" w:color="000000" w:fill="FFFFFF"/>
            <w:noWrap/>
            <w:vAlign w:val="center"/>
          </w:tcPr>
          <w:p w14:paraId="697F75A4" w14:textId="628C2DCE"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0" w:type="dxa"/>
            <w:tcBorders>
              <w:left w:val="nil"/>
              <w:bottom w:val="single" w:sz="18" w:space="0" w:color="auto"/>
              <w:right w:val="single" w:sz="4" w:space="0" w:color="auto"/>
            </w:tcBorders>
            <w:shd w:val="clear" w:color="000000" w:fill="FFFFFF"/>
            <w:noWrap/>
            <w:vAlign w:val="center"/>
          </w:tcPr>
          <w:p w14:paraId="59D0FBC1" w14:textId="77777777" w:rsidR="00755CB7" w:rsidRPr="00D309F4" w:rsidRDefault="00755CB7" w:rsidP="00755CB7">
            <w:pPr>
              <w:tabs>
                <w:tab w:val="decimal" w:pos="140"/>
              </w:tabs>
              <w:spacing w:after="0" w:line="240" w:lineRule="auto"/>
              <w:jc w:val="center"/>
              <w:rPr>
                <w:rFonts w:cs="Times New Roman"/>
                <w:sz w:val="20"/>
                <w:szCs w:val="20"/>
              </w:rPr>
            </w:pPr>
          </w:p>
        </w:tc>
        <w:tc>
          <w:tcPr>
            <w:tcW w:w="630" w:type="dxa"/>
            <w:tcBorders>
              <w:left w:val="nil"/>
              <w:bottom w:val="single" w:sz="18" w:space="0" w:color="auto"/>
              <w:right w:val="nil"/>
            </w:tcBorders>
            <w:shd w:val="clear" w:color="000000" w:fill="FFFFFF"/>
            <w:noWrap/>
            <w:vAlign w:val="center"/>
          </w:tcPr>
          <w:p w14:paraId="4156F986" w14:textId="424BF90A"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single" w:sz="18" w:space="0" w:color="auto"/>
              <w:right w:val="single" w:sz="4" w:space="0" w:color="auto"/>
            </w:tcBorders>
            <w:shd w:val="clear" w:color="000000" w:fill="FFFFFF"/>
            <w:noWrap/>
            <w:vAlign w:val="center"/>
          </w:tcPr>
          <w:p w14:paraId="40AF5E6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nil"/>
              <w:bottom w:val="single" w:sz="18" w:space="0" w:color="auto"/>
              <w:right w:val="nil"/>
            </w:tcBorders>
            <w:shd w:val="clear" w:color="000000" w:fill="FFFFFF"/>
            <w:noWrap/>
            <w:vAlign w:val="center"/>
          </w:tcPr>
          <w:p w14:paraId="22C63FC9" w14:textId="2D6F6A36"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left w:val="nil"/>
              <w:bottom w:val="single" w:sz="18" w:space="0" w:color="auto"/>
              <w:right w:val="single" w:sz="18" w:space="0" w:color="auto"/>
            </w:tcBorders>
            <w:shd w:val="clear" w:color="000000" w:fill="FFFFFF"/>
            <w:noWrap/>
            <w:vAlign w:val="center"/>
          </w:tcPr>
          <w:p w14:paraId="2A89C0BC" w14:textId="77777777" w:rsidR="00755CB7" w:rsidRPr="00D309F4" w:rsidRDefault="00755CB7" w:rsidP="00755CB7">
            <w:pPr>
              <w:tabs>
                <w:tab w:val="decimal" w:pos="140"/>
              </w:tabs>
              <w:spacing w:after="0" w:line="240" w:lineRule="auto"/>
              <w:jc w:val="center"/>
              <w:rPr>
                <w:rFonts w:cs="Times New Roman"/>
                <w:sz w:val="20"/>
                <w:szCs w:val="20"/>
              </w:rPr>
            </w:pPr>
          </w:p>
        </w:tc>
      </w:tr>
      <w:tr w:rsidR="00755CB7" w:rsidRPr="00D309F4" w14:paraId="14114AE8" w14:textId="77777777" w:rsidTr="00A66E92">
        <w:trPr>
          <w:trHeight w:val="144"/>
          <w:jc w:val="center"/>
        </w:trPr>
        <w:tc>
          <w:tcPr>
            <w:tcW w:w="3577" w:type="dxa"/>
            <w:tcBorders>
              <w:top w:val="single" w:sz="18" w:space="0" w:color="auto"/>
              <w:left w:val="single" w:sz="18" w:space="0" w:color="auto"/>
              <w:bottom w:val="nil"/>
              <w:right w:val="single" w:sz="18" w:space="0" w:color="auto"/>
            </w:tcBorders>
            <w:shd w:val="clear" w:color="000000" w:fill="FFFFFF"/>
            <w:noWrap/>
            <w:vAlign w:val="center"/>
            <w:hideMark/>
          </w:tcPr>
          <w:p w14:paraId="7C0F7DA0" w14:textId="77777777" w:rsidR="00755CB7" w:rsidRPr="00D309F4" w:rsidRDefault="00755CB7" w:rsidP="00755CB7">
            <w:pPr>
              <w:spacing w:after="0" w:line="240" w:lineRule="auto"/>
              <w:rPr>
                <w:rFonts w:eastAsia="Times New Roman" w:cs="Times New Roman"/>
                <w:b/>
                <w:bCs/>
                <w:i/>
                <w:iCs/>
                <w:kern w:val="0"/>
                <w:sz w:val="20"/>
                <w:szCs w:val="20"/>
                <w14:ligatures w14:val="none"/>
              </w:rPr>
            </w:pPr>
            <w:r w:rsidRPr="00D309F4">
              <w:rPr>
                <w:rFonts w:eastAsia="Times New Roman" w:cs="Times New Roman"/>
                <w:b/>
                <w:bCs/>
                <w:i/>
                <w:iCs/>
                <w:kern w:val="0"/>
                <w:sz w:val="20"/>
                <w:szCs w:val="20"/>
                <w14:ligatures w14:val="none"/>
              </w:rPr>
              <w:t>Individual Demographics</w:t>
            </w:r>
          </w:p>
        </w:tc>
        <w:tc>
          <w:tcPr>
            <w:tcW w:w="564" w:type="dxa"/>
            <w:tcBorders>
              <w:top w:val="single" w:sz="18" w:space="0" w:color="auto"/>
              <w:left w:val="single" w:sz="18" w:space="0" w:color="auto"/>
              <w:bottom w:val="nil"/>
              <w:right w:val="nil"/>
            </w:tcBorders>
            <w:shd w:val="clear" w:color="000000" w:fill="FFFFFF"/>
            <w:noWrap/>
            <w:vAlign w:val="center"/>
            <w:hideMark/>
          </w:tcPr>
          <w:p w14:paraId="79535B3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single" w:sz="18" w:space="0" w:color="auto"/>
              <w:left w:val="nil"/>
              <w:bottom w:val="nil"/>
              <w:right w:val="single" w:sz="18" w:space="0" w:color="auto"/>
            </w:tcBorders>
            <w:shd w:val="clear" w:color="000000" w:fill="FFFFFF"/>
            <w:noWrap/>
            <w:vAlign w:val="center"/>
            <w:hideMark/>
          </w:tcPr>
          <w:p w14:paraId="0DDFED3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single" w:sz="18" w:space="0" w:color="auto"/>
              <w:left w:val="single" w:sz="18" w:space="0" w:color="auto"/>
              <w:bottom w:val="nil"/>
              <w:right w:val="nil"/>
            </w:tcBorders>
            <w:shd w:val="clear" w:color="000000" w:fill="FFFFFF"/>
            <w:noWrap/>
            <w:vAlign w:val="center"/>
            <w:hideMark/>
          </w:tcPr>
          <w:p w14:paraId="629CC19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single" w:sz="18" w:space="0" w:color="auto"/>
              <w:left w:val="nil"/>
              <w:bottom w:val="nil"/>
              <w:right w:val="single" w:sz="4" w:space="0" w:color="auto"/>
            </w:tcBorders>
            <w:shd w:val="clear" w:color="000000" w:fill="FFFFFF"/>
            <w:noWrap/>
            <w:vAlign w:val="center"/>
            <w:hideMark/>
          </w:tcPr>
          <w:p w14:paraId="32BB401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single" w:sz="18" w:space="0" w:color="auto"/>
              <w:left w:val="nil"/>
              <w:bottom w:val="nil"/>
              <w:right w:val="nil"/>
            </w:tcBorders>
            <w:shd w:val="clear" w:color="000000" w:fill="FFFFFF"/>
            <w:vAlign w:val="center"/>
          </w:tcPr>
          <w:p w14:paraId="248393F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single" w:sz="18" w:space="0" w:color="auto"/>
              <w:left w:val="nil"/>
              <w:bottom w:val="nil"/>
              <w:right w:val="single" w:sz="4" w:space="0" w:color="auto"/>
            </w:tcBorders>
            <w:shd w:val="clear" w:color="000000" w:fill="FFFFFF"/>
            <w:vAlign w:val="center"/>
          </w:tcPr>
          <w:p w14:paraId="0DC14E4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single" w:sz="18" w:space="0" w:color="auto"/>
              <w:left w:val="single" w:sz="4" w:space="0" w:color="auto"/>
              <w:bottom w:val="nil"/>
              <w:right w:val="nil"/>
            </w:tcBorders>
            <w:shd w:val="clear" w:color="000000" w:fill="FFFFFF"/>
            <w:noWrap/>
            <w:vAlign w:val="center"/>
            <w:hideMark/>
          </w:tcPr>
          <w:p w14:paraId="54971084" w14:textId="21D89B0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nil"/>
              <w:bottom w:val="nil"/>
              <w:right w:val="single" w:sz="4" w:space="0" w:color="auto"/>
            </w:tcBorders>
            <w:shd w:val="clear" w:color="000000" w:fill="FFFFFF"/>
            <w:noWrap/>
            <w:vAlign w:val="center"/>
            <w:hideMark/>
          </w:tcPr>
          <w:p w14:paraId="4261877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nil"/>
              <w:bottom w:val="nil"/>
              <w:right w:val="nil"/>
            </w:tcBorders>
            <w:shd w:val="clear" w:color="000000" w:fill="FFFFFF"/>
            <w:noWrap/>
            <w:vAlign w:val="center"/>
            <w:hideMark/>
          </w:tcPr>
          <w:p w14:paraId="3296050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left w:val="nil"/>
              <w:bottom w:val="nil"/>
              <w:right w:val="single" w:sz="4" w:space="0" w:color="auto"/>
            </w:tcBorders>
            <w:shd w:val="clear" w:color="000000" w:fill="FFFFFF"/>
            <w:noWrap/>
            <w:vAlign w:val="center"/>
            <w:hideMark/>
          </w:tcPr>
          <w:p w14:paraId="404C4EA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nil"/>
              <w:bottom w:val="nil"/>
              <w:right w:val="nil"/>
            </w:tcBorders>
            <w:shd w:val="clear" w:color="000000" w:fill="FFFFFF"/>
            <w:noWrap/>
            <w:vAlign w:val="center"/>
            <w:hideMark/>
          </w:tcPr>
          <w:p w14:paraId="4A72972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nil"/>
              <w:bottom w:val="nil"/>
              <w:right w:val="single" w:sz="4" w:space="0" w:color="auto"/>
            </w:tcBorders>
            <w:shd w:val="clear" w:color="000000" w:fill="FFFFFF"/>
            <w:noWrap/>
            <w:vAlign w:val="center"/>
            <w:hideMark/>
          </w:tcPr>
          <w:p w14:paraId="291E041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left w:val="nil"/>
              <w:bottom w:val="nil"/>
              <w:right w:val="nil"/>
            </w:tcBorders>
            <w:shd w:val="clear" w:color="000000" w:fill="FFFFFF"/>
            <w:noWrap/>
            <w:vAlign w:val="center"/>
            <w:hideMark/>
          </w:tcPr>
          <w:p w14:paraId="7F8EE9E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left w:val="nil"/>
              <w:bottom w:val="nil"/>
              <w:right w:val="single" w:sz="4" w:space="0" w:color="auto"/>
            </w:tcBorders>
            <w:shd w:val="clear" w:color="000000" w:fill="FFFFFF"/>
            <w:noWrap/>
            <w:vAlign w:val="center"/>
            <w:hideMark/>
          </w:tcPr>
          <w:p w14:paraId="28B001B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left w:val="nil"/>
              <w:bottom w:val="nil"/>
              <w:right w:val="nil"/>
            </w:tcBorders>
            <w:shd w:val="clear" w:color="000000" w:fill="FFFFFF"/>
            <w:noWrap/>
            <w:vAlign w:val="center"/>
            <w:hideMark/>
          </w:tcPr>
          <w:p w14:paraId="033E5EF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nil"/>
              <w:bottom w:val="nil"/>
              <w:right w:val="single" w:sz="4" w:space="0" w:color="auto"/>
            </w:tcBorders>
            <w:shd w:val="clear" w:color="000000" w:fill="FFFFFF"/>
            <w:noWrap/>
            <w:vAlign w:val="center"/>
            <w:hideMark/>
          </w:tcPr>
          <w:p w14:paraId="0ACEC86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single" w:sz="18" w:space="0" w:color="auto"/>
              <w:left w:val="nil"/>
              <w:bottom w:val="nil"/>
              <w:right w:val="nil"/>
            </w:tcBorders>
            <w:shd w:val="clear" w:color="000000" w:fill="FFFFFF"/>
            <w:noWrap/>
            <w:vAlign w:val="center"/>
            <w:hideMark/>
          </w:tcPr>
          <w:p w14:paraId="39EB15F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nil"/>
              <w:bottom w:val="nil"/>
              <w:right w:val="single" w:sz="18" w:space="0" w:color="auto"/>
            </w:tcBorders>
            <w:shd w:val="clear" w:color="000000" w:fill="FFFFFF"/>
            <w:noWrap/>
            <w:vAlign w:val="center"/>
            <w:hideMark/>
          </w:tcPr>
          <w:p w14:paraId="0AB6DA4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1677C198"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7673648B"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Gender (male)</w:t>
            </w:r>
          </w:p>
        </w:tc>
        <w:tc>
          <w:tcPr>
            <w:tcW w:w="564" w:type="dxa"/>
            <w:tcBorders>
              <w:top w:val="nil"/>
              <w:left w:val="single" w:sz="18" w:space="0" w:color="auto"/>
              <w:bottom w:val="nil"/>
              <w:right w:val="nil"/>
            </w:tcBorders>
            <w:shd w:val="clear" w:color="000000" w:fill="FFFFFF"/>
            <w:noWrap/>
            <w:vAlign w:val="center"/>
            <w:hideMark/>
          </w:tcPr>
          <w:p w14:paraId="43E5268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nil"/>
              <w:left w:val="nil"/>
              <w:bottom w:val="nil"/>
              <w:right w:val="single" w:sz="18" w:space="0" w:color="auto"/>
            </w:tcBorders>
            <w:shd w:val="clear" w:color="000000" w:fill="FFFFFF"/>
            <w:noWrap/>
            <w:vAlign w:val="center"/>
            <w:hideMark/>
          </w:tcPr>
          <w:p w14:paraId="4903D09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bottom w:val="nil"/>
              <w:right w:val="nil"/>
            </w:tcBorders>
            <w:shd w:val="clear" w:color="000000" w:fill="FFFFFF"/>
            <w:noWrap/>
            <w:vAlign w:val="center"/>
            <w:hideMark/>
          </w:tcPr>
          <w:p w14:paraId="3266695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nil"/>
              <w:left w:val="nil"/>
              <w:bottom w:val="nil"/>
              <w:right w:val="single" w:sz="4" w:space="0" w:color="auto"/>
            </w:tcBorders>
            <w:shd w:val="clear" w:color="000000" w:fill="FFFFFF"/>
            <w:noWrap/>
            <w:vAlign w:val="center"/>
            <w:hideMark/>
          </w:tcPr>
          <w:p w14:paraId="1DE39D0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center"/>
          </w:tcPr>
          <w:p w14:paraId="54FDC38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single" w:sz="4" w:space="0" w:color="auto"/>
            </w:tcBorders>
            <w:shd w:val="clear" w:color="000000" w:fill="FFFFFF"/>
            <w:vAlign w:val="center"/>
          </w:tcPr>
          <w:p w14:paraId="4E6C4C1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bottom w:val="nil"/>
              <w:right w:val="nil"/>
            </w:tcBorders>
            <w:shd w:val="clear" w:color="000000" w:fill="FFFFFF"/>
            <w:noWrap/>
            <w:vAlign w:val="center"/>
            <w:hideMark/>
          </w:tcPr>
          <w:p w14:paraId="400AC88A" w14:textId="28FB5EB0"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78BC312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66B7330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1D2EAAC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225A767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037EF1A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380A096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7418B8C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7375486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4" w:space="0" w:color="auto"/>
            </w:tcBorders>
            <w:shd w:val="clear" w:color="000000" w:fill="FFFFFF"/>
            <w:noWrap/>
            <w:vAlign w:val="center"/>
            <w:hideMark/>
          </w:tcPr>
          <w:p w14:paraId="7567E53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bottom w:val="nil"/>
              <w:right w:val="nil"/>
            </w:tcBorders>
            <w:shd w:val="clear" w:color="000000" w:fill="FFFFFF"/>
            <w:noWrap/>
            <w:vAlign w:val="center"/>
            <w:hideMark/>
          </w:tcPr>
          <w:p w14:paraId="2DD27A8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7EB3626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7BE23C39"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0B4A94DA"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Female</w:t>
            </w:r>
          </w:p>
        </w:tc>
        <w:tc>
          <w:tcPr>
            <w:tcW w:w="564" w:type="dxa"/>
            <w:tcBorders>
              <w:top w:val="nil"/>
              <w:left w:val="single" w:sz="18" w:space="0" w:color="auto"/>
              <w:bottom w:val="nil"/>
              <w:right w:val="nil"/>
            </w:tcBorders>
            <w:shd w:val="clear" w:color="000000" w:fill="FFFFFF"/>
            <w:noWrap/>
            <w:vAlign w:val="center"/>
            <w:hideMark/>
          </w:tcPr>
          <w:p w14:paraId="473D1E4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93" w:type="dxa"/>
            <w:tcBorders>
              <w:top w:val="nil"/>
              <w:left w:val="nil"/>
              <w:bottom w:val="nil"/>
              <w:right w:val="single" w:sz="18" w:space="0" w:color="auto"/>
            </w:tcBorders>
            <w:shd w:val="clear" w:color="000000" w:fill="FFFFFF"/>
            <w:noWrap/>
            <w:vAlign w:val="center"/>
            <w:hideMark/>
          </w:tcPr>
          <w:p w14:paraId="0EBE59C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bottom w:val="nil"/>
              <w:right w:val="nil"/>
            </w:tcBorders>
            <w:shd w:val="clear" w:color="000000" w:fill="FFFFFF"/>
            <w:noWrap/>
            <w:vAlign w:val="center"/>
            <w:hideMark/>
          </w:tcPr>
          <w:p w14:paraId="37875A5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hideMark/>
          </w:tcPr>
          <w:p w14:paraId="5EA2CCF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center"/>
          </w:tcPr>
          <w:p w14:paraId="0303A499" w14:textId="5EED79EC" w:rsidR="00755CB7" w:rsidRPr="00D309F4" w:rsidRDefault="00755CB7" w:rsidP="00755CB7">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bottom w:val="nil"/>
              <w:right w:val="single" w:sz="4" w:space="0" w:color="auto"/>
            </w:tcBorders>
            <w:shd w:val="clear" w:color="000000" w:fill="FFFFFF"/>
            <w:vAlign w:val="center"/>
          </w:tcPr>
          <w:p w14:paraId="767A4F30" w14:textId="77777777" w:rsidR="00755CB7" w:rsidRPr="00D309F4" w:rsidRDefault="00755CB7" w:rsidP="00755CB7">
            <w:pPr>
              <w:tabs>
                <w:tab w:val="decimal" w:pos="140"/>
              </w:tabs>
              <w:spacing w:after="0" w:line="240" w:lineRule="auto"/>
              <w:jc w:val="center"/>
              <w:rPr>
                <w:rFonts w:cs="Times New Roman"/>
                <w:sz w:val="20"/>
                <w:szCs w:val="20"/>
              </w:rPr>
            </w:pPr>
          </w:p>
        </w:tc>
        <w:tc>
          <w:tcPr>
            <w:tcW w:w="720" w:type="dxa"/>
            <w:tcBorders>
              <w:top w:val="nil"/>
              <w:left w:val="single" w:sz="4" w:space="0" w:color="auto"/>
              <w:bottom w:val="nil"/>
              <w:right w:val="nil"/>
            </w:tcBorders>
            <w:shd w:val="clear" w:color="000000" w:fill="FFFFFF"/>
            <w:noWrap/>
            <w:vAlign w:val="bottom"/>
            <w:hideMark/>
          </w:tcPr>
          <w:p w14:paraId="269F2E5A" w14:textId="646548E0"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-0.36</w:t>
            </w:r>
          </w:p>
        </w:tc>
        <w:tc>
          <w:tcPr>
            <w:tcW w:w="540" w:type="dxa"/>
            <w:tcBorders>
              <w:top w:val="nil"/>
              <w:left w:val="nil"/>
              <w:bottom w:val="nil"/>
              <w:right w:val="single" w:sz="4" w:space="0" w:color="auto"/>
            </w:tcBorders>
            <w:shd w:val="clear" w:color="000000" w:fill="FFFFFF"/>
            <w:noWrap/>
            <w:vAlign w:val="bottom"/>
            <w:hideMark/>
          </w:tcPr>
          <w:p w14:paraId="43C1F2C2" w14:textId="3B463D53"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-2.19</w:t>
            </w:r>
          </w:p>
        </w:tc>
        <w:tc>
          <w:tcPr>
            <w:tcW w:w="540" w:type="dxa"/>
            <w:tcBorders>
              <w:top w:val="nil"/>
              <w:left w:val="nil"/>
              <w:bottom w:val="nil"/>
              <w:right w:val="nil"/>
            </w:tcBorders>
            <w:shd w:val="clear" w:color="000000" w:fill="FFFFFF"/>
            <w:noWrap/>
            <w:vAlign w:val="center"/>
            <w:hideMark/>
          </w:tcPr>
          <w:p w14:paraId="028AE1E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250A3F0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1521BC8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4A4A599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215CBC5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7DB158E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bottom"/>
            <w:hideMark/>
          </w:tcPr>
          <w:p w14:paraId="17AD4C59" w14:textId="162D33D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-0.67</w:t>
            </w:r>
          </w:p>
        </w:tc>
        <w:tc>
          <w:tcPr>
            <w:tcW w:w="540" w:type="dxa"/>
            <w:tcBorders>
              <w:top w:val="nil"/>
              <w:left w:val="nil"/>
              <w:bottom w:val="nil"/>
              <w:right w:val="single" w:sz="4" w:space="0" w:color="auto"/>
            </w:tcBorders>
            <w:shd w:val="clear" w:color="000000" w:fill="FFFFFF"/>
            <w:noWrap/>
            <w:vAlign w:val="bottom"/>
            <w:hideMark/>
          </w:tcPr>
          <w:p w14:paraId="6E56BA7C" w14:textId="1D71BD1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-2.86</w:t>
            </w:r>
          </w:p>
        </w:tc>
        <w:tc>
          <w:tcPr>
            <w:tcW w:w="720" w:type="dxa"/>
            <w:tcBorders>
              <w:top w:val="nil"/>
              <w:left w:val="nil"/>
              <w:bottom w:val="nil"/>
              <w:right w:val="nil"/>
            </w:tcBorders>
            <w:shd w:val="clear" w:color="000000" w:fill="FFFFFF"/>
            <w:noWrap/>
            <w:vAlign w:val="center"/>
            <w:hideMark/>
          </w:tcPr>
          <w:p w14:paraId="103D242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hideMark/>
          </w:tcPr>
          <w:p w14:paraId="14A1B961"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16CE6401"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312D42D4"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Age (18-34)</w:t>
            </w:r>
          </w:p>
        </w:tc>
        <w:tc>
          <w:tcPr>
            <w:tcW w:w="564" w:type="dxa"/>
            <w:tcBorders>
              <w:top w:val="nil"/>
              <w:left w:val="single" w:sz="18" w:space="0" w:color="auto"/>
              <w:bottom w:val="nil"/>
              <w:right w:val="nil"/>
            </w:tcBorders>
            <w:shd w:val="clear" w:color="000000" w:fill="FFFFFF"/>
            <w:noWrap/>
            <w:vAlign w:val="center"/>
            <w:hideMark/>
          </w:tcPr>
          <w:p w14:paraId="30699D0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nil"/>
              <w:left w:val="nil"/>
              <w:bottom w:val="nil"/>
              <w:right w:val="single" w:sz="18" w:space="0" w:color="auto"/>
            </w:tcBorders>
            <w:shd w:val="clear" w:color="000000" w:fill="FFFFFF"/>
            <w:noWrap/>
            <w:vAlign w:val="center"/>
          </w:tcPr>
          <w:p w14:paraId="5EBAD3F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bottom w:val="nil"/>
              <w:right w:val="nil"/>
            </w:tcBorders>
            <w:shd w:val="clear" w:color="000000" w:fill="FFFFFF"/>
            <w:noWrap/>
            <w:vAlign w:val="center"/>
            <w:hideMark/>
          </w:tcPr>
          <w:p w14:paraId="406369B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nil"/>
              <w:left w:val="nil"/>
              <w:bottom w:val="nil"/>
              <w:right w:val="single" w:sz="4" w:space="0" w:color="auto"/>
            </w:tcBorders>
            <w:shd w:val="clear" w:color="000000" w:fill="FFFFFF"/>
            <w:noWrap/>
            <w:vAlign w:val="center"/>
            <w:hideMark/>
          </w:tcPr>
          <w:p w14:paraId="40DADB3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center"/>
          </w:tcPr>
          <w:p w14:paraId="6E780A4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single" w:sz="4" w:space="0" w:color="auto"/>
            </w:tcBorders>
            <w:shd w:val="clear" w:color="000000" w:fill="FFFFFF"/>
            <w:vAlign w:val="center"/>
          </w:tcPr>
          <w:p w14:paraId="1562AB1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bottom w:val="nil"/>
              <w:right w:val="nil"/>
            </w:tcBorders>
            <w:shd w:val="clear" w:color="000000" w:fill="FFFFFF"/>
            <w:noWrap/>
            <w:vAlign w:val="center"/>
            <w:hideMark/>
          </w:tcPr>
          <w:p w14:paraId="27195328" w14:textId="63141B28"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1197EE8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0CA5EE4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54B3201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76E1F2D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552DBA3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564E562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164C058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7D7C494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24142F11"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bottom w:val="nil"/>
              <w:right w:val="nil"/>
            </w:tcBorders>
            <w:shd w:val="clear" w:color="000000" w:fill="FFFFFF"/>
            <w:noWrap/>
            <w:vAlign w:val="center"/>
            <w:hideMark/>
          </w:tcPr>
          <w:p w14:paraId="355E65D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0175813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445A1A33"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06DF41D9"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35-49</w:t>
            </w:r>
          </w:p>
        </w:tc>
        <w:tc>
          <w:tcPr>
            <w:tcW w:w="564" w:type="dxa"/>
            <w:tcBorders>
              <w:top w:val="nil"/>
              <w:left w:val="single" w:sz="18" w:space="0" w:color="auto"/>
              <w:bottom w:val="nil"/>
              <w:right w:val="nil"/>
            </w:tcBorders>
            <w:shd w:val="clear" w:color="000000" w:fill="FFFFFF"/>
            <w:noWrap/>
            <w:vAlign w:val="center"/>
            <w:hideMark/>
          </w:tcPr>
          <w:p w14:paraId="3DEDE03F" w14:textId="4BDC3A0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93" w:type="dxa"/>
            <w:tcBorders>
              <w:top w:val="nil"/>
              <w:left w:val="nil"/>
              <w:bottom w:val="nil"/>
              <w:right w:val="single" w:sz="18" w:space="0" w:color="auto"/>
            </w:tcBorders>
            <w:shd w:val="clear" w:color="000000" w:fill="FFFFFF"/>
            <w:noWrap/>
            <w:vAlign w:val="center"/>
          </w:tcPr>
          <w:p w14:paraId="69C0B67D" w14:textId="1AB6816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bottom w:val="nil"/>
              <w:right w:val="nil"/>
            </w:tcBorders>
            <w:shd w:val="clear" w:color="000000" w:fill="FFFFFF"/>
            <w:noWrap/>
            <w:vAlign w:val="center"/>
            <w:hideMark/>
          </w:tcPr>
          <w:p w14:paraId="2125BEF1"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hideMark/>
          </w:tcPr>
          <w:p w14:paraId="401ADBB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2A4778B3" w14:textId="1EC97FC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1.15</w:t>
            </w:r>
          </w:p>
        </w:tc>
        <w:tc>
          <w:tcPr>
            <w:tcW w:w="631" w:type="dxa"/>
            <w:tcBorders>
              <w:top w:val="nil"/>
              <w:left w:val="nil"/>
              <w:bottom w:val="nil"/>
              <w:right w:val="single" w:sz="4" w:space="0" w:color="auto"/>
            </w:tcBorders>
            <w:shd w:val="clear" w:color="000000" w:fill="FFFFFF"/>
            <w:vAlign w:val="bottom"/>
          </w:tcPr>
          <w:p w14:paraId="16003CB6" w14:textId="5AEA3D7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3.74</w:t>
            </w:r>
          </w:p>
        </w:tc>
        <w:tc>
          <w:tcPr>
            <w:tcW w:w="720" w:type="dxa"/>
            <w:tcBorders>
              <w:top w:val="nil"/>
              <w:left w:val="single" w:sz="4" w:space="0" w:color="auto"/>
              <w:bottom w:val="nil"/>
              <w:right w:val="nil"/>
            </w:tcBorders>
            <w:shd w:val="clear" w:color="000000" w:fill="FFFFFF"/>
            <w:noWrap/>
            <w:vAlign w:val="center"/>
            <w:hideMark/>
          </w:tcPr>
          <w:p w14:paraId="616D1111" w14:textId="60116298"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30349B7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6D3DA38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70B6ACA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2B0AA1B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51EBC17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5C6A3BC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72847F6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6017CBF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0BF9664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bottom w:val="nil"/>
              <w:right w:val="nil"/>
            </w:tcBorders>
            <w:shd w:val="clear" w:color="000000" w:fill="FFFFFF"/>
            <w:noWrap/>
            <w:vAlign w:val="center"/>
            <w:hideMark/>
          </w:tcPr>
          <w:p w14:paraId="79D58290" w14:textId="40015D93"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0EFEC72D" w14:textId="0EE5F23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2B9D43A9"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4FABE281"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50-64</w:t>
            </w:r>
          </w:p>
        </w:tc>
        <w:tc>
          <w:tcPr>
            <w:tcW w:w="564" w:type="dxa"/>
            <w:tcBorders>
              <w:top w:val="nil"/>
              <w:left w:val="single" w:sz="18" w:space="0" w:color="auto"/>
              <w:bottom w:val="nil"/>
              <w:right w:val="nil"/>
            </w:tcBorders>
            <w:shd w:val="clear" w:color="000000" w:fill="FFFFFF"/>
            <w:noWrap/>
            <w:vAlign w:val="center"/>
            <w:hideMark/>
          </w:tcPr>
          <w:p w14:paraId="101D4FC0" w14:textId="5D80009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93" w:type="dxa"/>
            <w:tcBorders>
              <w:top w:val="nil"/>
              <w:left w:val="nil"/>
              <w:bottom w:val="nil"/>
              <w:right w:val="single" w:sz="18" w:space="0" w:color="auto"/>
            </w:tcBorders>
            <w:shd w:val="clear" w:color="000000" w:fill="FFFFFF"/>
            <w:noWrap/>
            <w:vAlign w:val="center"/>
          </w:tcPr>
          <w:p w14:paraId="4F8926E8" w14:textId="668E3356"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bottom w:val="nil"/>
              <w:right w:val="nil"/>
            </w:tcBorders>
            <w:shd w:val="clear" w:color="000000" w:fill="FFFFFF"/>
            <w:noWrap/>
            <w:vAlign w:val="center"/>
            <w:hideMark/>
          </w:tcPr>
          <w:p w14:paraId="5BA667E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hideMark/>
          </w:tcPr>
          <w:p w14:paraId="19EDBA2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68186AC6" w14:textId="453C0A5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1.15</w:t>
            </w:r>
          </w:p>
        </w:tc>
        <w:tc>
          <w:tcPr>
            <w:tcW w:w="631" w:type="dxa"/>
            <w:tcBorders>
              <w:top w:val="nil"/>
              <w:left w:val="nil"/>
              <w:bottom w:val="nil"/>
              <w:right w:val="single" w:sz="4" w:space="0" w:color="auto"/>
            </w:tcBorders>
            <w:shd w:val="clear" w:color="000000" w:fill="FFFFFF"/>
            <w:vAlign w:val="bottom"/>
          </w:tcPr>
          <w:p w14:paraId="117A1111" w14:textId="08FE20B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3.74</w:t>
            </w:r>
          </w:p>
        </w:tc>
        <w:tc>
          <w:tcPr>
            <w:tcW w:w="720" w:type="dxa"/>
            <w:tcBorders>
              <w:top w:val="nil"/>
              <w:left w:val="single" w:sz="4" w:space="0" w:color="auto"/>
              <w:bottom w:val="nil"/>
              <w:right w:val="nil"/>
            </w:tcBorders>
            <w:shd w:val="clear" w:color="000000" w:fill="FFFFFF"/>
            <w:noWrap/>
            <w:vAlign w:val="center"/>
            <w:hideMark/>
          </w:tcPr>
          <w:p w14:paraId="500C2A56" w14:textId="1C3DFF5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7DC104D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hideMark/>
          </w:tcPr>
          <w:p w14:paraId="70E3F057" w14:textId="7DAFB19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0.30</w:t>
            </w:r>
          </w:p>
        </w:tc>
        <w:tc>
          <w:tcPr>
            <w:tcW w:w="630" w:type="dxa"/>
            <w:tcBorders>
              <w:top w:val="nil"/>
              <w:left w:val="nil"/>
              <w:bottom w:val="nil"/>
              <w:right w:val="single" w:sz="4" w:space="0" w:color="auto"/>
            </w:tcBorders>
            <w:shd w:val="clear" w:color="000000" w:fill="FFFFFF"/>
            <w:noWrap/>
            <w:vAlign w:val="bottom"/>
            <w:hideMark/>
          </w:tcPr>
          <w:p w14:paraId="73882F04" w14:textId="140C7D36"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1.32</w:t>
            </w:r>
          </w:p>
        </w:tc>
        <w:tc>
          <w:tcPr>
            <w:tcW w:w="540" w:type="dxa"/>
            <w:tcBorders>
              <w:top w:val="nil"/>
              <w:left w:val="nil"/>
              <w:bottom w:val="nil"/>
              <w:right w:val="nil"/>
            </w:tcBorders>
            <w:shd w:val="clear" w:color="000000" w:fill="FFFFFF"/>
            <w:noWrap/>
            <w:vAlign w:val="bottom"/>
            <w:hideMark/>
          </w:tcPr>
          <w:p w14:paraId="4A809E92" w14:textId="0147C3A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0.42</w:t>
            </w:r>
          </w:p>
        </w:tc>
        <w:tc>
          <w:tcPr>
            <w:tcW w:w="540" w:type="dxa"/>
            <w:tcBorders>
              <w:top w:val="nil"/>
              <w:left w:val="nil"/>
              <w:bottom w:val="nil"/>
              <w:right w:val="single" w:sz="4" w:space="0" w:color="auto"/>
            </w:tcBorders>
            <w:shd w:val="clear" w:color="000000" w:fill="FFFFFF"/>
            <w:noWrap/>
            <w:vAlign w:val="bottom"/>
            <w:hideMark/>
          </w:tcPr>
          <w:p w14:paraId="43501317" w14:textId="10AB792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1.74</w:t>
            </w:r>
          </w:p>
        </w:tc>
        <w:tc>
          <w:tcPr>
            <w:tcW w:w="630" w:type="dxa"/>
            <w:tcBorders>
              <w:top w:val="nil"/>
              <w:left w:val="nil"/>
              <w:bottom w:val="nil"/>
              <w:right w:val="nil"/>
            </w:tcBorders>
            <w:shd w:val="clear" w:color="000000" w:fill="FFFFFF"/>
            <w:noWrap/>
            <w:vAlign w:val="center"/>
            <w:hideMark/>
          </w:tcPr>
          <w:p w14:paraId="71F9413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02475EA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070702C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3301C15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bottom w:val="nil"/>
              <w:right w:val="nil"/>
            </w:tcBorders>
            <w:shd w:val="clear" w:color="000000" w:fill="FFFFFF"/>
            <w:noWrap/>
            <w:vAlign w:val="center"/>
            <w:hideMark/>
          </w:tcPr>
          <w:p w14:paraId="65640B67" w14:textId="4A2D9AD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4A165E53" w14:textId="268AACF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49D065EB"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4B3974A6"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65+</w:t>
            </w:r>
          </w:p>
        </w:tc>
        <w:tc>
          <w:tcPr>
            <w:tcW w:w="564" w:type="dxa"/>
            <w:tcBorders>
              <w:top w:val="nil"/>
              <w:left w:val="single" w:sz="18" w:space="0" w:color="auto"/>
              <w:bottom w:val="nil"/>
              <w:right w:val="nil"/>
            </w:tcBorders>
            <w:shd w:val="clear" w:color="000000" w:fill="FFFFFF"/>
            <w:noWrap/>
            <w:vAlign w:val="center"/>
            <w:hideMark/>
          </w:tcPr>
          <w:p w14:paraId="763CDE5E" w14:textId="52993F22"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93" w:type="dxa"/>
            <w:tcBorders>
              <w:top w:val="nil"/>
              <w:left w:val="nil"/>
              <w:bottom w:val="nil"/>
              <w:right w:val="single" w:sz="18" w:space="0" w:color="auto"/>
            </w:tcBorders>
            <w:shd w:val="clear" w:color="000000" w:fill="FFFFFF"/>
            <w:noWrap/>
            <w:vAlign w:val="center"/>
          </w:tcPr>
          <w:p w14:paraId="182BA2BA" w14:textId="785466EB"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bottom w:val="nil"/>
              <w:right w:val="nil"/>
            </w:tcBorders>
            <w:shd w:val="clear" w:color="000000" w:fill="FFFFFF"/>
            <w:noWrap/>
            <w:vAlign w:val="center"/>
            <w:hideMark/>
          </w:tcPr>
          <w:p w14:paraId="5D0E86A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nil"/>
              <w:right w:val="single" w:sz="4" w:space="0" w:color="auto"/>
            </w:tcBorders>
            <w:shd w:val="clear" w:color="000000" w:fill="FFFFFF"/>
            <w:noWrap/>
            <w:vAlign w:val="center"/>
            <w:hideMark/>
          </w:tcPr>
          <w:p w14:paraId="11514AC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bottom"/>
          </w:tcPr>
          <w:p w14:paraId="664E363A" w14:textId="6FF5143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1.32</w:t>
            </w:r>
          </w:p>
        </w:tc>
        <w:tc>
          <w:tcPr>
            <w:tcW w:w="631" w:type="dxa"/>
            <w:tcBorders>
              <w:top w:val="nil"/>
              <w:left w:val="nil"/>
              <w:bottom w:val="nil"/>
              <w:right w:val="single" w:sz="4" w:space="0" w:color="auto"/>
            </w:tcBorders>
            <w:shd w:val="clear" w:color="000000" w:fill="FFFFFF"/>
            <w:vAlign w:val="bottom"/>
          </w:tcPr>
          <w:p w14:paraId="67375068" w14:textId="4B07DC6E"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3.65</w:t>
            </w:r>
          </w:p>
        </w:tc>
        <w:tc>
          <w:tcPr>
            <w:tcW w:w="720" w:type="dxa"/>
            <w:tcBorders>
              <w:top w:val="nil"/>
              <w:left w:val="single" w:sz="4" w:space="0" w:color="auto"/>
              <w:bottom w:val="nil"/>
              <w:right w:val="nil"/>
            </w:tcBorders>
            <w:shd w:val="clear" w:color="000000" w:fill="FFFFFF"/>
            <w:noWrap/>
            <w:vAlign w:val="center"/>
            <w:hideMark/>
          </w:tcPr>
          <w:p w14:paraId="76AF7DE6" w14:textId="1C0782F2"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457DE22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bottom"/>
            <w:hideMark/>
          </w:tcPr>
          <w:p w14:paraId="095AE1D8" w14:textId="6C037D06"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0.64</w:t>
            </w:r>
          </w:p>
        </w:tc>
        <w:tc>
          <w:tcPr>
            <w:tcW w:w="630" w:type="dxa"/>
            <w:tcBorders>
              <w:top w:val="nil"/>
              <w:left w:val="nil"/>
              <w:bottom w:val="nil"/>
              <w:right w:val="single" w:sz="4" w:space="0" w:color="auto"/>
            </w:tcBorders>
            <w:shd w:val="clear" w:color="000000" w:fill="FFFFFF"/>
            <w:noWrap/>
            <w:vAlign w:val="bottom"/>
            <w:hideMark/>
          </w:tcPr>
          <w:p w14:paraId="7E96DADB" w14:textId="245DB3D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1.80</w:t>
            </w:r>
          </w:p>
        </w:tc>
        <w:tc>
          <w:tcPr>
            <w:tcW w:w="540" w:type="dxa"/>
            <w:tcBorders>
              <w:top w:val="nil"/>
              <w:left w:val="nil"/>
              <w:bottom w:val="nil"/>
              <w:right w:val="nil"/>
            </w:tcBorders>
            <w:shd w:val="clear" w:color="000000" w:fill="FFFFFF"/>
            <w:noWrap/>
            <w:vAlign w:val="bottom"/>
            <w:hideMark/>
          </w:tcPr>
          <w:p w14:paraId="7C56F705" w14:textId="4A4856FF"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0.42</w:t>
            </w:r>
          </w:p>
        </w:tc>
        <w:tc>
          <w:tcPr>
            <w:tcW w:w="540" w:type="dxa"/>
            <w:tcBorders>
              <w:top w:val="nil"/>
              <w:left w:val="nil"/>
              <w:bottom w:val="nil"/>
              <w:right w:val="single" w:sz="4" w:space="0" w:color="auto"/>
            </w:tcBorders>
            <w:shd w:val="clear" w:color="000000" w:fill="FFFFFF"/>
            <w:noWrap/>
            <w:vAlign w:val="bottom"/>
            <w:hideMark/>
          </w:tcPr>
          <w:p w14:paraId="2F4F7793" w14:textId="1D530158"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1.74</w:t>
            </w:r>
          </w:p>
        </w:tc>
        <w:tc>
          <w:tcPr>
            <w:tcW w:w="630" w:type="dxa"/>
            <w:tcBorders>
              <w:top w:val="nil"/>
              <w:left w:val="nil"/>
              <w:bottom w:val="nil"/>
              <w:right w:val="nil"/>
            </w:tcBorders>
            <w:shd w:val="clear" w:color="000000" w:fill="FFFFFF"/>
            <w:noWrap/>
            <w:vAlign w:val="center"/>
            <w:hideMark/>
          </w:tcPr>
          <w:p w14:paraId="16AB068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nil"/>
              <w:right w:val="single" w:sz="4" w:space="0" w:color="auto"/>
            </w:tcBorders>
            <w:shd w:val="clear" w:color="000000" w:fill="FFFFFF"/>
            <w:noWrap/>
            <w:vAlign w:val="center"/>
            <w:hideMark/>
          </w:tcPr>
          <w:p w14:paraId="3A25ADB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52858B4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4" w:space="0" w:color="auto"/>
            </w:tcBorders>
            <w:shd w:val="clear" w:color="000000" w:fill="FFFFFF"/>
            <w:noWrap/>
            <w:vAlign w:val="center"/>
            <w:hideMark/>
          </w:tcPr>
          <w:p w14:paraId="683C5E0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bottom w:val="nil"/>
              <w:right w:val="nil"/>
            </w:tcBorders>
            <w:shd w:val="clear" w:color="000000" w:fill="FFFFFF"/>
            <w:noWrap/>
            <w:vAlign w:val="center"/>
            <w:hideMark/>
          </w:tcPr>
          <w:p w14:paraId="6EEF564E" w14:textId="6F36241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nil"/>
              <w:right w:val="single" w:sz="18" w:space="0" w:color="auto"/>
            </w:tcBorders>
            <w:shd w:val="clear" w:color="000000" w:fill="FFFFFF"/>
            <w:noWrap/>
            <w:vAlign w:val="center"/>
          </w:tcPr>
          <w:p w14:paraId="6ECED788" w14:textId="3119FF95"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744F0D23" w14:textId="77777777" w:rsidTr="00A66E92">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5AE2B6F8"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Ethnicity (not Hispanic)</w:t>
            </w:r>
          </w:p>
        </w:tc>
        <w:tc>
          <w:tcPr>
            <w:tcW w:w="564" w:type="dxa"/>
            <w:tcBorders>
              <w:top w:val="nil"/>
              <w:left w:val="single" w:sz="18" w:space="0" w:color="auto"/>
              <w:bottom w:val="nil"/>
              <w:right w:val="nil"/>
            </w:tcBorders>
            <w:shd w:val="clear" w:color="000000" w:fill="FFFFFF"/>
            <w:noWrap/>
            <w:vAlign w:val="center"/>
            <w:hideMark/>
          </w:tcPr>
          <w:p w14:paraId="469236B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nil"/>
              <w:left w:val="nil"/>
              <w:bottom w:val="nil"/>
              <w:right w:val="single" w:sz="18" w:space="0" w:color="auto"/>
            </w:tcBorders>
            <w:shd w:val="clear" w:color="000000" w:fill="FFFFFF"/>
            <w:noWrap/>
            <w:vAlign w:val="center"/>
            <w:hideMark/>
          </w:tcPr>
          <w:p w14:paraId="7248DBA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bottom w:val="nil"/>
              <w:right w:val="nil"/>
            </w:tcBorders>
            <w:shd w:val="clear" w:color="000000" w:fill="FFFFFF"/>
            <w:noWrap/>
            <w:vAlign w:val="center"/>
            <w:hideMark/>
          </w:tcPr>
          <w:p w14:paraId="7020383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nil"/>
              <w:left w:val="nil"/>
              <w:bottom w:val="nil"/>
              <w:right w:val="single" w:sz="4" w:space="0" w:color="auto"/>
            </w:tcBorders>
            <w:shd w:val="clear" w:color="000000" w:fill="FFFFFF"/>
            <w:noWrap/>
            <w:vAlign w:val="center"/>
            <w:hideMark/>
          </w:tcPr>
          <w:p w14:paraId="1F1A659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nil"/>
            </w:tcBorders>
            <w:shd w:val="clear" w:color="000000" w:fill="FFFFFF"/>
            <w:vAlign w:val="center"/>
          </w:tcPr>
          <w:p w14:paraId="3963260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nil"/>
              <w:right w:val="single" w:sz="4" w:space="0" w:color="auto"/>
            </w:tcBorders>
            <w:shd w:val="clear" w:color="000000" w:fill="FFFFFF"/>
            <w:vAlign w:val="center"/>
          </w:tcPr>
          <w:p w14:paraId="0FDF281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bottom w:val="nil"/>
              <w:right w:val="nil"/>
            </w:tcBorders>
            <w:shd w:val="clear" w:color="000000" w:fill="FFFFFF"/>
            <w:noWrap/>
            <w:vAlign w:val="center"/>
            <w:hideMark/>
          </w:tcPr>
          <w:p w14:paraId="52B7F4D9" w14:textId="33AD0680"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7638FC0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03287DA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4369D1B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nil"/>
            </w:tcBorders>
            <w:shd w:val="clear" w:color="000000" w:fill="FFFFFF"/>
            <w:noWrap/>
            <w:vAlign w:val="center"/>
            <w:hideMark/>
          </w:tcPr>
          <w:p w14:paraId="4D9FA6C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00CE522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0633441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single" w:sz="4" w:space="0" w:color="auto"/>
            </w:tcBorders>
            <w:shd w:val="clear" w:color="000000" w:fill="FFFFFF"/>
            <w:noWrap/>
            <w:vAlign w:val="center"/>
            <w:hideMark/>
          </w:tcPr>
          <w:p w14:paraId="77C7111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nil"/>
              <w:right w:val="nil"/>
            </w:tcBorders>
            <w:shd w:val="clear" w:color="000000" w:fill="FFFFFF"/>
            <w:noWrap/>
            <w:vAlign w:val="center"/>
            <w:hideMark/>
          </w:tcPr>
          <w:p w14:paraId="2AE7D80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4" w:space="0" w:color="auto"/>
            </w:tcBorders>
            <w:shd w:val="clear" w:color="000000" w:fill="FFFFFF"/>
            <w:noWrap/>
            <w:vAlign w:val="center"/>
            <w:hideMark/>
          </w:tcPr>
          <w:p w14:paraId="1B56C34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bottom w:val="nil"/>
              <w:right w:val="nil"/>
            </w:tcBorders>
            <w:shd w:val="clear" w:color="000000" w:fill="FFFFFF"/>
            <w:noWrap/>
            <w:vAlign w:val="center"/>
            <w:hideMark/>
          </w:tcPr>
          <w:p w14:paraId="6A8E72F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nil"/>
              <w:right w:val="single" w:sz="18" w:space="0" w:color="auto"/>
            </w:tcBorders>
            <w:shd w:val="clear" w:color="000000" w:fill="FFFFFF"/>
            <w:noWrap/>
            <w:vAlign w:val="center"/>
            <w:hideMark/>
          </w:tcPr>
          <w:p w14:paraId="75DDC82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3367EC64" w14:textId="77777777" w:rsidTr="00A66E92">
        <w:trPr>
          <w:trHeight w:val="144"/>
          <w:jc w:val="center"/>
        </w:trPr>
        <w:tc>
          <w:tcPr>
            <w:tcW w:w="3577" w:type="dxa"/>
            <w:tcBorders>
              <w:top w:val="nil"/>
              <w:left w:val="single" w:sz="18" w:space="0" w:color="auto"/>
              <w:right w:val="single" w:sz="18" w:space="0" w:color="auto"/>
            </w:tcBorders>
            <w:shd w:val="clear" w:color="000000" w:fill="FFFFFF"/>
            <w:noWrap/>
            <w:vAlign w:val="center"/>
            <w:hideMark/>
          </w:tcPr>
          <w:p w14:paraId="17B7F3E0"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Hispanic</w:t>
            </w:r>
          </w:p>
        </w:tc>
        <w:tc>
          <w:tcPr>
            <w:tcW w:w="564" w:type="dxa"/>
            <w:tcBorders>
              <w:top w:val="nil"/>
              <w:left w:val="single" w:sz="18" w:space="0" w:color="auto"/>
              <w:right w:val="nil"/>
            </w:tcBorders>
            <w:shd w:val="clear" w:color="000000" w:fill="FFFFFF"/>
            <w:noWrap/>
            <w:vAlign w:val="bottom"/>
            <w:hideMark/>
          </w:tcPr>
          <w:p w14:paraId="07138B1B" w14:textId="2F7FB709"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-0.38</w:t>
            </w:r>
          </w:p>
        </w:tc>
        <w:tc>
          <w:tcPr>
            <w:tcW w:w="593" w:type="dxa"/>
            <w:tcBorders>
              <w:top w:val="nil"/>
              <w:left w:val="nil"/>
              <w:right w:val="single" w:sz="18" w:space="0" w:color="auto"/>
            </w:tcBorders>
            <w:shd w:val="clear" w:color="000000" w:fill="FFFFFF"/>
            <w:noWrap/>
            <w:vAlign w:val="bottom"/>
            <w:hideMark/>
          </w:tcPr>
          <w:p w14:paraId="13CC3D2A" w14:textId="24986E9C"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-2.14</w:t>
            </w:r>
          </w:p>
        </w:tc>
        <w:tc>
          <w:tcPr>
            <w:tcW w:w="632" w:type="dxa"/>
            <w:tcBorders>
              <w:top w:val="nil"/>
              <w:left w:val="single" w:sz="18" w:space="0" w:color="auto"/>
              <w:right w:val="nil"/>
            </w:tcBorders>
            <w:shd w:val="clear" w:color="000000" w:fill="FFFFFF"/>
            <w:noWrap/>
            <w:vAlign w:val="center"/>
            <w:hideMark/>
          </w:tcPr>
          <w:p w14:paraId="1D532A2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right w:val="single" w:sz="4" w:space="0" w:color="auto"/>
            </w:tcBorders>
            <w:shd w:val="clear" w:color="000000" w:fill="FFFFFF"/>
            <w:noWrap/>
            <w:vAlign w:val="center"/>
            <w:hideMark/>
          </w:tcPr>
          <w:p w14:paraId="1A8424D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right w:val="nil"/>
            </w:tcBorders>
            <w:shd w:val="clear" w:color="000000" w:fill="FFFFFF"/>
            <w:vAlign w:val="center"/>
          </w:tcPr>
          <w:p w14:paraId="71DA0B31" w14:textId="33B6DDB9"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1" w:type="dxa"/>
            <w:tcBorders>
              <w:top w:val="nil"/>
              <w:left w:val="nil"/>
              <w:right w:val="single" w:sz="4" w:space="0" w:color="auto"/>
            </w:tcBorders>
            <w:shd w:val="clear" w:color="000000" w:fill="FFFFFF"/>
            <w:vAlign w:val="center"/>
          </w:tcPr>
          <w:p w14:paraId="176FB49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right w:val="nil"/>
            </w:tcBorders>
            <w:shd w:val="clear" w:color="000000" w:fill="FFFFFF"/>
            <w:noWrap/>
            <w:vAlign w:val="center"/>
            <w:hideMark/>
          </w:tcPr>
          <w:p w14:paraId="5A85C7FC" w14:textId="730EBCD9"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5955E8C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4FCF4EF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hideMark/>
          </w:tcPr>
          <w:p w14:paraId="5F162B0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707EAE8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46FB115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hideMark/>
          </w:tcPr>
          <w:p w14:paraId="28D61B31"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hideMark/>
          </w:tcPr>
          <w:p w14:paraId="38DDEAB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hideMark/>
          </w:tcPr>
          <w:p w14:paraId="34812B2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5A60EFA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right w:val="nil"/>
            </w:tcBorders>
            <w:shd w:val="clear" w:color="000000" w:fill="FFFFFF"/>
            <w:noWrap/>
            <w:vAlign w:val="center"/>
            <w:hideMark/>
          </w:tcPr>
          <w:p w14:paraId="53D7936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18" w:space="0" w:color="auto"/>
            </w:tcBorders>
            <w:shd w:val="clear" w:color="000000" w:fill="FFFFFF"/>
            <w:noWrap/>
            <w:vAlign w:val="center"/>
            <w:hideMark/>
          </w:tcPr>
          <w:p w14:paraId="103E517A"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1C96E286" w14:textId="77777777" w:rsidTr="001E6E1C">
        <w:trPr>
          <w:trHeight w:val="144"/>
          <w:jc w:val="center"/>
        </w:trPr>
        <w:tc>
          <w:tcPr>
            <w:tcW w:w="3577" w:type="dxa"/>
            <w:tcBorders>
              <w:top w:val="nil"/>
              <w:left w:val="single" w:sz="18" w:space="0" w:color="auto"/>
              <w:right w:val="single" w:sz="18" w:space="0" w:color="auto"/>
            </w:tcBorders>
            <w:shd w:val="clear" w:color="000000" w:fill="FFFFFF"/>
            <w:noWrap/>
            <w:vAlign w:val="center"/>
            <w:hideMark/>
          </w:tcPr>
          <w:p w14:paraId="34E488CD"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Race (white)</w:t>
            </w:r>
          </w:p>
        </w:tc>
        <w:tc>
          <w:tcPr>
            <w:tcW w:w="564" w:type="dxa"/>
            <w:tcBorders>
              <w:top w:val="nil"/>
              <w:left w:val="single" w:sz="18" w:space="0" w:color="auto"/>
              <w:right w:val="nil"/>
            </w:tcBorders>
            <w:shd w:val="clear" w:color="000000" w:fill="FFFFFF"/>
            <w:noWrap/>
            <w:vAlign w:val="center"/>
            <w:hideMark/>
          </w:tcPr>
          <w:p w14:paraId="3E60FD7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nil"/>
              <w:left w:val="nil"/>
              <w:right w:val="single" w:sz="18" w:space="0" w:color="auto"/>
            </w:tcBorders>
            <w:shd w:val="clear" w:color="000000" w:fill="FFFFFF"/>
            <w:noWrap/>
            <w:vAlign w:val="center"/>
            <w:hideMark/>
          </w:tcPr>
          <w:p w14:paraId="29E85B4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right w:val="nil"/>
            </w:tcBorders>
            <w:shd w:val="clear" w:color="000000" w:fill="FFFFFF"/>
            <w:noWrap/>
            <w:vAlign w:val="center"/>
            <w:hideMark/>
          </w:tcPr>
          <w:p w14:paraId="5203851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nil"/>
              <w:left w:val="nil"/>
              <w:right w:val="single" w:sz="4" w:space="0" w:color="auto"/>
            </w:tcBorders>
            <w:shd w:val="clear" w:color="000000" w:fill="FFFFFF"/>
            <w:noWrap/>
            <w:vAlign w:val="center"/>
            <w:hideMark/>
          </w:tcPr>
          <w:p w14:paraId="6C15C7AD"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right w:val="nil"/>
            </w:tcBorders>
            <w:shd w:val="clear" w:color="000000" w:fill="FFFFFF"/>
            <w:vAlign w:val="center"/>
          </w:tcPr>
          <w:p w14:paraId="27B7B20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right w:val="single" w:sz="4" w:space="0" w:color="auto"/>
            </w:tcBorders>
            <w:shd w:val="clear" w:color="000000" w:fill="FFFFFF"/>
            <w:vAlign w:val="center"/>
          </w:tcPr>
          <w:p w14:paraId="69E5360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right w:val="nil"/>
            </w:tcBorders>
            <w:shd w:val="clear" w:color="000000" w:fill="FFFFFF"/>
            <w:noWrap/>
            <w:vAlign w:val="center"/>
            <w:hideMark/>
          </w:tcPr>
          <w:p w14:paraId="1A9A2F83" w14:textId="6615B59D"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4" w:space="0" w:color="auto"/>
            </w:tcBorders>
            <w:shd w:val="clear" w:color="000000" w:fill="FFFFFF"/>
            <w:noWrap/>
            <w:vAlign w:val="center"/>
            <w:hideMark/>
          </w:tcPr>
          <w:p w14:paraId="281D6B3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0BA6E06B"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single" w:sz="4" w:space="0" w:color="auto"/>
            </w:tcBorders>
            <w:shd w:val="clear" w:color="000000" w:fill="FFFFFF"/>
            <w:noWrap/>
            <w:vAlign w:val="center"/>
            <w:hideMark/>
          </w:tcPr>
          <w:p w14:paraId="1BFC2EA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3495B473"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4" w:space="0" w:color="auto"/>
            </w:tcBorders>
            <w:shd w:val="clear" w:color="000000" w:fill="FFFFFF"/>
            <w:noWrap/>
            <w:vAlign w:val="center"/>
            <w:hideMark/>
          </w:tcPr>
          <w:p w14:paraId="6E38711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hideMark/>
          </w:tcPr>
          <w:p w14:paraId="0656C2D1"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single" w:sz="4" w:space="0" w:color="auto"/>
            </w:tcBorders>
            <w:shd w:val="clear" w:color="000000" w:fill="FFFFFF"/>
            <w:noWrap/>
            <w:vAlign w:val="center"/>
            <w:hideMark/>
          </w:tcPr>
          <w:p w14:paraId="497C8865"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hideMark/>
          </w:tcPr>
          <w:p w14:paraId="4989549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4" w:space="0" w:color="auto"/>
            </w:tcBorders>
            <w:shd w:val="clear" w:color="000000" w:fill="FFFFFF"/>
            <w:noWrap/>
            <w:vAlign w:val="center"/>
            <w:hideMark/>
          </w:tcPr>
          <w:p w14:paraId="347E42A0"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right w:val="nil"/>
            </w:tcBorders>
            <w:shd w:val="clear" w:color="000000" w:fill="FFFFFF"/>
            <w:noWrap/>
            <w:vAlign w:val="center"/>
            <w:hideMark/>
          </w:tcPr>
          <w:p w14:paraId="6ACEC8F1"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18" w:space="0" w:color="auto"/>
            </w:tcBorders>
            <w:shd w:val="clear" w:color="000000" w:fill="FFFFFF"/>
            <w:noWrap/>
            <w:vAlign w:val="center"/>
            <w:hideMark/>
          </w:tcPr>
          <w:p w14:paraId="19FFB71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r w:rsidR="00755CB7" w:rsidRPr="00D309F4" w14:paraId="003BB2CF" w14:textId="77777777" w:rsidTr="001E6E1C">
        <w:trPr>
          <w:trHeight w:val="144"/>
          <w:jc w:val="center"/>
        </w:trPr>
        <w:tc>
          <w:tcPr>
            <w:tcW w:w="3577" w:type="dxa"/>
            <w:tcBorders>
              <w:top w:val="nil"/>
              <w:left w:val="single" w:sz="18" w:space="0" w:color="auto"/>
              <w:bottom w:val="single" w:sz="18" w:space="0" w:color="auto"/>
              <w:right w:val="single" w:sz="18" w:space="0" w:color="auto"/>
            </w:tcBorders>
            <w:shd w:val="clear" w:color="000000" w:fill="FFFFFF"/>
            <w:noWrap/>
            <w:vAlign w:val="center"/>
            <w:hideMark/>
          </w:tcPr>
          <w:p w14:paraId="637CEB25" w14:textId="77777777" w:rsidR="00755CB7" w:rsidRPr="00D309F4" w:rsidRDefault="00755CB7" w:rsidP="00755CB7">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Non-white</w:t>
            </w:r>
          </w:p>
        </w:tc>
        <w:tc>
          <w:tcPr>
            <w:tcW w:w="564" w:type="dxa"/>
            <w:tcBorders>
              <w:top w:val="nil"/>
              <w:left w:val="single" w:sz="18" w:space="0" w:color="auto"/>
              <w:bottom w:val="single" w:sz="18" w:space="0" w:color="auto"/>
              <w:right w:val="nil"/>
            </w:tcBorders>
            <w:shd w:val="clear" w:color="000000" w:fill="FFFFFF"/>
            <w:noWrap/>
            <w:vAlign w:val="bottom"/>
            <w:hideMark/>
          </w:tcPr>
          <w:p w14:paraId="4A55DAAF" w14:textId="3FD2CED4"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-0.29</w:t>
            </w:r>
          </w:p>
        </w:tc>
        <w:tc>
          <w:tcPr>
            <w:tcW w:w="593" w:type="dxa"/>
            <w:tcBorders>
              <w:top w:val="nil"/>
              <w:left w:val="nil"/>
              <w:bottom w:val="single" w:sz="18" w:space="0" w:color="auto"/>
              <w:right w:val="single" w:sz="18" w:space="0" w:color="auto"/>
            </w:tcBorders>
            <w:shd w:val="clear" w:color="000000" w:fill="FFFFFF"/>
            <w:noWrap/>
            <w:vAlign w:val="bottom"/>
            <w:hideMark/>
          </w:tcPr>
          <w:p w14:paraId="5AB34929" w14:textId="092915FA"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-1.99</w:t>
            </w:r>
          </w:p>
        </w:tc>
        <w:tc>
          <w:tcPr>
            <w:tcW w:w="632" w:type="dxa"/>
            <w:tcBorders>
              <w:top w:val="nil"/>
              <w:left w:val="single" w:sz="18" w:space="0" w:color="auto"/>
              <w:bottom w:val="single" w:sz="18" w:space="0" w:color="auto"/>
              <w:right w:val="nil"/>
            </w:tcBorders>
            <w:shd w:val="clear" w:color="000000" w:fill="FFFFFF"/>
            <w:noWrap/>
            <w:vAlign w:val="center"/>
            <w:hideMark/>
          </w:tcPr>
          <w:p w14:paraId="2B0A7EB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bottom w:val="single" w:sz="18" w:space="0" w:color="auto"/>
              <w:right w:val="single" w:sz="4" w:space="0" w:color="auto"/>
            </w:tcBorders>
            <w:shd w:val="clear" w:color="000000" w:fill="FFFFFF"/>
            <w:noWrap/>
            <w:vAlign w:val="center"/>
            <w:hideMark/>
          </w:tcPr>
          <w:p w14:paraId="4CABFDA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bottom w:val="single" w:sz="18" w:space="0" w:color="auto"/>
            </w:tcBorders>
            <w:shd w:val="clear" w:color="000000" w:fill="FFFFFF"/>
            <w:vAlign w:val="center"/>
          </w:tcPr>
          <w:p w14:paraId="32F9FA40" w14:textId="0964D502"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1" w:type="dxa"/>
            <w:tcBorders>
              <w:top w:val="nil"/>
              <w:left w:val="nil"/>
              <w:bottom w:val="single" w:sz="18" w:space="0" w:color="auto"/>
              <w:right w:val="single" w:sz="4" w:space="0" w:color="auto"/>
            </w:tcBorders>
            <w:shd w:val="clear" w:color="000000" w:fill="FFFFFF"/>
            <w:vAlign w:val="center"/>
          </w:tcPr>
          <w:p w14:paraId="347B2A3C"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bottom w:val="single" w:sz="18" w:space="0" w:color="auto"/>
              <w:right w:val="nil"/>
            </w:tcBorders>
            <w:shd w:val="clear" w:color="000000" w:fill="FFFFFF"/>
            <w:noWrap/>
            <w:vAlign w:val="center"/>
            <w:hideMark/>
          </w:tcPr>
          <w:p w14:paraId="7D2E10CE" w14:textId="0EE64F41"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single" w:sz="18" w:space="0" w:color="auto"/>
              <w:right w:val="single" w:sz="4" w:space="0" w:color="auto"/>
            </w:tcBorders>
            <w:shd w:val="clear" w:color="000000" w:fill="FFFFFF"/>
            <w:noWrap/>
            <w:vAlign w:val="center"/>
            <w:hideMark/>
          </w:tcPr>
          <w:p w14:paraId="6B47B0AF"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single" w:sz="18" w:space="0" w:color="auto"/>
              <w:right w:val="nil"/>
            </w:tcBorders>
            <w:shd w:val="clear" w:color="000000" w:fill="FFFFFF"/>
            <w:noWrap/>
            <w:vAlign w:val="center"/>
            <w:hideMark/>
          </w:tcPr>
          <w:p w14:paraId="3852218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single" w:sz="18" w:space="0" w:color="auto"/>
              <w:right w:val="single" w:sz="4" w:space="0" w:color="auto"/>
            </w:tcBorders>
            <w:shd w:val="clear" w:color="000000" w:fill="FFFFFF"/>
            <w:noWrap/>
            <w:vAlign w:val="center"/>
            <w:hideMark/>
          </w:tcPr>
          <w:p w14:paraId="41DD574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bottom w:val="single" w:sz="18" w:space="0" w:color="auto"/>
              <w:right w:val="nil"/>
            </w:tcBorders>
            <w:shd w:val="clear" w:color="000000" w:fill="FFFFFF"/>
            <w:noWrap/>
            <w:vAlign w:val="center"/>
            <w:hideMark/>
          </w:tcPr>
          <w:p w14:paraId="6369A504"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single" w:sz="18" w:space="0" w:color="auto"/>
              <w:right w:val="single" w:sz="4" w:space="0" w:color="auto"/>
            </w:tcBorders>
            <w:shd w:val="clear" w:color="000000" w:fill="FFFFFF"/>
            <w:noWrap/>
            <w:vAlign w:val="center"/>
            <w:hideMark/>
          </w:tcPr>
          <w:p w14:paraId="66EC7812"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single" w:sz="18" w:space="0" w:color="auto"/>
              <w:right w:val="nil"/>
            </w:tcBorders>
            <w:shd w:val="clear" w:color="000000" w:fill="FFFFFF"/>
            <w:noWrap/>
            <w:vAlign w:val="center"/>
            <w:hideMark/>
          </w:tcPr>
          <w:p w14:paraId="18C740C7"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bottom w:val="single" w:sz="18" w:space="0" w:color="auto"/>
              <w:right w:val="single" w:sz="4" w:space="0" w:color="auto"/>
            </w:tcBorders>
            <w:shd w:val="clear" w:color="000000" w:fill="FFFFFF"/>
            <w:noWrap/>
            <w:vAlign w:val="center"/>
            <w:hideMark/>
          </w:tcPr>
          <w:p w14:paraId="2F0CDDE6"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bottom w:val="single" w:sz="18" w:space="0" w:color="auto"/>
              <w:right w:val="nil"/>
            </w:tcBorders>
            <w:shd w:val="clear" w:color="000000" w:fill="FFFFFF"/>
            <w:noWrap/>
            <w:vAlign w:val="center"/>
            <w:hideMark/>
          </w:tcPr>
          <w:p w14:paraId="1BA97E9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single" w:sz="18" w:space="0" w:color="auto"/>
              <w:right w:val="single" w:sz="4" w:space="0" w:color="auto"/>
            </w:tcBorders>
            <w:shd w:val="clear" w:color="000000" w:fill="FFFFFF"/>
            <w:noWrap/>
            <w:vAlign w:val="center"/>
            <w:hideMark/>
          </w:tcPr>
          <w:p w14:paraId="506A7658"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bottom w:val="single" w:sz="18" w:space="0" w:color="auto"/>
              <w:right w:val="nil"/>
            </w:tcBorders>
            <w:shd w:val="clear" w:color="000000" w:fill="FFFFFF"/>
            <w:noWrap/>
            <w:vAlign w:val="center"/>
            <w:hideMark/>
          </w:tcPr>
          <w:p w14:paraId="1F4AE1BE"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bottom w:val="single" w:sz="18" w:space="0" w:color="auto"/>
              <w:right w:val="single" w:sz="18" w:space="0" w:color="auto"/>
            </w:tcBorders>
            <w:shd w:val="clear" w:color="000000" w:fill="FFFFFF"/>
            <w:noWrap/>
            <w:vAlign w:val="center"/>
            <w:hideMark/>
          </w:tcPr>
          <w:p w14:paraId="16C2EC59" w14:textId="77777777" w:rsidR="00755CB7" w:rsidRPr="00D309F4" w:rsidRDefault="00755CB7" w:rsidP="00755CB7">
            <w:pPr>
              <w:tabs>
                <w:tab w:val="decimal" w:pos="140"/>
              </w:tabs>
              <w:spacing w:after="0" w:line="240" w:lineRule="auto"/>
              <w:jc w:val="center"/>
              <w:rPr>
                <w:rFonts w:eastAsia="Times New Roman" w:cs="Times New Roman"/>
                <w:kern w:val="0"/>
                <w:sz w:val="20"/>
                <w:szCs w:val="20"/>
                <w14:ligatures w14:val="none"/>
              </w:rPr>
            </w:pPr>
          </w:p>
        </w:tc>
      </w:tr>
    </w:tbl>
    <w:p w14:paraId="3E9C3EEB" w14:textId="77777777" w:rsidR="0097080D" w:rsidRPr="00D309F4" w:rsidRDefault="0097080D" w:rsidP="001E6E1C">
      <w:pPr>
        <w:spacing w:after="0" w:line="240" w:lineRule="auto"/>
        <w:jc w:val="both"/>
        <w:rPr>
          <w:rFonts w:cs="Times New Roman"/>
          <w:b/>
          <w:bCs/>
        </w:rPr>
      </w:pPr>
    </w:p>
    <w:p w14:paraId="2F41A147" w14:textId="7683F007" w:rsidR="001E6E1C" w:rsidRPr="00D309F4" w:rsidRDefault="001E6E1C" w:rsidP="001E6E1C">
      <w:pPr>
        <w:spacing w:after="0" w:line="240" w:lineRule="auto"/>
        <w:jc w:val="both"/>
        <w:rPr>
          <w:rFonts w:cs="Times New Roman"/>
          <w:b/>
          <w:bCs/>
          <w:sz w:val="22"/>
          <w:szCs w:val="22"/>
        </w:rPr>
      </w:pPr>
      <w:r w:rsidRPr="00D309F4">
        <w:rPr>
          <w:rFonts w:cs="Times New Roman"/>
          <w:b/>
          <w:bCs/>
          <w:sz w:val="22"/>
          <w:szCs w:val="22"/>
        </w:rPr>
        <w:lastRenderedPageBreak/>
        <w:t>Table 4: Main Estimation Results</w:t>
      </w:r>
      <w:r w:rsidR="007422EE" w:rsidRPr="00D309F4">
        <w:rPr>
          <w:rFonts w:cs="Times New Roman"/>
          <w:b/>
          <w:bCs/>
          <w:sz w:val="22"/>
          <w:szCs w:val="22"/>
        </w:rPr>
        <w:t xml:space="preserve"> (cont.)</w:t>
      </w:r>
    </w:p>
    <w:p w14:paraId="4F3E19F8" w14:textId="77777777" w:rsidR="00034676" w:rsidRPr="00D309F4" w:rsidRDefault="00034676" w:rsidP="00264D08">
      <w:pPr>
        <w:spacing w:after="0" w:line="240" w:lineRule="auto"/>
        <w:jc w:val="both"/>
        <w:rPr>
          <w:rFonts w:cs="Times New Roman"/>
          <w:b/>
          <w:bCs/>
          <w:sz w:val="22"/>
          <w:szCs w:val="22"/>
        </w:rPr>
      </w:pPr>
    </w:p>
    <w:tbl>
      <w:tblPr>
        <w:tblW w:w="14366" w:type="dxa"/>
        <w:jc w:val="center"/>
        <w:tblLayout w:type="fixed"/>
        <w:tblCellMar>
          <w:left w:w="29" w:type="dxa"/>
          <w:right w:w="0" w:type="dxa"/>
        </w:tblCellMar>
        <w:tblLook w:val="04A0" w:firstRow="1" w:lastRow="0" w:firstColumn="1" w:lastColumn="0" w:noHBand="0" w:noVBand="1"/>
      </w:tblPr>
      <w:tblGrid>
        <w:gridCol w:w="3577"/>
        <w:gridCol w:w="564"/>
        <w:gridCol w:w="593"/>
        <w:gridCol w:w="632"/>
        <w:gridCol w:w="538"/>
        <w:gridCol w:w="631"/>
        <w:gridCol w:w="631"/>
        <w:gridCol w:w="720"/>
        <w:gridCol w:w="540"/>
        <w:gridCol w:w="540"/>
        <w:gridCol w:w="630"/>
        <w:gridCol w:w="540"/>
        <w:gridCol w:w="540"/>
        <w:gridCol w:w="630"/>
        <w:gridCol w:w="630"/>
        <w:gridCol w:w="630"/>
        <w:gridCol w:w="540"/>
        <w:gridCol w:w="720"/>
        <w:gridCol w:w="540"/>
      </w:tblGrid>
      <w:tr w:rsidR="005F44F8" w:rsidRPr="00D309F4" w14:paraId="51AE6268" w14:textId="77777777" w:rsidTr="009E0B91">
        <w:trPr>
          <w:cantSplit/>
          <w:trHeight w:val="144"/>
          <w:tblHeader/>
          <w:jc w:val="center"/>
        </w:trPr>
        <w:tc>
          <w:tcPr>
            <w:tcW w:w="3577" w:type="dxa"/>
            <w:vMerge w:val="restart"/>
            <w:tcBorders>
              <w:top w:val="single" w:sz="18" w:space="0" w:color="auto"/>
              <w:left w:val="single" w:sz="18" w:space="0" w:color="auto"/>
              <w:bottom w:val="single" w:sz="18" w:space="0" w:color="auto"/>
              <w:right w:val="single" w:sz="18" w:space="0" w:color="auto"/>
            </w:tcBorders>
            <w:shd w:val="clear" w:color="000000" w:fill="FFFFFF"/>
            <w:noWrap/>
            <w:vAlign w:val="center"/>
            <w:hideMark/>
          </w:tcPr>
          <w:p w14:paraId="386299BB"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Variables (base)</w:t>
            </w:r>
          </w:p>
        </w:tc>
        <w:tc>
          <w:tcPr>
            <w:tcW w:w="1157" w:type="dxa"/>
            <w:gridSpan w:val="2"/>
            <w:tcBorders>
              <w:top w:val="single" w:sz="18" w:space="0" w:color="auto"/>
              <w:left w:val="single" w:sz="18" w:space="0" w:color="auto"/>
              <w:bottom w:val="single" w:sz="18" w:space="0" w:color="auto"/>
              <w:right w:val="single" w:sz="18" w:space="0" w:color="auto"/>
            </w:tcBorders>
            <w:shd w:val="clear" w:color="000000" w:fill="FFFFFF"/>
            <w:vAlign w:val="center"/>
            <w:hideMark/>
          </w:tcPr>
          <w:p w14:paraId="39B07081"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EV ownership</w:t>
            </w:r>
          </w:p>
        </w:tc>
        <w:tc>
          <w:tcPr>
            <w:tcW w:w="1170" w:type="dxa"/>
            <w:gridSpan w:val="2"/>
            <w:tcBorders>
              <w:top w:val="single" w:sz="18" w:space="0" w:color="auto"/>
              <w:left w:val="single" w:sz="18" w:space="0" w:color="auto"/>
              <w:bottom w:val="single" w:sz="18" w:space="0" w:color="auto"/>
              <w:right w:val="single" w:sz="4" w:space="0" w:color="000000"/>
            </w:tcBorders>
            <w:shd w:val="clear" w:color="000000" w:fill="FFFFFF"/>
            <w:vAlign w:val="center"/>
            <w:hideMark/>
          </w:tcPr>
          <w:p w14:paraId="40D8C8F9"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Rising gas prices</w:t>
            </w:r>
          </w:p>
        </w:tc>
        <w:tc>
          <w:tcPr>
            <w:tcW w:w="1262" w:type="dxa"/>
            <w:gridSpan w:val="2"/>
            <w:tcBorders>
              <w:top w:val="single" w:sz="18" w:space="0" w:color="auto"/>
              <w:left w:val="nil"/>
              <w:bottom w:val="single" w:sz="18" w:space="0" w:color="auto"/>
              <w:right w:val="single" w:sz="4" w:space="0" w:color="auto"/>
            </w:tcBorders>
            <w:shd w:val="clear" w:color="000000" w:fill="FFFFFF"/>
            <w:vAlign w:val="center"/>
          </w:tcPr>
          <w:p w14:paraId="57A2D691"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Take advantage of incentives</w:t>
            </w:r>
          </w:p>
        </w:tc>
        <w:tc>
          <w:tcPr>
            <w:tcW w:w="1260" w:type="dxa"/>
            <w:gridSpan w:val="2"/>
            <w:tcBorders>
              <w:top w:val="single" w:sz="18" w:space="0" w:color="auto"/>
              <w:left w:val="single" w:sz="4" w:space="0" w:color="auto"/>
              <w:bottom w:val="single" w:sz="18" w:space="0" w:color="auto"/>
              <w:right w:val="single" w:sz="4" w:space="0" w:color="000000"/>
            </w:tcBorders>
            <w:shd w:val="clear" w:color="000000" w:fill="FFFFFF"/>
            <w:vAlign w:val="center"/>
            <w:hideMark/>
          </w:tcPr>
          <w:p w14:paraId="1D0E57E9"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Interest in the technology</w:t>
            </w:r>
          </w:p>
        </w:tc>
        <w:tc>
          <w:tcPr>
            <w:tcW w:w="1170" w:type="dxa"/>
            <w:gridSpan w:val="2"/>
            <w:tcBorders>
              <w:top w:val="single" w:sz="18" w:space="0" w:color="auto"/>
              <w:left w:val="single" w:sz="4" w:space="0" w:color="auto"/>
              <w:bottom w:val="single" w:sz="18" w:space="0" w:color="auto"/>
              <w:right w:val="single" w:sz="4" w:space="0" w:color="000000"/>
            </w:tcBorders>
            <w:shd w:val="clear" w:color="000000" w:fill="FFFFFF"/>
            <w:vAlign w:val="center"/>
          </w:tcPr>
          <w:p w14:paraId="4A4F5A50"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Interest in a specific brand/model</w:t>
            </w:r>
          </w:p>
        </w:tc>
        <w:tc>
          <w:tcPr>
            <w:tcW w:w="1080" w:type="dxa"/>
            <w:gridSpan w:val="2"/>
            <w:tcBorders>
              <w:top w:val="single" w:sz="18" w:space="0" w:color="auto"/>
              <w:left w:val="nil"/>
              <w:bottom w:val="single" w:sz="18" w:space="0" w:color="auto"/>
              <w:right w:val="single" w:sz="4" w:space="0" w:color="000000"/>
            </w:tcBorders>
            <w:shd w:val="clear" w:color="000000" w:fill="FFFFFF"/>
            <w:vAlign w:val="center"/>
            <w:hideMark/>
          </w:tcPr>
          <w:p w14:paraId="614892A4"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Test drove one</w:t>
            </w:r>
          </w:p>
        </w:tc>
        <w:tc>
          <w:tcPr>
            <w:tcW w:w="1260" w:type="dxa"/>
            <w:gridSpan w:val="2"/>
            <w:tcBorders>
              <w:top w:val="single" w:sz="18" w:space="0" w:color="auto"/>
              <w:left w:val="nil"/>
              <w:bottom w:val="single" w:sz="18" w:space="0" w:color="auto"/>
              <w:right w:val="single" w:sz="4" w:space="0" w:color="000000"/>
            </w:tcBorders>
            <w:shd w:val="clear" w:color="000000" w:fill="FFFFFF"/>
            <w:vAlign w:val="center"/>
            <w:hideMark/>
          </w:tcPr>
          <w:p w14:paraId="382E86C7"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Heard about EVs from friends/family</w:t>
            </w:r>
          </w:p>
        </w:tc>
        <w:tc>
          <w:tcPr>
            <w:tcW w:w="1170" w:type="dxa"/>
            <w:gridSpan w:val="2"/>
            <w:tcBorders>
              <w:top w:val="single" w:sz="18" w:space="0" w:color="auto"/>
              <w:left w:val="nil"/>
              <w:bottom w:val="single" w:sz="18" w:space="0" w:color="auto"/>
              <w:right w:val="single" w:sz="4" w:space="0" w:color="000000"/>
            </w:tcBorders>
            <w:shd w:val="clear" w:color="000000" w:fill="FFFFFF"/>
            <w:vAlign w:val="center"/>
          </w:tcPr>
          <w:p w14:paraId="6BF55B07"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Ability to charge at home</w:t>
            </w:r>
          </w:p>
        </w:tc>
        <w:tc>
          <w:tcPr>
            <w:tcW w:w="1260" w:type="dxa"/>
            <w:gridSpan w:val="2"/>
            <w:tcBorders>
              <w:top w:val="single" w:sz="18" w:space="0" w:color="auto"/>
              <w:left w:val="nil"/>
              <w:bottom w:val="single" w:sz="18" w:space="0" w:color="auto"/>
              <w:right w:val="single" w:sz="18" w:space="0" w:color="auto"/>
            </w:tcBorders>
            <w:shd w:val="clear" w:color="000000" w:fill="FFFFFF"/>
            <w:vAlign w:val="center"/>
          </w:tcPr>
          <w:p w14:paraId="3EB21A79"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Concerns about climate change</w:t>
            </w:r>
          </w:p>
        </w:tc>
      </w:tr>
      <w:tr w:rsidR="005F44F8" w:rsidRPr="00D309F4" w14:paraId="42A8525C" w14:textId="77777777" w:rsidTr="009E0B91">
        <w:trPr>
          <w:cantSplit/>
          <w:trHeight w:val="144"/>
          <w:tblHeader/>
          <w:jc w:val="center"/>
        </w:trPr>
        <w:tc>
          <w:tcPr>
            <w:tcW w:w="3577" w:type="dxa"/>
            <w:vMerge/>
            <w:tcBorders>
              <w:top w:val="single" w:sz="18" w:space="0" w:color="auto"/>
              <w:left w:val="single" w:sz="18" w:space="0" w:color="auto"/>
              <w:bottom w:val="single" w:sz="18" w:space="0" w:color="auto"/>
              <w:right w:val="single" w:sz="18" w:space="0" w:color="auto"/>
            </w:tcBorders>
            <w:vAlign w:val="center"/>
            <w:hideMark/>
          </w:tcPr>
          <w:p w14:paraId="2A021071" w14:textId="77777777" w:rsidR="005F44F8" w:rsidRPr="00D309F4" w:rsidRDefault="005F44F8" w:rsidP="009E0B91">
            <w:pPr>
              <w:spacing w:after="0" w:line="240" w:lineRule="auto"/>
              <w:rPr>
                <w:rFonts w:eastAsia="Times New Roman" w:cs="Times New Roman"/>
                <w:kern w:val="0"/>
                <w:sz w:val="20"/>
                <w:szCs w:val="20"/>
                <w14:ligatures w14:val="none"/>
              </w:rPr>
            </w:pPr>
          </w:p>
        </w:tc>
        <w:tc>
          <w:tcPr>
            <w:tcW w:w="564" w:type="dxa"/>
            <w:tcBorders>
              <w:top w:val="single" w:sz="18" w:space="0" w:color="auto"/>
              <w:left w:val="single" w:sz="18" w:space="0" w:color="auto"/>
              <w:bottom w:val="single" w:sz="18" w:space="0" w:color="auto"/>
              <w:right w:val="nil"/>
            </w:tcBorders>
            <w:shd w:val="clear" w:color="000000" w:fill="FFFFFF"/>
            <w:noWrap/>
            <w:vAlign w:val="center"/>
            <w:hideMark/>
          </w:tcPr>
          <w:p w14:paraId="2C3D7EAB"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93" w:type="dxa"/>
            <w:tcBorders>
              <w:top w:val="single" w:sz="18" w:space="0" w:color="auto"/>
              <w:left w:val="nil"/>
              <w:bottom w:val="single" w:sz="18" w:space="0" w:color="auto"/>
              <w:right w:val="single" w:sz="18" w:space="0" w:color="auto"/>
            </w:tcBorders>
            <w:shd w:val="clear" w:color="000000" w:fill="FFFFFF"/>
            <w:noWrap/>
            <w:vAlign w:val="center"/>
            <w:hideMark/>
          </w:tcPr>
          <w:p w14:paraId="4E3121C3"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2" w:type="dxa"/>
            <w:tcBorders>
              <w:top w:val="single" w:sz="18" w:space="0" w:color="auto"/>
              <w:left w:val="single" w:sz="18" w:space="0" w:color="auto"/>
              <w:bottom w:val="single" w:sz="18" w:space="0" w:color="auto"/>
              <w:right w:val="nil"/>
            </w:tcBorders>
            <w:shd w:val="clear" w:color="000000" w:fill="FFFFFF"/>
            <w:noWrap/>
            <w:vAlign w:val="center"/>
            <w:hideMark/>
          </w:tcPr>
          <w:p w14:paraId="4DE92628"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38" w:type="dxa"/>
            <w:tcBorders>
              <w:top w:val="single" w:sz="18" w:space="0" w:color="auto"/>
              <w:left w:val="nil"/>
              <w:bottom w:val="single" w:sz="18" w:space="0" w:color="auto"/>
              <w:right w:val="single" w:sz="4" w:space="0" w:color="auto"/>
            </w:tcBorders>
            <w:shd w:val="clear" w:color="000000" w:fill="FFFFFF"/>
            <w:noWrap/>
            <w:vAlign w:val="center"/>
            <w:hideMark/>
          </w:tcPr>
          <w:p w14:paraId="0469B117"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1" w:type="dxa"/>
            <w:tcBorders>
              <w:top w:val="single" w:sz="18" w:space="0" w:color="auto"/>
              <w:left w:val="nil"/>
              <w:bottom w:val="single" w:sz="18" w:space="0" w:color="auto"/>
              <w:right w:val="nil"/>
            </w:tcBorders>
            <w:shd w:val="clear" w:color="000000" w:fill="FFFFFF"/>
            <w:vAlign w:val="center"/>
          </w:tcPr>
          <w:p w14:paraId="65BB69B0"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631" w:type="dxa"/>
            <w:tcBorders>
              <w:top w:val="single" w:sz="18" w:space="0" w:color="auto"/>
              <w:left w:val="nil"/>
              <w:bottom w:val="single" w:sz="18" w:space="0" w:color="auto"/>
              <w:right w:val="single" w:sz="4" w:space="0" w:color="auto"/>
            </w:tcBorders>
            <w:shd w:val="clear" w:color="000000" w:fill="FFFFFF"/>
            <w:vAlign w:val="center"/>
          </w:tcPr>
          <w:p w14:paraId="61D276D4"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720" w:type="dxa"/>
            <w:tcBorders>
              <w:top w:val="single" w:sz="18" w:space="0" w:color="auto"/>
              <w:left w:val="single" w:sz="4" w:space="0" w:color="auto"/>
              <w:bottom w:val="single" w:sz="18" w:space="0" w:color="auto"/>
              <w:right w:val="nil"/>
            </w:tcBorders>
            <w:shd w:val="clear" w:color="000000" w:fill="FFFFFF"/>
            <w:noWrap/>
            <w:vAlign w:val="center"/>
            <w:hideMark/>
          </w:tcPr>
          <w:p w14:paraId="62258073"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4" w:space="0" w:color="auto"/>
            </w:tcBorders>
            <w:shd w:val="clear" w:color="000000" w:fill="FFFFFF"/>
            <w:noWrap/>
            <w:vAlign w:val="center"/>
            <w:hideMark/>
          </w:tcPr>
          <w:p w14:paraId="53BDA906"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540" w:type="dxa"/>
            <w:tcBorders>
              <w:top w:val="single" w:sz="18" w:space="0" w:color="auto"/>
              <w:left w:val="nil"/>
              <w:bottom w:val="single" w:sz="18" w:space="0" w:color="auto"/>
              <w:right w:val="nil"/>
            </w:tcBorders>
            <w:shd w:val="clear" w:color="000000" w:fill="FFFFFF"/>
            <w:noWrap/>
            <w:vAlign w:val="center"/>
            <w:hideMark/>
          </w:tcPr>
          <w:p w14:paraId="2E0A1E94"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630" w:type="dxa"/>
            <w:tcBorders>
              <w:top w:val="single" w:sz="18" w:space="0" w:color="auto"/>
              <w:left w:val="nil"/>
              <w:bottom w:val="single" w:sz="18" w:space="0" w:color="auto"/>
              <w:right w:val="single" w:sz="4" w:space="0" w:color="auto"/>
            </w:tcBorders>
            <w:shd w:val="clear" w:color="000000" w:fill="FFFFFF"/>
            <w:noWrap/>
            <w:vAlign w:val="center"/>
            <w:hideMark/>
          </w:tcPr>
          <w:p w14:paraId="5543CD9C"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540" w:type="dxa"/>
            <w:tcBorders>
              <w:top w:val="single" w:sz="18" w:space="0" w:color="auto"/>
              <w:left w:val="nil"/>
              <w:bottom w:val="single" w:sz="18" w:space="0" w:color="auto"/>
              <w:right w:val="nil"/>
            </w:tcBorders>
            <w:shd w:val="clear" w:color="000000" w:fill="FFFFFF"/>
            <w:noWrap/>
            <w:vAlign w:val="center"/>
            <w:hideMark/>
          </w:tcPr>
          <w:p w14:paraId="2533BC34"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4" w:space="0" w:color="auto"/>
            </w:tcBorders>
            <w:shd w:val="clear" w:color="000000" w:fill="FFFFFF"/>
            <w:noWrap/>
            <w:vAlign w:val="center"/>
            <w:hideMark/>
          </w:tcPr>
          <w:p w14:paraId="4CC7EB42"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0" w:type="dxa"/>
            <w:tcBorders>
              <w:top w:val="single" w:sz="18" w:space="0" w:color="auto"/>
              <w:left w:val="nil"/>
              <w:bottom w:val="single" w:sz="18" w:space="0" w:color="auto"/>
              <w:right w:val="nil"/>
            </w:tcBorders>
            <w:shd w:val="clear" w:color="000000" w:fill="FFFFFF"/>
            <w:noWrap/>
            <w:vAlign w:val="center"/>
            <w:hideMark/>
          </w:tcPr>
          <w:p w14:paraId="2C99310C"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630" w:type="dxa"/>
            <w:tcBorders>
              <w:top w:val="single" w:sz="18" w:space="0" w:color="auto"/>
              <w:left w:val="nil"/>
              <w:bottom w:val="single" w:sz="18" w:space="0" w:color="auto"/>
              <w:right w:val="single" w:sz="4" w:space="0" w:color="auto"/>
            </w:tcBorders>
            <w:shd w:val="clear" w:color="000000" w:fill="FFFFFF"/>
            <w:noWrap/>
            <w:vAlign w:val="center"/>
            <w:hideMark/>
          </w:tcPr>
          <w:p w14:paraId="0BFB6CAF"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630" w:type="dxa"/>
            <w:tcBorders>
              <w:top w:val="single" w:sz="18" w:space="0" w:color="auto"/>
              <w:left w:val="nil"/>
              <w:bottom w:val="single" w:sz="18" w:space="0" w:color="auto"/>
              <w:right w:val="nil"/>
            </w:tcBorders>
            <w:shd w:val="clear" w:color="000000" w:fill="FFFFFF"/>
            <w:noWrap/>
            <w:vAlign w:val="center"/>
            <w:hideMark/>
          </w:tcPr>
          <w:p w14:paraId="47852873"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4" w:space="0" w:color="auto"/>
            </w:tcBorders>
            <w:shd w:val="clear" w:color="000000" w:fill="FFFFFF"/>
            <w:noWrap/>
            <w:vAlign w:val="center"/>
            <w:hideMark/>
          </w:tcPr>
          <w:p w14:paraId="5A6DAA6E"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c>
          <w:tcPr>
            <w:tcW w:w="720" w:type="dxa"/>
            <w:tcBorders>
              <w:top w:val="single" w:sz="18" w:space="0" w:color="auto"/>
              <w:left w:val="nil"/>
              <w:bottom w:val="single" w:sz="18" w:space="0" w:color="auto"/>
              <w:right w:val="nil"/>
            </w:tcBorders>
            <w:shd w:val="clear" w:color="000000" w:fill="FFFFFF"/>
            <w:noWrap/>
            <w:vAlign w:val="center"/>
            <w:hideMark/>
          </w:tcPr>
          <w:p w14:paraId="3C3011F5"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Coeff. </w:t>
            </w:r>
          </w:p>
        </w:tc>
        <w:tc>
          <w:tcPr>
            <w:tcW w:w="540" w:type="dxa"/>
            <w:tcBorders>
              <w:top w:val="single" w:sz="18" w:space="0" w:color="auto"/>
              <w:left w:val="nil"/>
              <w:bottom w:val="single" w:sz="18" w:space="0" w:color="auto"/>
              <w:right w:val="single" w:sz="18" w:space="0" w:color="auto"/>
            </w:tcBorders>
            <w:shd w:val="clear" w:color="000000" w:fill="FFFFFF"/>
            <w:noWrap/>
            <w:vAlign w:val="center"/>
            <w:hideMark/>
          </w:tcPr>
          <w:p w14:paraId="1B2DAF3C" w14:textId="77777777" w:rsidR="005F44F8" w:rsidRPr="00D309F4" w:rsidRDefault="005F44F8" w:rsidP="009E0B91">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t-stat</w:t>
            </w:r>
          </w:p>
        </w:tc>
      </w:tr>
      <w:tr w:rsidR="005F44F8" w:rsidRPr="00D309F4" w14:paraId="7F572374" w14:textId="77777777" w:rsidTr="009E0B91">
        <w:trPr>
          <w:trHeight w:val="144"/>
          <w:jc w:val="center"/>
        </w:trPr>
        <w:tc>
          <w:tcPr>
            <w:tcW w:w="3577" w:type="dxa"/>
            <w:tcBorders>
              <w:top w:val="single" w:sz="18" w:space="0" w:color="auto"/>
              <w:left w:val="single" w:sz="18" w:space="0" w:color="auto"/>
              <w:bottom w:val="single" w:sz="18" w:space="0" w:color="auto"/>
              <w:right w:val="single" w:sz="18" w:space="0" w:color="auto"/>
            </w:tcBorders>
            <w:shd w:val="clear" w:color="000000" w:fill="FFFFFF"/>
            <w:noWrap/>
            <w:vAlign w:val="center"/>
            <w:hideMark/>
          </w:tcPr>
          <w:p w14:paraId="4E6C6ACA"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Constant</w:t>
            </w:r>
          </w:p>
        </w:tc>
        <w:tc>
          <w:tcPr>
            <w:tcW w:w="564" w:type="dxa"/>
            <w:tcBorders>
              <w:top w:val="single" w:sz="18" w:space="0" w:color="auto"/>
              <w:left w:val="single" w:sz="18" w:space="0" w:color="auto"/>
              <w:bottom w:val="single" w:sz="18" w:space="0" w:color="auto"/>
              <w:right w:val="nil"/>
            </w:tcBorders>
            <w:shd w:val="clear" w:color="000000" w:fill="FFFFFF"/>
            <w:noWrap/>
            <w:vAlign w:val="bottom"/>
            <w:hideMark/>
          </w:tcPr>
          <w:p w14:paraId="3049994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-1.80</w:t>
            </w:r>
          </w:p>
        </w:tc>
        <w:tc>
          <w:tcPr>
            <w:tcW w:w="593" w:type="dxa"/>
            <w:tcBorders>
              <w:top w:val="single" w:sz="18" w:space="0" w:color="auto"/>
              <w:left w:val="nil"/>
              <w:bottom w:val="single" w:sz="18" w:space="0" w:color="auto"/>
              <w:right w:val="single" w:sz="18" w:space="0" w:color="auto"/>
            </w:tcBorders>
            <w:shd w:val="clear" w:color="000000" w:fill="FFFFFF"/>
            <w:noWrap/>
            <w:vAlign w:val="bottom"/>
            <w:hideMark/>
          </w:tcPr>
          <w:p w14:paraId="128A271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-5.39</w:t>
            </w:r>
          </w:p>
        </w:tc>
        <w:tc>
          <w:tcPr>
            <w:tcW w:w="632" w:type="dxa"/>
            <w:tcBorders>
              <w:top w:val="single" w:sz="18" w:space="0" w:color="auto"/>
              <w:left w:val="single" w:sz="18" w:space="0" w:color="auto"/>
              <w:bottom w:val="single" w:sz="18" w:space="0" w:color="auto"/>
              <w:right w:val="nil"/>
            </w:tcBorders>
            <w:shd w:val="clear" w:color="000000" w:fill="FFFFFF"/>
            <w:noWrap/>
            <w:vAlign w:val="center"/>
            <w:hideMark/>
          </w:tcPr>
          <w:p w14:paraId="590A5F3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single" w:sz="18" w:space="0" w:color="auto"/>
              <w:left w:val="nil"/>
              <w:bottom w:val="single" w:sz="18" w:space="0" w:color="auto"/>
              <w:right w:val="single" w:sz="4" w:space="0" w:color="auto"/>
            </w:tcBorders>
            <w:shd w:val="clear" w:color="000000" w:fill="FFFFFF"/>
            <w:noWrap/>
            <w:vAlign w:val="center"/>
            <w:hideMark/>
          </w:tcPr>
          <w:p w14:paraId="7DF3B43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single" w:sz="18" w:space="0" w:color="auto"/>
              <w:left w:val="nil"/>
              <w:bottom w:val="single" w:sz="18" w:space="0" w:color="auto"/>
              <w:right w:val="nil"/>
            </w:tcBorders>
            <w:shd w:val="clear" w:color="000000" w:fill="FFFFFF"/>
            <w:vAlign w:val="bottom"/>
          </w:tcPr>
          <w:p w14:paraId="0955B020"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-3.08</w:t>
            </w:r>
          </w:p>
        </w:tc>
        <w:tc>
          <w:tcPr>
            <w:tcW w:w="631" w:type="dxa"/>
            <w:tcBorders>
              <w:top w:val="single" w:sz="18" w:space="0" w:color="auto"/>
              <w:left w:val="nil"/>
              <w:bottom w:val="single" w:sz="18" w:space="0" w:color="auto"/>
              <w:right w:val="single" w:sz="4" w:space="0" w:color="auto"/>
            </w:tcBorders>
            <w:shd w:val="clear" w:color="000000" w:fill="FFFFFF"/>
            <w:vAlign w:val="bottom"/>
          </w:tcPr>
          <w:p w14:paraId="37525EC4"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-7.05</w:t>
            </w:r>
          </w:p>
        </w:tc>
        <w:tc>
          <w:tcPr>
            <w:tcW w:w="720" w:type="dxa"/>
            <w:tcBorders>
              <w:top w:val="single" w:sz="18" w:space="0" w:color="auto"/>
              <w:left w:val="single" w:sz="4" w:space="0" w:color="auto"/>
              <w:bottom w:val="single" w:sz="18" w:space="0" w:color="auto"/>
              <w:right w:val="nil"/>
            </w:tcBorders>
            <w:shd w:val="clear" w:color="000000" w:fill="FFFFFF"/>
            <w:noWrap/>
            <w:vAlign w:val="bottom"/>
            <w:hideMark/>
          </w:tcPr>
          <w:p w14:paraId="6E0A664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-0.47</w:t>
            </w:r>
          </w:p>
        </w:tc>
        <w:tc>
          <w:tcPr>
            <w:tcW w:w="540" w:type="dxa"/>
            <w:tcBorders>
              <w:top w:val="single" w:sz="18" w:space="0" w:color="auto"/>
              <w:left w:val="nil"/>
              <w:bottom w:val="single" w:sz="18" w:space="0" w:color="auto"/>
              <w:right w:val="single" w:sz="4" w:space="0" w:color="auto"/>
            </w:tcBorders>
            <w:shd w:val="clear" w:color="000000" w:fill="FFFFFF"/>
            <w:noWrap/>
            <w:vAlign w:val="bottom"/>
            <w:hideMark/>
          </w:tcPr>
          <w:p w14:paraId="2003CE2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-2.16</w:t>
            </w:r>
          </w:p>
        </w:tc>
        <w:tc>
          <w:tcPr>
            <w:tcW w:w="540" w:type="dxa"/>
            <w:tcBorders>
              <w:top w:val="single" w:sz="18" w:space="0" w:color="auto"/>
              <w:left w:val="nil"/>
              <w:bottom w:val="single" w:sz="18" w:space="0" w:color="auto"/>
              <w:right w:val="nil"/>
            </w:tcBorders>
            <w:shd w:val="clear" w:color="000000" w:fill="FFFFFF"/>
            <w:noWrap/>
            <w:vAlign w:val="bottom"/>
            <w:hideMark/>
          </w:tcPr>
          <w:p w14:paraId="4D076AF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-1.52</w:t>
            </w:r>
          </w:p>
        </w:tc>
        <w:tc>
          <w:tcPr>
            <w:tcW w:w="630" w:type="dxa"/>
            <w:tcBorders>
              <w:top w:val="single" w:sz="18" w:space="0" w:color="auto"/>
              <w:left w:val="nil"/>
              <w:bottom w:val="single" w:sz="18" w:space="0" w:color="auto"/>
              <w:right w:val="single" w:sz="4" w:space="0" w:color="auto"/>
            </w:tcBorders>
            <w:shd w:val="clear" w:color="000000" w:fill="FFFFFF"/>
            <w:noWrap/>
            <w:vAlign w:val="bottom"/>
            <w:hideMark/>
          </w:tcPr>
          <w:p w14:paraId="309FF25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-5.16</w:t>
            </w:r>
          </w:p>
        </w:tc>
        <w:tc>
          <w:tcPr>
            <w:tcW w:w="540" w:type="dxa"/>
            <w:tcBorders>
              <w:top w:val="single" w:sz="18" w:space="0" w:color="auto"/>
              <w:left w:val="nil"/>
              <w:bottom w:val="single" w:sz="18" w:space="0" w:color="auto"/>
              <w:right w:val="nil"/>
            </w:tcBorders>
            <w:shd w:val="clear" w:color="000000" w:fill="FFFFFF"/>
            <w:noWrap/>
            <w:vAlign w:val="bottom"/>
            <w:hideMark/>
          </w:tcPr>
          <w:p w14:paraId="0321585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-1.99</w:t>
            </w:r>
          </w:p>
        </w:tc>
        <w:tc>
          <w:tcPr>
            <w:tcW w:w="540" w:type="dxa"/>
            <w:tcBorders>
              <w:top w:val="single" w:sz="18" w:space="0" w:color="auto"/>
              <w:left w:val="nil"/>
              <w:bottom w:val="single" w:sz="18" w:space="0" w:color="auto"/>
              <w:right w:val="single" w:sz="4" w:space="0" w:color="auto"/>
            </w:tcBorders>
            <w:shd w:val="clear" w:color="000000" w:fill="FFFFFF"/>
            <w:noWrap/>
            <w:vAlign w:val="bottom"/>
            <w:hideMark/>
          </w:tcPr>
          <w:p w14:paraId="3147B05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-7.09</w:t>
            </w:r>
          </w:p>
        </w:tc>
        <w:tc>
          <w:tcPr>
            <w:tcW w:w="630" w:type="dxa"/>
            <w:tcBorders>
              <w:top w:val="single" w:sz="18" w:space="0" w:color="auto"/>
              <w:left w:val="nil"/>
              <w:bottom w:val="single" w:sz="18" w:space="0" w:color="auto"/>
              <w:right w:val="nil"/>
            </w:tcBorders>
            <w:shd w:val="clear" w:color="000000" w:fill="FFFFFF"/>
            <w:noWrap/>
            <w:vAlign w:val="bottom"/>
            <w:hideMark/>
          </w:tcPr>
          <w:p w14:paraId="2643E6A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-2.26</w:t>
            </w:r>
          </w:p>
        </w:tc>
        <w:tc>
          <w:tcPr>
            <w:tcW w:w="630" w:type="dxa"/>
            <w:tcBorders>
              <w:top w:val="single" w:sz="18" w:space="0" w:color="auto"/>
              <w:left w:val="nil"/>
              <w:bottom w:val="single" w:sz="18" w:space="0" w:color="auto"/>
              <w:right w:val="single" w:sz="4" w:space="0" w:color="auto"/>
            </w:tcBorders>
            <w:shd w:val="clear" w:color="000000" w:fill="FFFFFF"/>
            <w:noWrap/>
            <w:vAlign w:val="bottom"/>
            <w:hideMark/>
          </w:tcPr>
          <w:p w14:paraId="15F53DC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-5.04</w:t>
            </w:r>
          </w:p>
        </w:tc>
        <w:tc>
          <w:tcPr>
            <w:tcW w:w="630" w:type="dxa"/>
            <w:tcBorders>
              <w:top w:val="single" w:sz="18" w:space="0" w:color="auto"/>
              <w:left w:val="nil"/>
              <w:bottom w:val="single" w:sz="18" w:space="0" w:color="auto"/>
              <w:right w:val="nil"/>
            </w:tcBorders>
            <w:shd w:val="clear" w:color="000000" w:fill="FFFFFF"/>
            <w:noWrap/>
            <w:vAlign w:val="bottom"/>
            <w:hideMark/>
          </w:tcPr>
          <w:p w14:paraId="7C4F1D2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-0.81</w:t>
            </w:r>
          </w:p>
        </w:tc>
        <w:tc>
          <w:tcPr>
            <w:tcW w:w="540" w:type="dxa"/>
            <w:tcBorders>
              <w:top w:val="single" w:sz="18" w:space="0" w:color="auto"/>
              <w:left w:val="nil"/>
              <w:bottom w:val="single" w:sz="18" w:space="0" w:color="auto"/>
              <w:right w:val="single" w:sz="4" w:space="0" w:color="auto"/>
            </w:tcBorders>
            <w:shd w:val="clear" w:color="000000" w:fill="FFFFFF"/>
            <w:noWrap/>
            <w:vAlign w:val="bottom"/>
            <w:hideMark/>
          </w:tcPr>
          <w:p w14:paraId="021F688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-2.70</w:t>
            </w:r>
          </w:p>
        </w:tc>
        <w:tc>
          <w:tcPr>
            <w:tcW w:w="720" w:type="dxa"/>
            <w:tcBorders>
              <w:top w:val="single" w:sz="18" w:space="0" w:color="auto"/>
              <w:left w:val="nil"/>
              <w:bottom w:val="single" w:sz="18" w:space="0" w:color="auto"/>
              <w:right w:val="nil"/>
            </w:tcBorders>
            <w:shd w:val="clear" w:color="000000" w:fill="FFFFFF"/>
            <w:noWrap/>
            <w:vAlign w:val="bottom"/>
            <w:hideMark/>
          </w:tcPr>
          <w:p w14:paraId="09F9851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-1.65</w:t>
            </w:r>
          </w:p>
        </w:tc>
        <w:tc>
          <w:tcPr>
            <w:tcW w:w="540" w:type="dxa"/>
            <w:tcBorders>
              <w:top w:val="single" w:sz="18" w:space="0" w:color="auto"/>
              <w:left w:val="nil"/>
              <w:bottom w:val="single" w:sz="18" w:space="0" w:color="auto"/>
              <w:right w:val="single" w:sz="18" w:space="0" w:color="auto"/>
            </w:tcBorders>
            <w:shd w:val="clear" w:color="000000" w:fill="FFFFFF"/>
            <w:noWrap/>
            <w:vAlign w:val="bottom"/>
            <w:hideMark/>
          </w:tcPr>
          <w:p w14:paraId="4472B35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-2.28</w:t>
            </w:r>
          </w:p>
        </w:tc>
      </w:tr>
      <w:tr w:rsidR="005F44F8" w:rsidRPr="00D309F4" w14:paraId="335D6EBB" w14:textId="77777777" w:rsidTr="009E0B91">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39A555DD" w14:textId="39EB2555"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Education (less than bachelor</w:t>
            </w:r>
            <w:r w:rsidR="0097080D"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s degree)</w:t>
            </w:r>
          </w:p>
        </w:tc>
        <w:tc>
          <w:tcPr>
            <w:tcW w:w="564" w:type="dxa"/>
            <w:tcBorders>
              <w:top w:val="nil"/>
              <w:left w:val="single" w:sz="18" w:space="0" w:color="auto"/>
              <w:bottom w:val="nil"/>
              <w:right w:val="nil"/>
            </w:tcBorders>
            <w:shd w:val="clear" w:color="000000" w:fill="FFFFFF"/>
            <w:noWrap/>
            <w:vAlign w:val="center"/>
            <w:hideMark/>
          </w:tcPr>
          <w:p w14:paraId="16DBC44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nil"/>
              <w:left w:val="nil"/>
              <w:bottom w:val="nil"/>
              <w:right w:val="single" w:sz="18" w:space="0" w:color="auto"/>
            </w:tcBorders>
            <w:shd w:val="clear" w:color="000000" w:fill="FFFFFF"/>
            <w:noWrap/>
            <w:vAlign w:val="center"/>
            <w:hideMark/>
          </w:tcPr>
          <w:p w14:paraId="0806564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nil"/>
              <w:left w:val="single" w:sz="18" w:space="0" w:color="auto"/>
              <w:right w:val="nil"/>
            </w:tcBorders>
            <w:shd w:val="clear" w:color="000000" w:fill="FFFFFF"/>
            <w:noWrap/>
            <w:vAlign w:val="center"/>
            <w:hideMark/>
          </w:tcPr>
          <w:p w14:paraId="7627A96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nil"/>
              <w:left w:val="nil"/>
              <w:right w:val="single" w:sz="4" w:space="0" w:color="auto"/>
            </w:tcBorders>
            <w:shd w:val="clear" w:color="000000" w:fill="FFFFFF"/>
            <w:noWrap/>
            <w:vAlign w:val="center"/>
            <w:hideMark/>
          </w:tcPr>
          <w:p w14:paraId="6A9A60D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tcBorders>
            <w:shd w:val="clear" w:color="000000" w:fill="FFFFFF"/>
            <w:vAlign w:val="center"/>
          </w:tcPr>
          <w:p w14:paraId="3F82916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right w:val="single" w:sz="4" w:space="0" w:color="auto"/>
            </w:tcBorders>
            <w:shd w:val="clear" w:color="000000" w:fill="FFFFFF"/>
            <w:vAlign w:val="center"/>
          </w:tcPr>
          <w:p w14:paraId="0F108F6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single" w:sz="4" w:space="0" w:color="auto"/>
              <w:right w:val="nil"/>
            </w:tcBorders>
            <w:shd w:val="clear" w:color="000000" w:fill="FFFFFF"/>
            <w:noWrap/>
            <w:vAlign w:val="center"/>
            <w:hideMark/>
          </w:tcPr>
          <w:p w14:paraId="0959653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4" w:space="0" w:color="auto"/>
            </w:tcBorders>
            <w:shd w:val="clear" w:color="000000" w:fill="FFFFFF"/>
            <w:noWrap/>
            <w:vAlign w:val="center"/>
            <w:hideMark/>
          </w:tcPr>
          <w:p w14:paraId="458CB4D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4201747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single" w:sz="4" w:space="0" w:color="auto"/>
            </w:tcBorders>
            <w:shd w:val="clear" w:color="000000" w:fill="FFFFFF"/>
            <w:noWrap/>
            <w:vAlign w:val="center"/>
            <w:hideMark/>
          </w:tcPr>
          <w:p w14:paraId="4CDED2F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1B4F919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4" w:space="0" w:color="auto"/>
            </w:tcBorders>
            <w:shd w:val="clear" w:color="000000" w:fill="FFFFFF"/>
            <w:noWrap/>
            <w:vAlign w:val="center"/>
            <w:hideMark/>
          </w:tcPr>
          <w:p w14:paraId="5690209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hideMark/>
          </w:tcPr>
          <w:p w14:paraId="72404F6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single" w:sz="4" w:space="0" w:color="auto"/>
            </w:tcBorders>
            <w:shd w:val="clear" w:color="000000" w:fill="FFFFFF"/>
            <w:noWrap/>
            <w:vAlign w:val="center"/>
            <w:hideMark/>
          </w:tcPr>
          <w:p w14:paraId="2832DB8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hideMark/>
          </w:tcPr>
          <w:p w14:paraId="421C1A5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4" w:space="0" w:color="auto"/>
            </w:tcBorders>
            <w:shd w:val="clear" w:color="000000" w:fill="FFFFFF"/>
            <w:noWrap/>
            <w:vAlign w:val="center"/>
            <w:hideMark/>
          </w:tcPr>
          <w:p w14:paraId="4B2A543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right w:val="nil"/>
            </w:tcBorders>
            <w:shd w:val="clear" w:color="000000" w:fill="FFFFFF"/>
            <w:noWrap/>
            <w:vAlign w:val="center"/>
            <w:hideMark/>
          </w:tcPr>
          <w:p w14:paraId="31EDA41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single" w:sz="18" w:space="0" w:color="auto"/>
            </w:tcBorders>
            <w:shd w:val="clear" w:color="000000" w:fill="FFFFFF"/>
            <w:noWrap/>
            <w:vAlign w:val="center"/>
            <w:hideMark/>
          </w:tcPr>
          <w:p w14:paraId="04BBCAB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618E59F9" w14:textId="77777777" w:rsidTr="009E0B91">
        <w:trPr>
          <w:trHeight w:val="144"/>
          <w:jc w:val="center"/>
        </w:trPr>
        <w:tc>
          <w:tcPr>
            <w:tcW w:w="3577" w:type="dxa"/>
            <w:tcBorders>
              <w:top w:val="nil"/>
              <w:left w:val="single" w:sz="18" w:space="0" w:color="auto"/>
              <w:right w:val="single" w:sz="18" w:space="0" w:color="auto"/>
            </w:tcBorders>
            <w:shd w:val="clear" w:color="000000" w:fill="FFFFFF"/>
            <w:noWrap/>
            <w:vAlign w:val="center"/>
            <w:hideMark/>
          </w:tcPr>
          <w:p w14:paraId="226DCD02" w14:textId="237B28C2"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Bachelor</w:t>
            </w:r>
            <w:r w:rsidR="0097080D" w:rsidRPr="00D309F4">
              <w:rPr>
                <w:rFonts w:eastAsia="Times New Roman" w:cs="Times New Roman"/>
                <w:kern w:val="0"/>
                <w:sz w:val="20"/>
                <w:szCs w:val="20"/>
                <w14:ligatures w14:val="none"/>
              </w:rPr>
              <w:t>’</w:t>
            </w:r>
            <w:r w:rsidRPr="00D309F4">
              <w:rPr>
                <w:rFonts w:eastAsia="Times New Roman" w:cs="Times New Roman"/>
                <w:kern w:val="0"/>
                <w:sz w:val="20"/>
                <w:szCs w:val="20"/>
                <w14:ligatures w14:val="none"/>
              </w:rPr>
              <w:t>s degree</w:t>
            </w:r>
          </w:p>
        </w:tc>
        <w:tc>
          <w:tcPr>
            <w:tcW w:w="564" w:type="dxa"/>
            <w:tcBorders>
              <w:top w:val="nil"/>
              <w:left w:val="single" w:sz="18" w:space="0" w:color="auto"/>
              <w:right w:val="nil"/>
            </w:tcBorders>
            <w:shd w:val="clear" w:color="000000" w:fill="FFFFFF"/>
            <w:noWrap/>
            <w:vAlign w:val="bottom"/>
            <w:hideMark/>
          </w:tcPr>
          <w:p w14:paraId="695E8DB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0.52</w:t>
            </w:r>
          </w:p>
        </w:tc>
        <w:tc>
          <w:tcPr>
            <w:tcW w:w="593" w:type="dxa"/>
            <w:tcBorders>
              <w:top w:val="nil"/>
              <w:left w:val="nil"/>
              <w:right w:val="single" w:sz="18" w:space="0" w:color="auto"/>
            </w:tcBorders>
            <w:shd w:val="clear" w:color="000000" w:fill="FFFFFF"/>
            <w:noWrap/>
            <w:vAlign w:val="bottom"/>
            <w:hideMark/>
          </w:tcPr>
          <w:p w14:paraId="6B702E2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2.14</w:t>
            </w:r>
          </w:p>
        </w:tc>
        <w:tc>
          <w:tcPr>
            <w:tcW w:w="632" w:type="dxa"/>
            <w:tcBorders>
              <w:left w:val="single" w:sz="18" w:space="0" w:color="auto"/>
            </w:tcBorders>
            <w:shd w:val="clear" w:color="000000" w:fill="FFFFFF"/>
            <w:noWrap/>
            <w:vAlign w:val="center"/>
            <w:hideMark/>
          </w:tcPr>
          <w:p w14:paraId="49A670B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right w:val="single" w:sz="4" w:space="0" w:color="auto"/>
            </w:tcBorders>
            <w:shd w:val="clear" w:color="000000" w:fill="FFFFFF"/>
            <w:noWrap/>
            <w:vAlign w:val="center"/>
            <w:hideMark/>
          </w:tcPr>
          <w:p w14:paraId="1140114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single" w:sz="4" w:space="0" w:color="auto"/>
            </w:tcBorders>
            <w:shd w:val="clear" w:color="000000" w:fill="FFFFFF"/>
            <w:vAlign w:val="center"/>
          </w:tcPr>
          <w:p w14:paraId="61E2912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1" w:type="dxa"/>
            <w:tcBorders>
              <w:right w:val="single" w:sz="4" w:space="0" w:color="auto"/>
            </w:tcBorders>
            <w:shd w:val="clear" w:color="000000" w:fill="FFFFFF"/>
            <w:vAlign w:val="center"/>
          </w:tcPr>
          <w:p w14:paraId="4BE6606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600D18D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717F16F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33A115A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right w:val="single" w:sz="4" w:space="0" w:color="auto"/>
            </w:tcBorders>
            <w:shd w:val="clear" w:color="000000" w:fill="FFFFFF"/>
            <w:noWrap/>
            <w:vAlign w:val="center"/>
            <w:hideMark/>
          </w:tcPr>
          <w:p w14:paraId="45C7FDA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245A0D8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2DC5366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01C3EE4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right w:val="single" w:sz="4" w:space="0" w:color="auto"/>
            </w:tcBorders>
            <w:shd w:val="clear" w:color="000000" w:fill="FFFFFF"/>
            <w:noWrap/>
            <w:vAlign w:val="center"/>
            <w:hideMark/>
          </w:tcPr>
          <w:p w14:paraId="5498AE6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0067570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1782551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7E078AB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18" w:space="0" w:color="auto"/>
            </w:tcBorders>
            <w:shd w:val="clear" w:color="000000" w:fill="FFFFFF"/>
            <w:noWrap/>
            <w:vAlign w:val="center"/>
            <w:hideMark/>
          </w:tcPr>
          <w:p w14:paraId="026115C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391A0796" w14:textId="77777777" w:rsidTr="009E0B91">
        <w:trPr>
          <w:trHeight w:val="144"/>
          <w:jc w:val="center"/>
        </w:trPr>
        <w:tc>
          <w:tcPr>
            <w:tcW w:w="3577" w:type="dxa"/>
            <w:tcBorders>
              <w:top w:val="nil"/>
              <w:left w:val="single" w:sz="18" w:space="0" w:color="auto"/>
              <w:bottom w:val="single" w:sz="18" w:space="0" w:color="auto"/>
              <w:right w:val="single" w:sz="18" w:space="0" w:color="auto"/>
            </w:tcBorders>
            <w:shd w:val="clear" w:color="000000" w:fill="FFFFFF"/>
            <w:noWrap/>
            <w:vAlign w:val="center"/>
            <w:hideMark/>
          </w:tcPr>
          <w:p w14:paraId="2D1E9302"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Graduate degree</w:t>
            </w:r>
          </w:p>
        </w:tc>
        <w:tc>
          <w:tcPr>
            <w:tcW w:w="564" w:type="dxa"/>
            <w:tcBorders>
              <w:top w:val="nil"/>
              <w:left w:val="single" w:sz="18" w:space="0" w:color="auto"/>
              <w:bottom w:val="single" w:sz="18" w:space="0" w:color="auto"/>
              <w:right w:val="nil"/>
            </w:tcBorders>
            <w:shd w:val="clear" w:color="000000" w:fill="FFFFFF"/>
            <w:noWrap/>
            <w:vAlign w:val="bottom"/>
            <w:hideMark/>
          </w:tcPr>
          <w:p w14:paraId="08FA6D4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1.01</w:t>
            </w:r>
          </w:p>
        </w:tc>
        <w:tc>
          <w:tcPr>
            <w:tcW w:w="593" w:type="dxa"/>
            <w:tcBorders>
              <w:top w:val="nil"/>
              <w:left w:val="nil"/>
              <w:bottom w:val="single" w:sz="18" w:space="0" w:color="auto"/>
              <w:right w:val="single" w:sz="18" w:space="0" w:color="auto"/>
            </w:tcBorders>
            <w:shd w:val="clear" w:color="000000" w:fill="FFFFFF"/>
            <w:noWrap/>
            <w:vAlign w:val="bottom"/>
            <w:hideMark/>
          </w:tcPr>
          <w:p w14:paraId="0A3EDD1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3.90</w:t>
            </w:r>
          </w:p>
        </w:tc>
        <w:tc>
          <w:tcPr>
            <w:tcW w:w="632" w:type="dxa"/>
            <w:tcBorders>
              <w:left w:val="single" w:sz="18" w:space="0" w:color="auto"/>
              <w:bottom w:val="single" w:sz="18" w:space="0" w:color="auto"/>
            </w:tcBorders>
            <w:shd w:val="clear" w:color="000000" w:fill="FFFFFF"/>
            <w:noWrap/>
            <w:vAlign w:val="center"/>
            <w:hideMark/>
          </w:tcPr>
          <w:p w14:paraId="28B479D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bottom w:val="single" w:sz="18" w:space="0" w:color="auto"/>
              <w:right w:val="single" w:sz="4" w:space="0" w:color="auto"/>
            </w:tcBorders>
            <w:shd w:val="clear" w:color="000000" w:fill="FFFFFF"/>
            <w:noWrap/>
            <w:vAlign w:val="center"/>
            <w:hideMark/>
          </w:tcPr>
          <w:p w14:paraId="2EB3400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single" w:sz="4" w:space="0" w:color="auto"/>
              <w:bottom w:val="single" w:sz="18" w:space="0" w:color="auto"/>
            </w:tcBorders>
            <w:shd w:val="clear" w:color="000000" w:fill="FFFFFF"/>
            <w:vAlign w:val="center"/>
          </w:tcPr>
          <w:p w14:paraId="2DACA10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1" w:type="dxa"/>
            <w:tcBorders>
              <w:bottom w:val="single" w:sz="18" w:space="0" w:color="auto"/>
              <w:right w:val="single" w:sz="4" w:space="0" w:color="auto"/>
            </w:tcBorders>
            <w:shd w:val="clear" w:color="000000" w:fill="FFFFFF"/>
            <w:vAlign w:val="center"/>
          </w:tcPr>
          <w:p w14:paraId="52AADB9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bottom w:val="single" w:sz="18" w:space="0" w:color="auto"/>
            </w:tcBorders>
            <w:shd w:val="clear" w:color="000000" w:fill="FFFFFF"/>
            <w:noWrap/>
            <w:vAlign w:val="center"/>
            <w:hideMark/>
          </w:tcPr>
          <w:p w14:paraId="7FB628D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bottom w:val="single" w:sz="18" w:space="0" w:color="auto"/>
              <w:right w:val="single" w:sz="4" w:space="0" w:color="auto"/>
            </w:tcBorders>
            <w:shd w:val="clear" w:color="000000" w:fill="FFFFFF"/>
            <w:noWrap/>
            <w:vAlign w:val="center"/>
            <w:hideMark/>
          </w:tcPr>
          <w:p w14:paraId="0A49677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bottom w:val="single" w:sz="18" w:space="0" w:color="auto"/>
            </w:tcBorders>
            <w:shd w:val="clear" w:color="000000" w:fill="FFFFFF"/>
            <w:noWrap/>
            <w:vAlign w:val="center"/>
            <w:hideMark/>
          </w:tcPr>
          <w:p w14:paraId="3D1241D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bottom w:val="single" w:sz="18" w:space="0" w:color="auto"/>
              <w:right w:val="single" w:sz="4" w:space="0" w:color="auto"/>
            </w:tcBorders>
            <w:shd w:val="clear" w:color="000000" w:fill="FFFFFF"/>
            <w:noWrap/>
            <w:vAlign w:val="center"/>
            <w:hideMark/>
          </w:tcPr>
          <w:p w14:paraId="00742B7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bottom w:val="single" w:sz="18" w:space="0" w:color="auto"/>
            </w:tcBorders>
            <w:shd w:val="clear" w:color="000000" w:fill="FFFFFF"/>
            <w:noWrap/>
            <w:vAlign w:val="center"/>
            <w:hideMark/>
          </w:tcPr>
          <w:p w14:paraId="03B38E8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bottom w:val="single" w:sz="18" w:space="0" w:color="auto"/>
              <w:right w:val="single" w:sz="4" w:space="0" w:color="auto"/>
            </w:tcBorders>
            <w:shd w:val="clear" w:color="000000" w:fill="FFFFFF"/>
            <w:noWrap/>
            <w:vAlign w:val="center"/>
            <w:hideMark/>
          </w:tcPr>
          <w:p w14:paraId="1A70A4C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bottom w:val="single" w:sz="18" w:space="0" w:color="auto"/>
            </w:tcBorders>
            <w:shd w:val="clear" w:color="000000" w:fill="FFFFFF"/>
            <w:noWrap/>
            <w:vAlign w:val="center"/>
            <w:hideMark/>
          </w:tcPr>
          <w:p w14:paraId="6E6DEDF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bottom w:val="single" w:sz="18" w:space="0" w:color="auto"/>
              <w:right w:val="single" w:sz="4" w:space="0" w:color="auto"/>
            </w:tcBorders>
            <w:shd w:val="clear" w:color="000000" w:fill="FFFFFF"/>
            <w:noWrap/>
            <w:vAlign w:val="center"/>
            <w:hideMark/>
          </w:tcPr>
          <w:p w14:paraId="0A4F19D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bottom w:val="single" w:sz="18" w:space="0" w:color="auto"/>
            </w:tcBorders>
            <w:shd w:val="clear" w:color="000000" w:fill="FFFFFF"/>
            <w:noWrap/>
            <w:vAlign w:val="center"/>
            <w:hideMark/>
          </w:tcPr>
          <w:p w14:paraId="179F3BE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bottom w:val="single" w:sz="18" w:space="0" w:color="auto"/>
              <w:right w:val="single" w:sz="4" w:space="0" w:color="auto"/>
            </w:tcBorders>
            <w:shd w:val="clear" w:color="000000" w:fill="FFFFFF"/>
            <w:noWrap/>
            <w:vAlign w:val="center"/>
            <w:hideMark/>
          </w:tcPr>
          <w:p w14:paraId="52CABF6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bottom w:val="single" w:sz="18" w:space="0" w:color="auto"/>
            </w:tcBorders>
            <w:shd w:val="clear" w:color="000000" w:fill="FFFFFF"/>
            <w:noWrap/>
            <w:vAlign w:val="center"/>
            <w:hideMark/>
          </w:tcPr>
          <w:p w14:paraId="471C9C4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 xml:space="preserve">-- </w:t>
            </w:r>
          </w:p>
        </w:tc>
        <w:tc>
          <w:tcPr>
            <w:tcW w:w="540" w:type="dxa"/>
            <w:tcBorders>
              <w:bottom w:val="single" w:sz="18" w:space="0" w:color="auto"/>
              <w:right w:val="single" w:sz="18" w:space="0" w:color="auto"/>
            </w:tcBorders>
            <w:shd w:val="clear" w:color="000000" w:fill="FFFFFF"/>
            <w:noWrap/>
            <w:vAlign w:val="center"/>
          </w:tcPr>
          <w:p w14:paraId="2FA3C71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0210C17E" w14:textId="77777777" w:rsidTr="009E0B91">
        <w:trPr>
          <w:trHeight w:val="144"/>
          <w:jc w:val="center"/>
        </w:trPr>
        <w:tc>
          <w:tcPr>
            <w:tcW w:w="3577" w:type="dxa"/>
            <w:tcBorders>
              <w:top w:val="single" w:sz="18" w:space="0" w:color="auto"/>
              <w:left w:val="single" w:sz="18" w:space="0" w:color="auto"/>
              <w:bottom w:val="nil"/>
              <w:right w:val="single" w:sz="18" w:space="0" w:color="auto"/>
            </w:tcBorders>
            <w:shd w:val="clear" w:color="000000" w:fill="FFFFFF"/>
            <w:noWrap/>
            <w:vAlign w:val="center"/>
            <w:hideMark/>
          </w:tcPr>
          <w:p w14:paraId="36A1E8D9" w14:textId="77777777" w:rsidR="005F44F8" w:rsidRPr="00D309F4" w:rsidRDefault="005F44F8" w:rsidP="009E0B91">
            <w:pPr>
              <w:spacing w:after="0" w:line="240" w:lineRule="auto"/>
              <w:rPr>
                <w:rFonts w:eastAsia="Times New Roman" w:cs="Times New Roman"/>
                <w:b/>
                <w:bCs/>
                <w:i/>
                <w:iCs/>
                <w:kern w:val="0"/>
                <w:sz w:val="20"/>
                <w:szCs w:val="20"/>
                <w14:ligatures w14:val="none"/>
              </w:rPr>
            </w:pPr>
            <w:r w:rsidRPr="00D309F4">
              <w:rPr>
                <w:rFonts w:eastAsia="Times New Roman" w:cs="Times New Roman"/>
                <w:b/>
                <w:bCs/>
                <w:i/>
                <w:iCs/>
                <w:kern w:val="0"/>
                <w:sz w:val="20"/>
                <w:szCs w:val="20"/>
                <w14:ligatures w14:val="none"/>
              </w:rPr>
              <w:t>Household Demographics and Location</w:t>
            </w:r>
          </w:p>
        </w:tc>
        <w:tc>
          <w:tcPr>
            <w:tcW w:w="564" w:type="dxa"/>
            <w:tcBorders>
              <w:top w:val="single" w:sz="18" w:space="0" w:color="auto"/>
              <w:left w:val="single" w:sz="18" w:space="0" w:color="auto"/>
              <w:bottom w:val="nil"/>
              <w:right w:val="nil"/>
            </w:tcBorders>
            <w:shd w:val="clear" w:color="000000" w:fill="FFFFFF"/>
            <w:noWrap/>
            <w:vAlign w:val="center"/>
            <w:hideMark/>
          </w:tcPr>
          <w:p w14:paraId="7C6EA11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single" w:sz="18" w:space="0" w:color="auto"/>
              <w:left w:val="nil"/>
              <w:bottom w:val="nil"/>
              <w:right w:val="single" w:sz="18" w:space="0" w:color="auto"/>
            </w:tcBorders>
            <w:shd w:val="clear" w:color="000000" w:fill="FFFFFF"/>
            <w:noWrap/>
            <w:vAlign w:val="center"/>
            <w:hideMark/>
          </w:tcPr>
          <w:p w14:paraId="3B282FB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2" w:type="dxa"/>
            <w:tcBorders>
              <w:top w:val="single" w:sz="18" w:space="0" w:color="auto"/>
              <w:left w:val="single" w:sz="18" w:space="0" w:color="auto"/>
            </w:tcBorders>
            <w:shd w:val="clear" w:color="000000" w:fill="FFFFFF"/>
            <w:noWrap/>
            <w:vAlign w:val="center"/>
            <w:hideMark/>
          </w:tcPr>
          <w:p w14:paraId="0FBBCA0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38" w:type="dxa"/>
            <w:tcBorders>
              <w:top w:val="single" w:sz="18" w:space="0" w:color="auto"/>
              <w:right w:val="single" w:sz="4" w:space="0" w:color="auto"/>
            </w:tcBorders>
            <w:shd w:val="clear" w:color="000000" w:fill="FFFFFF"/>
            <w:noWrap/>
            <w:vAlign w:val="center"/>
            <w:hideMark/>
          </w:tcPr>
          <w:p w14:paraId="3241ADF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single" w:sz="18" w:space="0" w:color="auto"/>
              <w:left w:val="single" w:sz="4" w:space="0" w:color="auto"/>
            </w:tcBorders>
            <w:shd w:val="clear" w:color="000000" w:fill="FFFFFF"/>
            <w:vAlign w:val="center"/>
          </w:tcPr>
          <w:p w14:paraId="1CBB53D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single" w:sz="18" w:space="0" w:color="auto"/>
              <w:right w:val="single" w:sz="4" w:space="0" w:color="auto"/>
            </w:tcBorders>
            <w:shd w:val="clear" w:color="000000" w:fill="FFFFFF"/>
            <w:vAlign w:val="center"/>
          </w:tcPr>
          <w:p w14:paraId="598B3B2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single" w:sz="18" w:space="0" w:color="auto"/>
              <w:left w:val="single" w:sz="4" w:space="0" w:color="auto"/>
            </w:tcBorders>
            <w:shd w:val="clear" w:color="000000" w:fill="FFFFFF"/>
            <w:noWrap/>
            <w:vAlign w:val="center"/>
            <w:hideMark/>
          </w:tcPr>
          <w:p w14:paraId="4D69839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right w:val="single" w:sz="4" w:space="0" w:color="auto"/>
            </w:tcBorders>
            <w:shd w:val="clear" w:color="000000" w:fill="FFFFFF"/>
            <w:noWrap/>
            <w:vAlign w:val="center"/>
            <w:hideMark/>
          </w:tcPr>
          <w:p w14:paraId="63EAF13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single" w:sz="4" w:space="0" w:color="auto"/>
            </w:tcBorders>
            <w:shd w:val="clear" w:color="000000" w:fill="FFFFFF"/>
            <w:noWrap/>
            <w:vAlign w:val="center"/>
            <w:hideMark/>
          </w:tcPr>
          <w:p w14:paraId="4734498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right w:val="single" w:sz="4" w:space="0" w:color="auto"/>
            </w:tcBorders>
            <w:shd w:val="clear" w:color="000000" w:fill="FFFFFF"/>
            <w:noWrap/>
            <w:vAlign w:val="center"/>
            <w:hideMark/>
          </w:tcPr>
          <w:p w14:paraId="3BF6BB7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left w:val="single" w:sz="4" w:space="0" w:color="auto"/>
            </w:tcBorders>
            <w:shd w:val="clear" w:color="000000" w:fill="FFFFFF"/>
            <w:noWrap/>
            <w:vAlign w:val="center"/>
            <w:hideMark/>
          </w:tcPr>
          <w:p w14:paraId="038330E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right w:val="single" w:sz="4" w:space="0" w:color="auto"/>
            </w:tcBorders>
            <w:shd w:val="clear" w:color="000000" w:fill="FFFFFF"/>
            <w:noWrap/>
            <w:vAlign w:val="center"/>
            <w:hideMark/>
          </w:tcPr>
          <w:p w14:paraId="5AF8ECB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left w:val="single" w:sz="4" w:space="0" w:color="auto"/>
            </w:tcBorders>
            <w:shd w:val="clear" w:color="000000" w:fill="FFFFFF"/>
            <w:noWrap/>
            <w:vAlign w:val="center"/>
            <w:hideMark/>
          </w:tcPr>
          <w:p w14:paraId="1A9EACB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right w:val="single" w:sz="4" w:space="0" w:color="auto"/>
            </w:tcBorders>
            <w:shd w:val="clear" w:color="000000" w:fill="FFFFFF"/>
            <w:noWrap/>
            <w:vAlign w:val="center"/>
            <w:hideMark/>
          </w:tcPr>
          <w:p w14:paraId="54546F5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single" w:sz="18" w:space="0" w:color="auto"/>
              <w:left w:val="single" w:sz="4" w:space="0" w:color="auto"/>
            </w:tcBorders>
            <w:shd w:val="clear" w:color="000000" w:fill="FFFFFF"/>
            <w:noWrap/>
            <w:vAlign w:val="center"/>
            <w:hideMark/>
          </w:tcPr>
          <w:p w14:paraId="464184A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right w:val="single" w:sz="4" w:space="0" w:color="auto"/>
            </w:tcBorders>
            <w:shd w:val="clear" w:color="000000" w:fill="FFFFFF"/>
            <w:noWrap/>
            <w:vAlign w:val="center"/>
            <w:hideMark/>
          </w:tcPr>
          <w:p w14:paraId="5A89C44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single" w:sz="18" w:space="0" w:color="auto"/>
              <w:left w:val="single" w:sz="4" w:space="0" w:color="auto"/>
            </w:tcBorders>
            <w:shd w:val="clear" w:color="000000" w:fill="FFFFFF"/>
            <w:noWrap/>
            <w:vAlign w:val="center"/>
            <w:hideMark/>
          </w:tcPr>
          <w:p w14:paraId="723C46B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single" w:sz="18" w:space="0" w:color="auto"/>
              <w:right w:val="single" w:sz="18" w:space="0" w:color="auto"/>
            </w:tcBorders>
            <w:shd w:val="clear" w:color="000000" w:fill="FFFFFF"/>
            <w:noWrap/>
            <w:vAlign w:val="center"/>
            <w:hideMark/>
          </w:tcPr>
          <w:p w14:paraId="0D72A42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44DA6FBB" w14:textId="77777777" w:rsidTr="009E0B91">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57DBB745"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Household composition (2+ adults)</w:t>
            </w:r>
          </w:p>
        </w:tc>
        <w:tc>
          <w:tcPr>
            <w:tcW w:w="564" w:type="dxa"/>
            <w:tcBorders>
              <w:top w:val="nil"/>
              <w:left w:val="single" w:sz="18" w:space="0" w:color="auto"/>
              <w:bottom w:val="nil"/>
              <w:right w:val="nil"/>
            </w:tcBorders>
            <w:shd w:val="clear" w:color="000000" w:fill="FFFFFF"/>
            <w:noWrap/>
            <w:vAlign w:val="center"/>
            <w:hideMark/>
          </w:tcPr>
          <w:p w14:paraId="2312AA4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nil"/>
              <w:left w:val="nil"/>
              <w:bottom w:val="nil"/>
              <w:right w:val="single" w:sz="18" w:space="0" w:color="auto"/>
            </w:tcBorders>
            <w:shd w:val="clear" w:color="000000" w:fill="FFFFFF"/>
            <w:noWrap/>
            <w:vAlign w:val="center"/>
            <w:hideMark/>
          </w:tcPr>
          <w:p w14:paraId="1E1A8EC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2" w:type="dxa"/>
            <w:tcBorders>
              <w:left w:val="single" w:sz="18" w:space="0" w:color="auto"/>
            </w:tcBorders>
            <w:shd w:val="clear" w:color="000000" w:fill="FFFFFF"/>
            <w:noWrap/>
            <w:vAlign w:val="center"/>
            <w:hideMark/>
          </w:tcPr>
          <w:p w14:paraId="7BE52CB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38" w:type="dxa"/>
            <w:tcBorders>
              <w:right w:val="single" w:sz="4" w:space="0" w:color="auto"/>
            </w:tcBorders>
            <w:shd w:val="clear" w:color="000000" w:fill="FFFFFF"/>
            <w:noWrap/>
            <w:vAlign w:val="center"/>
            <w:hideMark/>
          </w:tcPr>
          <w:p w14:paraId="21F1EF1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single" w:sz="4" w:space="0" w:color="auto"/>
            </w:tcBorders>
            <w:shd w:val="clear" w:color="000000" w:fill="FFFFFF"/>
            <w:vAlign w:val="center"/>
          </w:tcPr>
          <w:p w14:paraId="596EAB4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right w:val="single" w:sz="4" w:space="0" w:color="auto"/>
            </w:tcBorders>
            <w:shd w:val="clear" w:color="000000" w:fill="FFFFFF"/>
            <w:vAlign w:val="center"/>
          </w:tcPr>
          <w:p w14:paraId="05AEE10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20FA74A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4" w:space="0" w:color="auto"/>
            </w:tcBorders>
            <w:shd w:val="clear" w:color="000000" w:fill="FFFFFF"/>
            <w:noWrap/>
            <w:vAlign w:val="center"/>
            <w:hideMark/>
          </w:tcPr>
          <w:p w14:paraId="435AC2C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0BEE188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right w:val="single" w:sz="4" w:space="0" w:color="auto"/>
            </w:tcBorders>
            <w:shd w:val="clear" w:color="000000" w:fill="FFFFFF"/>
            <w:noWrap/>
            <w:vAlign w:val="center"/>
            <w:hideMark/>
          </w:tcPr>
          <w:p w14:paraId="4830495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7F7A54F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4" w:space="0" w:color="auto"/>
            </w:tcBorders>
            <w:shd w:val="clear" w:color="000000" w:fill="FFFFFF"/>
            <w:noWrap/>
            <w:vAlign w:val="center"/>
            <w:hideMark/>
          </w:tcPr>
          <w:p w14:paraId="131A50B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73972CF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right w:val="single" w:sz="4" w:space="0" w:color="auto"/>
            </w:tcBorders>
            <w:shd w:val="clear" w:color="000000" w:fill="FFFFFF"/>
            <w:noWrap/>
            <w:vAlign w:val="center"/>
            <w:hideMark/>
          </w:tcPr>
          <w:p w14:paraId="09A4A0D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0BBB89C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4" w:space="0" w:color="auto"/>
            </w:tcBorders>
            <w:shd w:val="clear" w:color="000000" w:fill="FFFFFF"/>
            <w:noWrap/>
            <w:vAlign w:val="center"/>
            <w:hideMark/>
          </w:tcPr>
          <w:p w14:paraId="34A0CB0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179935B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18" w:space="0" w:color="auto"/>
            </w:tcBorders>
            <w:shd w:val="clear" w:color="000000" w:fill="FFFFFF"/>
            <w:noWrap/>
            <w:vAlign w:val="center"/>
            <w:hideMark/>
          </w:tcPr>
          <w:p w14:paraId="6BAF72F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17234086" w14:textId="77777777" w:rsidTr="009E0B91">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0AFD3879"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Single adult</w:t>
            </w:r>
          </w:p>
        </w:tc>
        <w:tc>
          <w:tcPr>
            <w:tcW w:w="564" w:type="dxa"/>
            <w:tcBorders>
              <w:top w:val="nil"/>
              <w:left w:val="single" w:sz="18" w:space="0" w:color="auto"/>
              <w:bottom w:val="nil"/>
              <w:right w:val="nil"/>
            </w:tcBorders>
            <w:shd w:val="clear" w:color="000000" w:fill="FFFFFF"/>
            <w:noWrap/>
            <w:vAlign w:val="bottom"/>
            <w:hideMark/>
          </w:tcPr>
          <w:p w14:paraId="2F6C1DC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-0.46</w:t>
            </w:r>
          </w:p>
        </w:tc>
        <w:tc>
          <w:tcPr>
            <w:tcW w:w="593" w:type="dxa"/>
            <w:tcBorders>
              <w:top w:val="nil"/>
              <w:left w:val="nil"/>
              <w:bottom w:val="nil"/>
              <w:right w:val="single" w:sz="18" w:space="0" w:color="auto"/>
            </w:tcBorders>
            <w:shd w:val="clear" w:color="000000" w:fill="FFFFFF"/>
            <w:noWrap/>
            <w:vAlign w:val="bottom"/>
            <w:hideMark/>
          </w:tcPr>
          <w:p w14:paraId="61BF080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-2.10</w:t>
            </w:r>
          </w:p>
        </w:tc>
        <w:tc>
          <w:tcPr>
            <w:tcW w:w="632" w:type="dxa"/>
            <w:tcBorders>
              <w:left w:val="single" w:sz="18" w:space="0" w:color="auto"/>
            </w:tcBorders>
            <w:shd w:val="clear" w:color="000000" w:fill="FFFFFF"/>
            <w:noWrap/>
            <w:vAlign w:val="center"/>
            <w:hideMark/>
          </w:tcPr>
          <w:p w14:paraId="78A3B8E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right w:val="single" w:sz="4" w:space="0" w:color="auto"/>
            </w:tcBorders>
            <w:shd w:val="clear" w:color="000000" w:fill="FFFFFF"/>
            <w:noWrap/>
            <w:vAlign w:val="center"/>
            <w:hideMark/>
          </w:tcPr>
          <w:p w14:paraId="3BF85C6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single" w:sz="4" w:space="0" w:color="auto"/>
            </w:tcBorders>
            <w:shd w:val="clear" w:color="000000" w:fill="FFFFFF"/>
            <w:vAlign w:val="bottom"/>
          </w:tcPr>
          <w:p w14:paraId="41FD3B4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-0.48</w:t>
            </w:r>
          </w:p>
        </w:tc>
        <w:tc>
          <w:tcPr>
            <w:tcW w:w="631" w:type="dxa"/>
            <w:tcBorders>
              <w:right w:val="single" w:sz="4" w:space="0" w:color="auto"/>
            </w:tcBorders>
            <w:shd w:val="clear" w:color="000000" w:fill="FFFFFF"/>
            <w:vAlign w:val="bottom"/>
          </w:tcPr>
          <w:p w14:paraId="2AD7C93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-1.72</w:t>
            </w:r>
          </w:p>
        </w:tc>
        <w:tc>
          <w:tcPr>
            <w:tcW w:w="720" w:type="dxa"/>
            <w:tcBorders>
              <w:left w:val="single" w:sz="4" w:space="0" w:color="auto"/>
            </w:tcBorders>
            <w:shd w:val="clear" w:color="000000" w:fill="FFFFFF"/>
            <w:noWrap/>
            <w:vAlign w:val="center"/>
            <w:hideMark/>
          </w:tcPr>
          <w:p w14:paraId="334E31B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59D54BC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66C93AD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right w:val="single" w:sz="4" w:space="0" w:color="auto"/>
            </w:tcBorders>
            <w:shd w:val="clear" w:color="000000" w:fill="FFFFFF"/>
            <w:noWrap/>
            <w:vAlign w:val="center"/>
            <w:hideMark/>
          </w:tcPr>
          <w:p w14:paraId="50E3BF6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4C33603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69FFBB0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bottom"/>
            <w:hideMark/>
          </w:tcPr>
          <w:p w14:paraId="12B6141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0.77</w:t>
            </w:r>
          </w:p>
        </w:tc>
        <w:tc>
          <w:tcPr>
            <w:tcW w:w="630" w:type="dxa"/>
            <w:tcBorders>
              <w:right w:val="single" w:sz="4" w:space="0" w:color="auto"/>
            </w:tcBorders>
            <w:shd w:val="clear" w:color="000000" w:fill="FFFFFF"/>
            <w:noWrap/>
            <w:vAlign w:val="bottom"/>
            <w:hideMark/>
          </w:tcPr>
          <w:p w14:paraId="6E2CAFE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3.09</w:t>
            </w:r>
          </w:p>
        </w:tc>
        <w:tc>
          <w:tcPr>
            <w:tcW w:w="630" w:type="dxa"/>
            <w:tcBorders>
              <w:left w:val="single" w:sz="4" w:space="0" w:color="auto"/>
            </w:tcBorders>
            <w:shd w:val="clear" w:color="000000" w:fill="FFFFFF"/>
            <w:noWrap/>
            <w:vAlign w:val="bottom"/>
            <w:hideMark/>
          </w:tcPr>
          <w:p w14:paraId="436642E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0.48</w:t>
            </w:r>
          </w:p>
        </w:tc>
        <w:tc>
          <w:tcPr>
            <w:tcW w:w="540" w:type="dxa"/>
            <w:tcBorders>
              <w:right w:val="single" w:sz="4" w:space="0" w:color="auto"/>
            </w:tcBorders>
            <w:shd w:val="clear" w:color="000000" w:fill="FFFFFF"/>
            <w:noWrap/>
            <w:vAlign w:val="bottom"/>
            <w:hideMark/>
          </w:tcPr>
          <w:p w14:paraId="4521AB7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1.63</w:t>
            </w:r>
          </w:p>
        </w:tc>
        <w:tc>
          <w:tcPr>
            <w:tcW w:w="720" w:type="dxa"/>
            <w:tcBorders>
              <w:left w:val="single" w:sz="4" w:space="0" w:color="auto"/>
            </w:tcBorders>
            <w:shd w:val="clear" w:color="000000" w:fill="FFFFFF"/>
            <w:noWrap/>
            <w:vAlign w:val="center"/>
            <w:hideMark/>
          </w:tcPr>
          <w:p w14:paraId="37BB4D9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18" w:space="0" w:color="auto"/>
            </w:tcBorders>
            <w:shd w:val="clear" w:color="000000" w:fill="FFFFFF"/>
            <w:noWrap/>
            <w:vAlign w:val="center"/>
            <w:hideMark/>
          </w:tcPr>
          <w:p w14:paraId="279B980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2982AD6E" w14:textId="77777777" w:rsidTr="009E0B91">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3E6F0635"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Presence of children * PHEV</w:t>
            </w:r>
          </w:p>
        </w:tc>
        <w:tc>
          <w:tcPr>
            <w:tcW w:w="564" w:type="dxa"/>
            <w:tcBorders>
              <w:top w:val="nil"/>
              <w:left w:val="single" w:sz="18" w:space="0" w:color="auto"/>
              <w:bottom w:val="nil"/>
              <w:right w:val="nil"/>
            </w:tcBorders>
            <w:shd w:val="clear" w:color="000000" w:fill="FFFFFF"/>
            <w:noWrap/>
            <w:vAlign w:val="bottom"/>
            <w:hideMark/>
          </w:tcPr>
          <w:p w14:paraId="444DFB9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1.21</w:t>
            </w:r>
          </w:p>
        </w:tc>
        <w:tc>
          <w:tcPr>
            <w:tcW w:w="593" w:type="dxa"/>
            <w:tcBorders>
              <w:top w:val="nil"/>
              <w:left w:val="nil"/>
              <w:bottom w:val="nil"/>
              <w:right w:val="single" w:sz="18" w:space="0" w:color="auto"/>
            </w:tcBorders>
            <w:shd w:val="clear" w:color="000000" w:fill="FFFFFF"/>
            <w:noWrap/>
            <w:vAlign w:val="bottom"/>
            <w:hideMark/>
          </w:tcPr>
          <w:p w14:paraId="7EB8BB1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3.29</w:t>
            </w:r>
          </w:p>
        </w:tc>
        <w:tc>
          <w:tcPr>
            <w:tcW w:w="632" w:type="dxa"/>
            <w:tcBorders>
              <w:left w:val="single" w:sz="18" w:space="0" w:color="auto"/>
            </w:tcBorders>
            <w:shd w:val="clear" w:color="000000" w:fill="FFFFFF"/>
            <w:noWrap/>
            <w:vAlign w:val="center"/>
            <w:hideMark/>
          </w:tcPr>
          <w:p w14:paraId="0FEF7F1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right w:val="single" w:sz="4" w:space="0" w:color="auto"/>
            </w:tcBorders>
            <w:shd w:val="clear" w:color="000000" w:fill="FFFFFF"/>
            <w:noWrap/>
            <w:vAlign w:val="center"/>
            <w:hideMark/>
          </w:tcPr>
          <w:p w14:paraId="71EC2FE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single" w:sz="4" w:space="0" w:color="auto"/>
            </w:tcBorders>
            <w:shd w:val="clear" w:color="000000" w:fill="FFFFFF"/>
            <w:vAlign w:val="center"/>
          </w:tcPr>
          <w:p w14:paraId="0CF6D63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1" w:type="dxa"/>
            <w:tcBorders>
              <w:right w:val="single" w:sz="4" w:space="0" w:color="auto"/>
            </w:tcBorders>
            <w:shd w:val="clear" w:color="000000" w:fill="FFFFFF"/>
            <w:vAlign w:val="center"/>
          </w:tcPr>
          <w:p w14:paraId="7484A41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1F9700D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7F07D18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69FD31C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right w:val="single" w:sz="4" w:space="0" w:color="auto"/>
            </w:tcBorders>
            <w:shd w:val="clear" w:color="000000" w:fill="FFFFFF"/>
            <w:noWrap/>
            <w:vAlign w:val="center"/>
            <w:hideMark/>
          </w:tcPr>
          <w:p w14:paraId="316C941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2D78F6B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149CA5B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588E26E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right w:val="single" w:sz="4" w:space="0" w:color="auto"/>
            </w:tcBorders>
            <w:shd w:val="clear" w:color="000000" w:fill="FFFFFF"/>
            <w:noWrap/>
            <w:vAlign w:val="center"/>
            <w:hideMark/>
          </w:tcPr>
          <w:p w14:paraId="607792C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6646F03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4A79C3C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3C5938D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18" w:space="0" w:color="auto"/>
            </w:tcBorders>
            <w:shd w:val="clear" w:color="000000" w:fill="FFFFFF"/>
            <w:noWrap/>
            <w:vAlign w:val="center"/>
            <w:hideMark/>
          </w:tcPr>
          <w:p w14:paraId="45E6276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05940581" w14:textId="77777777" w:rsidTr="009E0B91">
        <w:trPr>
          <w:trHeight w:val="144"/>
          <w:jc w:val="center"/>
        </w:trPr>
        <w:tc>
          <w:tcPr>
            <w:tcW w:w="3577" w:type="dxa"/>
            <w:tcBorders>
              <w:top w:val="nil"/>
              <w:left w:val="single" w:sz="18" w:space="0" w:color="auto"/>
              <w:bottom w:val="nil"/>
              <w:right w:val="single" w:sz="18" w:space="0" w:color="auto"/>
            </w:tcBorders>
            <w:shd w:val="clear" w:color="000000" w:fill="FFFFFF"/>
            <w:noWrap/>
            <w:vAlign w:val="center"/>
            <w:hideMark/>
          </w:tcPr>
          <w:p w14:paraId="154416FA"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Household income (less than $100,000)</w:t>
            </w:r>
          </w:p>
        </w:tc>
        <w:tc>
          <w:tcPr>
            <w:tcW w:w="564" w:type="dxa"/>
            <w:tcBorders>
              <w:top w:val="nil"/>
              <w:left w:val="single" w:sz="18" w:space="0" w:color="auto"/>
              <w:bottom w:val="nil"/>
              <w:right w:val="nil"/>
            </w:tcBorders>
            <w:shd w:val="clear" w:color="000000" w:fill="FFFFFF"/>
            <w:noWrap/>
            <w:vAlign w:val="center"/>
            <w:hideMark/>
          </w:tcPr>
          <w:p w14:paraId="7032294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93" w:type="dxa"/>
            <w:tcBorders>
              <w:top w:val="nil"/>
              <w:left w:val="nil"/>
              <w:bottom w:val="nil"/>
              <w:right w:val="single" w:sz="18" w:space="0" w:color="auto"/>
            </w:tcBorders>
            <w:shd w:val="clear" w:color="000000" w:fill="FFFFFF"/>
            <w:noWrap/>
            <w:vAlign w:val="center"/>
            <w:hideMark/>
          </w:tcPr>
          <w:p w14:paraId="4F661B9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2" w:type="dxa"/>
            <w:tcBorders>
              <w:left w:val="single" w:sz="18" w:space="0" w:color="auto"/>
            </w:tcBorders>
            <w:shd w:val="clear" w:color="000000" w:fill="FFFFFF"/>
            <w:noWrap/>
            <w:vAlign w:val="center"/>
            <w:hideMark/>
          </w:tcPr>
          <w:p w14:paraId="1B3DAD3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38" w:type="dxa"/>
            <w:tcBorders>
              <w:right w:val="single" w:sz="4" w:space="0" w:color="auto"/>
            </w:tcBorders>
            <w:shd w:val="clear" w:color="000000" w:fill="FFFFFF"/>
            <w:noWrap/>
            <w:vAlign w:val="center"/>
            <w:hideMark/>
          </w:tcPr>
          <w:p w14:paraId="282A579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single" w:sz="4" w:space="0" w:color="auto"/>
            </w:tcBorders>
            <w:shd w:val="clear" w:color="000000" w:fill="FFFFFF"/>
            <w:vAlign w:val="center"/>
          </w:tcPr>
          <w:p w14:paraId="7B6F226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right w:val="single" w:sz="4" w:space="0" w:color="auto"/>
            </w:tcBorders>
            <w:shd w:val="clear" w:color="000000" w:fill="FFFFFF"/>
            <w:vAlign w:val="center"/>
          </w:tcPr>
          <w:p w14:paraId="7188C95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27A1510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4" w:space="0" w:color="auto"/>
            </w:tcBorders>
            <w:shd w:val="clear" w:color="000000" w:fill="FFFFFF"/>
            <w:noWrap/>
            <w:vAlign w:val="center"/>
            <w:hideMark/>
          </w:tcPr>
          <w:p w14:paraId="72AEFA9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3DD1879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right w:val="single" w:sz="4" w:space="0" w:color="auto"/>
            </w:tcBorders>
            <w:shd w:val="clear" w:color="000000" w:fill="FFFFFF"/>
            <w:noWrap/>
            <w:vAlign w:val="center"/>
            <w:hideMark/>
          </w:tcPr>
          <w:p w14:paraId="2A4C9AE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center"/>
            <w:hideMark/>
          </w:tcPr>
          <w:p w14:paraId="57E070D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4" w:space="0" w:color="auto"/>
            </w:tcBorders>
            <w:shd w:val="clear" w:color="000000" w:fill="FFFFFF"/>
            <w:noWrap/>
            <w:vAlign w:val="center"/>
            <w:hideMark/>
          </w:tcPr>
          <w:p w14:paraId="5855631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5EC7165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right w:val="single" w:sz="4" w:space="0" w:color="auto"/>
            </w:tcBorders>
            <w:shd w:val="clear" w:color="000000" w:fill="FFFFFF"/>
            <w:noWrap/>
            <w:vAlign w:val="center"/>
            <w:hideMark/>
          </w:tcPr>
          <w:p w14:paraId="16AFD44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single" w:sz="4" w:space="0" w:color="auto"/>
            </w:tcBorders>
            <w:shd w:val="clear" w:color="000000" w:fill="FFFFFF"/>
            <w:noWrap/>
            <w:vAlign w:val="center"/>
            <w:hideMark/>
          </w:tcPr>
          <w:p w14:paraId="7270749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4" w:space="0" w:color="auto"/>
            </w:tcBorders>
            <w:shd w:val="clear" w:color="000000" w:fill="FFFFFF"/>
            <w:noWrap/>
            <w:vAlign w:val="center"/>
            <w:hideMark/>
          </w:tcPr>
          <w:p w14:paraId="5F36F21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59F35A9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right w:val="single" w:sz="18" w:space="0" w:color="auto"/>
            </w:tcBorders>
            <w:shd w:val="clear" w:color="000000" w:fill="FFFFFF"/>
            <w:noWrap/>
            <w:vAlign w:val="center"/>
            <w:hideMark/>
          </w:tcPr>
          <w:p w14:paraId="67E6353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784B0E8D" w14:textId="77777777" w:rsidTr="009E0B91">
        <w:trPr>
          <w:trHeight w:val="144"/>
          <w:jc w:val="center"/>
        </w:trPr>
        <w:tc>
          <w:tcPr>
            <w:tcW w:w="3577" w:type="dxa"/>
            <w:tcBorders>
              <w:top w:val="nil"/>
              <w:left w:val="single" w:sz="18" w:space="0" w:color="auto"/>
              <w:right w:val="single" w:sz="18" w:space="0" w:color="auto"/>
            </w:tcBorders>
            <w:shd w:val="clear" w:color="000000" w:fill="FFFFFF"/>
            <w:noWrap/>
            <w:vAlign w:val="center"/>
            <w:hideMark/>
          </w:tcPr>
          <w:p w14:paraId="1AA3D1C6"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$100,000 - $199,999</w:t>
            </w:r>
          </w:p>
        </w:tc>
        <w:tc>
          <w:tcPr>
            <w:tcW w:w="564" w:type="dxa"/>
            <w:tcBorders>
              <w:top w:val="nil"/>
              <w:left w:val="single" w:sz="18" w:space="0" w:color="auto"/>
              <w:right w:val="nil"/>
            </w:tcBorders>
            <w:shd w:val="clear" w:color="000000" w:fill="FFFFFF"/>
            <w:noWrap/>
            <w:vAlign w:val="bottom"/>
            <w:hideMark/>
          </w:tcPr>
          <w:p w14:paraId="19B35D5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0.37</w:t>
            </w:r>
          </w:p>
        </w:tc>
        <w:tc>
          <w:tcPr>
            <w:tcW w:w="593" w:type="dxa"/>
            <w:tcBorders>
              <w:top w:val="nil"/>
              <w:left w:val="nil"/>
              <w:right w:val="single" w:sz="18" w:space="0" w:color="auto"/>
            </w:tcBorders>
            <w:shd w:val="clear" w:color="000000" w:fill="FFFFFF"/>
            <w:noWrap/>
            <w:vAlign w:val="bottom"/>
            <w:hideMark/>
          </w:tcPr>
          <w:p w14:paraId="1110A63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1.74</w:t>
            </w:r>
          </w:p>
        </w:tc>
        <w:tc>
          <w:tcPr>
            <w:tcW w:w="632" w:type="dxa"/>
            <w:tcBorders>
              <w:left w:val="single" w:sz="18" w:space="0" w:color="auto"/>
            </w:tcBorders>
            <w:shd w:val="clear" w:color="000000" w:fill="FFFFFF"/>
            <w:noWrap/>
            <w:vAlign w:val="bottom"/>
            <w:hideMark/>
          </w:tcPr>
          <w:p w14:paraId="46C5CDD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-0.79</w:t>
            </w:r>
          </w:p>
        </w:tc>
        <w:tc>
          <w:tcPr>
            <w:tcW w:w="538" w:type="dxa"/>
            <w:tcBorders>
              <w:right w:val="single" w:sz="4" w:space="0" w:color="auto"/>
            </w:tcBorders>
            <w:shd w:val="clear" w:color="000000" w:fill="FFFFFF"/>
            <w:noWrap/>
            <w:vAlign w:val="bottom"/>
            <w:hideMark/>
          </w:tcPr>
          <w:p w14:paraId="2D75C77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-3.12</w:t>
            </w:r>
          </w:p>
        </w:tc>
        <w:tc>
          <w:tcPr>
            <w:tcW w:w="631" w:type="dxa"/>
            <w:tcBorders>
              <w:left w:val="single" w:sz="4" w:space="0" w:color="auto"/>
            </w:tcBorders>
            <w:shd w:val="clear" w:color="000000" w:fill="FFFFFF"/>
            <w:vAlign w:val="center"/>
          </w:tcPr>
          <w:p w14:paraId="1A71A900"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right w:val="single" w:sz="4" w:space="0" w:color="auto"/>
            </w:tcBorders>
            <w:shd w:val="clear" w:color="000000" w:fill="FFFFFF"/>
            <w:vAlign w:val="center"/>
          </w:tcPr>
          <w:p w14:paraId="156D2225"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left w:val="single" w:sz="4" w:space="0" w:color="auto"/>
            </w:tcBorders>
            <w:shd w:val="clear" w:color="000000" w:fill="FFFFFF"/>
            <w:noWrap/>
            <w:vAlign w:val="center"/>
          </w:tcPr>
          <w:p w14:paraId="16C3A15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tcPr>
          <w:p w14:paraId="6A10328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single" w:sz="4" w:space="0" w:color="auto"/>
            </w:tcBorders>
            <w:shd w:val="clear" w:color="000000" w:fill="FFFFFF"/>
            <w:noWrap/>
            <w:vAlign w:val="bottom"/>
            <w:hideMark/>
          </w:tcPr>
          <w:p w14:paraId="0A70702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0.65</w:t>
            </w:r>
          </w:p>
        </w:tc>
        <w:tc>
          <w:tcPr>
            <w:tcW w:w="630" w:type="dxa"/>
            <w:tcBorders>
              <w:right w:val="single" w:sz="4" w:space="0" w:color="auto"/>
            </w:tcBorders>
            <w:shd w:val="clear" w:color="000000" w:fill="FFFFFF"/>
            <w:noWrap/>
            <w:vAlign w:val="bottom"/>
            <w:hideMark/>
          </w:tcPr>
          <w:p w14:paraId="168AE6E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2.54</w:t>
            </w:r>
          </w:p>
        </w:tc>
        <w:tc>
          <w:tcPr>
            <w:tcW w:w="540" w:type="dxa"/>
            <w:tcBorders>
              <w:left w:val="single" w:sz="4" w:space="0" w:color="auto"/>
            </w:tcBorders>
            <w:shd w:val="clear" w:color="000000" w:fill="FFFFFF"/>
            <w:noWrap/>
            <w:vAlign w:val="bottom"/>
            <w:hideMark/>
          </w:tcPr>
          <w:p w14:paraId="69C8ECE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0.78</w:t>
            </w:r>
          </w:p>
        </w:tc>
        <w:tc>
          <w:tcPr>
            <w:tcW w:w="540" w:type="dxa"/>
            <w:tcBorders>
              <w:right w:val="single" w:sz="4" w:space="0" w:color="auto"/>
            </w:tcBorders>
            <w:shd w:val="clear" w:color="000000" w:fill="FFFFFF"/>
            <w:noWrap/>
            <w:vAlign w:val="bottom"/>
            <w:hideMark/>
          </w:tcPr>
          <w:p w14:paraId="5C34601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2.76</w:t>
            </w:r>
          </w:p>
        </w:tc>
        <w:tc>
          <w:tcPr>
            <w:tcW w:w="630" w:type="dxa"/>
            <w:tcBorders>
              <w:left w:val="single" w:sz="4" w:space="0" w:color="auto"/>
            </w:tcBorders>
            <w:shd w:val="clear" w:color="000000" w:fill="FFFFFF"/>
            <w:noWrap/>
            <w:vAlign w:val="bottom"/>
            <w:hideMark/>
          </w:tcPr>
          <w:p w14:paraId="6056F87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0.34</w:t>
            </w:r>
          </w:p>
        </w:tc>
        <w:tc>
          <w:tcPr>
            <w:tcW w:w="630" w:type="dxa"/>
            <w:tcBorders>
              <w:right w:val="single" w:sz="4" w:space="0" w:color="auto"/>
            </w:tcBorders>
            <w:shd w:val="clear" w:color="000000" w:fill="FFFFFF"/>
            <w:noWrap/>
            <w:vAlign w:val="bottom"/>
            <w:hideMark/>
          </w:tcPr>
          <w:p w14:paraId="0387E51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1.45</w:t>
            </w:r>
          </w:p>
        </w:tc>
        <w:tc>
          <w:tcPr>
            <w:tcW w:w="630" w:type="dxa"/>
            <w:tcBorders>
              <w:left w:val="single" w:sz="4" w:space="0" w:color="auto"/>
            </w:tcBorders>
            <w:shd w:val="clear" w:color="000000" w:fill="FFFFFF"/>
            <w:noWrap/>
            <w:vAlign w:val="center"/>
            <w:hideMark/>
          </w:tcPr>
          <w:p w14:paraId="0F6BC19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4" w:space="0" w:color="auto"/>
            </w:tcBorders>
            <w:shd w:val="clear" w:color="000000" w:fill="FFFFFF"/>
            <w:noWrap/>
            <w:vAlign w:val="center"/>
            <w:hideMark/>
          </w:tcPr>
          <w:p w14:paraId="33EDFCA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tcBorders>
            <w:shd w:val="clear" w:color="000000" w:fill="FFFFFF"/>
            <w:noWrap/>
            <w:vAlign w:val="center"/>
            <w:hideMark/>
          </w:tcPr>
          <w:p w14:paraId="4C0304E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right w:val="single" w:sz="18" w:space="0" w:color="auto"/>
            </w:tcBorders>
            <w:shd w:val="clear" w:color="000000" w:fill="FFFFFF"/>
            <w:noWrap/>
            <w:vAlign w:val="center"/>
            <w:hideMark/>
          </w:tcPr>
          <w:p w14:paraId="2AE041D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7925F26F" w14:textId="77777777" w:rsidTr="009E0B91">
        <w:trPr>
          <w:trHeight w:val="144"/>
          <w:jc w:val="center"/>
        </w:trPr>
        <w:tc>
          <w:tcPr>
            <w:tcW w:w="3577" w:type="dxa"/>
            <w:tcBorders>
              <w:top w:val="nil"/>
              <w:left w:val="single" w:sz="18" w:space="0" w:color="auto"/>
              <w:right w:val="single" w:sz="18" w:space="0" w:color="auto"/>
            </w:tcBorders>
            <w:shd w:val="clear" w:color="000000" w:fill="FFFFFF"/>
            <w:noWrap/>
            <w:vAlign w:val="center"/>
            <w:hideMark/>
          </w:tcPr>
          <w:p w14:paraId="727A2690"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$200,000+</w:t>
            </w:r>
          </w:p>
        </w:tc>
        <w:tc>
          <w:tcPr>
            <w:tcW w:w="564" w:type="dxa"/>
            <w:tcBorders>
              <w:top w:val="nil"/>
              <w:left w:val="single" w:sz="18" w:space="0" w:color="auto"/>
              <w:right w:val="nil"/>
            </w:tcBorders>
            <w:shd w:val="clear" w:color="000000" w:fill="FFFFFF"/>
            <w:noWrap/>
            <w:vAlign w:val="bottom"/>
            <w:hideMark/>
          </w:tcPr>
          <w:p w14:paraId="53265F8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1.11</w:t>
            </w:r>
          </w:p>
        </w:tc>
        <w:tc>
          <w:tcPr>
            <w:tcW w:w="593" w:type="dxa"/>
            <w:tcBorders>
              <w:top w:val="nil"/>
              <w:left w:val="nil"/>
              <w:right w:val="single" w:sz="18" w:space="0" w:color="auto"/>
            </w:tcBorders>
            <w:shd w:val="clear" w:color="000000" w:fill="FFFFFF"/>
            <w:noWrap/>
            <w:vAlign w:val="bottom"/>
            <w:hideMark/>
          </w:tcPr>
          <w:p w14:paraId="022B38E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3.79</w:t>
            </w:r>
          </w:p>
        </w:tc>
        <w:tc>
          <w:tcPr>
            <w:tcW w:w="632" w:type="dxa"/>
            <w:tcBorders>
              <w:top w:val="nil"/>
              <w:left w:val="single" w:sz="18" w:space="0" w:color="auto"/>
              <w:right w:val="nil"/>
            </w:tcBorders>
            <w:shd w:val="clear" w:color="000000" w:fill="FFFFFF"/>
            <w:noWrap/>
            <w:vAlign w:val="bottom"/>
            <w:hideMark/>
          </w:tcPr>
          <w:p w14:paraId="4F31AEC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-0.79</w:t>
            </w:r>
          </w:p>
        </w:tc>
        <w:tc>
          <w:tcPr>
            <w:tcW w:w="538" w:type="dxa"/>
            <w:tcBorders>
              <w:top w:val="nil"/>
              <w:left w:val="nil"/>
              <w:right w:val="single" w:sz="4" w:space="0" w:color="auto"/>
            </w:tcBorders>
            <w:shd w:val="clear" w:color="000000" w:fill="FFFFFF"/>
            <w:noWrap/>
            <w:vAlign w:val="bottom"/>
            <w:hideMark/>
          </w:tcPr>
          <w:p w14:paraId="400A29F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-3.12</w:t>
            </w:r>
          </w:p>
        </w:tc>
        <w:tc>
          <w:tcPr>
            <w:tcW w:w="631" w:type="dxa"/>
            <w:tcBorders>
              <w:top w:val="nil"/>
              <w:left w:val="nil"/>
            </w:tcBorders>
            <w:shd w:val="clear" w:color="000000" w:fill="FFFFFF"/>
            <w:vAlign w:val="center"/>
          </w:tcPr>
          <w:p w14:paraId="60F898E8"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right w:val="single" w:sz="4" w:space="0" w:color="auto"/>
            </w:tcBorders>
            <w:shd w:val="clear" w:color="000000" w:fill="FFFFFF"/>
            <w:vAlign w:val="center"/>
          </w:tcPr>
          <w:p w14:paraId="3C0EF49E"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top w:val="nil"/>
              <w:left w:val="single" w:sz="4" w:space="0" w:color="auto"/>
              <w:right w:val="nil"/>
            </w:tcBorders>
            <w:shd w:val="clear" w:color="000000" w:fill="FFFFFF"/>
            <w:noWrap/>
            <w:vAlign w:val="center"/>
          </w:tcPr>
          <w:p w14:paraId="24CB204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tcPr>
          <w:p w14:paraId="1FA2E7B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bottom"/>
            <w:hideMark/>
          </w:tcPr>
          <w:p w14:paraId="47A024B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0.84</w:t>
            </w:r>
          </w:p>
        </w:tc>
        <w:tc>
          <w:tcPr>
            <w:tcW w:w="630" w:type="dxa"/>
            <w:tcBorders>
              <w:top w:val="nil"/>
              <w:left w:val="nil"/>
              <w:right w:val="single" w:sz="4" w:space="0" w:color="auto"/>
            </w:tcBorders>
            <w:shd w:val="clear" w:color="000000" w:fill="FFFFFF"/>
            <w:noWrap/>
            <w:vAlign w:val="bottom"/>
            <w:hideMark/>
          </w:tcPr>
          <w:p w14:paraId="65ADFE3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3.20</w:t>
            </w:r>
          </w:p>
        </w:tc>
        <w:tc>
          <w:tcPr>
            <w:tcW w:w="540" w:type="dxa"/>
            <w:tcBorders>
              <w:top w:val="nil"/>
              <w:left w:val="nil"/>
              <w:right w:val="nil"/>
            </w:tcBorders>
            <w:shd w:val="clear" w:color="000000" w:fill="FFFFFF"/>
            <w:noWrap/>
            <w:vAlign w:val="bottom"/>
            <w:hideMark/>
          </w:tcPr>
          <w:p w14:paraId="5EFD52A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1.07</w:t>
            </w:r>
          </w:p>
        </w:tc>
        <w:tc>
          <w:tcPr>
            <w:tcW w:w="540" w:type="dxa"/>
            <w:tcBorders>
              <w:top w:val="nil"/>
              <w:left w:val="nil"/>
              <w:right w:val="single" w:sz="4" w:space="0" w:color="auto"/>
            </w:tcBorders>
            <w:shd w:val="clear" w:color="000000" w:fill="FFFFFF"/>
            <w:noWrap/>
            <w:vAlign w:val="bottom"/>
            <w:hideMark/>
          </w:tcPr>
          <w:p w14:paraId="3757A02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3.71</w:t>
            </w:r>
          </w:p>
        </w:tc>
        <w:tc>
          <w:tcPr>
            <w:tcW w:w="630" w:type="dxa"/>
            <w:tcBorders>
              <w:top w:val="nil"/>
              <w:left w:val="nil"/>
              <w:right w:val="nil"/>
            </w:tcBorders>
            <w:shd w:val="clear" w:color="000000" w:fill="FFFFFF"/>
            <w:noWrap/>
            <w:vAlign w:val="bottom"/>
            <w:hideMark/>
          </w:tcPr>
          <w:p w14:paraId="37A73AA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0.93</w:t>
            </w:r>
          </w:p>
        </w:tc>
        <w:tc>
          <w:tcPr>
            <w:tcW w:w="630" w:type="dxa"/>
            <w:tcBorders>
              <w:top w:val="nil"/>
              <w:left w:val="nil"/>
              <w:right w:val="single" w:sz="4" w:space="0" w:color="auto"/>
            </w:tcBorders>
            <w:shd w:val="clear" w:color="000000" w:fill="FFFFFF"/>
            <w:noWrap/>
            <w:vAlign w:val="bottom"/>
            <w:hideMark/>
          </w:tcPr>
          <w:p w14:paraId="2581EDA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3.45</w:t>
            </w:r>
          </w:p>
        </w:tc>
        <w:tc>
          <w:tcPr>
            <w:tcW w:w="630" w:type="dxa"/>
            <w:tcBorders>
              <w:top w:val="nil"/>
              <w:left w:val="nil"/>
              <w:right w:val="nil"/>
            </w:tcBorders>
            <w:shd w:val="clear" w:color="000000" w:fill="FFFFFF"/>
            <w:noWrap/>
            <w:vAlign w:val="center"/>
            <w:hideMark/>
          </w:tcPr>
          <w:p w14:paraId="04865F4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32030C0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top w:val="nil"/>
              <w:left w:val="nil"/>
              <w:right w:val="nil"/>
            </w:tcBorders>
            <w:shd w:val="clear" w:color="000000" w:fill="FFFFFF"/>
            <w:noWrap/>
            <w:vAlign w:val="center"/>
            <w:hideMark/>
          </w:tcPr>
          <w:p w14:paraId="39F22AF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18" w:space="0" w:color="auto"/>
            </w:tcBorders>
            <w:shd w:val="clear" w:color="000000" w:fill="FFFFFF"/>
            <w:noWrap/>
            <w:vAlign w:val="center"/>
            <w:hideMark/>
          </w:tcPr>
          <w:p w14:paraId="1A66E9D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2BFF069B" w14:textId="77777777" w:rsidTr="009E0B91">
        <w:trPr>
          <w:trHeight w:val="144"/>
          <w:jc w:val="center"/>
        </w:trPr>
        <w:tc>
          <w:tcPr>
            <w:tcW w:w="3577" w:type="dxa"/>
            <w:tcBorders>
              <w:left w:val="single" w:sz="18" w:space="0" w:color="auto"/>
              <w:right w:val="single" w:sz="18" w:space="0" w:color="auto"/>
            </w:tcBorders>
            <w:shd w:val="clear" w:color="000000" w:fill="FFFFFF"/>
            <w:noWrap/>
            <w:vAlign w:val="center"/>
            <w:hideMark/>
          </w:tcPr>
          <w:p w14:paraId="3FD28CE7"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Household type (single family home)</w:t>
            </w:r>
          </w:p>
        </w:tc>
        <w:tc>
          <w:tcPr>
            <w:tcW w:w="564" w:type="dxa"/>
            <w:tcBorders>
              <w:left w:val="single" w:sz="18" w:space="0" w:color="auto"/>
              <w:right w:val="nil"/>
            </w:tcBorders>
            <w:shd w:val="clear" w:color="000000" w:fill="FFFFFF"/>
            <w:noWrap/>
            <w:vAlign w:val="center"/>
            <w:hideMark/>
          </w:tcPr>
          <w:p w14:paraId="0B74481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93" w:type="dxa"/>
            <w:tcBorders>
              <w:left w:val="nil"/>
              <w:right w:val="single" w:sz="18" w:space="0" w:color="auto"/>
            </w:tcBorders>
            <w:shd w:val="clear" w:color="000000" w:fill="FFFFFF"/>
            <w:noWrap/>
            <w:vAlign w:val="center"/>
            <w:hideMark/>
          </w:tcPr>
          <w:p w14:paraId="06FD9F5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2" w:type="dxa"/>
            <w:tcBorders>
              <w:left w:val="single" w:sz="18" w:space="0" w:color="auto"/>
              <w:right w:val="nil"/>
            </w:tcBorders>
            <w:shd w:val="clear" w:color="000000" w:fill="FFFFFF"/>
            <w:noWrap/>
            <w:vAlign w:val="center"/>
            <w:hideMark/>
          </w:tcPr>
          <w:p w14:paraId="4AD6034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38" w:type="dxa"/>
            <w:tcBorders>
              <w:left w:val="nil"/>
              <w:right w:val="single" w:sz="4" w:space="0" w:color="auto"/>
            </w:tcBorders>
            <w:shd w:val="clear" w:color="000000" w:fill="FFFFFF"/>
            <w:noWrap/>
            <w:vAlign w:val="center"/>
            <w:hideMark/>
          </w:tcPr>
          <w:p w14:paraId="0F478EC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right w:val="nil"/>
            </w:tcBorders>
            <w:shd w:val="clear" w:color="000000" w:fill="FFFFFF"/>
            <w:vAlign w:val="center"/>
          </w:tcPr>
          <w:p w14:paraId="473C808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right w:val="single" w:sz="4" w:space="0" w:color="auto"/>
            </w:tcBorders>
            <w:shd w:val="clear" w:color="000000" w:fill="FFFFFF"/>
            <w:vAlign w:val="center"/>
          </w:tcPr>
          <w:p w14:paraId="771B323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right w:val="nil"/>
            </w:tcBorders>
            <w:shd w:val="clear" w:color="000000" w:fill="FFFFFF"/>
            <w:noWrap/>
            <w:vAlign w:val="center"/>
            <w:hideMark/>
          </w:tcPr>
          <w:p w14:paraId="6961BE1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hideMark/>
          </w:tcPr>
          <w:p w14:paraId="65C68A6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hideMark/>
          </w:tcPr>
          <w:p w14:paraId="0CB7F8D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single" w:sz="4" w:space="0" w:color="auto"/>
            </w:tcBorders>
            <w:shd w:val="clear" w:color="000000" w:fill="FFFFFF"/>
            <w:noWrap/>
            <w:vAlign w:val="center"/>
            <w:hideMark/>
          </w:tcPr>
          <w:p w14:paraId="08D23A2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hideMark/>
          </w:tcPr>
          <w:p w14:paraId="040CDEA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hideMark/>
          </w:tcPr>
          <w:p w14:paraId="7CC67E4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center"/>
            <w:hideMark/>
          </w:tcPr>
          <w:p w14:paraId="65E6C91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single" w:sz="4" w:space="0" w:color="auto"/>
            </w:tcBorders>
            <w:shd w:val="clear" w:color="000000" w:fill="FFFFFF"/>
            <w:noWrap/>
            <w:vAlign w:val="center"/>
            <w:hideMark/>
          </w:tcPr>
          <w:p w14:paraId="61BEA2F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center"/>
            <w:hideMark/>
          </w:tcPr>
          <w:p w14:paraId="697EF5D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hideMark/>
          </w:tcPr>
          <w:p w14:paraId="46A9E23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nil"/>
              <w:right w:val="nil"/>
            </w:tcBorders>
            <w:shd w:val="clear" w:color="000000" w:fill="FFFFFF"/>
            <w:noWrap/>
            <w:vAlign w:val="center"/>
            <w:hideMark/>
          </w:tcPr>
          <w:p w14:paraId="7E5933A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18" w:space="0" w:color="auto"/>
            </w:tcBorders>
            <w:shd w:val="clear" w:color="000000" w:fill="FFFFFF"/>
            <w:noWrap/>
            <w:vAlign w:val="center"/>
            <w:hideMark/>
          </w:tcPr>
          <w:p w14:paraId="3F1F39F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33628393" w14:textId="77777777" w:rsidTr="009E0B91">
        <w:trPr>
          <w:trHeight w:val="144"/>
          <w:jc w:val="center"/>
        </w:trPr>
        <w:tc>
          <w:tcPr>
            <w:tcW w:w="3577" w:type="dxa"/>
            <w:tcBorders>
              <w:top w:val="nil"/>
              <w:left w:val="single" w:sz="18" w:space="0" w:color="auto"/>
              <w:right w:val="single" w:sz="18" w:space="0" w:color="auto"/>
            </w:tcBorders>
            <w:shd w:val="clear" w:color="000000" w:fill="FFFFFF"/>
            <w:noWrap/>
            <w:vAlign w:val="center"/>
            <w:hideMark/>
          </w:tcPr>
          <w:p w14:paraId="71AD2E4A"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Multifamily home or apartment</w:t>
            </w:r>
          </w:p>
        </w:tc>
        <w:tc>
          <w:tcPr>
            <w:tcW w:w="564" w:type="dxa"/>
            <w:tcBorders>
              <w:top w:val="nil"/>
              <w:left w:val="single" w:sz="18" w:space="0" w:color="auto"/>
              <w:right w:val="nil"/>
            </w:tcBorders>
            <w:shd w:val="clear" w:color="000000" w:fill="FFFFFF"/>
            <w:noWrap/>
            <w:vAlign w:val="bottom"/>
            <w:hideMark/>
          </w:tcPr>
          <w:p w14:paraId="1BD5BFC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-0.46</w:t>
            </w:r>
          </w:p>
        </w:tc>
        <w:tc>
          <w:tcPr>
            <w:tcW w:w="593" w:type="dxa"/>
            <w:tcBorders>
              <w:top w:val="nil"/>
              <w:left w:val="nil"/>
              <w:right w:val="single" w:sz="18" w:space="0" w:color="auto"/>
            </w:tcBorders>
            <w:shd w:val="clear" w:color="000000" w:fill="FFFFFF"/>
            <w:noWrap/>
            <w:vAlign w:val="bottom"/>
            <w:hideMark/>
          </w:tcPr>
          <w:p w14:paraId="7229EDC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-2.32</w:t>
            </w:r>
          </w:p>
        </w:tc>
        <w:tc>
          <w:tcPr>
            <w:tcW w:w="632" w:type="dxa"/>
            <w:tcBorders>
              <w:top w:val="nil"/>
              <w:left w:val="single" w:sz="18" w:space="0" w:color="auto"/>
              <w:right w:val="nil"/>
            </w:tcBorders>
            <w:shd w:val="clear" w:color="000000" w:fill="FFFFFF"/>
            <w:noWrap/>
            <w:vAlign w:val="center"/>
            <w:hideMark/>
          </w:tcPr>
          <w:p w14:paraId="4D93107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right w:val="single" w:sz="4" w:space="0" w:color="auto"/>
            </w:tcBorders>
            <w:shd w:val="clear" w:color="000000" w:fill="FFFFFF"/>
            <w:noWrap/>
            <w:vAlign w:val="center"/>
            <w:hideMark/>
          </w:tcPr>
          <w:p w14:paraId="1DEC12D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right w:val="nil"/>
            </w:tcBorders>
            <w:shd w:val="clear" w:color="000000" w:fill="FFFFFF"/>
            <w:vAlign w:val="bottom"/>
          </w:tcPr>
          <w:p w14:paraId="049B282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1.08</w:t>
            </w:r>
          </w:p>
        </w:tc>
        <w:tc>
          <w:tcPr>
            <w:tcW w:w="631" w:type="dxa"/>
            <w:tcBorders>
              <w:top w:val="nil"/>
              <w:left w:val="nil"/>
              <w:right w:val="single" w:sz="4" w:space="0" w:color="auto"/>
            </w:tcBorders>
            <w:shd w:val="clear" w:color="000000" w:fill="FFFFFF"/>
            <w:vAlign w:val="bottom"/>
          </w:tcPr>
          <w:p w14:paraId="4F614C6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3.24</w:t>
            </w:r>
          </w:p>
        </w:tc>
        <w:tc>
          <w:tcPr>
            <w:tcW w:w="720" w:type="dxa"/>
            <w:tcBorders>
              <w:top w:val="nil"/>
              <w:left w:val="single" w:sz="4" w:space="0" w:color="auto"/>
              <w:right w:val="nil"/>
            </w:tcBorders>
            <w:shd w:val="clear" w:color="000000" w:fill="FFFFFF"/>
            <w:noWrap/>
            <w:vAlign w:val="center"/>
            <w:hideMark/>
          </w:tcPr>
          <w:p w14:paraId="62BC96C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77F24E0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25A9342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hideMark/>
          </w:tcPr>
          <w:p w14:paraId="674341B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hideMark/>
          </w:tcPr>
          <w:p w14:paraId="1A3DF3F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hideMark/>
          </w:tcPr>
          <w:p w14:paraId="55C5DBD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hideMark/>
          </w:tcPr>
          <w:p w14:paraId="228FCA6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hideMark/>
          </w:tcPr>
          <w:p w14:paraId="0153CE1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bottom"/>
            <w:hideMark/>
          </w:tcPr>
          <w:p w14:paraId="0715526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-0.38</w:t>
            </w:r>
          </w:p>
        </w:tc>
        <w:tc>
          <w:tcPr>
            <w:tcW w:w="540" w:type="dxa"/>
            <w:tcBorders>
              <w:top w:val="nil"/>
              <w:left w:val="nil"/>
              <w:right w:val="single" w:sz="4" w:space="0" w:color="auto"/>
            </w:tcBorders>
            <w:shd w:val="clear" w:color="000000" w:fill="FFFFFF"/>
            <w:noWrap/>
            <w:vAlign w:val="bottom"/>
            <w:hideMark/>
          </w:tcPr>
          <w:p w14:paraId="5807B07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-1.47</w:t>
            </w:r>
          </w:p>
        </w:tc>
        <w:tc>
          <w:tcPr>
            <w:tcW w:w="720" w:type="dxa"/>
            <w:tcBorders>
              <w:top w:val="nil"/>
              <w:left w:val="nil"/>
              <w:right w:val="nil"/>
            </w:tcBorders>
            <w:shd w:val="clear" w:color="000000" w:fill="FFFFFF"/>
            <w:noWrap/>
            <w:vAlign w:val="center"/>
            <w:hideMark/>
          </w:tcPr>
          <w:p w14:paraId="3A0958D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18" w:space="0" w:color="auto"/>
            </w:tcBorders>
            <w:shd w:val="clear" w:color="000000" w:fill="FFFFFF"/>
            <w:noWrap/>
            <w:vAlign w:val="center"/>
            <w:hideMark/>
          </w:tcPr>
          <w:p w14:paraId="13A1706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17E23C37" w14:textId="77777777" w:rsidTr="009E0B91">
        <w:trPr>
          <w:trHeight w:val="144"/>
          <w:jc w:val="center"/>
        </w:trPr>
        <w:tc>
          <w:tcPr>
            <w:tcW w:w="3577" w:type="dxa"/>
            <w:tcBorders>
              <w:top w:val="nil"/>
              <w:left w:val="single" w:sz="18" w:space="0" w:color="auto"/>
              <w:right w:val="single" w:sz="18" w:space="0" w:color="auto"/>
            </w:tcBorders>
            <w:shd w:val="clear" w:color="000000" w:fill="FFFFFF"/>
            <w:noWrap/>
            <w:vAlign w:val="center"/>
          </w:tcPr>
          <w:p w14:paraId="655E7BE9"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Multifamily home or apartment * PHEV</w:t>
            </w:r>
          </w:p>
        </w:tc>
        <w:tc>
          <w:tcPr>
            <w:tcW w:w="564" w:type="dxa"/>
            <w:tcBorders>
              <w:top w:val="nil"/>
              <w:left w:val="single" w:sz="18" w:space="0" w:color="auto"/>
              <w:right w:val="nil"/>
            </w:tcBorders>
            <w:shd w:val="clear" w:color="000000" w:fill="FFFFFF"/>
            <w:noWrap/>
            <w:vAlign w:val="bottom"/>
          </w:tcPr>
          <w:p w14:paraId="74C48DDB"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0.50</w:t>
            </w:r>
          </w:p>
        </w:tc>
        <w:tc>
          <w:tcPr>
            <w:tcW w:w="593" w:type="dxa"/>
            <w:tcBorders>
              <w:top w:val="nil"/>
              <w:left w:val="nil"/>
              <w:right w:val="single" w:sz="18" w:space="0" w:color="auto"/>
            </w:tcBorders>
            <w:shd w:val="clear" w:color="000000" w:fill="FFFFFF"/>
            <w:noWrap/>
            <w:vAlign w:val="bottom"/>
          </w:tcPr>
          <w:p w14:paraId="33830032"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1.68</w:t>
            </w:r>
          </w:p>
        </w:tc>
        <w:tc>
          <w:tcPr>
            <w:tcW w:w="632" w:type="dxa"/>
            <w:tcBorders>
              <w:top w:val="nil"/>
              <w:left w:val="single" w:sz="18" w:space="0" w:color="auto"/>
              <w:right w:val="nil"/>
            </w:tcBorders>
            <w:shd w:val="clear" w:color="000000" w:fill="FFFFFF"/>
            <w:noWrap/>
            <w:vAlign w:val="center"/>
          </w:tcPr>
          <w:p w14:paraId="43AB5EE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top w:val="nil"/>
              <w:left w:val="nil"/>
              <w:right w:val="single" w:sz="4" w:space="0" w:color="auto"/>
            </w:tcBorders>
            <w:shd w:val="clear" w:color="000000" w:fill="FFFFFF"/>
            <w:noWrap/>
            <w:vAlign w:val="center"/>
          </w:tcPr>
          <w:p w14:paraId="2064642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top w:val="nil"/>
              <w:left w:val="nil"/>
              <w:right w:val="nil"/>
            </w:tcBorders>
            <w:shd w:val="clear" w:color="000000" w:fill="FFFFFF"/>
            <w:vAlign w:val="center"/>
          </w:tcPr>
          <w:p w14:paraId="4662709A"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top w:val="nil"/>
              <w:left w:val="nil"/>
              <w:right w:val="single" w:sz="4" w:space="0" w:color="auto"/>
            </w:tcBorders>
            <w:shd w:val="clear" w:color="000000" w:fill="FFFFFF"/>
            <w:vAlign w:val="center"/>
          </w:tcPr>
          <w:p w14:paraId="49868E46"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top w:val="nil"/>
              <w:left w:val="single" w:sz="4" w:space="0" w:color="auto"/>
              <w:right w:val="nil"/>
            </w:tcBorders>
            <w:shd w:val="clear" w:color="000000" w:fill="FFFFFF"/>
            <w:noWrap/>
            <w:vAlign w:val="center"/>
          </w:tcPr>
          <w:p w14:paraId="4A0CF47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tcPr>
          <w:p w14:paraId="6E0B355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tcPr>
          <w:p w14:paraId="3F097E8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tcPr>
          <w:p w14:paraId="6A48D97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top w:val="nil"/>
              <w:left w:val="nil"/>
              <w:right w:val="nil"/>
            </w:tcBorders>
            <w:shd w:val="clear" w:color="000000" w:fill="FFFFFF"/>
            <w:noWrap/>
            <w:vAlign w:val="center"/>
          </w:tcPr>
          <w:p w14:paraId="07CC6A5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tcPr>
          <w:p w14:paraId="4817CAC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tcPr>
          <w:p w14:paraId="53CBA30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top w:val="nil"/>
              <w:left w:val="nil"/>
              <w:right w:val="single" w:sz="4" w:space="0" w:color="auto"/>
            </w:tcBorders>
            <w:shd w:val="clear" w:color="000000" w:fill="FFFFFF"/>
            <w:noWrap/>
            <w:vAlign w:val="center"/>
          </w:tcPr>
          <w:p w14:paraId="46399F0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top w:val="nil"/>
              <w:left w:val="nil"/>
              <w:right w:val="nil"/>
            </w:tcBorders>
            <w:shd w:val="clear" w:color="000000" w:fill="FFFFFF"/>
            <w:noWrap/>
            <w:vAlign w:val="center"/>
          </w:tcPr>
          <w:p w14:paraId="2B97A452"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top w:val="nil"/>
              <w:left w:val="nil"/>
              <w:right w:val="single" w:sz="4" w:space="0" w:color="auto"/>
            </w:tcBorders>
            <w:shd w:val="clear" w:color="000000" w:fill="FFFFFF"/>
            <w:noWrap/>
            <w:vAlign w:val="center"/>
          </w:tcPr>
          <w:p w14:paraId="73879529"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top w:val="nil"/>
              <w:left w:val="nil"/>
              <w:right w:val="nil"/>
            </w:tcBorders>
            <w:shd w:val="clear" w:color="000000" w:fill="FFFFFF"/>
            <w:noWrap/>
            <w:vAlign w:val="center"/>
          </w:tcPr>
          <w:p w14:paraId="337228A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top w:val="nil"/>
              <w:left w:val="nil"/>
              <w:right w:val="single" w:sz="18" w:space="0" w:color="auto"/>
            </w:tcBorders>
            <w:shd w:val="clear" w:color="000000" w:fill="FFFFFF"/>
            <w:noWrap/>
            <w:vAlign w:val="center"/>
          </w:tcPr>
          <w:p w14:paraId="3D8E51B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r>
      <w:tr w:rsidR="005F44F8" w:rsidRPr="00D309F4" w14:paraId="6DF8F6E9" w14:textId="77777777" w:rsidTr="009E0B91">
        <w:trPr>
          <w:trHeight w:val="144"/>
          <w:jc w:val="center"/>
        </w:trPr>
        <w:tc>
          <w:tcPr>
            <w:tcW w:w="3577" w:type="dxa"/>
            <w:tcBorders>
              <w:left w:val="single" w:sz="18" w:space="0" w:color="auto"/>
              <w:right w:val="single" w:sz="18" w:space="0" w:color="auto"/>
            </w:tcBorders>
            <w:shd w:val="clear" w:color="000000" w:fill="FFFFFF"/>
            <w:noWrap/>
            <w:vAlign w:val="center"/>
          </w:tcPr>
          <w:p w14:paraId="5D2CD62E" w14:textId="77777777" w:rsidR="005F44F8" w:rsidRPr="00D309F4" w:rsidRDefault="005F44F8" w:rsidP="009E0B91">
            <w:pPr>
              <w:spacing w:after="0" w:line="240" w:lineRule="auto"/>
              <w:rPr>
                <w:rFonts w:eastAsia="Times New Roman" w:cs="Times New Roman"/>
                <w:b/>
                <w:bCs/>
                <w:i/>
                <w:iCs/>
                <w:kern w:val="0"/>
                <w:sz w:val="20"/>
                <w:szCs w:val="20"/>
                <w14:ligatures w14:val="none"/>
              </w:rPr>
            </w:pPr>
            <w:r w:rsidRPr="00D309F4">
              <w:rPr>
                <w:rFonts w:eastAsia="Times New Roman" w:cs="Times New Roman"/>
                <w:kern w:val="0"/>
                <w:sz w:val="20"/>
                <w:szCs w:val="20"/>
                <w14:ligatures w14:val="none"/>
              </w:rPr>
              <w:t>Population density (low)</w:t>
            </w:r>
          </w:p>
        </w:tc>
        <w:tc>
          <w:tcPr>
            <w:tcW w:w="564" w:type="dxa"/>
            <w:tcBorders>
              <w:left w:val="single" w:sz="18" w:space="0" w:color="auto"/>
              <w:right w:val="nil"/>
            </w:tcBorders>
            <w:shd w:val="clear" w:color="000000" w:fill="FFFFFF"/>
            <w:noWrap/>
            <w:vAlign w:val="center"/>
          </w:tcPr>
          <w:p w14:paraId="1C219880" w14:textId="77777777" w:rsidR="005F44F8" w:rsidRPr="00D309F4" w:rsidRDefault="005F44F8" w:rsidP="009E0B91">
            <w:pPr>
              <w:tabs>
                <w:tab w:val="decimal" w:pos="140"/>
              </w:tabs>
              <w:spacing w:after="0" w:line="240" w:lineRule="auto"/>
              <w:jc w:val="center"/>
              <w:rPr>
                <w:rFonts w:cs="Times New Roman"/>
                <w:sz w:val="20"/>
                <w:szCs w:val="20"/>
              </w:rPr>
            </w:pPr>
          </w:p>
        </w:tc>
        <w:tc>
          <w:tcPr>
            <w:tcW w:w="593" w:type="dxa"/>
            <w:tcBorders>
              <w:left w:val="nil"/>
              <w:right w:val="single" w:sz="18" w:space="0" w:color="auto"/>
            </w:tcBorders>
            <w:shd w:val="clear" w:color="000000" w:fill="FFFFFF"/>
            <w:noWrap/>
            <w:vAlign w:val="center"/>
          </w:tcPr>
          <w:p w14:paraId="4FE42EA8" w14:textId="77777777" w:rsidR="005F44F8" w:rsidRPr="00D309F4" w:rsidRDefault="005F44F8" w:rsidP="009E0B91">
            <w:pPr>
              <w:tabs>
                <w:tab w:val="decimal" w:pos="140"/>
              </w:tabs>
              <w:spacing w:after="0" w:line="240" w:lineRule="auto"/>
              <w:jc w:val="center"/>
              <w:rPr>
                <w:rFonts w:cs="Times New Roman"/>
                <w:sz w:val="20"/>
                <w:szCs w:val="20"/>
              </w:rPr>
            </w:pPr>
          </w:p>
        </w:tc>
        <w:tc>
          <w:tcPr>
            <w:tcW w:w="632" w:type="dxa"/>
            <w:tcBorders>
              <w:left w:val="single" w:sz="18" w:space="0" w:color="auto"/>
              <w:right w:val="nil"/>
            </w:tcBorders>
            <w:shd w:val="clear" w:color="000000" w:fill="FFFFFF"/>
            <w:noWrap/>
            <w:vAlign w:val="center"/>
          </w:tcPr>
          <w:p w14:paraId="7FDEB9C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38" w:type="dxa"/>
            <w:tcBorders>
              <w:left w:val="nil"/>
              <w:right w:val="single" w:sz="4" w:space="0" w:color="auto"/>
            </w:tcBorders>
            <w:shd w:val="clear" w:color="000000" w:fill="FFFFFF"/>
            <w:noWrap/>
            <w:vAlign w:val="center"/>
          </w:tcPr>
          <w:p w14:paraId="1E8AADF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right w:val="nil"/>
            </w:tcBorders>
            <w:shd w:val="clear" w:color="000000" w:fill="FFFFFF"/>
            <w:vAlign w:val="center"/>
          </w:tcPr>
          <w:p w14:paraId="4941858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1" w:type="dxa"/>
            <w:tcBorders>
              <w:left w:val="nil"/>
              <w:right w:val="single" w:sz="4" w:space="0" w:color="auto"/>
            </w:tcBorders>
            <w:shd w:val="clear" w:color="000000" w:fill="FFFFFF"/>
            <w:vAlign w:val="center"/>
          </w:tcPr>
          <w:p w14:paraId="71AC2B8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single" w:sz="4" w:space="0" w:color="auto"/>
              <w:right w:val="nil"/>
            </w:tcBorders>
            <w:shd w:val="clear" w:color="000000" w:fill="FFFFFF"/>
            <w:noWrap/>
            <w:vAlign w:val="center"/>
          </w:tcPr>
          <w:p w14:paraId="750E258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tcPr>
          <w:p w14:paraId="3AC22C9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46349B0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single" w:sz="4" w:space="0" w:color="auto"/>
            </w:tcBorders>
            <w:shd w:val="clear" w:color="000000" w:fill="FFFFFF"/>
            <w:noWrap/>
            <w:vAlign w:val="center"/>
          </w:tcPr>
          <w:p w14:paraId="6B2B578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78C9613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tcPr>
          <w:p w14:paraId="60A30AA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center"/>
          </w:tcPr>
          <w:p w14:paraId="69DC0E1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single" w:sz="4" w:space="0" w:color="auto"/>
            </w:tcBorders>
            <w:shd w:val="clear" w:color="000000" w:fill="FFFFFF"/>
            <w:noWrap/>
            <w:vAlign w:val="center"/>
          </w:tcPr>
          <w:p w14:paraId="3A148FD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center"/>
          </w:tcPr>
          <w:p w14:paraId="41E034D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tcPr>
          <w:p w14:paraId="51587D0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720" w:type="dxa"/>
            <w:tcBorders>
              <w:left w:val="nil"/>
              <w:right w:val="nil"/>
            </w:tcBorders>
            <w:shd w:val="clear" w:color="000000" w:fill="FFFFFF"/>
            <w:noWrap/>
            <w:vAlign w:val="center"/>
          </w:tcPr>
          <w:p w14:paraId="4AC1CD69" w14:textId="77777777" w:rsidR="005F44F8" w:rsidRPr="00D309F4" w:rsidRDefault="005F44F8" w:rsidP="009E0B91">
            <w:pPr>
              <w:tabs>
                <w:tab w:val="decimal" w:pos="140"/>
              </w:tabs>
              <w:spacing w:after="0" w:line="240" w:lineRule="auto"/>
              <w:jc w:val="center"/>
              <w:rPr>
                <w:rFonts w:cs="Times New Roman"/>
                <w:sz w:val="20"/>
                <w:szCs w:val="20"/>
              </w:rPr>
            </w:pPr>
          </w:p>
        </w:tc>
        <w:tc>
          <w:tcPr>
            <w:tcW w:w="540" w:type="dxa"/>
            <w:tcBorders>
              <w:top w:val="nil"/>
              <w:left w:val="nil"/>
              <w:right w:val="single" w:sz="18" w:space="0" w:color="auto"/>
            </w:tcBorders>
            <w:shd w:val="clear" w:color="000000" w:fill="FFFFFF"/>
            <w:noWrap/>
            <w:vAlign w:val="center"/>
          </w:tcPr>
          <w:p w14:paraId="07F21AC0" w14:textId="77777777" w:rsidR="005F44F8" w:rsidRPr="00D309F4" w:rsidRDefault="005F44F8" w:rsidP="009E0B91">
            <w:pPr>
              <w:tabs>
                <w:tab w:val="decimal" w:pos="140"/>
              </w:tabs>
              <w:spacing w:after="0" w:line="240" w:lineRule="auto"/>
              <w:jc w:val="center"/>
              <w:rPr>
                <w:rFonts w:cs="Times New Roman"/>
                <w:sz w:val="20"/>
                <w:szCs w:val="20"/>
              </w:rPr>
            </w:pPr>
          </w:p>
        </w:tc>
      </w:tr>
      <w:tr w:rsidR="005F44F8" w:rsidRPr="00D309F4" w14:paraId="59A72010" w14:textId="77777777" w:rsidTr="009E0B91">
        <w:trPr>
          <w:trHeight w:val="144"/>
          <w:jc w:val="center"/>
        </w:trPr>
        <w:tc>
          <w:tcPr>
            <w:tcW w:w="3577" w:type="dxa"/>
            <w:tcBorders>
              <w:left w:val="single" w:sz="18" w:space="0" w:color="auto"/>
              <w:right w:val="single" w:sz="18" w:space="0" w:color="auto"/>
            </w:tcBorders>
            <w:shd w:val="clear" w:color="000000" w:fill="FFFFFF"/>
            <w:noWrap/>
            <w:vAlign w:val="center"/>
          </w:tcPr>
          <w:p w14:paraId="03254D92"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High</w:t>
            </w:r>
          </w:p>
        </w:tc>
        <w:tc>
          <w:tcPr>
            <w:tcW w:w="564" w:type="dxa"/>
            <w:tcBorders>
              <w:left w:val="single" w:sz="18" w:space="0" w:color="auto"/>
              <w:right w:val="nil"/>
            </w:tcBorders>
            <w:shd w:val="clear" w:color="000000" w:fill="FFFFFF"/>
            <w:noWrap/>
            <w:vAlign w:val="bottom"/>
          </w:tcPr>
          <w:p w14:paraId="491D9682"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0.29</w:t>
            </w:r>
          </w:p>
        </w:tc>
        <w:tc>
          <w:tcPr>
            <w:tcW w:w="593" w:type="dxa"/>
            <w:tcBorders>
              <w:left w:val="nil"/>
              <w:right w:val="single" w:sz="18" w:space="0" w:color="auto"/>
            </w:tcBorders>
            <w:shd w:val="clear" w:color="000000" w:fill="FFFFFF"/>
            <w:noWrap/>
            <w:vAlign w:val="bottom"/>
          </w:tcPr>
          <w:p w14:paraId="0F23C31D"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1.78</w:t>
            </w:r>
          </w:p>
        </w:tc>
        <w:tc>
          <w:tcPr>
            <w:tcW w:w="632" w:type="dxa"/>
            <w:tcBorders>
              <w:left w:val="single" w:sz="18" w:space="0" w:color="auto"/>
              <w:right w:val="nil"/>
            </w:tcBorders>
            <w:shd w:val="clear" w:color="000000" w:fill="FFFFFF"/>
            <w:noWrap/>
            <w:vAlign w:val="bottom"/>
          </w:tcPr>
          <w:p w14:paraId="6A00D76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0.21</w:t>
            </w:r>
          </w:p>
        </w:tc>
        <w:tc>
          <w:tcPr>
            <w:tcW w:w="538" w:type="dxa"/>
            <w:tcBorders>
              <w:left w:val="nil"/>
              <w:right w:val="single" w:sz="4" w:space="0" w:color="auto"/>
            </w:tcBorders>
            <w:shd w:val="clear" w:color="000000" w:fill="FFFFFF"/>
            <w:noWrap/>
            <w:vAlign w:val="bottom"/>
          </w:tcPr>
          <w:p w14:paraId="3D542FC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1.47</w:t>
            </w:r>
          </w:p>
        </w:tc>
        <w:tc>
          <w:tcPr>
            <w:tcW w:w="631" w:type="dxa"/>
            <w:tcBorders>
              <w:left w:val="nil"/>
              <w:right w:val="nil"/>
            </w:tcBorders>
            <w:shd w:val="clear" w:color="000000" w:fill="FFFFFF"/>
            <w:vAlign w:val="bottom"/>
          </w:tcPr>
          <w:p w14:paraId="61BAE42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0.68</w:t>
            </w:r>
          </w:p>
        </w:tc>
        <w:tc>
          <w:tcPr>
            <w:tcW w:w="631" w:type="dxa"/>
            <w:tcBorders>
              <w:left w:val="nil"/>
              <w:right w:val="single" w:sz="4" w:space="0" w:color="auto"/>
            </w:tcBorders>
            <w:shd w:val="clear" w:color="000000" w:fill="FFFFFF"/>
            <w:vAlign w:val="bottom"/>
          </w:tcPr>
          <w:p w14:paraId="59D0733B"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3.31</w:t>
            </w:r>
          </w:p>
        </w:tc>
        <w:tc>
          <w:tcPr>
            <w:tcW w:w="720" w:type="dxa"/>
            <w:tcBorders>
              <w:left w:val="single" w:sz="4" w:space="0" w:color="auto"/>
              <w:right w:val="nil"/>
            </w:tcBorders>
            <w:shd w:val="clear" w:color="000000" w:fill="FFFFFF"/>
            <w:noWrap/>
            <w:vAlign w:val="center"/>
          </w:tcPr>
          <w:p w14:paraId="2CE172F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right w:val="single" w:sz="4" w:space="0" w:color="auto"/>
            </w:tcBorders>
            <w:shd w:val="clear" w:color="000000" w:fill="FFFFFF"/>
            <w:noWrap/>
            <w:vAlign w:val="center"/>
          </w:tcPr>
          <w:p w14:paraId="6003D04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0D5A4B9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right w:val="single" w:sz="4" w:space="0" w:color="auto"/>
            </w:tcBorders>
            <w:shd w:val="clear" w:color="000000" w:fill="FFFFFF"/>
            <w:noWrap/>
            <w:vAlign w:val="center"/>
          </w:tcPr>
          <w:p w14:paraId="5C13069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60EFEEA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right w:val="single" w:sz="4" w:space="0" w:color="auto"/>
            </w:tcBorders>
            <w:shd w:val="clear" w:color="000000" w:fill="FFFFFF"/>
            <w:noWrap/>
            <w:vAlign w:val="center"/>
          </w:tcPr>
          <w:p w14:paraId="6FA3277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center"/>
          </w:tcPr>
          <w:p w14:paraId="612D5C1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right w:val="single" w:sz="4" w:space="0" w:color="auto"/>
            </w:tcBorders>
            <w:shd w:val="clear" w:color="000000" w:fill="FFFFFF"/>
            <w:noWrap/>
            <w:vAlign w:val="center"/>
          </w:tcPr>
          <w:p w14:paraId="2433AFC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bottom"/>
          </w:tcPr>
          <w:p w14:paraId="6DEA7C8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-0.25</w:t>
            </w:r>
          </w:p>
        </w:tc>
        <w:tc>
          <w:tcPr>
            <w:tcW w:w="540" w:type="dxa"/>
            <w:tcBorders>
              <w:left w:val="nil"/>
              <w:right w:val="single" w:sz="4" w:space="0" w:color="auto"/>
            </w:tcBorders>
            <w:shd w:val="clear" w:color="000000" w:fill="FFFFFF"/>
            <w:noWrap/>
            <w:vAlign w:val="bottom"/>
          </w:tcPr>
          <w:p w14:paraId="57B8BCE2"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-1.31</w:t>
            </w:r>
          </w:p>
        </w:tc>
        <w:tc>
          <w:tcPr>
            <w:tcW w:w="720" w:type="dxa"/>
            <w:tcBorders>
              <w:left w:val="nil"/>
              <w:right w:val="nil"/>
            </w:tcBorders>
            <w:shd w:val="clear" w:color="000000" w:fill="FFFFFF"/>
            <w:noWrap/>
            <w:vAlign w:val="bottom"/>
          </w:tcPr>
          <w:p w14:paraId="65330297"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0.73</w:t>
            </w:r>
          </w:p>
        </w:tc>
        <w:tc>
          <w:tcPr>
            <w:tcW w:w="540" w:type="dxa"/>
            <w:tcBorders>
              <w:left w:val="nil"/>
              <w:right w:val="single" w:sz="18" w:space="0" w:color="auto"/>
            </w:tcBorders>
            <w:shd w:val="clear" w:color="000000" w:fill="FFFFFF"/>
            <w:noWrap/>
            <w:vAlign w:val="bottom"/>
          </w:tcPr>
          <w:p w14:paraId="70F7488C"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2.77</w:t>
            </w:r>
          </w:p>
        </w:tc>
      </w:tr>
      <w:tr w:rsidR="005F44F8" w:rsidRPr="00D309F4" w14:paraId="23F7700D" w14:textId="77777777" w:rsidTr="009E0B91">
        <w:trPr>
          <w:trHeight w:val="144"/>
          <w:jc w:val="center"/>
        </w:trPr>
        <w:tc>
          <w:tcPr>
            <w:tcW w:w="3577" w:type="dxa"/>
            <w:tcBorders>
              <w:left w:val="single" w:sz="18" w:space="0" w:color="auto"/>
              <w:right w:val="single" w:sz="18" w:space="0" w:color="auto"/>
            </w:tcBorders>
            <w:shd w:val="clear" w:color="000000" w:fill="FFFFFF"/>
            <w:noWrap/>
            <w:vAlign w:val="center"/>
          </w:tcPr>
          <w:p w14:paraId="7B85F3BB"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Charging station density (low)</w:t>
            </w:r>
          </w:p>
        </w:tc>
        <w:tc>
          <w:tcPr>
            <w:tcW w:w="564" w:type="dxa"/>
            <w:tcBorders>
              <w:left w:val="single" w:sz="18" w:space="0" w:color="auto"/>
              <w:right w:val="nil"/>
            </w:tcBorders>
            <w:shd w:val="clear" w:color="000000" w:fill="FFFFFF"/>
            <w:noWrap/>
            <w:vAlign w:val="center"/>
          </w:tcPr>
          <w:p w14:paraId="5CE438AE" w14:textId="77777777" w:rsidR="005F44F8" w:rsidRPr="00D309F4" w:rsidRDefault="005F44F8" w:rsidP="009E0B91">
            <w:pPr>
              <w:tabs>
                <w:tab w:val="decimal" w:pos="140"/>
              </w:tabs>
              <w:spacing w:after="0" w:line="240" w:lineRule="auto"/>
              <w:jc w:val="center"/>
              <w:rPr>
                <w:rFonts w:cs="Times New Roman"/>
                <w:sz w:val="20"/>
                <w:szCs w:val="20"/>
              </w:rPr>
            </w:pPr>
          </w:p>
        </w:tc>
        <w:tc>
          <w:tcPr>
            <w:tcW w:w="593" w:type="dxa"/>
            <w:tcBorders>
              <w:left w:val="nil"/>
              <w:right w:val="single" w:sz="18" w:space="0" w:color="auto"/>
            </w:tcBorders>
            <w:shd w:val="clear" w:color="000000" w:fill="FFFFFF"/>
            <w:noWrap/>
            <w:vAlign w:val="center"/>
          </w:tcPr>
          <w:p w14:paraId="3A5F4CD8" w14:textId="77777777" w:rsidR="005F44F8" w:rsidRPr="00D309F4" w:rsidRDefault="005F44F8" w:rsidP="009E0B91">
            <w:pPr>
              <w:tabs>
                <w:tab w:val="decimal" w:pos="140"/>
              </w:tabs>
              <w:spacing w:after="0" w:line="240" w:lineRule="auto"/>
              <w:jc w:val="center"/>
              <w:rPr>
                <w:rFonts w:cs="Times New Roman"/>
                <w:sz w:val="20"/>
                <w:szCs w:val="20"/>
              </w:rPr>
            </w:pPr>
          </w:p>
        </w:tc>
        <w:tc>
          <w:tcPr>
            <w:tcW w:w="632" w:type="dxa"/>
            <w:tcBorders>
              <w:left w:val="single" w:sz="18" w:space="0" w:color="auto"/>
              <w:right w:val="nil"/>
            </w:tcBorders>
            <w:shd w:val="clear" w:color="000000" w:fill="FFFFFF"/>
            <w:noWrap/>
            <w:vAlign w:val="center"/>
          </w:tcPr>
          <w:p w14:paraId="7513C7F1" w14:textId="77777777" w:rsidR="005F44F8" w:rsidRPr="00D309F4" w:rsidRDefault="005F44F8" w:rsidP="009E0B91">
            <w:pPr>
              <w:tabs>
                <w:tab w:val="decimal" w:pos="140"/>
              </w:tabs>
              <w:spacing w:after="0" w:line="240" w:lineRule="auto"/>
              <w:jc w:val="center"/>
              <w:rPr>
                <w:rFonts w:cs="Times New Roman"/>
                <w:sz w:val="20"/>
                <w:szCs w:val="20"/>
              </w:rPr>
            </w:pPr>
          </w:p>
        </w:tc>
        <w:tc>
          <w:tcPr>
            <w:tcW w:w="538" w:type="dxa"/>
            <w:tcBorders>
              <w:left w:val="nil"/>
              <w:right w:val="single" w:sz="4" w:space="0" w:color="auto"/>
            </w:tcBorders>
            <w:shd w:val="clear" w:color="000000" w:fill="FFFFFF"/>
            <w:noWrap/>
            <w:vAlign w:val="center"/>
          </w:tcPr>
          <w:p w14:paraId="12EA61B7" w14:textId="77777777" w:rsidR="005F44F8" w:rsidRPr="00D309F4" w:rsidRDefault="005F44F8" w:rsidP="009E0B91">
            <w:pPr>
              <w:tabs>
                <w:tab w:val="decimal" w:pos="140"/>
              </w:tabs>
              <w:spacing w:after="0" w:line="240" w:lineRule="auto"/>
              <w:jc w:val="center"/>
              <w:rPr>
                <w:rFonts w:cs="Times New Roman"/>
                <w:sz w:val="20"/>
                <w:szCs w:val="20"/>
              </w:rPr>
            </w:pPr>
          </w:p>
        </w:tc>
        <w:tc>
          <w:tcPr>
            <w:tcW w:w="631" w:type="dxa"/>
            <w:tcBorders>
              <w:left w:val="nil"/>
              <w:right w:val="nil"/>
            </w:tcBorders>
            <w:shd w:val="clear" w:color="000000" w:fill="FFFFFF"/>
            <w:vAlign w:val="center"/>
          </w:tcPr>
          <w:p w14:paraId="44B35204" w14:textId="77777777" w:rsidR="005F44F8" w:rsidRPr="00D309F4" w:rsidRDefault="005F44F8" w:rsidP="009E0B91">
            <w:pPr>
              <w:tabs>
                <w:tab w:val="decimal" w:pos="140"/>
              </w:tabs>
              <w:spacing w:after="0" w:line="240" w:lineRule="auto"/>
              <w:jc w:val="center"/>
              <w:rPr>
                <w:rFonts w:cs="Times New Roman"/>
                <w:sz w:val="20"/>
                <w:szCs w:val="20"/>
              </w:rPr>
            </w:pPr>
          </w:p>
        </w:tc>
        <w:tc>
          <w:tcPr>
            <w:tcW w:w="631" w:type="dxa"/>
            <w:tcBorders>
              <w:left w:val="nil"/>
              <w:right w:val="single" w:sz="4" w:space="0" w:color="auto"/>
            </w:tcBorders>
            <w:shd w:val="clear" w:color="000000" w:fill="FFFFFF"/>
            <w:vAlign w:val="center"/>
          </w:tcPr>
          <w:p w14:paraId="2E5E478F"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left w:val="single" w:sz="4" w:space="0" w:color="auto"/>
              <w:right w:val="nil"/>
            </w:tcBorders>
            <w:shd w:val="clear" w:color="000000" w:fill="FFFFFF"/>
            <w:noWrap/>
            <w:vAlign w:val="center"/>
          </w:tcPr>
          <w:p w14:paraId="71EC063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tcPr>
          <w:p w14:paraId="06B6B6C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2A8EF1F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single" w:sz="4" w:space="0" w:color="auto"/>
            </w:tcBorders>
            <w:shd w:val="clear" w:color="000000" w:fill="FFFFFF"/>
            <w:noWrap/>
            <w:vAlign w:val="center"/>
          </w:tcPr>
          <w:p w14:paraId="48E6873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4EDE696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tcPr>
          <w:p w14:paraId="457E6A2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center"/>
          </w:tcPr>
          <w:p w14:paraId="1DBA92C4"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single" w:sz="4" w:space="0" w:color="auto"/>
            </w:tcBorders>
            <w:shd w:val="clear" w:color="000000" w:fill="FFFFFF"/>
            <w:noWrap/>
            <w:vAlign w:val="center"/>
          </w:tcPr>
          <w:p w14:paraId="199D18B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center"/>
          </w:tcPr>
          <w:p w14:paraId="3AC9B7BD"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single" w:sz="4" w:space="0" w:color="auto"/>
            </w:tcBorders>
            <w:shd w:val="clear" w:color="000000" w:fill="FFFFFF"/>
            <w:noWrap/>
            <w:vAlign w:val="center"/>
          </w:tcPr>
          <w:p w14:paraId="679A9B49"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left w:val="nil"/>
              <w:right w:val="nil"/>
            </w:tcBorders>
            <w:shd w:val="clear" w:color="000000" w:fill="FFFFFF"/>
            <w:noWrap/>
            <w:vAlign w:val="center"/>
          </w:tcPr>
          <w:p w14:paraId="31442041" w14:textId="77777777" w:rsidR="005F44F8" w:rsidRPr="00D309F4" w:rsidRDefault="005F44F8" w:rsidP="009E0B91">
            <w:pPr>
              <w:tabs>
                <w:tab w:val="decimal" w:pos="140"/>
              </w:tabs>
              <w:spacing w:after="0" w:line="240" w:lineRule="auto"/>
              <w:jc w:val="center"/>
              <w:rPr>
                <w:rFonts w:cs="Times New Roman"/>
                <w:sz w:val="20"/>
                <w:szCs w:val="20"/>
              </w:rPr>
            </w:pPr>
          </w:p>
        </w:tc>
        <w:tc>
          <w:tcPr>
            <w:tcW w:w="540" w:type="dxa"/>
            <w:tcBorders>
              <w:left w:val="nil"/>
              <w:right w:val="single" w:sz="18" w:space="0" w:color="auto"/>
            </w:tcBorders>
            <w:shd w:val="clear" w:color="000000" w:fill="FFFFFF"/>
            <w:noWrap/>
            <w:vAlign w:val="center"/>
          </w:tcPr>
          <w:p w14:paraId="1D962433" w14:textId="77777777" w:rsidR="005F44F8" w:rsidRPr="00D309F4" w:rsidRDefault="005F44F8" w:rsidP="009E0B91">
            <w:pPr>
              <w:tabs>
                <w:tab w:val="decimal" w:pos="140"/>
              </w:tabs>
              <w:spacing w:after="0" w:line="240" w:lineRule="auto"/>
              <w:jc w:val="center"/>
              <w:rPr>
                <w:rFonts w:cs="Times New Roman"/>
                <w:sz w:val="20"/>
                <w:szCs w:val="20"/>
              </w:rPr>
            </w:pPr>
          </w:p>
        </w:tc>
      </w:tr>
      <w:tr w:rsidR="005F44F8" w:rsidRPr="00D309F4" w14:paraId="75DBB719" w14:textId="77777777" w:rsidTr="009E0B91">
        <w:trPr>
          <w:trHeight w:val="144"/>
          <w:jc w:val="center"/>
        </w:trPr>
        <w:tc>
          <w:tcPr>
            <w:tcW w:w="3577" w:type="dxa"/>
            <w:tcBorders>
              <w:left w:val="single" w:sz="18" w:space="0" w:color="auto"/>
              <w:right w:val="single" w:sz="18" w:space="0" w:color="auto"/>
            </w:tcBorders>
            <w:shd w:val="clear" w:color="000000" w:fill="FFFFFF"/>
            <w:noWrap/>
            <w:vAlign w:val="center"/>
          </w:tcPr>
          <w:p w14:paraId="66926D0D"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Medium</w:t>
            </w:r>
          </w:p>
        </w:tc>
        <w:tc>
          <w:tcPr>
            <w:tcW w:w="564" w:type="dxa"/>
            <w:tcBorders>
              <w:left w:val="single" w:sz="18" w:space="0" w:color="auto"/>
              <w:right w:val="nil"/>
            </w:tcBorders>
            <w:shd w:val="clear" w:color="000000" w:fill="FFFFFF"/>
            <w:noWrap/>
            <w:vAlign w:val="bottom"/>
          </w:tcPr>
          <w:p w14:paraId="1A6E6CC2"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0.28</w:t>
            </w:r>
          </w:p>
        </w:tc>
        <w:tc>
          <w:tcPr>
            <w:tcW w:w="593" w:type="dxa"/>
            <w:tcBorders>
              <w:left w:val="nil"/>
              <w:right w:val="single" w:sz="18" w:space="0" w:color="auto"/>
            </w:tcBorders>
            <w:shd w:val="clear" w:color="000000" w:fill="FFFFFF"/>
            <w:noWrap/>
            <w:vAlign w:val="bottom"/>
          </w:tcPr>
          <w:p w14:paraId="194F0A92"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1.85</w:t>
            </w:r>
          </w:p>
        </w:tc>
        <w:tc>
          <w:tcPr>
            <w:tcW w:w="632" w:type="dxa"/>
            <w:tcBorders>
              <w:left w:val="single" w:sz="18" w:space="0" w:color="auto"/>
              <w:right w:val="nil"/>
            </w:tcBorders>
            <w:shd w:val="clear" w:color="000000" w:fill="FFFFFF"/>
            <w:noWrap/>
            <w:vAlign w:val="center"/>
          </w:tcPr>
          <w:p w14:paraId="08555072"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38" w:type="dxa"/>
            <w:tcBorders>
              <w:left w:val="nil"/>
              <w:right w:val="single" w:sz="4" w:space="0" w:color="auto"/>
            </w:tcBorders>
            <w:shd w:val="clear" w:color="000000" w:fill="FFFFFF"/>
            <w:noWrap/>
            <w:vAlign w:val="center"/>
          </w:tcPr>
          <w:p w14:paraId="4BFBCAE1" w14:textId="77777777" w:rsidR="005F44F8" w:rsidRPr="00D309F4" w:rsidRDefault="005F44F8" w:rsidP="009E0B91">
            <w:pPr>
              <w:tabs>
                <w:tab w:val="decimal" w:pos="140"/>
              </w:tabs>
              <w:spacing w:after="0" w:line="240" w:lineRule="auto"/>
              <w:jc w:val="center"/>
              <w:rPr>
                <w:rFonts w:cs="Times New Roman"/>
                <w:sz w:val="20"/>
                <w:szCs w:val="20"/>
              </w:rPr>
            </w:pPr>
          </w:p>
        </w:tc>
        <w:tc>
          <w:tcPr>
            <w:tcW w:w="631" w:type="dxa"/>
            <w:tcBorders>
              <w:left w:val="nil"/>
              <w:right w:val="nil"/>
            </w:tcBorders>
            <w:shd w:val="clear" w:color="000000" w:fill="FFFFFF"/>
            <w:vAlign w:val="center"/>
          </w:tcPr>
          <w:p w14:paraId="15A2ECB0"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631" w:type="dxa"/>
            <w:tcBorders>
              <w:left w:val="nil"/>
              <w:right w:val="single" w:sz="4" w:space="0" w:color="auto"/>
            </w:tcBorders>
            <w:shd w:val="clear" w:color="000000" w:fill="FFFFFF"/>
            <w:vAlign w:val="center"/>
          </w:tcPr>
          <w:p w14:paraId="265ED256"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left w:val="single" w:sz="4" w:space="0" w:color="auto"/>
              <w:right w:val="nil"/>
            </w:tcBorders>
            <w:shd w:val="clear" w:color="000000" w:fill="FFFFFF"/>
            <w:noWrap/>
            <w:vAlign w:val="center"/>
          </w:tcPr>
          <w:p w14:paraId="1EB80223"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right w:val="single" w:sz="4" w:space="0" w:color="auto"/>
            </w:tcBorders>
            <w:shd w:val="clear" w:color="000000" w:fill="FFFFFF"/>
            <w:noWrap/>
            <w:vAlign w:val="center"/>
          </w:tcPr>
          <w:p w14:paraId="1436CAD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1510509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right w:val="single" w:sz="4" w:space="0" w:color="auto"/>
            </w:tcBorders>
            <w:shd w:val="clear" w:color="000000" w:fill="FFFFFF"/>
            <w:noWrap/>
            <w:vAlign w:val="center"/>
          </w:tcPr>
          <w:p w14:paraId="2DF019A1"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right w:val="nil"/>
            </w:tcBorders>
            <w:shd w:val="clear" w:color="000000" w:fill="FFFFFF"/>
            <w:noWrap/>
            <w:vAlign w:val="center"/>
          </w:tcPr>
          <w:p w14:paraId="6F14037C"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right w:val="single" w:sz="4" w:space="0" w:color="auto"/>
            </w:tcBorders>
            <w:shd w:val="clear" w:color="000000" w:fill="FFFFFF"/>
            <w:noWrap/>
            <w:vAlign w:val="center"/>
          </w:tcPr>
          <w:p w14:paraId="6DD6AF9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right w:val="nil"/>
            </w:tcBorders>
            <w:shd w:val="clear" w:color="000000" w:fill="FFFFFF"/>
            <w:noWrap/>
            <w:vAlign w:val="bottom"/>
          </w:tcPr>
          <w:p w14:paraId="601C3F1A"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0.44</w:t>
            </w:r>
          </w:p>
        </w:tc>
        <w:tc>
          <w:tcPr>
            <w:tcW w:w="630" w:type="dxa"/>
            <w:tcBorders>
              <w:left w:val="nil"/>
              <w:right w:val="single" w:sz="4" w:space="0" w:color="auto"/>
            </w:tcBorders>
            <w:shd w:val="clear" w:color="000000" w:fill="FFFFFF"/>
            <w:noWrap/>
            <w:vAlign w:val="bottom"/>
          </w:tcPr>
          <w:p w14:paraId="36ADA84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2.15</w:t>
            </w:r>
          </w:p>
        </w:tc>
        <w:tc>
          <w:tcPr>
            <w:tcW w:w="630" w:type="dxa"/>
            <w:tcBorders>
              <w:left w:val="nil"/>
              <w:right w:val="nil"/>
            </w:tcBorders>
            <w:shd w:val="clear" w:color="000000" w:fill="FFFFFF"/>
            <w:noWrap/>
            <w:vAlign w:val="center"/>
          </w:tcPr>
          <w:p w14:paraId="3F1D91D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right w:val="single" w:sz="4" w:space="0" w:color="auto"/>
            </w:tcBorders>
            <w:shd w:val="clear" w:color="000000" w:fill="FFFFFF"/>
            <w:noWrap/>
            <w:vAlign w:val="center"/>
          </w:tcPr>
          <w:p w14:paraId="6C70F471"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left w:val="nil"/>
              <w:right w:val="nil"/>
            </w:tcBorders>
            <w:shd w:val="clear" w:color="000000" w:fill="FFFFFF"/>
            <w:noWrap/>
            <w:vAlign w:val="center"/>
          </w:tcPr>
          <w:p w14:paraId="445E7F3F"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eastAsia="Times New Roman" w:cs="Times New Roman"/>
                <w:kern w:val="0"/>
                <w:sz w:val="20"/>
                <w:szCs w:val="20"/>
                <w14:ligatures w14:val="none"/>
              </w:rPr>
              <w:t>--</w:t>
            </w:r>
          </w:p>
        </w:tc>
        <w:tc>
          <w:tcPr>
            <w:tcW w:w="540" w:type="dxa"/>
            <w:tcBorders>
              <w:left w:val="nil"/>
              <w:right w:val="single" w:sz="18" w:space="0" w:color="auto"/>
            </w:tcBorders>
            <w:shd w:val="clear" w:color="000000" w:fill="FFFFFF"/>
            <w:noWrap/>
            <w:vAlign w:val="center"/>
          </w:tcPr>
          <w:p w14:paraId="784478D0" w14:textId="77777777" w:rsidR="005F44F8" w:rsidRPr="00D309F4" w:rsidRDefault="005F44F8" w:rsidP="009E0B91">
            <w:pPr>
              <w:tabs>
                <w:tab w:val="decimal" w:pos="140"/>
              </w:tabs>
              <w:spacing w:after="0" w:line="240" w:lineRule="auto"/>
              <w:jc w:val="center"/>
              <w:rPr>
                <w:rFonts w:cs="Times New Roman"/>
                <w:sz w:val="20"/>
                <w:szCs w:val="20"/>
              </w:rPr>
            </w:pPr>
          </w:p>
        </w:tc>
      </w:tr>
      <w:tr w:rsidR="005F44F8" w:rsidRPr="00D309F4" w14:paraId="03E8A265" w14:textId="77777777" w:rsidTr="009E0B91">
        <w:trPr>
          <w:trHeight w:val="144"/>
          <w:jc w:val="center"/>
        </w:trPr>
        <w:tc>
          <w:tcPr>
            <w:tcW w:w="3577" w:type="dxa"/>
            <w:tcBorders>
              <w:left w:val="single" w:sz="18" w:space="0" w:color="auto"/>
              <w:bottom w:val="single" w:sz="18" w:space="0" w:color="auto"/>
              <w:right w:val="single" w:sz="18" w:space="0" w:color="auto"/>
            </w:tcBorders>
            <w:shd w:val="clear" w:color="000000" w:fill="FFFFFF"/>
            <w:noWrap/>
            <w:vAlign w:val="center"/>
          </w:tcPr>
          <w:p w14:paraId="090C3DE2" w14:textId="77777777" w:rsidR="005F44F8" w:rsidRPr="00D309F4" w:rsidRDefault="005F44F8" w:rsidP="009E0B91">
            <w:pPr>
              <w:spacing w:after="0" w:line="240" w:lineRule="auto"/>
              <w:rPr>
                <w:rFonts w:eastAsia="Times New Roman" w:cs="Times New Roman"/>
                <w:kern w:val="0"/>
                <w:sz w:val="20"/>
                <w:szCs w:val="20"/>
                <w14:ligatures w14:val="none"/>
              </w:rPr>
            </w:pPr>
            <w:r w:rsidRPr="00D309F4">
              <w:rPr>
                <w:rFonts w:eastAsia="Times New Roman" w:cs="Times New Roman"/>
                <w:kern w:val="0"/>
                <w:sz w:val="20"/>
                <w:szCs w:val="20"/>
                <w14:ligatures w14:val="none"/>
              </w:rPr>
              <w:t xml:space="preserve">     High</w:t>
            </w:r>
          </w:p>
        </w:tc>
        <w:tc>
          <w:tcPr>
            <w:tcW w:w="564" w:type="dxa"/>
            <w:tcBorders>
              <w:left w:val="single" w:sz="18" w:space="0" w:color="auto"/>
              <w:bottom w:val="single" w:sz="18" w:space="0" w:color="auto"/>
              <w:right w:val="nil"/>
            </w:tcBorders>
            <w:shd w:val="clear" w:color="000000" w:fill="FFFFFF"/>
            <w:noWrap/>
            <w:vAlign w:val="bottom"/>
          </w:tcPr>
          <w:p w14:paraId="35AECE0F"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0.31</w:t>
            </w:r>
          </w:p>
        </w:tc>
        <w:tc>
          <w:tcPr>
            <w:tcW w:w="593" w:type="dxa"/>
            <w:tcBorders>
              <w:left w:val="nil"/>
              <w:bottom w:val="single" w:sz="18" w:space="0" w:color="auto"/>
              <w:right w:val="single" w:sz="18" w:space="0" w:color="auto"/>
            </w:tcBorders>
            <w:shd w:val="clear" w:color="000000" w:fill="FFFFFF"/>
            <w:noWrap/>
            <w:vAlign w:val="bottom"/>
          </w:tcPr>
          <w:p w14:paraId="0E23EFD1"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2.23</w:t>
            </w:r>
          </w:p>
        </w:tc>
        <w:tc>
          <w:tcPr>
            <w:tcW w:w="632" w:type="dxa"/>
            <w:tcBorders>
              <w:left w:val="single" w:sz="18" w:space="0" w:color="auto"/>
              <w:bottom w:val="single" w:sz="18" w:space="0" w:color="auto"/>
              <w:right w:val="nil"/>
            </w:tcBorders>
            <w:shd w:val="clear" w:color="000000" w:fill="FFFFFF"/>
            <w:noWrap/>
            <w:vAlign w:val="center"/>
          </w:tcPr>
          <w:p w14:paraId="13B3DAA7"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38" w:type="dxa"/>
            <w:tcBorders>
              <w:left w:val="nil"/>
              <w:bottom w:val="single" w:sz="18" w:space="0" w:color="auto"/>
              <w:right w:val="single" w:sz="4" w:space="0" w:color="auto"/>
            </w:tcBorders>
            <w:shd w:val="clear" w:color="000000" w:fill="FFFFFF"/>
            <w:noWrap/>
            <w:vAlign w:val="center"/>
          </w:tcPr>
          <w:p w14:paraId="75D7F535" w14:textId="77777777" w:rsidR="005F44F8" w:rsidRPr="00D309F4" w:rsidRDefault="005F44F8" w:rsidP="009E0B91">
            <w:pPr>
              <w:tabs>
                <w:tab w:val="decimal" w:pos="140"/>
              </w:tabs>
              <w:spacing w:after="0" w:line="240" w:lineRule="auto"/>
              <w:jc w:val="center"/>
              <w:rPr>
                <w:rFonts w:cs="Times New Roman"/>
                <w:sz w:val="20"/>
                <w:szCs w:val="20"/>
              </w:rPr>
            </w:pPr>
          </w:p>
        </w:tc>
        <w:tc>
          <w:tcPr>
            <w:tcW w:w="631" w:type="dxa"/>
            <w:tcBorders>
              <w:left w:val="nil"/>
              <w:bottom w:val="single" w:sz="18" w:space="0" w:color="auto"/>
              <w:right w:val="nil"/>
            </w:tcBorders>
            <w:shd w:val="clear" w:color="000000" w:fill="FFFFFF"/>
            <w:vAlign w:val="center"/>
          </w:tcPr>
          <w:p w14:paraId="78E6E976"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1" w:type="dxa"/>
            <w:tcBorders>
              <w:left w:val="nil"/>
              <w:bottom w:val="single" w:sz="18" w:space="0" w:color="auto"/>
              <w:right w:val="single" w:sz="4" w:space="0" w:color="auto"/>
            </w:tcBorders>
            <w:shd w:val="clear" w:color="000000" w:fill="FFFFFF"/>
            <w:vAlign w:val="center"/>
          </w:tcPr>
          <w:p w14:paraId="4D9753C5" w14:textId="77777777" w:rsidR="005F44F8" w:rsidRPr="00D309F4" w:rsidRDefault="005F44F8" w:rsidP="009E0B91">
            <w:pPr>
              <w:tabs>
                <w:tab w:val="decimal" w:pos="140"/>
              </w:tabs>
              <w:spacing w:after="0" w:line="240" w:lineRule="auto"/>
              <w:jc w:val="center"/>
              <w:rPr>
                <w:rFonts w:cs="Times New Roman"/>
                <w:sz w:val="20"/>
                <w:szCs w:val="20"/>
              </w:rPr>
            </w:pPr>
          </w:p>
        </w:tc>
        <w:tc>
          <w:tcPr>
            <w:tcW w:w="720" w:type="dxa"/>
            <w:tcBorders>
              <w:left w:val="single" w:sz="4" w:space="0" w:color="auto"/>
              <w:bottom w:val="single" w:sz="18" w:space="0" w:color="auto"/>
              <w:right w:val="nil"/>
            </w:tcBorders>
            <w:shd w:val="clear" w:color="000000" w:fill="FFFFFF"/>
            <w:noWrap/>
            <w:vAlign w:val="center"/>
          </w:tcPr>
          <w:p w14:paraId="417588C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single" w:sz="18" w:space="0" w:color="auto"/>
              <w:right w:val="single" w:sz="4" w:space="0" w:color="auto"/>
            </w:tcBorders>
            <w:shd w:val="clear" w:color="000000" w:fill="FFFFFF"/>
            <w:noWrap/>
            <w:vAlign w:val="center"/>
          </w:tcPr>
          <w:p w14:paraId="550E1150"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single" w:sz="18" w:space="0" w:color="auto"/>
              <w:right w:val="nil"/>
            </w:tcBorders>
            <w:shd w:val="clear" w:color="000000" w:fill="FFFFFF"/>
            <w:noWrap/>
            <w:vAlign w:val="center"/>
          </w:tcPr>
          <w:p w14:paraId="17BB190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630" w:type="dxa"/>
            <w:tcBorders>
              <w:left w:val="nil"/>
              <w:bottom w:val="single" w:sz="18" w:space="0" w:color="auto"/>
              <w:right w:val="single" w:sz="4" w:space="0" w:color="auto"/>
            </w:tcBorders>
            <w:shd w:val="clear" w:color="000000" w:fill="FFFFFF"/>
            <w:noWrap/>
            <w:vAlign w:val="center"/>
          </w:tcPr>
          <w:p w14:paraId="7FBC221E"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540" w:type="dxa"/>
            <w:tcBorders>
              <w:left w:val="nil"/>
              <w:bottom w:val="single" w:sz="18" w:space="0" w:color="auto"/>
              <w:right w:val="nil"/>
            </w:tcBorders>
            <w:shd w:val="clear" w:color="000000" w:fill="FFFFFF"/>
            <w:noWrap/>
            <w:vAlign w:val="center"/>
          </w:tcPr>
          <w:p w14:paraId="6F75CD69"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single" w:sz="18" w:space="0" w:color="auto"/>
              <w:right w:val="single" w:sz="4" w:space="0" w:color="auto"/>
            </w:tcBorders>
            <w:shd w:val="clear" w:color="000000" w:fill="FFFFFF"/>
            <w:noWrap/>
            <w:vAlign w:val="center"/>
          </w:tcPr>
          <w:p w14:paraId="1556205F"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p>
        </w:tc>
        <w:tc>
          <w:tcPr>
            <w:tcW w:w="630" w:type="dxa"/>
            <w:tcBorders>
              <w:left w:val="nil"/>
              <w:bottom w:val="single" w:sz="18" w:space="0" w:color="auto"/>
              <w:right w:val="nil"/>
            </w:tcBorders>
            <w:shd w:val="clear" w:color="000000" w:fill="FFFFFF"/>
            <w:noWrap/>
            <w:vAlign w:val="bottom"/>
          </w:tcPr>
          <w:p w14:paraId="24248D4B"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0.58</w:t>
            </w:r>
          </w:p>
        </w:tc>
        <w:tc>
          <w:tcPr>
            <w:tcW w:w="630" w:type="dxa"/>
            <w:tcBorders>
              <w:left w:val="nil"/>
              <w:bottom w:val="single" w:sz="18" w:space="0" w:color="auto"/>
              <w:right w:val="single" w:sz="4" w:space="0" w:color="auto"/>
            </w:tcBorders>
            <w:shd w:val="clear" w:color="000000" w:fill="FFFFFF"/>
            <w:noWrap/>
            <w:vAlign w:val="bottom"/>
          </w:tcPr>
          <w:p w14:paraId="294D333D"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3.29</w:t>
            </w:r>
          </w:p>
        </w:tc>
        <w:tc>
          <w:tcPr>
            <w:tcW w:w="630" w:type="dxa"/>
            <w:tcBorders>
              <w:left w:val="nil"/>
              <w:bottom w:val="single" w:sz="18" w:space="0" w:color="auto"/>
              <w:right w:val="nil"/>
            </w:tcBorders>
            <w:shd w:val="clear" w:color="000000" w:fill="FFFFFF"/>
            <w:noWrap/>
            <w:vAlign w:val="bottom"/>
          </w:tcPr>
          <w:p w14:paraId="11B37F75"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cs="Times New Roman"/>
                <w:sz w:val="20"/>
                <w:szCs w:val="20"/>
              </w:rPr>
              <w:t>-0.23</w:t>
            </w:r>
          </w:p>
        </w:tc>
        <w:tc>
          <w:tcPr>
            <w:tcW w:w="540" w:type="dxa"/>
            <w:tcBorders>
              <w:left w:val="nil"/>
              <w:bottom w:val="single" w:sz="18" w:space="0" w:color="auto"/>
              <w:right w:val="single" w:sz="4" w:space="0" w:color="auto"/>
            </w:tcBorders>
            <w:shd w:val="clear" w:color="000000" w:fill="FFFFFF"/>
            <w:noWrap/>
            <w:vAlign w:val="bottom"/>
          </w:tcPr>
          <w:p w14:paraId="2E2D6C3E" w14:textId="77777777" w:rsidR="005F44F8" w:rsidRPr="00D309F4" w:rsidRDefault="005F44F8" w:rsidP="009E0B91">
            <w:pPr>
              <w:tabs>
                <w:tab w:val="decimal" w:pos="140"/>
              </w:tabs>
              <w:spacing w:after="0" w:line="240" w:lineRule="auto"/>
              <w:jc w:val="center"/>
              <w:rPr>
                <w:rFonts w:cs="Times New Roman"/>
                <w:sz w:val="20"/>
                <w:szCs w:val="20"/>
              </w:rPr>
            </w:pPr>
            <w:r w:rsidRPr="00D309F4">
              <w:rPr>
                <w:rFonts w:cs="Times New Roman"/>
                <w:sz w:val="20"/>
                <w:szCs w:val="20"/>
              </w:rPr>
              <w:t>-1.41</w:t>
            </w:r>
          </w:p>
        </w:tc>
        <w:tc>
          <w:tcPr>
            <w:tcW w:w="720" w:type="dxa"/>
            <w:tcBorders>
              <w:left w:val="nil"/>
              <w:bottom w:val="single" w:sz="18" w:space="0" w:color="auto"/>
              <w:right w:val="nil"/>
            </w:tcBorders>
            <w:shd w:val="clear" w:color="000000" w:fill="FFFFFF"/>
            <w:noWrap/>
            <w:vAlign w:val="center"/>
          </w:tcPr>
          <w:p w14:paraId="1F9E5DF8" w14:textId="77777777" w:rsidR="005F44F8" w:rsidRPr="00D309F4" w:rsidRDefault="005F44F8" w:rsidP="009E0B91">
            <w:pPr>
              <w:tabs>
                <w:tab w:val="decimal" w:pos="140"/>
              </w:tabs>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w:t>
            </w:r>
          </w:p>
        </w:tc>
        <w:tc>
          <w:tcPr>
            <w:tcW w:w="540" w:type="dxa"/>
            <w:tcBorders>
              <w:left w:val="nil"/>
              <w:bottom w:val="single" w:sz="18" w:space="0" w:color="auto"/>
              <w:right w:val="single" w:sz="18" w:space="0" w:color="auto"/>
            </w:tcBorders>
            <w:shd w:val="clear" w:color="000000" w:fill="FFFFFF"/>
            <w:noWrap/>
            <w:vAlign w:val="center"/>
          </w:tcPr>
          <w:p w14:paraId="1987A599" w14:textId="77777777" w:rsidR="005F44F8" w:rsidRPr="00D309F4" w:rsidRDefault="005F44F8" w:rsidP="009E0B91">
            <w:pPr>
              <w:tabs>
                <w:tab w:val="decimal" w:pos="140"/>
              </w:tabs>
              <w:spacing w:after="0" w:line="240" w:lineRule="auto"/>
              <w:jc w:val="center"/>
              <w:rPr>
                <w:rFonts w:cs="Times New Roman"/>
                <w:sz w:val="20"/>
                <w:szCs w:val="20"/>
              </w:rPr>
            </w:pPr>
          </w:p>
        </w:tc>
      </w:tr>
    </w:tbl>
    <w:p w14:paraId="756F93F4" w14:textId="77777777" w:rsidR="005F44F8" w:rsidRPr="00D309F4" w:rsidRDefault="005F44F8" w:rsidP="00264D08">
      <w:pPr>
        <w:spacing w:after="0" w:line="240" w:lineRule="auto"/>
        <w:jc w:val="both"/>
        <w:rPr>
          <w:rFonts w:cs="Times New Roman"/>
          <w:b/>
          <w:bCs/>
        </w:rPr>
      </w:pPr>
    </w:p>
    <w:bookmarkEnd w:id="40"/>
    <w:bookmarkEnd w:id="44"/>
    <w:p w14:paraId="681F0D10" w14:textId="77777777" w:rsidR="005F44F8" w:rsidRPr="00D309F4" w:rsidRDefault="005F44F8" w:rsidP="00264D08">
      <w:pPr>
        <w:spacing w:after="0" w:line="240" w:lineRule="auto"/>
        <w:jc w:val="both"/>
        <w:rPr>
          <w:rFonts w:cs="Times New Roman"/>
          <w:b/>
          <w:bCs/>
        </w:rPr>
        <w:sectPr w:rsidR="005F44F8" w:rsidRPr="00D309F4" w:rsidSect="00475EF7">
          <w:pgSz w:w="15840" w:h="12240" w:orient="landscape"/>
          <w:pgMar w:top="1152" w:right="1440" w:bottom="1152" w:left="1440" w:header="720" w:footer="720" w:gutter="0"/>
          <w:cols w:space="720"/>
          <w:docGrid w:linePitch="360"/>
        </w:sectPr>
      </w:pPr>
    </w:p>
    <w:p w14:paraId="6E50801D" w14:textId="77777777" w:rsidR="00B95636" w:rsidRPr="00D309F4" w:rsidRDefault="00B95636" w:rsidP="00B95636">
      <w:pPr>
        <w:spacing w:after="0" w:line="240" w:lineRule="auto"/>
        <w:jc w:val="both"/>
        <w:rPr>
          <w:rFonts w:cs="Times New Roman"/>
          <w:b/>
          <w:bCs/>
          <w:sz w:val="22"/>
          <w:szCs w:val="22"/>
          <w:highlight w:val="yellow"/>
        </w:rPr>
      </w:pPr>
      <w:bookmarkStart w:id="45" w:name="_Hlk200356582"/>
      <w:bookmarkEnd w:id="43"/>
      <w:r w:rsidRPr="00D309F4">
        <w:rPr>
          <w:rFonts w:cs="Times New Roman"/>
          <w:b/>
          <w:bCs/>
          <w:sz w:val="22"/>
          <w:szCs w:val="22"/>
        </w:rPr>
        <w:lastRenderedPageBreak/>
        <w:t>Table 5: Model Fit</w:t>
      </w:r>
    </w:p>
    <w:p w14:paraId="214FBAC5" w14:textId="77777777" w:rsidR="00B95636" w:rsidRPr="00D309F4" w:rsidRDefault="00B95636" w:rsidP="00B95636">
      <w:pPr>
        <w:spacing w:after="0" w:line="240" w:lineRule="auto"/>
        <w:jc w:val="both"/>
        <w:rPr>
          <w:rFonts w:cs="Times New Roman"/>
          <w:b/>
          <w:bCs/>
          <w:sz w:val="22"/>
          <w:szCs w:val="22"/>
          <w:highlight w:val="yellow"/>
        </w:rPr>
      </w:pPr>
    </w:p>
    <w:tbl>
      <w:tblPr>
        <w:tblW w:w="13194" w:type="dxa"/>
        <w:jc w:val="center"/>
        <w:tblLook w:val="04A0" w:firstRow="1" w:lastRow="0" w:firstColumn="1" w:lastColumn="0" w:noHBand="0" w:noVBand="1"/>
      </w:tblPr>
      <w:tblGrid>
        <w:gridCol w:w="1394"/>
        <w:gridCol w:w="4433"/>
        <w:gridCol w:w="2723"/>
        <w:gridCol w:w="716"/>
        <w:gridCol w:w="838"/>
        <w:gridCol w:w="51"/>
        <w:gridCol w:w="825"/>
        <w:gridCol w:w="671"/>
        <w:gridCol w:w="49"/>
        <w:gridCol w:w="8"/>
        <w:gridCol w:w="712"/>
        <w:gridCol w:w="782"/>
      </w:tblGrid>
      <w:tr w:rsidR="00AE2660" w:rsidRPr="00D309F4" w14:paraId="1EB9FDE3" w14:textId="77777777" w:rsidTr="00C07DE0">
        <w:trPr>
          <w:trHeight w:val="259"/>
          <w:jc w:val="center"/>
        </w:trPr>
        <w:tc>
          <w:tcPr>
            <w:tcW w:w="13194" w:type="dxa"/>
            <w:gridSpan w:val="1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4D8FBFB2" w14:textId="77777777" w:rsidR="00FC2600" w:rsidRPr="00D309F4" w:rsidRDefault="00FC2600" w:rsidP="00503280">
            <w:pPr>
              <w:spacing w:after="0" w:line="240" w:lineRule="auto"/>
              <w:jc w:val="center"/>
              <w:rPr>
                <w:rFonts w:eastAsia="Times New Roman" w:cs="Times New Roman"/>
                <w:b/>
                <w:bCs/>
                <w:i/>
                <w:iCs/>
                <w:color w:val="000000"/>
                <w:kern w:val="0"/>
                <w:sz w:val="20"/>
                <w:szCs w:val="20"/>
                <w14:ligatures w14:val="none"/>
              </w:rPr>
            </w:pPr>
            <w:r w:rsidRPr="00D309F4">
              <w:rPr>
                <w:rFonts w:eastAsia="Times New Roman" w:cs="Times New Roman"/>
                <w:b/>
                <w:bCs/>
                <w:i/>
                <w:iCs/>
                <w:color w:val="000000"/>
                <w:kern w:val="0"/>
                <w:sz w:val="20"/>
                <w:szCs w:val="20"/>
                <w14:ligatures w14:val="none"/>
              </w:rPr>
              <w:t>Disaggregate Fit Measures</w:t>
            </w:r>
          </w:p>
        </w:tc>
      </w:tr>
      <w:tr w:rsidR="007D2472" w:rsidRPr="00D309F4" w14:paraId="3A48F3FC" w14:textId="77777777" w:rsidTr="00C07DE0">
        <w:trPr>
          <w:trHeight w:val="259"/>
          <w:jc w:val="center"/>
        </w:trPr>
        <w:tc>
          <w:tcPr>
            <w:tcW w:w="8550" w:type="dxa"/>
            <w:gridSpan w:val="3"/>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604DA85B" w14:textId="77777777" w:rsidR="00FC2600" w:rsidRPr="00D309F4" w:rsidRDefault="00FC2600" w:rsidP="00503280">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Metric</w:t>
            </w:r>
          </w:p>
        </w:tc>
        <w:tc>
          <w:tcPr>
            <w:tcW w:w="1597" w:type="dxa"/>
            <w:gridSpan w:val="3"/>
            <w:tcBorders>
              <w:top w:val="single" w:sz="18" w:space="0" w:color="auto"/>
              <w:left w:val="single" w:sz="18" w:space="0" w:color="auto"/>
              <w:bottom w:val="single" w:sz="18" w:space="0" w:color="auto"/>
              <w:right w:val="nil"/>
            </w:tcBorders>
            <w:shd w:val="clear" w:color="auto" w:fill="auto"/>
            <w:noWrap/>
            <w:vAlign w:val="center"/>
            <w:hideMark/>
          </w:tcPr>
          <w:p w14:paraId="1E40A26C" w14:textId="77777777" w:rsidR="00FC2600" w:rsidRPr="00D309F4" w:rsidRDefault="00FC2600" w:rsidP="00503280">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Proposed GHDM</w:t>
            </w:r>
          </w:p>
        </w:tc>
        <w:tc>
          <w:tcPr>
            <w:tcW w:w="1553" w:type="dxa"/>
            <w:gridSpan w:val="4"/>
            <w:tcBorders>
              <w:top w:val="single" w:sz="18" w:space="0" w:color="auto"/>
              <w:left w:val="nil"/>
              <w:bottom w:val="single" w:sz="18" w:space="0" w:color="auto"/>
              <w:right w:val="nil"/>
            </w:tcBorders>
            <w:shd w:val="clear" w:color="auto" w:fill="auto"/>
            <w:noWrap/>
            <w:vAlign w:val="center"/>
            <w:hideMark/>
          </w:tcPr>
          <w:p w14:paraId="30A3CA46" w14:textId="09ED2E36" w:rsidR="00FC2600" w:rsidRPr="00D309F4" w:rsidRDefault="00FC2600" w:rsidP="00503280">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 xml:space="preserve">GHDM </w:t>
            </w:r>
            <w:r w:rsidR="00704AFA" w:rsidRPr="00D309F4">
              <w:rPr>
                <w:rFonts w:eastAsia="Times New Roman" w:cs="Times New Roman"/>
                <w:b/>
                <w:bCs/>
                <w:color w:val="000000"/>
                <w:kern w:val="0"/>
                <w:sz w:val="20"/>
                <w:szCs w:val="20"/>
                <w14:ligatures w14:val="none"/>
              </w:rPr>
              <w:t>w</w:t>
            </w:r>
            <w:r w:rsidRPr="00D309F4">
              <w:rPr>
                <w:rFonts w:eastAsia="Times New Roman" w:cs="Times New Roman"/>
                <w:b/>
                <w:bCs/>
                <w:color w:val="000000"/>
                <w:kern w:val="0"/>
                <w:sz w:val="20"/>
                <w:szCs w:val="20"/>
                <w14:ligatures w14:val="none"/>
              </w:rPr>
              <w:t>ithout Correlations</w:t>
            </w:r>
          </w:p>
        </w:tc>
        <w:tc>
          <w:tcPr>
            <w:tcW w:w="1494" w:type="dxa"/>
            <w:gridSpan w:val="2"/>
            <w:tcBorders>
              <w:top w:val="single" w:sz="18" w:space="0" w:color="auto"/>
              <w:left w:val="nil"/>
              <w:bottom w:val="single" w:sz="18" w:space="0" w:color="auto"/>
              <w:right w:val="single" w:sz="18" w:space="0" w:color="auto"/>
            </w:tcBorders>
            <w:shd w:val="clear" w:color="auto" w:fill="auto"/>
            <w:noWrap/>
            <w:vAlign w:val="center"/>
            <w:hideMark/>
          </w:tcPr>
          <w:p w14:paraId="1693AC62" w14:textId="77777777" w:rsidR="00FC2600" w:rsidRPr="00D309F4" w:rsidRDefault="00FC2600" w:rsidP="00503280">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IHDM</w:t>
            </w:r>
          </w:p>
        </w:tc>
      </w:tr>
      <w:tr w:rsidR="007D2472" w:rsidRPr="00D309F4" w14:paraId="71B0156A" w14:textId="77777777" w:rsidTr="00C07DE0">
        <w:trPr>
          <w:trHeight w:val="259"/>
          <w:jc w:val="center"/>
        </w:trPr>
        <w:tc>
          <w:tcPr>
            <w:tcW w:w="8550" w:type="dxa"/>
            <w:gridSpan w:val="3"/>
            <w:tcBorders>
              <w:top w:val="single" w:sz="18" w:space="0" w:color="auto"/>
              <w:left w:val="single" w:sz="18" w:space="0" w:color="auto"/>
              <w:bottom w:val="nil"/>
              <w:right w:val="single" w:sz="18" w:space="0" w:color="auto"/>
            </w:tcBorders>
            <w:shd w:val="clear" w:color="auto" w:fill="auto"/>
            <w:noWrap/>
            <w:vAlign w:val="center"/>
            <w:hideMark/>
          </w:tcPr>
          <w:p w14:paraId="1BC4CFDC" w14:textId="56556A52" w:rsidR="00FC2600" w:rsidRPr="00D309F4" w:rsidRDefault="00FC2600" w:rsidP="00503280">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Log-Likelihood at Convergence</w:t>
            </w:r>
          </w:p>
        </w:tc>
        <w:tc>
          <w:tcPr>
            <w:tcW w:w="1597" w:type="dxa"/>
            <w:gridSpan w:val="3"/>
            <w:tcBorders>
              <w:top w:val="single" w:sz="18" w:space="0" w:color="auto"/>
              <w:left w:val="single" w:sz="18" w:space="0" w:color="auto"/>
              <w:bottom w:val="nil"/>
              <w:right w:val="nil"/>
            </w:tcBorders>
            <w:shd w:val="clear" w:color="auto" w:fill="auto"/>
            <w:noWrap/>
            <w:vAlign w:val="center"/>
          </w:tcPr>
          <w:p w14:paraId="6866DF12" w14:textId="77C9E53B" w:rsidR="00FC2600" w:rsidRPr="00D309F4" w:rsidRDefault="009B661A"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-202</w:t>
            </w:r>
            <w:r w:rsidR="009A2691" w:rsidRPr="00D309F4">
              <w:rPr>
                <w:rFonts w:eastAsia="Times New Roman" w:cs="Times New Roman"/>
                <w:color w:val="000000"/>
                <w:kern w:val="0"/>
                <w:sz w:val="20"/>
                <w:szCs w:val="20"/>
                <w14:ligatures w14:val="none"/>
              </w:rPr>
              <w:t>16</w:t>
            </w:r>
            <w:r w:rsidRPr="00D309F4">
              <w:rPr>
                <w:rFonts w:eastAsia="Times New Roman" w:cs="Times New Roman"/>
                <w:color w:val="000000"/>
                <w:kern w:val="0"/>
                <w:sz w:val="20"/>
                <w:szCs w:val="20"/>
                <w14:ligatures w14:val="none"/>
              </w:rPr>
              <w:t>.</w:t>
            </w:r>
            <w:r w:rsidR="009A2691" w:rsidRPr="00D309F4">
              <w:rPr>
                <w:rFonts w:eastAsia="Times New Roman" w:cs="Times New Roman"/>
                <w:color w:val="000000"/>
                <w:kern w:val="0"/>
                <w:sz w:val="20"/>
                <w:szCs w:val="20"/>
                <w14:ligatures w14:val="none"/>
              </w:rPr>
              <w:t>75</w:t>
            </w:r>
          </w:p>
        </w:tc>
        <w:tc>
          <w:tcPr>
            <w:tcW w:w="1553" w:type="dxa"/>
            <w:gridSpan w:val="4"/>
            <w:tcBorders>
              <w:top w:val="single" w:sz="18" w:space="0" w:color="auto"/>
              <w:left w:val="nil"/>
              <w:bottom w:val="nil"/>
              <w:right w:val="nil"/>
            </w:tcBorders>
            <w:shd w:val="clear" w:color="auto" w:fill="auto"/>
            <w:noWrap/>
            <w:vAlign w:val="center"/>
          </w:tcPr>
          <w:p w14:paraId="4D889F90" w14:textId="2304F009" w:rsidR="00FC2600" w:rsidRPr="00D309F4" w:rsidRDefault="009B661A"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r w:rsidR="009A2691" w:rsidRPr="00D309F4">
              <w:rPr>
                <w:rFonts w:eastAsia="Times New Roman" w:cs="Times New Roman"/>
                <w:color w:val="000000"/>
                <w:kern w:val="0"/>
                <w:sz w:val="20"/>
                <w:szCs w:val="20"/>
                <w14:ligatures w14:val="none"/>
              </w:rPr>
              <w:t>20371</w:t>
            </w:r>
            <w:r w:rsidRPr="00D309F4">
              <w:rPr>
                <w:rFonts w:eastAsia="Times New Roman" w:cs="Times New Roman"/>
                <w:color w:val="000000"/>
                <w:kern w:val="0"/>
                <w:sz w:val="20"/>
                <w:szCs w:val="20"/>
                <w14:ligatures w14:val="none"/>
              </w:rPr>
              <w:t>.</w:t>
            </w:r>
            <w:r w:rsidR="009A2691" w:rsidRPr="00D309F4">
              <w:rPr>
                <w:rFonts w:eastAsia="Times New Roman" w:cs="Times New Roman"/>
                <w:color w:val="000000"/>
                <w:kern w:val="0"/>
                <w:sz w:val="20"/>
                <w:szCs w:val="20"/>
                <w14:ligatures w14:val="none"/>
              </w:rPr>
              <w:t>97</w:t>
            </w:r>
          </w:p>
        </w:tc>
        <w:tc>
          <w:tcPr>
            <w:tcW w:w="1494" w:type="dxa"/>
            <w:gridSpan w:val="2"/>
            <w:tcBorders>
              <w:top w:val="single" w:sz="18" w:space="0" w:color="auto"/>
              <w:left w:val="nil"/>
              <w:bottom w:val="nil"/>
              <w:right w:val="single" w:sz="18" w:space="0" w:color="auto"/>
            </w:tcBorders>
            <w:shd w:val="clear" w:color="auto" w:fill="auto"/>
            <w:noWrap/>
            <w:vAlign w:val="center"/>
          </w:tcPr>
          <w:p w14:paraId="0D5E31FB" w14:textId="1531691F" w:rsidR="00FC2600" w:rsidRPr="00D309F4" w:rsidRDefault="002C2991"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r>
      <w:tr w:rsidR="007D2472" w:rsidRPr="00D309F4" w14:paraId="691CC6C0"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hideMark/>
          </w:tcPr>
          <w:p w14:paraId="0B327C4C" w14:textId="7498231D" w:rsidR="00FC2600" w:rsidRPr="00D309F4" w:rsidRDefault="00FC2600" w:rsidP="00503280">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Log-Likelihood at Constants</w:t>
            </w:r>
          </w:p>
        </w:tc>
        <w:tc>
          <w:tcPr>
            <w:tcW w:w="1597" w:type="dxa"/>
            <w:gridSpan w:val="3"/>
            <w:tcBorders>
              <w:top w:val="nil"/>
              <w:left w:val="single" w:sz="18" w:space="0" w:color="auto"/>
              <w:bottom w:val="nil"/>
              <w:right w:val="nil"/>
            </w:tcBorders>
            <w:shd w:val="clear" w:color="auto" w:fill="auto"/>
            <w:noWrap/>
            <w:vAlign w:val="center"/>
          </w:tcPr>
          <w:p w14:paraId="2AD71B98" w14:textId="5D649C96" w:rsidR="00FC2600" w:rsidRPr="00D309F4" w:rsidRDefault="009B661A"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-22977.05</w:t>
            </w:r>
          </w:p>
        </w:tc>
        <w:tc>
          <w:tcPr>
            <w:tcW w:w="1553" w:type="dxa"/>
            <w:gridSpan w:val="4"/>
            <w:tcBorders>
              <w:top w:val="nil"/>
              <w:left w:val="nil"/>
              <w:bottom w:val="nil"/>
              <w:right w:val="nil"/>
            </w:tcBorders>
            <w:shd w:val="clear" w:color="auto" w:fill="auto"/>
            <w:noWrap/>
            <w:vAlign w:val="center"/>
          </w:tcPr>
          <w:p w14:paraId="194A6199" w14:textId="7739E4B4" w:rsidR="00FC2600" w:rsidRPr="00D309F4" w:rsidRDefault="009B661A"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-22977.05</w:t>
            </w:r>
          </w:p>
        </w:tc>
        <w:tc>
          <w:tcPr>
            <w:tcW w:w="1494" w:type="dxa"/>
            <w:gridSpan w:val="2"/>
            <w:tcBorders>
              <w:top w:val="nil"/>
              <w:left w:val="nil"/>
              <w:bottom w:val="nil"/>
              <w:right w:val="single" w:sz="18" w:space="0" w:color="auto"/>
            </w:tcBorders>
            <w:shd w:val="clear" w:color="auto" w:fill="auto"/>
            <w:noWrap/>
            <w:vAlign w:val="center"/>
          </w:tcPr>
          <w:p w14:paraId="558EFA14" w14:textId="5DF11B7E" w:rsidR="00FC2600" w:rsidRPr="00D309F4" w:rsidRDefault="002C2991"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r>
      <w:tr w:rsidR="007D2472" w:rsidRPr="00D309F4" w14:paraId="3D4EA17A"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hideMark/>
          </w:tcPr>
          <w:p w14:paraId="1001ACC3" w14:textId="52872362" w:rsidR="00FC2600" w:rsidRPr="00D309F4" w:rsidRDefault="007C0065" w:rsidP="00503280">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Bayesian Information Criterion</w:t>
            </w:r>
          </w:p>
        </w:tc>
        <w:tc>
          <w:tcPr>
            <w:tcW w:w="1597" w:type="dxa"/>
            <w:gridSpan w:val="3"/>
            <w:tcBorders>
              <w:top w:val="nil"/>
              <w:left w:val="single" w:sz="18" w:space="0" w:color="auto"/>
              <w:bottom w:val="nil"/>
              <w:right w:val="nil"/>
            </w:tcBorders>
            <w:shd w:val="clear" w:color="auto" w:fill="auto"/>
            <w:noWrap/>
            <w:vAlign w:val="center"/>
          </w:tcPr>
          <w:p w14:paraId="2B4D75BB" w14:textId="3B6F424A" w:rsidR="00FC2600" w:rsidRPr="00D309F4" w:rsidRDefault="0075658F"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431762" w:rsidRPr="00D309F4">
              <w:rPr>
                <w:rFonts w:eastAsia="Times New Roman" w:cs="Times New Roman"/>
                <w:color w:val="000000"/>
                <w:kern w:val="0"/>
                <w:sz w:val="20"/>
                <w:szCs w:val="20"/>
                <w14:ligatures w14:val="none"/>
              </w:rPr>
              <w:t>20871</w:t>
            </w:r>
            <w:r w:rsidR="002403F0" w:rsidRPr="00D309F4">
              <w:rPr>
                <w:rFonts w:eastAsia="Times New Roman" w:cs="Times New Roman"/>
                <w:color w:val="000000"/>
                <w:kern w:val="0"/>
                <w:sz w:val="20"/>
                <w:szCs w:val="20"/>
                <w14:ligatures w14:val="none"/>
              </w:rPr>
              <w:t>.</w:t>
            </w:r>
            <w:r w:rsidR="00431762" w:rsidRPr="00D309F4">
              <w:rPr>
                <w:rFonts w:eastAsia="Times New Roman" w:cs="Times New Roman"/>
                <w:color w:val="000000"/>
                <w:kern w:val="0"/>
                <w:sz w:val="20"/>
                <w:szCs w:val="20"/>
                <w14:ligatures w14:val="none"/>
              </w:rPr>
              <w:t>37</w:t>
            </w:r>
          </w:p>
        </w:tc>
        <w:tc>
          <w:tcPr>
            <w:tcW w:w="1553" w:type="dxa"/>
            <w:gridSpan w:val="4"/>
            <w:tcBorders>
              <w:top w:val="nil"/>
              <w:left w:val="nil"/>
              <w:bottom w:val="nil"/>
              <w:right w:val="nil"/>
            </w:tcBorders>
            <w:shd w:val="clear" w:color="auto" w:fill="auto"/>
            <w:noWrap/>
            <w:vAlign w:val="center"/>
          </w:tcPr>
          <w:p w14:paraId="55AA45F3" w14:textId="0B227D4F" w:rsidR="00FC2600" w:rsidRPr="00D309F4" w:rsidRDefault="0075658F"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431762" w:rsidRPr="00D309F4">
              <w:rPr>
                <w:rFonts w:eastAsia="Times New Roman" w:cs="Times New Roman"/>
                <w:color w:val="000000"/>
                <w:kern w:val="0"/>
                <w:sz w:val="20"/>
                <w:szCs w:val="20"/>
                <w14:ligatures w14:val="none"/>
              </w:rPr>
              <w:t>21005</w:t>
            </w:r>
            <w:r w:rsidR="002403F0" w:rsidRPr="00D309F4">
              <w:rPr>
                <w:rFonts w:eastAsia="Times New Roman" w:cs="Times New Roman"/>
                <w:color w:val="000000"/>
                <w:kern w:val="0"/>
                <w:sz w:val="20"/>
                <w:szCs w:val="20"/>
                <w14:ligatures w14:val="none"/>
              </w:rPr>
              <w:t>.</w:t>
            </w:r>
            <w:r w:rsidR="00431762" w:rsidRPr="00D309F4">
              <w:rPr>
                <w:rFonts w:eastAsia="Times New Roman" w:cs="Times New Roman"/>
                <w:color w:val="000000"/>
                <w:kern w:val="0"/>
                <w:sz w:val="20"/>
                <w:szCs w:val="20"/>
                <w14:ligatures w14:val="none"/>
              </w:rPr>
              <w:t>58</w:t>
            </w:r>
          </w:p>
        </w:tc>
        <w:tc>
          <w:tcPr>
            <w:tcW w:w="1494" w:type="dxa"/>
            <w:gridSpan w:val="2"/>
            <w:tcBorders>
              <w:top w:val="nil"/>
              <w:left w:val="nil"/>
              <w:bottom w:val="nil"/>
              <w:right w:val="single" w:sz="18" w:space="0" w:color="auto"/>
            </w:tcBorders>
            <w:shd w:val="clear" w:color="auto" w:fill="auto"/>
            <w:noWrap/>
            <w:vAlign w:val="center"/>
            <w:hideMark/>
          </w:tcPr>
          <w:p w14:paraId="004A4BE8" w14:textId="74A15FAF" w:rsidR="00FC2600" w:rsidRPr="00D309F4" w:rsidRDefault="002C2991"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r>
      <w:tr w:rsidR="00521B61" w:rsidRPr="00D309F4" w14:paraId="6EC59548"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tcPr>
          <w:p w14:paraId="5B51CA2C" w14:textId="0A63F56A" w:rsidR="00521B61" w:rsidRPr="00D309F4" w:rsidRDefault="007C0065" w:rsidP="00503280">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Adjusted Likelihood Ratio Index</w:t>
            </w:r>
          </w:p>
        </w:tc>
        <w:tc>
          <w:tcPr>
            <w:tcW w:w="1597" w:type="dxa"/>
            <w:gridSpan w:val="3"/>
            <w:tcBorders>
              <w:top w:val="nil"/>
              <w:left w:val="single" w:sz="18" w:space="0" w:color="auto"/>
              <w:bottom w:val="nil"/>
              <w:right w:val="nil"/>
            </w:tcBorders>
            <w:shd w:val="clear" w:color="auto" w:fill="auto"/>
            <w:noWrap/>
            <w:vAlign w:val="center"/>
          </w:tcPr>
          <w:p w14:paraId="6BC5DF36" w14:textId="452DE503" w:rsidR="00521B61" w:rsidRPr="00D309F4" w:rsidRDefault="002403F0"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0.11</w:t>
            </w:r>
            <w:r w:rsidR="00431762" w:rsidRPr="00D309F4">
              <w:rPr>
                <w:rFonts w:eastAsia="Times New Roman" w:cs="Times New Roman"/>
                <w:color w:val="000000"/>
                <w:kern w:val="0"/>
                <w:sz w:val="20"/>
                <w:szCs w:val="20"/>
                <w14:ligatures w14:val="none"/>
              </w:rPr>
              <w:t>4</w:t>
            </w:r>
          </w:p>
        </w:tc>
        <w:tc>
          <w:tcPr>
            <w:tcW w:w="1553" w:type="dxa"/>
            <w:gridSpan w:val="4"/>
            <w:tcBorders>
              <w:top w:val="nil"/>
              <w:left w:val="nil"/>
              <w:bottom w:val="nil"/>
              <w:right w:val="nil"/>
            </w:tcBorders>
            <w:shd w:val="clear" w:color="auto" w:fill="auto"/>
            <w:noWrap/>
            <w:vAlign w:val="center"/>
          </w:tcPr>
          <w:p w14:paraId="211103AB" w14:textId="0CB78F77" w:rsidR="00521B61" w:rsidRPr="00D309F4" w:rsidRDefault="002403F0"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0.10</w:t>
            </w:r>
            <w:r w:rsidR="00431762" w:rsidRPr="00D309F4">
              <w:rPr>
                <w:rFonts w:eastAsia="Times New Roman" w:cs="Times New Roman"/>
                <w:color w:val="000000"/>
                <w:kern w:val="0"/>
                <w:sz w:val="20"/>
                <w:szCs w:val="20"/>
                <w14:ligatures w14:val="none"/>
              </w:rPr>
              <w:t>8</w:t>
            </w:r>
          </w:p>
        </w:tc>
        <w:tc>
          <w:tcPr>
            <w:tcW w:w="1494" w:type="dxa"/>
            <w:gridSpan w:val="2"/>
            <w:tcBorders>
              <w:top w:val="nil"/>
              <w:left w:val="nil"/>
              <w:bottom w:val="nil"/>
              <w:right w:val="single" w:sz="18" w:space="0" w:color="auto"/>
            </w:tcBorders>
            <w:shd w:val="clear" w:color="auto" w:fill="auto"/>
            <w:noWrap/>
            <w:vAlign w:val="center"/>
          </w:tcPr>
          <w:p w14:paraId="24C68413" w14:textId="3BE45FB7" w:rsidR="00521B61" w:rsidRPr="00D309F4" w:rsidRDefault="002C2991"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r>
      <w:tr w:rsidR="00521B61" w:rsidRPr="00D309F4" w14:paraId="5F7C5090"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tcPr>
          <w:p w14:paraId="7EC6F4D9" w14:textId="25778542" w:rsidR="00521B61" w:rsidRPr="00D309F4" w:rsidRDefault="007C0065" w:rsidP="00503280">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Likelihood Ratio Test between Proposed GHDM and GHDM without Correlations</w:t>
            </w:r>
          </w:p>
        </w:tc>
        <w:tc>
          <w:tcPr>
            <w:tcW w:w="1597" w:type="dxa"/>
            <w:gridSpan w:val="3"/>
            <w:tcBorders>
              <w:top w:val="nil"/>
              <w:left w:val="single" w:sz="18" w:space="0" w:color="auto"/>
              <w:bottom w:val="nil"/>
              <w:right w:val="nil"/>
            </w:tcBorders>
            <w:shd w:val="clear" w:color="auto" w:fill="auto"/>
            <w:noWrap/>
            <w:vAlign w:val="center"/>
          </w:tcPr>
          <w:p w14:paraId="31AC3121" w14:textId="77777777" w:rsidR="00521B61" w:rsidRPr="00D309F4" w:rsidRDefault="00521B61" w:rsidP="00503280">
            <w:pPr>
              <w:spacing w:after="0" w:line="240" w:lineRule="auto"/>
              <w:jc w:val="center"/>
              <w:rPr>
                <w:rFonts w:eastAsia="Times New Roman" w:cs="Times New Roman"/>
                <w:color w:val="000000"/>
                <w:kern w:val="0"/>
                <w:sz w:val="20"/>
                <w:szCs w:val="20"/>
                <w14:ligatures w14:val="none"/>
              </w:rPr>
            </w:pPr>
          </w:p>
        </w:tc>
        <w:tc>
          <w:tcPr>
            <w:tcW w:w="1553" w:type="dxa"/>
            <w:gridSpan w:val="4"/>
            <w:tcBorders>
              <w:top w:val="nil"/>
              <w:left w:val="nil"/>
              <w:bottom w:val="nil"/>
              <w:right w:val="nil"/>
            </w:tcBorders>
            <w:shd w:val="clear" w:color="auto" w:fill="auto"/>
            <w:noWrap/>
            <w:vAlign w:val="center"/>
          </w:tcPr>
          <w:p w14:paraId="35E5820D" w14:textId="790786DE" w:rsidR="00521B61" w:rsidRPr="00D309F4" w:rsidRDefault="00431762" w:rsidP="00503280">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310.43</w:t>
            </w:r>
          </w:p>
        </w:tc>
        <w:tc>
          <w:tcPr>
            <w:tcW w:w="1494" w:type="dxa"/>
            <w:gridSpan w:val="2"/>
            <w:tcBorders>
              <w:top w:val="nil"/>
              <w:left w:val="nil"/>
              <w:bottom w:val="nil"/>
              <w:right w:val="single" w:sz="18" w:space="0" w:color="auto"/>
            </w:tcBorders>
            <w:shd w:val="clear" w:color="auto" w:fill="auto"/>
            <w:noWrap/>
            <w:vAlign w:val="center"/>
          </w:tcPr>
          <w:p w14:paraId="40BAF601" w14:textId="77777777" w:rsidR="00521B61" w:rsidRPr="00D309F4" w:rsidRDefault="00521B61" w:rsidP="00503280">
            <w:pPr>
              <w:spacing w:after="0" w:line="240" w:lineRule="auto"/>
              <w:jc w:val="center"/>
              <w:rPr>
                <w:rFonts w:eastAsia="Times New Roman" w:cs="Times New Roman"/>
                <w:color w:val="000000"/>
                <w:kern w:val="0"/>
                <w:sz w:val="20"/>
                <w:szCs w:val="20"/>
                <w14:ligatures w14:val="none"/>
              </w:rPr>
            </w:pPr>
          </w:p>
        </w:tc>
      </w:tr>
      <w:tr w:rsidR="002C2991" w:rsidRPr="00D309F4" w14:paraId="0AC805A4"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tcPr>
          <w:p w14:paraId="74A3E1D4" w14:textId="06294B7A"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Predictive Log-Likelihood at Convergence</w:t>
            </w:r>
          </w:p>
        </w:tc>
        <w:tc>
          <w:tcPr>
            <w:tcW w:w="1597" w:type="dxa"/>
            <w:gridSpan w:val="3"/>
            <w:tcBorders>
              <w:top w:val="nil"/>
              <w:left w:val="single" w:sz="18" w:space="0" w:color="auto"/>
              <w:bottom w:val="nil"/>
              <w:right w:val="nil"/>
            </w:tcBorders>
            <w:shd w:val="clear" w:color="auto" w:fill="auto"/>
            <w:noWrap/>
            <w:vAlign w:val="center"/>
          </w:tcPr>
          <w:p w14:paraId="4E1B7E2C" w14:textId="30CDED28"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-230</w:t>
            </w:r>
            <w:r w:rsidR="00CA06EE" w:rsidRPr="00D309F4">
              <w:rPr>
                <w:rFonts w:eastAsia="Times New Roman" w:cs="Times New Roman"/>
                <w:color w:val="000000"/>
                <w:kern w:val="0"/>
                <w:sz w:val="20"/>
                <w:szCs w:val="20"/>
                <w14:ligatures w14:val="none"/>
              </w:rPr>
              <w:t>0.77</w:t>
            </w:r>
          </w:p>
        </w:tc>
        <w:tc>
          <w:tcPr>
            <w:tcW w:w="1553" w:type="dxa"/>
            <w:gridSpan w:val="4"/>
            <w:tcBorders>
              <w:top w:val="nil"/>
              <w:left w:val="nil"/>
              <w:bottom w:val="nil"/>
              <w:right w:val="nil"/>
            </w:tcBorders>
            <w:shd w:val="clear" w:color="auto" w:fill="auto"/>
            <w:noWrap/>
            <w:vAlign w:val="center"/>
          </w:tcPr>
          <w:p w14:paraId="0FC43714" w14:textId="69949C37"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r w:rsidR="00CA06EE" w:rsidRPr="00D309F4">
              <w:rPr>
                <w:rFonts w:eastAsia="Times New Roman" w:cs="Times New Roman"/>
                <w:color w:val="000000"/>
                <w:kern w:val="0"/>
                <w:sz w:val="20"/>
                <w:szCs w:val="20"/>
                <w14:ligatures w14:val="none"/>
              </w:rPr>
              <w:t>2322</w:t>
            </w:r>
            <w:r w:rsidRPr="00D309F4">
              <w:rPr>
                <w:rFonts w:eastAsia="Times New Roman" w:cs="Times New Roman"/>
                <w:color w:val="000000"/>
                <w:kern w:val="0"/>
                <w:sz w:val="20"/>
                <w:szCs w:val="20"/>
                <w14:ligatures w14:val="none"/>
              </w:rPr>
              <w:t>.</w:t>
            </w:r>
            <w:r w:rsidR="00CA06EE" w:rsidRPr="00D309F4">
              <w:rPr>
                <w:rFonts w:eastAsia="Times New Roman" w:cs="Times New Roman"/>
                <w:color w:val="000000"/>
                <w:kern w:val="0"/>
                <w:sz w:val="20"/>
                <w:szCs w:val="20"/>
                <w14:ligatures w14:val="none"/>
              </w:rPr>
              <w:t>80</w:t>
            </w:r>
          </w:p>
        </w:tc>
        <w:tc>
          <w:tcPr>
            <w:tcW w:w="1494" w:type="dxa"/>
            <w:gridSpan w:val="2"/>
            <w:tcBorders>
              <w:top w:val="nil"/>
              <w:left w:val="nil"/>
              <w:bottom w:val="nil"/>
              <w:right w:val="single" w:sz="18" w:space="0" w:color="auto"/>
            </w:tcBorders>
            <w:shd w:val="clear" w:color="auto" w:fill="auto"/>
            <w:noWrap/>
            <w:vAlign w:val="center"/>
          </w:tcPr>
          <w:p w14:paraId="7581AC9D" w14:textId="0539E458"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-27</w:t>
            </w:r>
            <w:r w:rsidR="00CA06EE" w:rsidRPr="00D309F4">
              <w:rPr>
                <w:rFonts w:eastAsia="Times New Roman" w:cs="Times New Roman"/>
                <w:color w:val="000000"/>
                <w:kern w:val="0"/>
                <w:sz w:val="20"/>
                <w:szCs w:val="20"/>
                <w14:ligatures w14:val="none"/>
              </w:rPr>
              <w:t>53.56</w:t>
            </w:r>
          </w:p>
        </w:tc>
      </w:tr>
      <w:tr w:rsidR="002C2991" w:rsidRPr="00D309F4" w14:paraId="551C157D"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tcPr>
          <w:p w14:paraId="3D824139" w14:textId="40097E9D"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Predictive Log-Likelihood at Constants</w:t>
            </w:r>
          </w:p>
        </w:tc>
        <w:tc>
          <w:tcPr>
            <w:tcW w:w="1597" w:type="dxa"/>
            <w:gridSpan w:val="3"/>
            <w:tcBorders>
              <w:top w:val="nil"/>
              <w:left w:val="single" w:sz="18" w:space="0" w:color="auto"/>
              <w:bottom w:val="nil"/>
              <w:right w:val="nil"/>
            </w:tcBorders>
            <w:shd w:val="clear" w:color="auto" w:fill="auto"/>
            <w:noWrap/>
            <w:vAlign w:val="center"/>
          </w:tcPr>
          <w:p w14:paraId="490CEAB1" w14:textId="16B2EF51"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-2964.28</w:t>
            </w:r>
          </w:p>
        </w:tc>
        <w:tc>
          <w:tcPr>
            <w:tcW w:w="1553" w:type="dxa"/>
            <w:gridSpan w:val="4"/>
            <w:tcBorders>
              <w:top w:val="nil"/>
              <w:left w:val="nil"/>
              <w:bottom w:val="nil"/>
              <w:right w:val="nil"/>
            </w:tcBorders>
            <w:shd w:val="clear" w:color="auto" w:fill="auto"/>
            <w:noWrap/>
            <w:vAlign w:val="center"/>
          </w:tcPr>
          <w:p w14:paraId="0F9470FB" w14:textId="6993B583"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-2964.28</w:t>
            </w:r>
          </w:p>
        </w:tc>
        <w:tc>
          <w:tcPr>
            <w:tcW w:w="1494" w:type="dxa"/>
            <w:gridSpan w:val="2"/>
            <w:tcBorders>
              <w:top w:val="nil"/>
              <w:left w:val="nil"/>
              <w:bottom w:val="nil"/>
              <w:right w:val="single" w:sz="18" w:space="0" w:color="auto"/>
            </w:tcBorders>
            <w:shd w:val="clear" w:color="auto" w:fill="auto"/>
            <w:noWrap/>
            <w:vAlign w:val="center"/>
          </w:tcPr>
          <w:p w14:paraId="4CBEF725" w14:textId="62A7608B"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-2964.28</w:t>
            </w:r>
          </w:p>
        </w:tc>
      </w:tr>
      <w:tr w:rsidR="002C2991" w:rsidRPr="00D309F4" w14:paraId="0F178C1D"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hideMark/>
          </w:tcPr>
          <w:p w14:paraId="0C95A6E2" w14:textId="5CEA2CC9"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Number of Non-Constant Parameters</w:t>
            </w:r>
          </w:p>
        </w:tc>
        <w:tc>
          <w:tcPr>
            <w:tcW w:w="1597" w:type="dxa"/>
            <w:gridSpan w:val="3"/>
            <w:tcBorders>
              <w:top w:val="nil"/>
              <w:left w:val="single" w:sz="18" w:space="0" w:color="auto"/>
              <w:bottom w:val="nil"/>
              <w:right w:val="nil"/>
            </w:tcBorders>
            <w:shd w:val="clear" w:color="auto" w:fill="auto"/>
            <w:noWrap/>
            <w:vAlign w:val="center"/>
            <w:hideMark/>
          </w:tcPr>
          <w:p w14:paraId="642FDAA1" w14:textId="18F9A8D6"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w:t>
            </w:r>
            <w:r w:rsidR="00CA06EE" w:rsidRPr="00D309F4">
              <w:rPr>
                <w:rFonts w:eastAsia="Times New Roman" w:cs="Times New Roman"/>
                <w:color w:val="000000"/>
                <w:kern w:val="0"/>
                <w:sz w:val="20"/>
                <w:szCs w:val="20"/>
                <w14:ligatures w14:val="none"/>
              </w:rPr>
              <w:t>31</w:t>
            </w:r>
          </w:p>
        </w:tc>
        <w:tc>
          <w:tcPr>
            <w:tcW w:w="1553" w:type="dxa"/>
            <w:gridSpan w:val="4"/>
            <w:tcBorders>
              <w:top w:val="nil"/>
              <w:left w:val="nil"/>
              <w:bottom w:val="nil"/>
              <w:right w:val="nil"/>
            </w:tcBorders>
            <w:shd w:val="clear" w:color="auto" w:fill="auto"/>
            <w:noWrap/>
            <w:vAlign w:val="center"/>
            <w:hideMark/>
          </w:tcPr>
          <w:p w14:paraId="1AE34AFA" w14:textId="3CCEDB4E"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12</w:t>
            </w:r>
            <w:r w:rsidR="00CA06EE" w:rsidRPr="00D309F4">
              <w:rPr>
                <w:rFonts w:eastAsia="Times New Roman" w:cs="Times New Roman"/>
                <w:color w:val="000000"/>
                <w:kern w:val="0"/>
                <w:sz w:val="20"/>
                <w:szCs w:val="20"/>
                <w14:ligatures w14:val="none"/>
              </w:rPr>
              <w:t>5</w:t>
            </w:r>
          </w:p>
        </w:tc>
        <w:tc>
          <w:tcPr>
            <w:tcW w:w="1494" w:type="dxa"/>
            <w:gridSpan w:val="2"/>
            <w:tcBorders>
              <w:top w:val="nil"/>
              <w:left w:val="nil"/>
              <w:bottom w:val="nil"/>
              <w:right w:val="single" w:sz="18" w:space="0" w:color="auto"/>
            </w:tcBorders>
            <w:shd w:val="clear" w:color="auto" w:fill="auto"/>
            <w:noWrap/>
            <w:vAlign w:val="center"/>
            <w:hideMark/>
          </w:tcPr>
          <w:p w14:paraId="1CC00F4C" w14:textId="66C016B3"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10</w:t>
            </w:r>
            <w:r w:rsidR="00CA06EE" w:rsidRPr="00D309F4">
              <w:rPr>
                <w:rFonts w:eastAsia="Times New Roman" w:cs="Times New Roman"/>
                <w:color w:val="000000"/>
                <w:kern w:val="0"/>
                <w:sz w:val="20"/>
                <w:szCs w:val="20"/>
                <w14:ligatures w14:val="none"/>
              </w:rPr>
              <w:t>5</w:t>
            </w:r>
          </w:p>
        </w:tc>
      </w:tr>
      <w:tr w:rsidR="002C2991" w:rsidRPr="00D309F4" w14:paraId="334C01D9"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hideMark/>
          </w:tcPr>
          <w:p w14:paraId="1566DC2D" w14:textId="594DDFFB"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Predictive Bayesian Information Criterion</w:t>
            </w:r>
          </w:p>
        </w:tc>
        <w:tc>
          <w:tcPr>
            <w:tcW w:w="1597" w:type="dxa"/>
            <w:gridSpan w:val="3"/>
            <w:tcBorders>
              <w:top w:val="nil"/>
              <w:left w:val="single" w:sz="18" w:space="0" w:color="auto"/>
              <w:bottom w:val="nil"/>
              <w:right w:val="nil"/>
            </w:tcBorders>
            <w:shd w:val="clear" w:color="auto" w:fill="auto"/>
            <w:noWrap/>
            <w:vAlign w:val="center"/>
            <w:hideMark/>
          </w:tcPr>
          <w:p w14:paraId="26196132" w14:textId="7233C949" w:rsidR="002C2991" w:rsidRPr="00D309F4" w:rsidRDefault="0075658F"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295</w:t>
            </w:r>
            <w:r w:rsidR="00CA06EE" w:rsidRPr="00D309F4">
              <w:rPr>
                <w:rFonts w:eastAsia="Times New Roman" w:cs="Times New Roman"/>
                <w:color w:val="000000"/>
                <w:kern w:val="0"/>
                <w:sz w:val="20"/>
                <w:szCs w:val="20"/>
                <w14:ligatures w14:val="none"/>
              </w:rPr>
              <w:t>5.38</w:t>
            </w:r>
          </w:p>
        </w:tc>
        <w:tc>
          <w:tcPr>
            <w:tcW w:w="1553" w:type="dxa"/>
            <w:gridSpan w:val="4"/>
            <w:tcBorders>
              <w:top w:val="nil"/>
              <w:left w:val="nil"/>
              <w:bottom w:val="nil"/>
              <w:right w:val="nil"/>
            </w:tcBorders>
            <w:shd w:val="clear" w:color="auto" w:fill="auto"/>
            <w:noWrap/>
            <w:vAlign w:val="center"/>
            <w:hideMark/>
          </w:tcPr>
          <w:p w14:paraId="36B29381" w14:textId="5AD98AC9" w:rsidR="002C2991" w:rsidRPr="00D309F4" w:rsidRDefault="0075658F"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295</w:t>
            </w:r>
            <w:r w:rsidR="00CA06EE" w:rsidRPr="00D309F4">
              <w:rPr>
                <w:rFonts w:eastAsia="Times New Roman" w:cs="Times New Roman"/>
                <w:color w:val="000000"/>
                <w:kern w:val="0"/>
                <w:sz w:val="20"/>
                <w:szCs w:val="20"/>
                <w14:ligatures w14:val="none"/>
              </w:rPr>
              <w:t>6</w:t>
            </w:r>
            <w:r w:rsidR="002C2991" w:rsidRPr="00D309F4">
              <w:rPr>
                <w:rFonts w:eastAsia="Times New Roman" w:cs="Times New Roman"/>
                <w:color w:val="000000"/>
                <w:kern w:val="0"/>
                <w:sz w:val="20"/>
                <w:szCs w:val="20"/>
                <w14:ligatures w14:val="none"/>
              </w:rPr>
              <w:t>.</w:t>
            </w:r>
            <w:r w:rsidR="00CA06EE" w:rsidRPr="00D309F4">
              <w:rPr>
                <w:rFonts w:eastAsia="Times New Roman" w:cs="Times New Roman"/>
                <w:color w:val="000000"/>
                <w:kern w:val="0"/>
                <w:sz w:val="20"/>
                <w:szCs w:val="20"/>
                <w14:ligatures w14:val="none"/>
              </w:rPr>
              <w:t>4</w:t>
            </w:r>
            <w:r w:rsidR="002C2991" w:rsidRPr="00D309F4">
              <w:rPr>
                <w:rFonts w:eastAsia="Times New Roman" w:cs="Times New Roman"/>
                <w:color w:val="000000"/>
                <w:kern w:val="0"/>
                <w:sz w:val="20"/>
                <w:szCs w:val="20"/>
                <w14:ligatures w14:val="none"/>
              </w:rPr>
              <w:t>1</w:t>
            </w:r>
          </w:p>
        </w:tc>
        <w:tc>
          <w:tcPr>
            <w:tcW w:w="1494" w:type="dxa"/>
            <w:gridSpan w:val="2"/>
            <w:tcBorders>
              <w:top w:val="nil"/>
              <w:left w:val="nil"/>
              <w:bottom w:val="nil"/>
              <w:right w:val="single" w:sz="18" w:space="0" w:color="auto"/>
            </w:tcBorders>
            <w:shd w:val="clear" w:color="auto" w:fill="auto"/>
            <w:noWrap/>
            <w:vAlign w:val="center"/>
            <w:hideMark/>
          </w:tcPr>
          <w:p w14:paraId="7BD19B9E" w14:textId="66AE3442" w:rsidR="002C2991" w:rsidRPr="00D309F4" w:rsidRDefault="0075658F"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3149.</w:t>
            </w:r>
            <w:r w:rsidR="00CA06EE" w:rsidRPr="00D309F4">
              <w:rPr>
                <w:rFonts w:eastAsia="Times New Roman" w:cs="Times New Roman"/>
                <w:color w:val="000000"/>
                <w:kern w:val="0"/>
                <w:sz w:val="20"/>
                <w:szCs w:val="20"/>
                <w14:ligatures w14:val="none"/>
              </w:rPr>
              <w:t>13</w:t>
            </w:r>
          </w:p>
        </w:tc>
      </w:tr>
      <w:tr w:rsidR="002C2991" w:rsidRPr="00D309F4" w14:paraId="45790A8B"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hideMark/>
          </w:tcPr>
          <w:p w14:paraId="05EFA8A5"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Predictive Adjusted Likelihood Ratio Index</w:t>
            </w:r>
          </w:p>
        </w:tc>
        <w:tc>
          <w:tcPr>
            <w:tcW w:w="1597" w:type="dxa"/>
            <w:gridSpan w:val="3"/>
            <w:tcBorders>
              <w:top w:val="nil"/>
              <w:left w:val="single" w:sz="18" w:space="0" w:color="auto"/>
              <w:bottom w:val="nil"/>
              <w:right w:val="nil"/>
            </w:tcBorders>
            <w:shd w:val="clear" w:color="auto" w:fill="auto"/>
            <w:noWrap/>
            <w:vAlign w:val="center"/>
            <w:hideMark/>
          </w:tcPr>
          <w:p w14:paraId="56256801" w14:textId="5BBE488B"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w:t>
            </w:r>
            <w:r w:rsidR="008F345A" w:rsidRPr="00D309F4">
              <w:rPr>
                <w:rFonts w:eastAsia="Times New Roman" w:cs="Times New Roman"/>
                <w:color w:val="000000"/>
                <w:kern w:val="0"/>
                <w:sz w:val="20"/>
                <w:szCs w:val="20"/>
                <w14:ligatures w14:val="none"/>
              </w:rPr>
              <w:t>80</w:t>
            </w:r>
          </w:p>
        </w:tc>
        <w:tc>
          <w:tcPr>
            <w:tcW w:w="1553" w:type="dxa"/>
            <w:gridSpan w:val="4"/>
            <w:tcBorders>
              <w:top w:val="nil"/>
              <w:left w:val="nil"/>
              <w:bottom w:val="nil"/>
              <w:right w:val="nil"/>
            </w:tcBorders>
            <w:shd w:val="clear" w:color="auto" w:fill="auto"/>
            <w:noWrap/>
            <w:vAlign w:val="center"/>
            <w:hideMark/>
          </w:tcPr>
          <w:p w14:paraId="7413D2B0" w14:textId="2DF1D6A3"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0.17</w:t>
            </w:r>
            <w:r w:rsidR="008F345A" w:rsidRPr="00D309F4">
              <w:rPr>
                <w:rFonts w:eastAsia="Times New Roman" w:cs="Times New Roman"/>
                <w:color w:val="000000"/>
                <w:kern w:val="0"/>
                <w:sz w:val="20"/>
                <w:szCs w:val="20"/>
                <w14:ligatures w14:val="none"/>
              </w:rPr>
              <w:t>4</w:t>
            </w:r>
          </w:p>
        </w:tc>
        <w:tc>
          <w:tcPr>
            <w:tcW w:w="1494" w:type="dxa"/>
            <w:gridSpan w:val="2"/>
            <w:tcBorders>
              <w:top w:val="nil"/>
              <w:left w:val="nil"/>
              <w:bottom w:val="nil"/>
              <w:right w:val="single" w:sz="18" w:space="0" w:color="auto"/>
            </w:tcBorders>
            <w:shd w:val="clear" w:color="auto" w:fill="auto"/>
            <w:noWrap/>
            <w:vAlign w:val="center"/>
            <w:hideMark/>
          </w:tcPr>
          <w:p w14:paraId="3786B275" w14:textId="31C3F266"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0.03</w:t>
            </w:r>
            <w:r w:rsidR="008F345A" w:rsidRPr="00D309F4">
              <w:rPr>
                <w:rFonts w:eastAsia="Times New Roman" w:cs="Times New Roman"/>
                <w:color w:val="000000"/>
                <w:kern w:val="0"/>
                <w:sz w:val="20"/>
                <w:szCs w:val="20"/>
                <w14:ligatures w14:val="none"/>
              </w:rPr>
              <w:t>6</w:t>
            </w:r>
          </w:p>
        </w:tc>
      </w:tr>
      <w:tr w:rsidR="002C2991" w:rsidRPr="00D309F4" w14:paraId="408FB474"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hideMark/>
          </w:tcPr>
          <w:p w14:paraId="4F9660BE" w14:textId="0C6BD1A1"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Informal Predictive Likelihood Ratio Test between Proposed GHDM and GHDM without Correlations</w:t>
            </w:r>
          </w:p>
        </w:tc>
        <w:tc>
          <w:tcPr>
            <w:tcW w:w="4644" w:type="dxa"/>
            <w:gridSpan w:val="9"/>
            <w:tcBorders>
              <w:top w:val="nil"/>
              <w:left w:val="single" w:sz="18" w:space="0" w:color="auto"/>
              <w:bottom w:val="nil"/>
              <w:right w:val="single" w:sz="18" w:space="0" w:color="auto"/>
            </w:tcBorders>
            <w:shd w:val="clear" w:color="auto" w:fill="auto"/>
            <w:noWrap/>
            <w:vAlign w:val="center"/>
            <w:hideMark/>
          </w:tcPr>
          <w:p w14:paraId="570A4897" w14:textId="4D926F64" w:rsidR="002C2991" w:rsidRPr="00D309F4" w:rsidRDefault="0075658F"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461502" w:rsidRPr="00D309F4">
              <w:rPr>
                <w:rFonts w:eastAsia="Times New Roman" w:cs="Times New Roman"/>
                <w:color w:val="000000"/>
                <w:kern w:val="0"/>
                <w:sz w:val="20"/>
                <w:szCs w:val="20"/>
                <w14:ligatures w14:val="none"/>
              </w:rPr>
              <w:t>44.06</w:t>
            </w:r>
          </w:p>
        </w:tc>
      </w:tr>
      <w:tr w:rsidR="002C2991" w:rsidRPr="00D309F4" w14:paraId="5D661079" w14:textId="77777777" w:rsidTr="00C07DE0">
        <w:trPr>
          <w:trHeight w:val="259"/>
          <w:jc w:val="center"/>
        </w:trPr>
        <w:tc>
          <w:tcPr>
            <w:tcW w:w="8550" w:type="dxa"/>
            <w:gridSpan w:val="3"/>
            <w:tcBorders>
              <w:top w:val="nil"/>
              <w:left w:val="single" w:sz="18" w:space="0" w:color="auto"/>
              <w:bottom w:val="nil"/>
              <w:right w:val="single" w:sz="18" w:space="0" w:color="auto"/>
            </w:tcBorders>
            <w:shd w:val="clear" w:color="auto" w:fill="auto"/>
            <w:noWrap/>
            <w:vAlign w:val="center"/>
          </w:tcPr>
          <w:p w14:paraId="55DAC496" w14:textId="1628E04D"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Informal Predictive Non-Nested Likelihood Ratio Test between Proposed GHDM and IHDM</w:t>
            </w:r>
          </w:p>
        </w:tc>
        <w:tc>
          <w:tcPr>
            <w:tcW w:w="4644" w:type="dxa"/>
            <w:gridSpan w:val="9"/>
            <w:tcBorders>
              <w:top w:val="nil"/>
              <w:left w:val="single" w:sz="18" w:space="0" w:color="auto"/>
              <w:bottom w:val="nil"/>
              <w:right w:val="single" w:sz="18" w:space="0" w:color="auto"/>
            </w:tcBorders>
            <w:shd w:val="clear" w:color="auto" w:fill="auto"/>
            <w:noWrap/>
            <w:vAlign w:val="center"/>
          </w:tcPr>
          <w:p w14:paraId="44B48BDA" w14:textId="6BD243E9"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-29.66</w:t>
            </w:r>
          </w:p>
        </w:tc>
      </w:tr>
      <w:tr w:rsidR="002C2991" w:rsidRPr="00D309F4" w14:paraId="4E72B922" w14:textId="77777777" w:rsidTr="00C07DE0">
        <w:trPr>
          <w:trHeight w:val="259"/>
          <w:jc w:val="center"/>
        </w:trPr>
        <w:tc>
          <w:tcPr>
            <w:tcW w:w="8550" w:type="dxa"/>
            <w:gridSpan w:val="3"/>
            <w:tcBorders>
              <w:top w:val="nil"/>
              <w:left w:val="single" w:sz="18" w:space="0" w:color="auto"/>
              <w:bottom w:val="single" w:sz="18" w:space="0" w:color="auto"/>
              <w:right w:val="single" w:sz="18" w:space="0" w:color="auto"/>
            </w:tcBorders>
            <w:shd w:val="clear" w:color="auto" w:fill="auto"/>
            <w:noWrap/>
            <w:vAlign w:val="center"/>
            <w:hideMark/>
          </w:tcPr>
          <w:p w14:paraId="640A99AF" w14:textId="1F9ADE94"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Average Probability of a Correct Prediction</w:t>
            </w:r>
          </w:p>
        </w:tc>
        <w:tc>
          <w:tcPr>
            <w:tcW w:w="1546" w:type="dxa"/>
            <w:gridSpan w:val="2"/>
            <w:tcBorders>
              <w:top w:val="nil"/>
              <w:left w:val="single" w:sz="18" w:space="0" w:color="auto"/>
              <w:bottom w:val="single" w:sz="18" w:space="0" w:color="auto"/>
            </w:tcBorders>
            <w:shd w:val="clear" w:color="auto" w:fill="auto"/>
            <w:noWrap/>
            <w:vAlign w:val="center"/>
            <w:hideMark/>
          </w:tcPr>
          <w:p w14:paraId="513BDB22" w14:textId="4536FBF6"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r w:rsidR="009C0428" w:rsidRPr="00D309F4">
              <w:rPr>
                <w:rFonts w:eastAsia="Times New Roman" w:cs="Times New Roman"/>
                <w:color w:val="000000"/>
                <w:kern w:val="0"/>
                <w:sz w:val="20"/>
                <w:szCs w:val="20"/>
                <w14:ligatures w14:val="none"/>
              </w:rPr>
              <w:t>42</w:t>
            </w:r>
            <w:r w:rsidR="00BE1E5D" w:rsidRPr="00D309F4">
              <w:rPr>
                <w:rFonts w:eastAsia="Times New Roman" w:cs="Times New Roman"/>
                <w:color w:val="000000"/>
                <w:kern w:val="0"/>
                <w:sz w:val="20"/>
                <w:szCs w:val="20"/>
                <w14:ligatures w14:val="none"/>
              </w:rPr>
              <w:t>8</w:t>
            </w:r>
          </w:p>
        </w:tc>
        <w:tc>
          <w:tcPr>
            <w:tcW w:w="1547" w:type="dxa"/>
            <w:gridSpan w:val="3"/>
            <w:tcBorders>
              <w:top w:val="nil"/>
              <w:left w:val="nil"/>
              <w:bottom w:val="single" w:sz="18" w:space="0" w:color="auto"/>
            </w:tcBorders>
            <w:shd w:val="clear" w:color="auto" w:fill="auto"/>
            <w:vAlign w:val="center"/>
          </w:tcPr>
          <w:p w14:paraId="00528D09" w14:textId="696CDC17"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0.39</w:t>
            </w:r>
            <w:r w:rsidR="00BE1E5D" w:rsidRPr="00D309F4">
              <w:rPr>
                <w:rFonts w:eastAsia="Times New Roman" w:cs="Times New Roman"/>
                <w:color w:val="000000"/>
                <w:kern w:val="0"/>
                <w:sz w:val="20"/>
                <w:szCs w:val="20"/>
                <w14:ligatures w14:val="none"/>
              </w:rPr>
              <w:t>2</w:t>
            </w:r>
          </w:p>
        </w:tc>
        <w:tc>
          <w:tcPr>
            <w:tcW w:w="1551" w:type="dxa"/>
            <w:gridSpan w:val="4"/>
            <w:tcBorders>
              <w:top w:val="nil"/>
              <w:left w:val="nil"/>
              <w:bottom w:val="single" w:sz="18" w:space="0" w:color="auto"/>
              <w:right w:val="single" w:sz="18" w:space="0" w:color="auto"/>
            </w:tcBorders>
            <w:shd w:val="clear" w:color="auto" w:fill="auto"/>
            <w:vAlign w:val="center"/>
          </w:tcPr>
          <w:p w14:paraId="05B6BCB9" w14:textId="5E5E710A" w:rsidR="002C2991" w:rsidRPr="00D309F4" w:rsidRDefault="002C2991" w:rsidP="002C2991">
            <w:pPr>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r w:rsidR="009C0428" w:rsidRPr="00D309F4">
              <w:rPr>
                <w:rFonts w:eastAsia="Times New Roman" w:cs="Times New Roman"/>
                <w:color w:val="000000"/>
                <w:kern w:val="0"/>
                <w:sz w:val="20"/>
                <w:szCs w:val="20"/>
                <w14:ligatures w14:val="none"/>
              </w:rPr>
              <w:t>378</w:t>
            </w:r>
          </w:p>
        </w:tc>
      </w:tr>
      <w:tr w:rsidR="002C2991" w:rsidRPr="00D309F4" w14:paraId="6B783C9E" w14:textId="77777777" w:rsidTr="00C07DE0">
        <w:trPr>
          <w:trHeight w:val="259"/>
          <w:jc w:val="center"/>
        </w:trPr>
        <w:tc>
          <w:tcPr>
            <w:tcW w:w="13194" w:type="dxa"/>
            <w:gridSpan w:val="1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22352279" w14:textId="77777777" w:rsidR="002C2991" w:rsidRPr="00D309F4" w:rsidRDefault="002C2991" w:rsidP="002C2991">
            <w:pPr>
              <w:spacing w:after="0" w:line="240" w:lineRule="auto"/>
              <w:jc w:val="center"/>
              <w:rPr>
                <w:rFonts w:eastAsia="Times New Roman" w:cs="Times New Roman"/>
                <w:b/>
                <w:bCs/>
                <w:i/>
                <w:iCs/>
                <w:color w:val="000000"/>
                <w:kern w:val="0"/>
                <w:sz w:val="20"/>
                <w:szCs w:val="20"/>
                <w14:ligatures w14:val="none"/>
              </w:rPr>
            </w:pPr>
            <w:r w:rsidRPr="00D309F4">
              <w:rPr>
                <w:rFonts w:eastAsia="Times New Roman" w:cs="Times New Roman"/>
                <w:b/>
                <w:bCs/>
                <w:i/>
                <w:iCs/>
                <w:color w:val="000000"/>
                <w:kern w:val="0"/>
                <w:sz w:val="20"/>
                <w:szCs w:val="20"/>
                <w14:ligatures w14:val="none"/>
              </w:rPr>
              <w:t>Aggregate Fit Measures</w:t>
            </w:r>
          </w:p>
        </w:tc>
      </w:tr>
      <w:tr w:rsidR="002C2991" w:rsidRPr="00D309F4" w14:paraId="1896F437" w14:textId="77777777" w:rsidTr="00C07DE0">
        <w:trPr>
          <w:trHeight w:val="259"/>
          <w:jc w:val="center"/>
        </w:trPr>
        <w:tc>
          <w:tcPr>
            <w:tcW w:w="5827" w:type="dxa"/>
            <w:gridSpan w:val="2"/>
            <w:tcBorders>
              <w:top w:val="single" w:sz="18" w:space="0" w:color="auto"/>
              <w:left w:val="single" w:sz="18" w:space="0" w:color="auto"/>
              <w:bottom w:val="nil"/>
              <w:right w:val="single" w:sz="18" w:space="0" w:color="auto"/>
            </w:tcBorders>
            <w:shd w:val="clear" w:color="auto" w:fill="auto"/>
            <w:noWrap/>
            <w:vAlign w:val="center"/>
            <w:hideMark/>
          </w:tcPr>
          <w:p w14:paraId="7EBA703B"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Outcome Combinations</w:t>
            </w:r>
          </w:p>
        </w:tc>
        <w:tc>
          <w:tcPr>
            <w:tcW w:w="2723" w:type="dxa"/>
            <w:tcBorders>
              <w:top w:val="single" w:sz="18" w:space="0" w:color="auto"/>
              <w:left w:val="single" w:sz="18" w:space="0" w:color="auto"/>
              <w:right w:val="single" w:sz="18" w:space="0" w:color="auto"/>
            </w:tcBorders>
            <w:shd w:val="clear" w:color="auto" w:fill="auto"/>
            <w:noWrap/>
            <w:vAlign w:val="center"/>
            <w:hideMark/>
          </w:tcPr>
          <w:p w14:paraId="51708AEF" w14:textId="52A974E0"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Observed (Weighted)</w:t>
            </w:r>
          </w:p>
        </w:tc>
        <w:tc>
          <w:tcPr>
            <w:tcW w:w="1597" w:type="dxa"/>
            <w:gridSpan w:val="3"/>
            <w:tcBorders>
              <w:top w:val="single" w:sz="18" w:space="0" w:color="auto"/>
              <w:left w:val="single" w:sz="18" w:space="0" w:color="auto"/>
              <w:right w:val="single" w:sz="18" w:space="0" w:color="auto"/>
            </w:tcBorders>
            <w:shd w:val="clear" w:color="auto" w:fill="auto"/>
            <w:noWrap/>
            <w:vAlign w:val="center"/>
            <w:hideMark/>
          </w:tcPr>
          <w:p w14:paraId="658EC445"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Proposed GHDM</w:t>
            </w:r>
          </w:p>
        </w:tc>
        <w:tc>
          <w:tcPr>
            <w:tcW w:w="1545" w:type="dxa"/>
            <w:gridSpan w:val="3"/>
            <w:tcBorders>
              <w:top w:val="single" w:sz="18" w:space="0" w:color="auto"/>
              <w:left w:val="single" w:sz="18" w:space="0" w:color="auto"/>
              <w:right w:val="single" w:sz="18" w:space="0" w:color="auto"/>
            </w:tcBorders>
            <w:shd w:val="clear" w:color="auto" w:fill="auto"/>
            <w:noWrap/>
            <w:vAlign w:val="center"/>
            <w:hideMark/>
          </w:tcPr>
          <w:p w14:paraId="310C75EA" w14:textId="0A3FF512"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GHDM without Correlations</w:t>
            </w:r>
          </w:p>
        </w:tc>
        <w:tc>
          <w:tcPr>
            <w:tcW w:w="1502" w:type="dxa"/>
            <w:gridSpan w:val="3"/>
            <w:tcBorders>
              <w:top w:val="single" w:sz="18" w:space="0" w:color="auto"/>
              <w:left w:val="single" w:sz="18" w:space="0" w:color="auto"/>
              <w:right w:val="single" w:sz="18" w:space="0" w:color="auto"/>
            </w:tcBorders>
            <w:shd w:val="clear" w:color="auto" w:fill="auto"/>
            <w:noWrap/>
            <w:vAlign w:val="center"/>
            <w:hideMark/>
          </w:tcPr>
          <w:p w14:paraId="46146C99"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IHDM</w:t>
            </w:r>
          </w:p>
        </w:tc>
      </w:tr>
      <w:tr w:rsidR="002C2991" w:rsidRPr="00D309F4" w14:paraId="0DFBEA1C" w14:textId="77777777" w:rsidTr="00C07DE0">
        <w:trPr>
          <w:trHeight w:val="259"/>
          <w:jc w:val="center"/>
        </w:trPr>
        <w:tc>
          <w:tcPr>
            <w:tcW w:w="1394" w:type="dxa"/>
            <w:tcBorders>
              <w:left w:val="single" w:sz="18" w:space="0" w:color="auto"/>
              <w:bottom w:val="single" w:sz="18" w:space="0" w:color="auto"/>
              <w:right w:val="nil"/>
            </w:tcBorders>
            <w:shd w:val="clear" w:color="auto" w:fill="auto"/>
            <w:noWrap/>
            <w:vAlign w:val="bottom"/>
            <w:hideMark/>
          </w:tcPr>
          <w:p w14:paraId="72239228" w14:textId="77777777" w:rsidR="002C2991" w:rsidRPr="00D309F4" w:rsidRDefault="002C2991" w:rsidP="002C2991">
            <w:pPr>
              <w:spacing w:after="0" w:line="240" w:lineRule="auto"/>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EV Adoption</w:t>
            </w:r>
          </w:p>
        </w:tc>
        <w:tc>
          <w:tcPr>
            <w:tcW w:w="4433" w:type="dxa"/>
            <w:tcBorders>
              <w:left w:val="nil"/>
              <w:bottom w:val="single" w:sz="18" w:space="0" w:color="auto"/>
              <w:right w:val="single" w:sz="18" w:space="0" w:color="auto"/>
            </w:tcBorders>
            <w:shd w:val="clear" w:color="auto" w:fill="auto"/>
            <w:noWrap/>
            <w:vAlign w:val="bottom"/>
            <w:hideMark/>
          </w:tcPr>
          <w:p w14:paraId="59AB00DD" w14:textId="77777777" w:rsidR="002C2991" w:rsidRPr="00D309F4" w:rsidRDefault="002C2991" w:rsidP="002C2991">
            <w:pPr>
              <w:spacing w:after="0" w:line="240" w:lineRule="auto"/>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First Ranked Reason</w:t>
            </w:r>
          </w:p>
        </w:tc>
        <w:tc>
          <w:tcPr>
            <w:tcW w:w="2723" w:type="dxa"/>
            <w:tcBorders>
              <w:left w:val="single" w:sz="18" w:space="0" w:color="auto"/>
              <w:bottom w:val="single" w:sz="18" w:space="0" w:color="auto"/>
              <w:right w:val="single" w:sz="18" w:space="0" w:color="auto"/>
            </w:tcBorders>
            <w:vAlign w:val="center"/>
            <w:hideMark/>
          </w:tcPr>
          <w:p w14:paraId="104D13B3" w14:textId="32A74AB2"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Shares</w:t>
            </w:r>
          </w:p>
        </w:tc>
        <w:tc>
          <w:tcPr>
            <w:tcW w:w="708" w:type="dxa"/>
            <w:tcBorders>
              <w:left w:val="single" w:sz="18" w:space="0" w:color="auto"/>
              <w:bottom w:val="single" w:sz="18" w:space="0" w:color="auto"/>
            </w:tcBorders>
            <w:shd w:val="clear" w:color="auto" w:fill="auto"/>
            <w:noWrap/>
            <w:vAlign w:val="bottom"/>
            <w:hideMark/>
          </w:tcPr>
          <w:p w14:paraId="77F985B4"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Share</w:t>
            </w:r>
          </w:p>
        </w:tc>
        <w:tc>
          <w:tcPr>
            <w:tcW w:w="889" w:type="dxa"/>
            <w:gridSpan w:val="2"/>
            <w:tcBorders>
              <w:bottom w:val="single" w:sz="18" w:space="0" w:color="auto"/>
              <w:right w:val="single" w:sz="18" w:space="0" w:color="auto"/>
            </w:tcBorders>
            <w:shd w:val="clear" w:color="auto" w:fill="auto"/>
            <w:noWrap/>
            <w:vAlign w:val="bottom"/>
            <w:hideMark/>
          </w:tcPr>
          <w:p w14:paraId="3A8B35C3"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APE</w:t>
            </w:r>
          </w:p>
        </w:tc>
        <w:tc>
          <w:tcPr>
            <w:tcW w:w="825" w:type="dxa"/>
            <w:tcBorders>
              <w:left w:val="single" w:sz="18" w:space="0" w:color="auto"/>
              <w:bottom w:val="single" w:sz="18" w:space="0" w:color="auto"/>
            </w:tcBorders>
            <w:shd w:val="clear" w:color="auto" w:fill="auto"/>
            <w:noWrap/>
            <w:vAlign w:val="bottom"/>
            <w:hideMark/>
          </w:tcPr>
          <w:p w14:paraId="099A5EEC"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Share</w:t>
            </w:r>
          </w:p>
        </w:tc>
        <w:tc>
          <w:tcPr>
            <w:tcW w:w="720" w:type="dxa"/>
            <w:gridSpan w:val="2"/>
            <w:tcBorders>
              <w:bottom w:val="single" w:sz="18" w:space="0" w:color="auto"/>
              <w:right w:val="single" w:sz="18" w:space="0" w:color="auto"/>
            </w:tcBorders>
            <w:shd w:val="clear" w:color="auto" w:fill="auto"/>
            <w:noWrap/>
            <w:vAlign w:val="bottom"/>
            <w:hideMark/>
          </w:tcPr>
          <w:p w14:paraId="0238387D"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APE</w:t>
            </w:r>
          </w:p>
        </w:tc>
        <w:tc>
          <w:tcPr>
            <w:tcW w:w="720" w:type="dxa"/>
            <w:gridSpan w:val="2"/>
            <w:tcBorders>
              <w:left w:val="single" w:sz="18" w:space="0" w:color="auto"/>
              <w:bottom w:val="single" w:sz="18" w:space="0" w:color="auto"/>
            </w:tcBorders>
            <w:shd w:val="clear" w:color="auto" w:fill="auto"/>
            <w:noWrap/>
            <w:vAlign w:val="bottom"/>
            <w:hideMark/>
          </w:tcPr>
          <w:p w14:paraId="41DBC217"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Share</w:t>
            </w:r>
          </w:p>
        </w:tc>
        <w:tc>
          <w:tcPr>
            <w:tcW w:w="782" w:type="dxa"/>
            <w:tcBorders>
              <w:bottom w:val="single" w:sz="18" w:space="0" w:color="auto"/>
              <w:right w:val="single" w:sz="18" w:space="0" w:color="auto"/>
            </w:tcBorders>
            <w:shd w:val="clear" w:color="auto" w:fill="auto"/>
            <w:noWrap/>
            <w:vAlign w:val="bottom"/>
            <w:hideMark/>
          </w:tcPr>
          <w:p w14:paraId="26B1CC6B" w14:textId="77777777"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APE</w:t>
            </w:r>
          </w:p>
        </w:tc>
      </w:tr>
      <w:tr w:rsidR="002C2991" w:rsidRPr="00D309F4" w14:paraId="040DF928" w14:textId="77777777" w:rsidTr="00C07DE0">
        <w:trPr>
          <w:trHeight w:val="259"/>
          <w:jc w:val="center"/>
        </w:trPr>
        <w:tc>
          <w:tcPr>
            <w:tcW w:w="1394" w:type="dxa"/>
            <w:tcBorders>
              <w:top w:val="single" w:sz="18" w:space="0" w:color="auto"/>
              <w:left w:val="single" w:sz="18" w:space="0" w:color="auto"/>
              <w:bottom w:val="nil"/>
              <w:right w:val="nil"/>
            </w:tcBorders>
            <w:shd w:val="clear" w:color="auto" w:fill="auto"/>
            <w:noWrap/>
            <w:vAlign w:val="center"/>
            <w:hideMark/>
          </w:tcPr>
          <w:p w14:paraId="1450E15B"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No</w:t>
            </w:r>
          </w:p>
        </w:tc>
        <w:tc>
          <w:tcPr>
            <w:tcW w:w="4433" w:type="dxa"/>
            <w:tcBorders>
              <w:top w:val="single" w:sz="18" w:space="0" w:color="auto"/>
              <w:left w:val="nil"/>
              <w:bottom w:val="nil"/>
              <w:right w:val="single" w:sz="18" w:space="0" w:color="auto"/>
            </w:tcBorders>
            <w:shd w:val="clear" w:color="auto" w:fill="auto"/>
            <w:noWrap/>
            <w:vAlign w:val="center"/>
            <w:hideMark/>
          </w:tcPr>
          <w:p w14:paraId="7DE227D6"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t>
            </w:r>
          </w:p>
        </w:tc>
        <w:tc>
          <w:tcPr>
            <w:tcW w:w="2723" w:type="dxa"/>
            <w:tcBorders>
              <w:top w:val="single" w:sz="18" w:space="0" w:color="auto"/>
              <w:left w:val="single" w:sz="18" w:space="0" w:color="auto"/>
              <w:right w:val="single" w:sz="18" w:space="0" w:color="auto"/>
            </w:tcBorders>
            <w:shd w:val="clear" w:color="auto" w:fill="auto"/>
            <w:noWrap/>
            <w:vAlign w:val="center"/>
            <w:hideMark/>
          </w:tcPr>
          <w:p w14:paraId="681F3D64" w14:textId="33E72B8E" w:rsidR="002C2991" w:rsidRPr="00D309F4" w:rsidRDefault="002C2991"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94.83</w:t>
            </w:r>
          </w:p>
        </w:tc>
        <w:tc>
          <w:tcPr>
            <w:tcW w:w="708" w:type="dxa"/>
            <w:tcBorders>
              <w:top w:val="single" w:sz="18" w:space="0" w:color="auto"/>
              <w:left w:val="single" w:sz="18" w:space="0" w:color="auto"/>
            </w:tcBorders>
            <w:shd w:val="clear" w:color="auto" w:fill="auto"/>
            <w:noWrap/>
            <w:vAlign w:val="center"/>
            <w:hideMark/>
          </w:tcPr>
          <w:p w14:paraId="118320E3" w14:textId="20F62999"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94.82</w:t>
            </w:r>
          </w:p>
        </w:tc>
        <w:tc>
          <w:tcPr>
            <w:tcW w:w="889" w:type="dxa"/>
            <w:gridSpan w:val="2"/>
            <w:tcBorders>
              <w:top w:val="single" w:sz="18" w:space="0" w:color="auto"/>
              <w:right w:val="single" w:sz="18" w:space="0" w:color="auto"/>
            </w:tcBorders>
            <w:shd w:val="clear" w:color="auto" w:fill="auto"/>
            <w:noWrap/>
            <w:vAlign w:val="center"/>
            <w:hideMark/>
          </w:tcPr>
          <w:p w14:paraId="6E916C18" w14:textId="21D97F55"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0.01</w:t>
            </w:r>
          </w:p>
        </w:tc>
        <w:tc>
          <w:tcPr>
            <w:tcW w:w="825" w:type="dxa"/>
            <w:tcBorders>
              <w:top w:val="single" w:sz="18" w:space="0" w:color="auto"/>
              <w:left w:val="single" w:sz="18" w:space="0" w:color="auto"/>
            </w:tcBorders>
            <w:shd w:val="clear" w:color="auto" w:fill="auto"/>
            <w:noWrap/>
            <w:vAlign w:val="center"/>
            <w:hideMark/>
          </w:tcPr>
          <w:p w14:paraId="5BECC76F"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93.52</w:t>
            </w:r>
          </w:p>
        </w:tc>
        <w:tc>
          <w:tcPr>
            <w:tcW w:w="720" w:type="dxa"/>
            <w:gridSpan w:val="2"/>
            <w:tcBorders>
              <w:top w:val="single" w:sz="18" w:space="0" w:color="auto"/>
              <w:right w:val="single" w:sz="18" w:space="0" w:color="auto"/>
            </w:tcBorders>
            <w:shd w:val="clear" w:color="auto" w:fill="auto"/>
            <w:noWrap/>
            <w:vAlign w:val="center"/>
            <w:hideMark/>
          </w:tcPr>
          <w:p w14:paraId="25ABCAC3"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1.38</w:t>
            </w:r>
          </w:p>
        </w:tc>
        <w:tc>
          <w:tcPr>
            <w:tcW w:w="720" w:type="dxa"/>
            <w:gridSpan w:val="2"/>
            <w:tcBorders>
              <w:top w:val="single" w:sz="18" w:space="0" w:color="auto"/>
              <w:left w:val="single" w:sz="18" w:space="0" w:color="auto"/>
            </w:tcBorders>
            <w:shd w:val="clear" w:color="auto" w:fill="auto"/>
            <w:noWrap/>
            <w:vAlign w:val="center"/>
            <w:hideMark/>
          </w:tcPr>
          <w:p w14:paraId="4A8E61B9"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93.21</w:t>
            </w:r>
          </w:p>
        </w:tc>
        <w:tc>
          <w:tcPr>
            <w:tcW w:w="782" w:type="dxa"/>
            <w:tcBorders>
              <w:top w:val="single" w:sz="18" w:space="0" w:color="auto"/>
              <w:right w:val="single" w:sz="18" w:space="0" w:color="auto"/>
            </w:tcBorders>
            <w:shd w:val="clear" w:color="auto" w:fill="auto"/>
            <w:noWrap/>
            <w:vAlign w:val="center"/>
            <w:hideMark/>
          </w:tcPr>
          <w:p w14:paraId="5347C99A"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1.71</w:t>
            </w:r>
          </w:p>
        </w:tc>
      </w:tr>
      <w:tr w:rsidR="002C2991" w:rsidRPr="00D309F4" w14:paraId="636AE6F1" w14:textId="77777777" w:rsidTr="00C07DE0">
        <w:trPr>
          <w:trHeight w:val="259"/>
          <w:jc w:val="center"/>
        </w:trPr>
        <w:tc>
          <w:tcPr>
            <w:tcW w:w="1394" w:type="dxa"/>
            <w:tcBorders>
              <w:top w:val="nil"/>
              <w:left w:val="single" w:sz="18" w:space="0" w:color="auto"/>
              <w:bottom w:val="nil"/>
              <w:right w:val="nil"/>
            </w:tcBorders>
            <w:shd w:val="clear" w:color="auto" w:fill="auto"/>
            <w:noWrap/>
            <w:vAlign w:val="center"/>
            <w:hideMark/>
          </w:tcPr>
          <w:p w14:paraId="271C2FB3"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Yes</w:t>
            </w:r>
          </w:p>
        </w:tc>
        <w:tc>
          <w:tcPr>
            <w:tcW w:w="4433" w:type="dxa"/>
            <w:tcBorders>
              <w:top w:val="nil"/>
              <w:left w:val="nil"/>
              <w:bottom w:val="nil"/>
              <w:right w:val="single" w:sz="18" w:space="0" w:color="auto"/>
            </w:tcBorders>
            <w:shd w:val="clear" w:color="auto" w:fill="auto"/>
            <w:noWrap/>
            <w:vAlign w:val="center"/>
            <w:hideMark/>
          </w:tcPr>
          <w:p w14:paraId="7F5EBA65"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Rising gasoline prices</w:t>
            </w:r>
          </w:p>
        </w:tc>
        <w:tc>
          <w:tcPr>
            <w:tcW w:w="2723" w:type="dxa"/>
            <w:tcBorders>
              <w:left w:val="single" w:sz="18" w:space="0" w:color="auto"/>
              <w:right w:val="single" w:sz="18" w:space="0" w:color="auto"/>
            </w:tcBorders>
            <w:shd w:val="clear" w:color="auto" w:fill="auto"/>
            <w:noWrap/>
            <w:vAlign w:val="center"/>
            <w:hideMark/>
          </w:tcPr>
          <w:p w14:paraId="7021A2C2" w14:textId="1C4C3E39"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0.75</w:t>
            </w:r>
          </w:p>
        </w:tc>
        <w:tc>
          <w:tcPr>
            <w:tcW w:w="708" w:type="dxa"/>
            <w:tcBorders>
              <w:left w:val="single" w:sz="18" w:space="0" w:color="auto"/>
            </w:tcBorders>
            <w:shd w:val="clear" w:color="auto" w:fill="auto"/>
            <w:noWrap/>
            <w:vAlign w:val="center"/>
            <w:hideMark/>
          </w:tcPr>
          <w:p w14:paraId="556DE63C" w14:textId="77777777"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0.99</w:t>
            </w:r>
          </w:p>
        </w:tc>
        <w:tc>
          <w:tcPr>
            <w:tcW w:w="889" w:type="dxa"/>
            <w:gridSpan w:val="2"/>
            <w:tcBorders>
              <w:right w:val="single" w:sz="18" w:space="0" w:color="auto"/>
            </w:tcBorders>
            <w:shd w:val="clear" w:color="auto" w:fill="auto"/>
            <w:noWrap/>
            <w:vAlign w:val="center"/>
            <w:hideMark/>
          </w:tcPr>
          <w:p w14:paraId="74266C14"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30.74</w:t>
            </w:r>
          </w:p>
        </w:tc>
        <w:tc>
          <w:tcPr>
            <w:tcW w:w="825" w:type="dxa"/>
            <w:tcBorders>
              <w:left w:val="single" w:sz="18" w:space="0" w:color="auto"/>
            </w:tcBorders>
            <w:shd w:val="clear" w:color="auto" w:fill="auto"/>
            <w:noWrap/>
            <w:vAlign w:val="center"/>
            <w:hideMark/>
          </w:tcPr>
          <w:p w14:paraId="010D24C5"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0.87</w:t>
            </w:r>
          </w:p>
        </w:tc>
        <w:tc>
          <w:tcPr>
            <w:tcW w:w="720" w:type="dxa"/>
            <w:gridSpan w:val="2"/>
            <w:tcBorders>
              <w:right w:val="single" w:sz="18" w:space="0" w:color="auto"/>
            </w:tcBorders>
            <w:shd w:val="clear" w:color="auto" w:fill="auto"/>
            <w:noWrap/>
            <w:vAlign w:val="center"/>
            <w:hideMark/>
          </w:tcPr>
          <w:p w14:paraId="70484373"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14.61</w:t>
            </w:r>
          </w:p>
        </w:tc>
        <w:tc>
          <w:tcPr>
            <w:tcW w:w="720" w:type="dxa"/>
            <w:gridSpan w:val="2"/>
            <w:tcBorders>
              <w:left w:val="single" w:sz="18" w:space="0" w:color="auto"/>
            </w:tcBorders>
            <w:shd w:val="clear" w:color="auto" w:fill="auto"/>
            <w:noWrap/>
            <w:vAlign w:val="center"/>
            <w:hideMark/>
          </w:tcPr>
          <w:p w14:paraId="1F50813A"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1.12</w:t>
            </w:r>
          </w:p>
        </w:tc>
        <w:tc>
          <w:tcPr>
            <w:tcW w:w="782" w:type="dxa"/>
            <w:tcBorders>
              <w:right w:val="single" w:sz="18" w:space="0" w:color="auto"/>
            </w:tcBorders>
            <w:shd w:val="clear" w:color="auto" w:fill="auto"/>
            <w:noWrap/>
            <w:vAlign w:val="center"/>
            <w:hideMark/>
          </w:tcPr>
          <w:p w14:paraId="6E7A430B"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48.59</w:t>
            </w:r>
          </w:p>
        </w:tc>
      </w:tr>
      <w:tr w:rsidR="002C2991" w:rsidRPr="00D309F4" w14:paraId="4A49E3E2" w14:textId="77777777" w:rsidTr="00C07DE0">
        <w:trPr>
          <w:trHeight w:val="259"/>
          <w:jc w:val="center"/>
        </w:trPr>
        <w:tc>
          <w:tcPr>
            <w:tcW w:w="1394" w:type="dxa"/>
            <w:tcBorders>
              <w:top w:val="nil"/>
              <w:left w:val="single" w:sz="18" w:space="0" w:color="auto"/>
              <w:bottom w:val="nil"/>
              <w:right w:val="nil"/>
            </w:tcBorders>
            <w:shd w:val="clear" w:color="auto" w:fill="auto"/>
            <w:noWrap/>
            <w:vAlign w:val="center"/>
            <w:hideMark/>
          </w:tcPr>
          <w:p w14:paraId="172AA5C3"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w:t>
            </w:r>
          </w:p>
        </w:tc>
        <w:tc>
          <w:tcPr>
            <w:tcW w:w="4433" w:type="dxa"/>
            <w:tcBorders>
              <w:top w:val="nil"/>
              <w:left w:val="nil"/>
              <w:bottom w:val="nil"/>
              <w:right w:val="single" w:sz="18" w:space="0" w:color="auto"/>
            </w:tcBorders>
            <w:shd w:val="clear" w:color="auto" w:fill="auto"/>
            <w:noWrap/>
            <w:vAlign w:val="center"/>
            <w:hideMark/>
          </w:tcPr>
          <w:p w14:paraId="5A25E721"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Take advantage available incentives</w:t>
            </w:r>
          </w:p>
        </w:tc>
        <w:tc>
          <w:tcPr>
            <w:tcW w:w="2723" w:type="dxa"/>
            <w:tcBorders>
              <w:left w:val="single" w:sz="18" w:space="0" w:color="auto"/>
              <w:right w:val="single" w:sz="18" w:space="0" w:color="auto"/>
            </w:tcBorders>
            <w:shd w:val="clear" w:color="auto" w:fill="auto"/>
            <w:noWrap/>
            <w:vAlign w:val="center"/>
            <w:hideMark/>
          </w:tcPr>
          <w:p w14:paraId="7B20CD27" w14:textId="5D6587F3"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0.50</w:t>
            </w:r>
          </w:p>
        </w:tc>
        <w:tc>
          <w:tcPr>
            <w:tcW w:w="708" w:type="dxa"/>
            <w:tcBorders>
              <w:left w:val="single" w:sz="18" w:space="0" w:color="auto"/>
            </w:tcBorders>
            <w:shd w:val="clear" w:color="auto" w:fill="auto"/>
            <w:noWrap/>
            <w:vAlign w:val="center"/>
            <w:hideMark/>
          </w:tcPr>
          <w:p w14:paraId="346B4E26" w14:textId="77777777"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0.60</w:t>
            </w:r>
          </w:p>
        </w:tc>
        <w:tc>
          <w:tcPr>
            <w:tcW w:w="889" w:type="dxa"/>
            <w:gridSpan w:val="2"/>
            <w:tcBorders>
              <w:right w:val="single" w:sz="18" w:space="0" w:color="auto"/>
            </w:tcBorders>
            <w:shd w:val="clear" w:color="auto" w:fill="auto"/>
            <w:noWrap/>
            <w:vAlign w:val="center"/>
            <w:hideMark/>
          </w:tcPr>
          <w:p w14:paraId="13A1E0BF"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20.25</w:t>
            </w:r>
          </w:p>
        </w:tc>
        <w:tc>
          <w:tcPr>
            <w:tcW w:w="825" w:type="dxa"/>
            <w:tcBorders>
              <w:left w:val="single" w:sz="18" w:space="0" w:color="auto"/>
            </w:tcBorders>
            <w:shd w:val="clear" w:color="auto" w:fill="auto"/>
            <w:noWrap/>
            <w:vAlign w:val="center"/>
            <w:hideMark/>
          </w:tcPr>
          <w:p w14:paraId="4437CA2A"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0.62</w:t>
            </w:r>
          </w:p>
        </w:tc>
        <w:tc>
          <w:tcPr>
            <w:tcW w:w="720" w:type="dxa"/>
            <w:gridSpan w:val="2"/>
            <w:tcBorders>
              <w:right w:val="single" w:sz="18" w:space="0" w:color="auto"/>
            </w:tcBorders>
            <w:shd w:val="clear" w:color="auto" w:fill="auto"/>
            <w:noWrap/>
            <w:vAlign w:val="center"/>
            <w:hideMark/>
          </w:tcPr>
          <w:p w14:paraId="2B5391BD"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24.06</w:t>
            </w:r>
          </w:p>
        </w:tc>
        <w:tc>
          <w:tcPr>
            <w:tcW w:w="720" w:type="dxa"/>
            <w:gridSpan w:val="2"/>
            <w:tcBorders>
              <w:left w:val="single" w:sz="18" w:space="0" w:color="auto"/>
            </w:tcBorders>
            <w:shd w:val="clear" w:color="auto" w:fill="auto"/>
            <w:noWrap/>
            <w:vAlign w:val="center"/>
            <w:hideMark/>
          </w:tcPr>
          <w:p w14:paraId="400AC964"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0.55</w:t>
            </w:r>
          </w:p>
        </w:tc>
        <w:tc>
          <w:tcPr>
            <w:tcW w:w="782" w:type="dxa"/>
            <w:tcBorders>
              <w:right w:val="single" w:sz="18" w:space="0" w:color="auto"/>
            </w:tcBorders>
            <w:shd w:val="clear" w:color="auto" w:fill="auto"/>
            <w:noWrap/>
            <w:vAlign w:val="center"/>
            <w:hideMark/>
          </w:tcPr>
          <w:p w14:paraId="78DCD0F9"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9.85</w:t>
            </w:r>
          </w:p>
        </w:tc>
      </w:tr>
      <w:tr w:rsidR="002C2991" w:rsidRPr="00D309F4" w14:paraId="78C2ADCC" w14:textId="77777777" w:rsidTr="00C07DE0">
        <w:trPr>
          <w:trHeight w:val="259"/>
          <w:jc w:val="center"/>
        </w:trPr>
        <w:tc>
          <w:tcPr>
            <w:tcW w:w="1394" w:type="dxa"/>
            <w:tcBorders>
              <w:top w:val="nil"/>
              <w:left w:val="single" w:sz="18" w:space="0" w:color="auto"/>
              <w:bottom w:val="nil"/>
              <w:right w:val="nil"/>
            </w:tcBorders>
            <w:shd w:val="clear" w:color="auto" w:fill="auto"/>
            <w:noWrap/>
            <w:vAlign w:val="center"/>
            <w:hideMark/>
          </w:tcPr>
          <w:p w14:paraId="0FB81FA9"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w:t>
            </w:r>
          </w:p>
        </w:tc>
        <w:tc>
          <w:tcPr>
            <w:tcW w:w="4433" w:type="dxa"/>
            <w:tcBorders>
              <w:top w:val="nil"/>
              <w:left w:val="nil"/>
              <w:bottom w:val="nil"/>
              <w:right w:val="single" w:sz="18" w:space="0" w:color="auto"/>
            </w:tcBorders>
            <w:shd w:val="clear" w:color="auto" w:fill="auto"/>
            <w:noWrap/>
            <w:vAlign w:val="center"/>
            <w:hideMark/>
          </w:tcPr>
          <w:p w14:paraId="25A33F9B"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Interest in the technology</w:t>
            </w:r>
          </w:p>
        </w:tc>
        <w:tc>
          <w:tcPr>
            <w:tcW w:w="2723" w:type="dxa"/>
            <w:tcBorders>
              <w:left w:val="single" w:sz="18" w:space="0" w:color="auto"/>
              <w:right w:val="single" w:sz="18" w:space="0" w:color="auto"/>
            </w:tcBorders>
            <w:shd w:val="clear" w:color="auto" w:fill="auto"/>
            <w:noWrap/>
            <w:vAlign w:val="center"/>
            <w:hideMark/>
          </w:tcPr>
          <w:p w14:paraId="02CBF368" w14:textId="525F164E"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0.80</w:t>
            </w:r>
          </w:p>
        </w:tc>
        <w:tc>
          <w:tcPr>
            <w:tcW w:w="708" w:type="dxa"/>
            <w:tcBorders>
              <w:left w:val="single" w:sz="18" w:space="0" w:color="auto"/>
            </w:tcBorders>
            <w:shd w:val="clear" w:color="auto" w:fill="auto"/>
            <w:noWrap/>
            <w:vAlign w:val="center"/>
            <w:hideMark/>
          </w:tcPr>
          <w:p w14:paraId="654584F1" w14:textId="602BFB40"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0.83</w:t>
            </w:r>
          </w:p>
        </w:tc>
        <w:tc>
          <w:tcPr>
            <w:tcW w:w="889" w:type="dxa"/>
            <w:gridSpan w:val="2"/>
            <w:tcBorders>
              <w:right w:val="single" w:sz="18" w:space="0" w:color="auto"/>
            </w:tcBorders>
            <w:shd w:val="clear" w:color="auto" w:fill="auto"/>
            <w:noWrap/>
            <w:vAlign w:val="center"/>
            <w:hideMark/>
          </w:tcPr>
          <w:p w14:paraId="3709F92E"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4.94</w:t>
            </w:r>
          </w:p>
        </w:tc>
        <w:tc>
          <w:tcPr>
            <w:tcW w:w="825" w:type="dxa"/>
            <w:tcBorders>
              <w:left w:val="single" w:sz="18" w:space="0" w:color="auto"/>
            </w:tcBorders>
            <w:shd w:val="clear" w:color="auto" w:fill="auto"/>
            <w:noWrap/>
            <w:vAlign w:val="center"/>
            <w:hideMark/>
          </w:tcPr>
          <w:p w14:paraId="14A92C36"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0.41</w:t>
            </w:r>
          </w:p>
        </w:tc>
        <w:tc>
          <w:tcPr>
            <w:tcW w:w="720" w:type="dxa"/>
            <w:gridSpan w:val="2"/>
            <w:tcBorders>
              <w:right w:val="single" w:sz="18" w:space="0" w:color="auto"/>
            </w:tcBorders>
            <w:shd w:val="clear" w:color="auto" w:fill="auto"/>
            <w:noWrap/>
            <w:vAlign w:val="center"/>
            <w:hideMark/>
          </w:tcPr>
          <w:p w14:paraId="3911C692"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49.10</w:t>
            </w:r>
          </w:p>
        </w:tc>
        <w:tc>
          <w:tcPr>
            <w:tcW w:w="720" w:type="dxa"/>
            <w:gridSpan w:val="2"/>
            <w:tcBorders>
              <w:left w:val="single" w:sz="18" w:space="0" w:color="auto"/>
            </w:tcBorders>
            <w:shd w:val="clear" w:color="auto" w:fill="auto"/>
            <w:noWrap/>
            <w:vAlign w:val="center"/>
            <w:hideMark/>
          </w:tcPr>
          <w:p w14:paraId="79FB964B"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0.44</w:t>
            </w:r>
          </w:p>
        </w:tc>
        <w:tc>
          <w:tcPr>
            <w:tcW w:w="782" w:type="dxa"/>
            <w:tcBorders>
              <w:right w:val="single" w:sz="18" w:space="0" w:color="auto"/>
            </w:tcBorders>
            <w:shd w:val="clear" w:color="auto" w:fill="auto"/>
            <w:noWrap/>
            <w:vAlign w:val="center"/>
            <w:hideMark/>
          </w:tcPr>
          <w:p w14:paraId="43C1B17C"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44.28</w:t>
            </w:r>
          </w:p>
        </w:tc>
      </w:tr>
      <w:tr w:rsidR="002C2991" w:rsidRPr="00D309F4" w14:paraId="77A74261" w14:textId="77777777" w:rsidTr="00C07DE0">
        <w:trPr>
          <w:trHeight w:val="259"/>
          <w:jc w:val="center"/>
        </w:trPr>
        <w:tc>
          <w:tcPr>
            <w:tcW w:w="1394" w:type="dxa"/>
            <w:tcBorders>
              <w:top w:val="nil"/>
              <w:left w:val="single" w:sz="18" w:space="0" w:color="auto"/>
              <w:bottom w:val="nil"/>
              <w:right w:val="nil"/>
            </w:tcBorders>
            <w:shd w:val="clear" w:color="auto" w:fill="auto"/>
            <w:noWrap/>
            <w:vAlign w:val="center"/>
            <w:hideMark/>
          </w:tcPr>
          <w:p w14:paraId="5F925D73"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w:t>
            </w:r>
          </w:p>
        </w:tc>
        <w:tc>
          <w:tcPr>
            <w:tcW w:w="4433" w:type="dxa"/>
            <w:tcBorders>
              <w:top w:val="nil"/>
              <w:left w:val="nil"/>
              <w:bottom w:val="nil"/>
              <w:right w:val="single" w:sz="18" w:space="0" w:color="auto"/>
            </w:tcBorders>
            <w:shd w:val="clear" w:color="auto" w:fill="auto"/>
            <w:noWrap/>
            <w:vAlign w:val="center"/>
            <w:hideMark/>
          </w:tcPr>
          <w:p w14:paraId="0D17E5D0"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Interest in specific brand/model of electric vehicle</w:t>
            </w:r>
          </w:p>
        </w:tc>
        <w:tc>
          <w:tcPr>
            <w:tcW w:w="2723" w:type="dxa"/>
            <w:tcBorders>
              <w:left w:val="single" w:sz="18" w:space="0" w:color="auto"/>
              <w:right w:val="single" w:sz="18" w:space="0" w:color="auto"/>
            </w:tcBorders>
            <w:shd w:val="clear" w:color="auto" w:fill="auto"/>
            <w:noWrap/>
            <w:vAlign w:val="center"/>
            <w:hideMark/>
          </w:tcPr>
          <w:p w14:paraId="68D818A7" w14:textId="639EDE27"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0.61</w:t>
            </w:r>
          </w:p>
        </w:tc>
        <w:tc>
          <w:tcPr>
            <w:tcW w:w="708" w:type="dxa"/>
            <w:tcBorders>
              <w:left w:val="single" w:sz="18" w:space="0" w:color="auto"/>
            </w:tcBorders>
            <w:shd w:val="clear" w:color="auto" w:fill="auto"/>
            <w:noWrap/>
            <w:vAlign w:val="center"/>
            <w:hideMark/>
          </w:tcPr>
          <w:p w14:paraId="4536B26F" w14:textId="77777777"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0.52</w:t>
            </w:r>
          </w:p>
        </w:tc>
        <w:tc>
          <w:tcPr>
            <w:tcW w:w="889" w:type="dxa"/>
            <w:gridSpan w:val="2"/>
            <w:tcBorders>
              <w:right w:val="single" w:sz="18" w:space="0" w:color="auto"/>
            </w:tcBorders>
            <w:shd w:val="clear" w:color="auto" w:fill="auto"/>
            <w:noWrap/>
            <w:vAlign w:val="center"/>
            <w:hideMark/>
          </w:tcPr>
          <w:p w14:paraId="5E681826"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14.72</w:t>
            </w:r>
          </w:p>
        </w:tc>
        <w:tc>
          <w:tcPr>
            <w:tcW w:w="825" w:type="dxa"/>
            <w:tcBorders>
              <w:left w:val="single" w:sz="18" w:space="0" w:color="auto"/>
            </w:tcBorders>
            <w:shd w:val="clear" w:color="auto" w:fill="auto"/>
            <w:noWrap/>
            <w:vAlign w:val="center"/>
            <w:hideMark/>
          </w:tcPr>
          <w:p w14:paraId="5A73631D"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1.18</w:t>
            </w:r>
          </w:p>
        </w:tc>
        <w:tc>
          <w:tcPr>
            <w:tcW w:w="720" w:type="dxa"/>
            <w:gridSpan w:val="2"/>
            <w:tcBorders>
              <w:right w:val="single" w:sz="18" w:space="0" w:color="auto"/>
            </w:tcBorders>
            <w:shd w:val="clear" w:color="auto" w:fill="auto"/>
            <w:noWrap/>
            <w:vAlign w:val="center"/>
            <w:hideMark/>
          </w:tcPr>
          <w:p w14:paraId="17AE2C4D"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95.88</w:t>
            </w:r>
          </w:p>
        </w:tc>
        <w:tc>
          <w:tcPr>
            <w:tcW w:w="720" w:type="dxa"/>
            <w:gridSpan w:val="2"/>
            <w:tcBorders>
              <w:left w:val="single" w:sz="18" w:space="0" w:color="auto"/>
            </w:tcBorders>
            <w:shd w:val="clear" w:color="auto" w:fill="auto"/>
            <w:noWrap/>
            <w:vAlign w:val="center"/>
            <w:hideMark/>
          </w:tcPr>
          <w:p w14:paraId="0FE63482"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1.26</w:t>
            </w:r>
          </w:p>
        </w:tc>
        <w:tc>
          <w:tcPr>
            <w:tcW w:w="782" w:type="dxa"/>
            <w:tcBorders>
              <w:right w:val="single" w:sz="18" w:space="0" w:color="auto"/>
            </w:tcBorders>
            <w:shd w:val="clear" w:color="auto" w:fill="auto"/>
            <w:noWrap/>
            <w:vAlign w:val="center"/>
            <w:hideMark/>
          </w:tcPr>
          <w:p w14:paraId="0D790AFD"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108.70</w:t>
            </w:r>
          </w:p>
        </w:tc>
      </w:tr>
      <w:tr w:rsidR="002C2991" w:rsidRPr="00D309F4" w14:paraId="69EEF748" w14:textId="77777777" w:rsidTr="00C07DE0">
        <w:trPr>
          <w:trHeight w:val="259"/>
          <w:jc w:val="center"/>
        </w:trPr>
        <w:tc>
          <w:tcPr>
            <w:tcW w:w="1394" w:type="dxa"/>
            <w:tcBorders>
              <w:top w:val="nil"/>
              <w:left w:val="single" w:sz="18" w:space="0" w:color="auto"/>
              <w:bottom w:val="nil"/>
              <w:right w:val="nil"/>
            </w:tcBorders>
            <w:shd w:val="clear" w:color="auto" w:fill="auto"/>
            <w:noWrap/>
            <w:vAlign w:val="center"/>
            <w:hideMark/>
          </w:tcPr>
          <w:p w14:paraId="66AA8576"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w:t>
            </w:r>
          </w:p>
        </w:tc>
        <w:tc>
          <w:tcPr>
            <w:tcW w:w="4433" w:type="dxa"/>
            <w:tcBorders>
              <w:top w:val="nil"/>
              <w:left w:val="nil"/>
              <w:bottom w:val="nil"/>
              <w:right w:val="single" w:sz="18" w:space="0" w:color="auto"/>
            </w:tcBorders>
            <w:shd w:val="clear" w:color="auto" w:fill="auto"/>
            <w:noWrap/>
            <w:vAlign w:val="center"/>
            <w:hideMark/>
          </w:tcPr>
          <w:p w14:paraId="36CEF462"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Test drove one</w:t>
            </w:r>
          </w:p>
        </w:tc>
        <w:tc>
          <w:tcPr>
            <w:tcW w:w="2723" w:type="dxa"/>
            <w:tcBorders>
              <w:left w:val="single" w:sz="18" w:space="0" w:color="auto"/>
              <w:right w:val="single" w:sz="18" w:space="0" w:color="auto"/>
            </w:tcBorders>
            <w:shd w:val="clear" w:color="auto" w:fill="auto"/>
            <w:noWrap/>
            <w:vAlign w:val="center"/>
            <w:hideMark/>
          </w:tcPr>
          <w:p w14:paraId="3C821863" w14:textId="5DCBB508"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0.18</w:t>
            </w:r>
          </w:p>
        </w:tc>
        <w:tc>
          <w:tcPr>
            <w:tcW w:w="708" w:type="dxa"/>
            <w:tcBorders>
              <w:left w:val="single" w:sz="18" w:space="0" w:color="auto"/>
            </w:tcBorders>
            <w:shd w:val="clear" w:color="auto" w:fill="auto"/>
            <w:noWrap/>
            <w:vAlign w:val="center"/>
            <w:hideMark/>
          </w:tcPr>
          <w:p w14:paraId="65EE5E10" w14:textId="77777777"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0.16</w:t>
            </w:r>
          </w:p>
        </w:tc>
        <w:tc>
          <w:tcPr>
            <w:tcW w:w="889" w:type="dxa"/>
            <w:gridSpan w:val="2"/>
            <w:tcBorders>
              <w:right w:val="single" w:sz="18" w:space="0" w:color="auto"/>
            </w:tcBorders>
            <w:shd w:val="clear" w:color="auto" w:fill="auto"/>
            <w:noWrap/>
            <w:vAlign w:val="center"/>
            <w:hideMark/>
          </w:tcPr>
          <w:p w14:paraId="049B6C53"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12.24</w:t>
            </w:r>
          </w:p>
        </w:tc>
        <w:tc>
          <w:tcPr>
            <w:tcW w:w="825" w:type="dxa"/>
            <w:tcBorders>
              <w:left w:val="single" w:sz="18" w:space="0" w:color="auto"/>
            </w:tcBorders>
            <w:shd w:val="clear" w:color="auto" w:fill="auto"/>
            <w:noWrap/>
            <w:vAlign w:val="center"/>
            <w:hideMark/>
          </w:tcPr>
          <w:p w14:paraId="59975DD4"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0.11</w:t>
            </w:r>
          </w:p>
        </w:tc>
        <w:tc>
          <w:tcPr>
            <w:tcW w:w="720" w:type="dxa"/>
            <w:gridSpan w:val="2"/>
            <w:tcBorders>
              <w:right w:val="single" w:sz="18" w:space="0" w:color="auto"/>
            </w:tcBorders>
            <w:shd w:val="clear" w:color="auto" w:fill="auto"/>
            <w:noWrap/>
            <w:vAlign w:val="center"/>
            <w:hideMark/>
          </w:tcPr>
          <w:p w14:paraId="1EF77844"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37.66</w:t>
            </w:r>
          </w:p>
        </w:tc>
        <w:tc>
          <w:tcPr>
            <w:tcW w:w="720" w:type="dxa"/>
            <w:gridSpan w:val="2"/>
            <w:tcBorders>
              <w:left w:val="single" w:sz="18" w:space="0" w:color="auto"/>
            </w:tcBorders>
            <w:shd w:val="clear" w:color="auto" w:fill="auto"/>
            <w:noWrap/>
            <w:vAlign w:val="center"/>
            <w:hideMark/>
          </w:tcPr>
          <w:p w14:paraId="16CD91E9"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0.13</w:t>
            </w:r>
          </w:p>
        </w:tc>
        <w:tc>
          <w:tcPr>
            <w:tcW w:w="782" w:type="dxa"/>
            <w:tcBorders>
              <w:right w:val="single" w:sz="18" w:space="0" w:color="auto"/>
            </w:tcBorders>
            <w:shd w:val="clear" w:color="auto" w:fill="auto"/>
            <w:noWrap/>
            <w:vAlign w:val="center"/>
            <w:hideMark/>
          </w:tcPr>
          <w:p w14:paraId="67635CE0"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27.86</w:t>
            </w:r>
          </w:p>
        </w:tc>
      </w:tr>
      <w:tr w:rsidR="002C2991" w:rsidRPr="00D309F4" w14:paraId="54F78214" w14:textId="77777777" w:rsidTr="00C07DE0">
        <w:trPr>
          <w:trHeight w:val="259"/>
          <w:jc w:val="center"/>
        </w:trPr>
        <w:tc>
          <w:tcPr>
            <w:tcW w:w="1394" w:type="dxa"/>
            <w:tcBorders>
              <w:top w:val="nil"/>
              <w:left w:val="single" w:sz="18" w:space="0" w:color="auto"/>
              <w:bottom w:val="nil"/>
              <w:right w:val="nil"/>
            </w:tcBorders>
            <w:shd w:val="clear" w:color="auto" w:fill="auto"/>
            <w:noWrap/>
            <w:vAlign w:val="center"/>
            <w:hideMark/>
          </w:tcPr>
          <w:p w14:paraId="0F91734E"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w:t>
            </w:r>
          </w:p>
        </w:tc>
        <w:tc>
          <w:tcPr>
            <w:tcW w:w="4433" w:type="dxa"/>
            <w:tcBorders>
              <w:top w:val="nil"/>
              <w:left w:val="nil"/>
              <w:bottom w:val="nil"/>
              <w:right w:val="single" w:sz="18" w:space="0" w:color="auto"/>
            </w:tcBorders>
            <w:shd w:val="clear" w:color="auto" w:fill="auto"/>
            <w:noWrap/>
            <w:vAlign w:val="center"/>
            <w:hideMark/>
          </w:tcPr>
          <w:p w14:paraId="5A012B43"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Heard about EVs from friends/family or colleagues</w:t>
            </w:r>
          </w:p>
        </w:tc>
        <w:tc>
          <w:tcPr>
            <w:tcW w:w="2723" w:type="dxa"/>
            <w:tcBorders>
              <w:left w:val="single" w:sz="18" w:space="0" w:color="auto"/>
              <w:right w:val="single" w:sz="18" w:space="0" w:color="auto"/>
            </w:tcBorders>
            <w:shd w:val="clear" w:color="auto" w:fill="auto"/>
            <w:noWrap/>
            <w:vAlign w:val="center"/>
            <w:hideMark/>
          </w:tcPr>
          <w:p w14:paraId="79E57E75" w14:textId="1B3057F5"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0.26</w:t>
            </w:r>
          </w:p>
        </w:tc>
        <w:tc>
          <w:tcPr>
            <w:tcW w:w="708" w:type="dxa"/>
            <w:tcBorders>
              <w:left w:val="single" w:sz="18" w:space="0" w:color="auto"/>
            </w:tcBorders>
            <w:shd w:val="clear" w:color="auto" w:fill="auto"/>
            <w:noWrap/>
            <w:vAlign w:val="center"/>
            <w:hideMark/>
          </w:tcPr>
          <w:p w14:paraId="74313587" w14:textId="77777777"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0.20</w:t>
            </w:r>
          </w:p>
        </w:tc>
        <w:tc>
          <w:tcPr>
            <w:tcW w:w="889" w:type="dxa"/>
            <w:gridSpan w:val="2"/>
            <w:tcBorders>
              <w:right w:val="single" w:sz="18" w:space="0" w:color="auto"/>
            </w:tcBorders>
            <w:shd w:val="clear" w:color="auto" w:fill="auto"/>
            <w:noWrap/>
            <w:vAlign w:val="center"/>
            <w:hideMark/>
          </w:tcPr>
          <w:p w14:paraId="1EDF72F5"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23.55</w:t>
            </w:r>
          </w:p>
        </w:tc>
        <w:tc>
          <w:tcPr>
            <w:tcW w:w="825" w:type="dxa"/>
            <w:tcBorders>
              <w:left w:val="single" w:sz="18" w:space="0" w:color="auto"/>
            </w:tcBorders>
            <w:shd w:val="clear" w:color="auto" w:fill="auto"/>
            <w:noWrap/>
            <w:vAlign w:val="center"/>
            <w:hideMark/>
          </w:tcPr>
          <w:p w14:paraId="7D49DEAB"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0.10</w:t>
            </w:r>
          </w:p>
        </w:tc>
        <w:tc>
          <w:tcPr>
            <w:tcW w:w="720" w:type="dxa"/>
            <w:gridSpan w:val="2"/>
            <w:tcBorders>
              <w:right w:val="single" w:sz="18" w:space="0" w:color="auto"/>
            </w:tcBorders>
            <w:shd w:val="clear" w:color="auto" w:fill="auto"/>
            <w:noWrap/>
            <w:vAlign w:val="center"/>
            <w:hideMark/>
          </w:tcPr>
          <w:p w14:paraId="15F032C5"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61.86</w:t>
            </w:r>
          </w:p>
        </w:tc>
        <w:tc>
          <w:tcPr>
            <w:tcW w:w="720" w:type="dxa"/>
            <w:gridSpan w:val="2"/>
            <w:tcBorders>
              <w:left w:val="single" w:sz="18" w:space="0" w:color="auto"/>
            </w:tcBorders>
            <w:shd w:val="clear" w:color="auto" w:fill="auto"/>
            <w:noWrap/>
            <w:vAlign w:val="center"/>
            <w:hideMark/>
          </w:tcPr>
          <w:p w14:paraId="3AD871BB"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0.10</w:t>
            </w:r>
          </w:p>
        </w:tc>
        <w:tc>
          <w:tcPr>
            <w:tcW w:w="782" w:type="dxa"/>
            <w:tcBorders>
              <w:right w:val="single" w:sz="18" w:space="0" w:color="auto"/>
            </w:tcBorders>
            <w:shd w:val="clear" w:color="auto" w:fill="auto"/>
            <w:noWrap/>
            <w:vAlign w:val="center"/>
            <w:hideMark/>
          </w:tcPr>
          <w:p w14:paraId="1C8FD553"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60.58</w:t>
            </w:r>
          </w:p>
        </w:tc>
      </w:tr>
      <w:tr w:rsidR="002C2991" w:rsidRPr="00D309F4" w14:paraId="27608572" w14:textId="77777777" w:rsidTr="00C07DE0">
        <w:trPr>
          <w:trHeight w:val="259"/>
          <w:jc w:val="center"/>
        </w:trPr>
        <w:tc>
          <w:tcPr>
            <w:tcW w:w="1394" w:type="dxa"/>
            <w:tcBorders>
              <w:top w:val="nil"/>
              <w:left w:val="single" w:sz="18" w:space="0" w:color="auto"/>
              <w:bottom w:val="nil"/>
              <w:right w:val="nil"/>
            </w:tcBorders>
            <w:shd w:val="clear" w:color="auto" w:fill="auto"/>
            <w:noWrap/>
            <w:vAlign w:val="center"/>
            <w:hideMark/>
          </w:tcPr>
          <w:p w14:paraId="36462A8F"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w:t>
            </w:r>
          </w:p>
        </w:tc>
        <w:tc>
          <w:tcPr>
            <w:tcW w:w="4433" w:type="dxa"/>
            <w:tcBorders>
              <w:top w:val="nil"/>
              <w:left w:val="nil"/>
              <w:bottom w:val="nil"/>
              <w:right w:val="single" w:sz="18" w:space="0" w:color="auto"/>
            </w:tcBorders>
            <w:shd w:val="clear" w:color="auto" w:fill="auto"/>
            <w:noWrap/>
            <w:vAlign w:val="center"/>
            <w:hideMark/>
          </w:tcPr>
          <w:p w14:paraId="3CDB7C01"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The ability to charge/"refuel" at home</w:t>
            </w:r>
          </w:p>
        </w:tc>
        <w:tc>
          <w:tcPr>
            <w:tcW w:w="2723" w:type="dxa"/>
            <w:tcBorders>
              <w:left w:val="single" w:sz="18" w:space="0" w:color="auto"/>
              <w:right w:val="single" w:sz="18" w:space="0" w:color="auto"/>
            </w:tcBorders>
            <w:shd w:val="clear" w:color="auto" w:fill="auto"/>
            <w:noWrap/>
            <w:vAlign w:val="center"/>
            <w:hideMark/>
          </w:tcPr>
          <w:p w14:paraId="4B30F3DA" w14:textId="43B91476"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0.42</w:t>
            </w:r>
          </w:p>
        </w:tc>
        <w:tc>
          <w:tcPr>
            <w:tcW w:w="708" w:type="dxa"/>
            <w:tcBorders>
              <w:left w:val="single" w:sz="18" w:space="0" w:color="auto"/>
            </w:tcBorders>
            <w:shd w:val="clear" w:color="auto" w:fill="auto"/>
            <w:noWrap/>
            <w:vAlign w:val="center"/>
            <w:hideMark/>
          </w:tcPr>
          <w:p w14:paraId="3007C298" w14:textId="77777777"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0.90</w:t>
            </w:r>
          </w:p>
        </w:tc>
        <w:tc>
          <w:tcPr>
            <w:tcW w:w="889" w:type="dxa"/>
            <w:gridSpan w:val="2"/>
            <w:tcBorders>
              <w:right w:val="single" w:sz="18" w:space="0" w:color="auto"/>
            </w:tcBorders>
            <w:shd w:val="clear" w:color="auto" w:fill="auto"/>
            <w:noWrap/>
            <w:vAlign w:val="center"/>
            <w:hideMark/>
          </w:tcPr>
          <w:p w14:paraId="34C1173D"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111.29</w:t>
            </w:r>
          </w:p>
        </w:tc>
        <w:tc>
          <w:tcPr>
            <w:tcW w:w="825" w:type="dxa"/>
            <w:tcBorders>
              <w:left w:val="single" w:sz="18" w:space="0" w:color="auto"/>
            </w:tcBorders>
            <w:shd w:val="clear" w:color="auto" w:fill="auto"/>
            <w:noWrap/>
            <w:vAlign w:val="center"/>
            <w:hideMark/>
          </w:tcPr>
          <w:p w14:paraId="6EA546B7"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0.57</w:t>
            </w:r>
          </w:p>
        </w:tc>
        <w:tc>
          <w:tcPr>
            <w:tcW w:w="720" w:type="dxa"/>
            <w:gridSpan w:val="2"/>
            <w:tcBorders>
              <w:right w:val="single" w:sz="18" w:space="0" w:color="auto"/>
            </w:tcBorders>
            <w:shd w:val="clear" w:color="auto" w:fill="auto"/>
            <w:noWrap/>
            <w:vAlign w:val="center"/>
            <w:hideMark/>
          </w:tcPr>
          <w:p w14:paraId="5596C63A"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34.91</w:t>
            </w:r>
          </w:p>
        </w:tc>
        <w:tc>
          <w:tcPr>
            <w:tcW w:w="720" w:type="dxa"/>
            <w:gridSpan w:val="2"/>
            <w:tcBorders>
              <w:left w:val="single" w:sz="18" w:space="0" w:color="auto"/>
            </w:tcBorders>
            <w:shd w:val="clear" w:color="auto" w:fill="auto"/>
            <w:noWrap/>
            <w:vAlign w:val="center"/>
            <w:hideMark/>
          </w:tcPr>
          <w:p w14:paraId="143F80B4"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0.89</w:t>
            </w:r>
          </w:p>
        </w:tc>
        <w:tc>
          <w:tcPr>
            <w:tcW w:w="782" w:type="dxa"/>
            <w:tcBorders>
              <w:right w:val="single" w:sz="18" w:space="0" w:color="auto"/>
            </w:tcBorders>
            <w:shd w:val="clear" w:color="auto" w:fill="auto"/>
            <w:noWrap/>
            <w:vAlign w:val="center"/>
            <w:hideMark/>
          </w:tcPr>
          <w:p w14:paraId="633946DD"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110.12</w:t>
            </w:r>
          </w:p>
        </w:tc>
      </w:tr>
      <w:tr w:rsidR="002C2991" w:rsidRPr="00D309F4" w14:paraId="515B3C70" w14:textId="77777777" w:rsidTr="00C07DE0">
        <w:trPr>
          <w:trHeight w:val="259"/>
          <w:jc w:val="center"/>
        </w:trPr>
        <w:tc>
          <w:tcPr>
            <w:tcW w:w="1394" w:type="dxa"/>
            <w:tcBorders>
              <w:top w:val="nil"/>
              <w:left w:val="single" w:sz="18" w:space="0" w:color="auto"/>
              <w:bottom w:val="single" w:sz="18" w:space="0" w:color="auto"/>
              <w:right w:val="nil"/>
            </w:tcBorders>
            <w:shd w:val="clear" w:color="auto" w:fill="auto"/>
            <w:noWrap/>
            <w:vAlign w:val="center"/>
            <w:hideMark/>
          </w:tcPr>
          <w:p w14:paraId="3CEC353D"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w:t>
            </w:r>
          </w:p>
        </w:tc>
        <w:tc>
          <w:tcPr>
            <w:tcW w:w="4433" w:type="dxa"/>
            <w:tcBorders>
              <w:top w:val="nil"/>
              <w:left w:val="nil"/>
              <w:bottom w:val="single" w:sz="18" w:space="0" w:color="auto"/>
              <w:right w:val="single" w:sz="18" w:space="0" w:color="auto"/>
            </w:tcBorders>
            <w:shd w:val="clear" w:color="auto" w:fill="auto"/>
            <w:noWrap/>
            <w:vAlign w:val="center"/>
            <w:hideMark/>
          </w:tcPr>
          <w:p w14:paraId="4CC3424C" w14:textId="77777777" w:rsidR="002C2991" w:rsidRPr="00D309F4" w:rsidRDefault="002C2991" w:rsidP="002C2991">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Concerns about climate change</w:t>
            </w:r>
          </w:p>
        </w:tc>
        <w:tc>
          <w:tcPr>
            <w:tcW w:w="2723" w:type="dxa"/>
            <w:tcBorders>
              <w:left w:val="single" w:sz="18" w:space="0" w:color="auto"/>
              <w:bottom w:val="single" w:sz="18" w:space="0" w:color="auto"/>
              <w:right w:val="single" w:sz="18" w:space="0" w:color="auto"/>
            </w:tcBorders>
            <w:shd w:val="clear" w:color="auto" w:fill="auto"/>
            <w:noWrap/>
            <w:vAlign w:val="center"/>
            <w:hideMark/>
          </w:tcPr>
          <w:p w14:paraId="79D32EFA" w14:textId="3705EA23" w:rsidR="002C2991" w:rsidRPr="00D309F4" w:rsidRDefault="0075658F" w:rsidP="002C2991">
            <w:pPr>
              <w:tabs>
                <w:tab w:val="decimal" w:pos="7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  </w:t>
            </w:r>
            <w:r w:rsidR="002C2991" w:rsidRPr="00D309F4">
              <w:rPr>
                <w:rFonts w:eastAsia="Times New Roman" w:cs="Times New Roman"/>
                <w:color w:val="000000"/>
                <w:kern w:val="0"/>
                <w:sz w:val="20"/>
                <w:szCs w:val="20"/>
                <w14:ligatures w14:val="none"/>
              </w:rPr>
              <w:t>1.65</w:t>
            </w:r>
          </w:p>
        </w:tc>
        <w:tc>
          <w:tcPr>
            <w:tcW w:w="708" w:type="dxa"/>
            <w:tcBorders>
              <w:left w:val="single" w:sz="18" w:space="0" w:color="auto"/>
              <w:bottom w:val="single" w:sz="18" w:space="0" w:color="auto"/>
            </w:tcBorders>
            <w:shd w:val="clear" w:color="auto" w:fill="auto"/>
            <w:noWrap/>
            <w:vAlign w:val="center"/>
            <w:hideMark/>
          </w:tcPr>
          <w:p w14:paraId="35BE3710" w14:textId="77777777" w:rsidR="002C2991" w:rsidRPr="00D309F4" w:rsidRDefault="002C2991" w:rsidP="002C2991">
            <w:pPr>
              <w:tabs>
                <w:tab w:val="decimal" w:pos="15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0.98</w:t>
            </w:r>
          </w:p>
        </w:tc>
        <w:tc>
          <w:tcPr>
            <w:tcW w:w="889" w:type="dxa"/>
            <w:gridSpan w:val="2"/>
            <w:tcBorders>
              <w:bottom w:val="single" w:sz="18" w:space="0" w:color="auto"/>
              <w:right w:val="single" w:sz="18" w:space="0" w:color="auto"/>
            </w:tcBorders>
            <w:shd w:val="clear" w:color="auto" w:fill="auto"/>
            <w:noWrap/>
            <w:vAlign w:val="center"/>
            <w:hideMark/>
          </w:tcPr>
          <w:p w14:paraId="5D533F98" w14:textId="77777777" w:rsidR="002C2991" w:rsidRPr="00D309F4" w:rsidRDefault="002C2991" w:rsidP="002C2991">
            <w:pPr>
              <w:tabs>
                <w:tab w:val="decimal" w:pos="345"/>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40.37</w:t>
            </w:r>
          </w:p>
        </w:tc>
        <w:tc>
          <w:tcPr>
            <w:tcW w:w="825" w:type="dxa"/>
            <w:tcBorders>
              <w:left w:val="single" w:sz="18" w:space="0" w:color="auto"/>
            </w:tcBorders>
            <w:shd w:val="clear" w:color="auto" w:fill="auto"/>
            <w:noWrap/>
            <w:vAlign w:val="center"/>
            <w:hideMark/>
          </w:tcPr>
          <w:p w14:paraId="5DBBA1CE" w14:textId="77777777" w:rsidR="002C2991" w:rsidRPr="00D309F4" w:rsidRDefault="002C2991" w:rsidP="002C2991">
            <w:pPr>
              <w:tabs>
                <w:tab w:val="decimal" w:pos="24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2.62</w:t>
            </w:r>
          </w:p>
        </w:tc>
        <w:tc>
          <w:tcPr>
            <w:tcW w:w="720" w:type="dxa"/>
            <w:gridSpan w:val="2"/>
            <w:tcBorders>
              <w:right w:val="single" w:sz="18" w:space="0" w:color="auto"/>
            </w:tcBorders>
            <w:shd w:val="clear" w:color="auto" w:fill="auto"/>
            <w:noWrap/>
            <w:vAlign w:val="center"/>
            <w:hideMark/>
          </w:tcPr>
          <w:p w14:paraId="023B31C8" w14:textId="77777777" w:rsidR="002C2991" w:rsidRPr="00D309F4" w:rsidRDefault="002C2991" w:rsidP="002C2991">
            <w:pPr>
              <w:tabs>
                <w:tab w:val="decimal" w:pos="169"/>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58.91</w:t>
            </w:r>
          </w:p>
        </w:tc>
        <w:tc>
          <w:tcPr>
            <w:tcW w:w="720" w:type="dxa"/>
            <w:gridSpan w:val="2"/>
            <w:tcBorders>
              <w:left w:val="single" w:sz="18" w:space="0" w:color="auto"/>
              <w:bottom w:val="single" w:sz="18" w:space="0" w:color="auto"/>
            </w:tcBorders>
            <w:shd w:val="clear" w:color="auto" w:fill="auto"/>
            <w:noWrap/>
            <w:vAlign w:val="center"/>
            <w:hideMark/>
          </w:tcPr>
          <w:p w14:paraId="33F1863F" w14:textId="77777777" w:rsidR="002C2991" w:rsidRPr="00D309F4" w:rsidRDefault="002C2991" w:rsidP="002C2991">
            <w:pPr>
              <w:tabs>
                <w:tab w:val="decimal" w:pos="1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2.30</w:t>
            </w:r>
          </w:p>
        </w:tc>
        <w:tc>
          <w:tcPr>
            <w:tcW w:w="782" w:type="dxa"/>
            <w:tcBorders>
              <w:bottom w:val="single" w:sz="18" w:space="0" w:color="auto"/>
              <w:right w:val="single" w:sz="18" w:space="0" w:color="auto"/>
            </w:tcBorders>
            <w:shd w:val="clear" w:color="auto" w:fill="auto"/>
            <w:noWrap/>
            <w:vAlign w:val="center"/>
            <w:hideMark/>
          </w:tcPr>
          <w:p w14:paraId="53B7E865" w14:textId="77777777" w:rsidR="002C2991" w:rsidRPr="00D309F4" w:rsidRDefault="002C2991" w:rsidP="002C2991">
            <w:pPr>
              <w:tabs>
                <w:tab w:val="decimal" w:pos="263"/>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39.18</w:t>
            </w:r>
          </w:p>
        </w:tc>
      </w:tr>
      <w:tr w:rsidR="002C2991" w:rsidRPr="00D309F4" w14:paraId="467A0D04" w14:textId="77777777" w:rsidTr="00C07DE0">
        <w:trPr>
          <w:trHeight w:val="259"/>
          <w:jc w:val="center"/>
        </w:trPr>
        <w:tc>
          <w:tcPr>
            <w:tcW w:w="8550" w:type="dxa"/>
            <w:gridSpan w:val="3"/>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342A750C" w14:textId="77777777" w:rsidR="002C2991" w:rsidRPr="00D309F4" w:rsidRDefault="002C2991" w:rsidP="002C2991">
            <w:pPr>
              <w:spacing w:after="0" w:line="240" w:lineRule="auto"/>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Weighted Average Percent Error (WAPE)</w:t>
            </w:r>
          </w:p>
        </w:tc>
        <w:tc>
          <w:tcPr>
            <w:tcW w:w="1597" w:type="dxa"/>
            <w:gridSpan w:val="3"/>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5BD91776" w14:textId="0D9A74B6" w:rsidR="002C2991" w:rsidRPr="00D309F4" w:rsidRDefault="002C2991"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1</w:t>
            </w:r>
            <w:r w:rsidR="00BA744D" w:rsidRPr="00D309F4">
              <w:rPr>
                <w:rFonts w:eastAsia="Times New Roman" w:cs="Times New Roman"/>
                <w:b/>
                <w:bCs/>
                <w:color w:val="000000"/>
                <w:kern w:val="0"/>
                <w:sz w:val="20"/>
                <w:szCs w:val="20"/>
                <w14:ligatures w14:val="none"/>
              </w:rPr>
              <w:t>.69</w:t>
            </w:r>
          </w:p>
        </w:tc>
        <w:tc>
          <w:tcPr>
            <w:tcW w:w="1553" w:type="dxa"/>
            <w:gridSpan w:val="4"/>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3265FC5C" w14:textId="089B9CAA" w:rsidR="002C2991" w:rsidRPr="00D309F4" w:rsidRDefault="00BA744D"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3.86</w:t>
            </w:r>
          </w:p>
        </w:tc>
        <w:tc>
          <w:tcPr>
            <w:tcW w:w="1494" w:type="dxa"/>
            <w:gridSpan w:val="2"/>
            <w:tcBorders>
              <w:top w:val="single" w:sz="18" w:space="0" w:color="auto"/>
              <w:left w:val="single" w:sz="18" w:space="0" w:color="auto"/>
              <w:bottom w:val="single" w:sz="18" w:space="0" w:color="auto"/>
              <w:right w:val="single" w:sz="18" w:space="0" w:color="auto"/>
            </w:tcBorders>
            <w:shd w:val="clear" w:color="auto" w:fill="auto"/>
            <w:noWrap/>
            <w:vAlign w:val="center"/>
            <w:hideMark/>
          </w:tcPr>
          <w:p w14:paraId="0D8F1DE2" w14:textId="3D0FF886" w:rsidR="002C2991" w:rsidRPr="00D309F4" w:rsidRDefault="00BA744D" w:rsidP="002C2991">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4.37</w:t>
            </w:r>
          </w:p>
        </w:tc>
      </w:tr>
    </w:tbl>
    <w:p w14:paraId="73FB876E" w14:textId="77777777" w:rsidR="00384FAC" w:rsidRPr="00D309F4" w:rsidRDefault="00384FAC" w:rsidP="00B95636">
      <w:pPr>
        <w:spacing w:after="0" w:line="240" w:lineRule="auto"/>
        <w:jc w:val="both"/>
        <w:rPr>
          <w:rFonts w:cs="Times New Roman"/>
          <w:b/>
          <w:bCs/>
        </w:rPr>
        <w:sectPr w:rsidR="00384FAC" w:rsidRPr="00D309F4" w:rsidSect="00AA2B7C">
          <w:pgSz w:w="15840" w:h="12240" w:orient="landscape" w:code="1"/>
          <w:pgMar w:top="1440" w:right="1440" w:bottom="1440" w:left="1440" w:header="720" w:footer="720" w:gutter="0"/>
          <w:cols w:space="720"/>
          <w:docGrid w:linePitch="360"/>
        </w:sectPr>
      </w:pPr>
    </w:p>
    <w:p w14:paraId="4AAD9A67" w14:textId="0F98F6AE" w:rsidR="00384FAC" w:rsidRPr="00D309F4" w:rsidRDefault="00384FAC" w:rsidP="00B95636">
      <w:pPr>
        <w:spacing w:after="0" w:line="240" w:lineRule="auto"/>
        <w:jc w:val="both"/>
        <w:rPr>
          <w:rFonts w:cs="Times New Roman"/>
          <w:b/>
          <w:bCs/>
          <w:sz w:val="22"/>
          <w:szCs w:val="22"/>
        </w:rPr>
      </w:pPr>
      <w:r w:rsidRPr="00D309F4">
        <w:rPr>
          <w:rFonts w:cs="Times New Roman"/>
          <w:b/>
          <w:bCs/>
          <w:sz w:val="22"/>
          <w:szCs w:val="22"/>
        </w:rPr>
        <w:lastRenderedPageBreak/>
        <w:t xml:space="preserve">Table 6: </w:t>
      </w:r>
      <w:r w:rsidR="00670586" w:rsidRPr="00D309F4">
        <w:rPr>
          <w:rFonts w:cs="Times New Roman"/>
          <w:b/>
          <w:bCs/>
          <w:sz w:val="22"/>
          <w:szCs w:val="22"/>
        </w:rPr>
        <w:t>Measures of Fit by Market Segment of the Estimation Sample</w:t>
      </w:r>
    </w:p>
    <w:p w14:paraId="7C035613" w14:textId="77777777" w:rsidR="00384FAC" w:rsidRPr="00D309F4" w:rsidRDefault="00384FAC" w:rsidP="00B95636">
      <w:pPr>
        <w:spacing w:after="0" w:line="240" w:lineRule="auto"/>
        <w:jc w:val="both"/>
        <w:rPr>
          <w:rFonts w:cs="Times New Roman"/>
          <w:b/>
          <w:bCs/>
          <w:sz w:val="22"/>
          <w:szCs w:val="22"/>
        </w:rPr>
      </w:pPr>
    </w:p>
    <w:tbl>
      <w:tblPr>
        <w:tblW w:w="10352" w:type="dxa"/>
        <w:jc w:val="center"/>
        <w:tblCellMar>
          <w:left w:w="58" w:type="dxa"/>
          <w:right w:w="29" w:type="dxa"/>
        </w:tblCellMar>
        <w:tblLook w:val="04A0" w:firstRow="1" w:lastRow="0" w:firstColumn="1" w:lastColumn="0" w:noHBand="0" w:noVBand="1"/>
      </w:tblPr>
      <w:tblGrid>
        <w:gridCol w:w="2227"/>
        <w:gridCol w:w="887"/>
        <w:gridCol w:w="1165"/>
        <w:gridCol w:w="905"/>
        <w:gridCol w:w="2250"/>
        <w:gridCol w:w="887"/>
        <w:gridCol w:w="1165"/>
        <w:gridCol w:w="866"/>
      </w:tblGrid>
      <w:tr w:rsidR="00384FAC" w:rsidRPr="00D309F4" w14:paraId="7467195B" w14:textId="77777777" w:rsidTr="00880D16">
        <w:trPr>
          <w:trHeight w:val="274"/>
          <w:jc w:val="center"/>
        </w:trPr>
        <w:tc>
          <w:tcPr>
            <w:tcW w:w="2227"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14:paraId="3F4D89D6" w14:textId="77777777"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Measures of Fit</w:t>
            </w:r>
          </w:p>
        </w:tc>
        <w:tc>
          <w:tcPr>
            <w:tcW w:w="887" w:type="dxa"/>
            <w:tcBorders>
              <w:top w:val="single" w:sz="18" w:space="0" w:color="auto"/>
              <w:left w:val="nil"/>
              <w:bottom w:val="single" w:sz="18" w:space="0" w:color="auto"/>
              <w:right w:val="nil"/>
            </w:tcBorders>
            <w:shd w:val="clear" w:color="auto" w:fill="auto"/>
            <w:noWrap/>
            <w:vAlign w:val="center"/>
            <w:hideMark/>
          </w:tcPr>
          <w:p w14:paraId="1CADAE69" w14:textId="77777777"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Proposed GHDM</w:t>
            </w:r>
          </w:p>
        </w:tc>
        <w:tc>
          <w:tcPr>
            <w:tcW w:w="1165" w:type="dxa"/>
            <w:tcBorders>
              <w:top w:val="single" w:sz="18" w:space="0" w:color="auto"/>
              <w:left w:val="nil"/>
              <w:bottom w:val="single" w:sz="18" w:space="0" w:color="auto"/>
              <w:right w:val="nil"/>
            </w:tcBorders>
            <w:shd w:val="clear" w:color="auto" w:fill="auto"/>
            <w:noWrap/>
            <w:vAlign w:val="center"/>
            <w:hideMark/>
          </w:tcPr>
          <w:p w14:paraId="4E08B98D" w14:textId="77777777"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GHDM without Correlations</w:t>
            </w:r>
          </w:p>
        </w:tc>
        <w:tc>
          <w:tcPr>
            <w:tcW w:w="905" w:type="dxa"/>
            <w:tcBorders>
              <w:top w:val="single" w:sz="18" w:space="0" w:color="auto"/>
              <w:left w:val="nil"/>
              <w:bottom w:val="single" w:sz="18" w:space="0" w:color="auto"/>
              <w:right w:val="single" w:sz="18" w:space="0" w:color="auto"/>
            </w:tcBorders>
            <w:shd w:val="clear" w:color="auto" w:fill="auto"/>
            <w:noWrap/>
            <w:vAlign w:val="center"/>
            <w:hideMark/>
          </w:tcPr>
          <w:p w14:paraId="3FC33409" w14:textId="77777777"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IHDM</w:t>
            </w:r>
          </w:p>
        </w:tc>
        <w:tc>
          <w:tcPr>
            <w:tcW w:w="2250" w:type="dxa"/>
            <w:tcBorders>
              <w:top w:val="single" w:sz="18" w:space="0" w:color="auto"/>
              <w:left w:val="single" w:sz="18" w:space="0" w:color="auto"/>
              <w:bottom w:val="single" w:sz="18" w:space="0" w:color="auto"/>
              <w:right w:val="single" w:sz="4" w:space="0" w:color="auto"/>
            </w:tcBorders>
            <w:shd w:val="clear" w:color="auto" w:fill="auto"/>
            <w:noWrap/>
            <w:vAlign w:val="center"/>
            <w:hideMark/>
          </w:tcPr>
          <w:p w14:paraId="3EB000A1" w14:textId="77777777"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Measures of Fit</w:t>
            </w:r>
          </w:p>
        </w:tc>
        <w:tc>
          <w:tcPr>
            <w:tcW w:w="887" w:type="dxa"/>
            <w:tcBorders>
              <w:top w:val="single" w:sz="18" w:space="0" w:color="auto"/>
              <w:left w:val="nil"/>
              <w:bottom w:val="single" w:sz="18" w:space="0" w:color="auto"/>
              <w:right w:val="nil"/>
            </w:tcBorders>
            <w:shd w:val="clear" w:color="auto" w:fill="auto"/>
            <w:noWrap/>
            <w:vAlign w:val="center"/>
            <w:hideMark/>
          </w:tcPr>
          <w:p w14:paraId="011505A5" w14:textId="29F1FAB3"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Proposed GHDM</w:t>
            </w:r>
          </w:p>
        </w:tc>
        <w:tc>
          <w:tcPr>
            <w:tcW w:w="1165" w:type="dxa"/>
            <w:tcBorders>
              <w:top w:val="single" w:sz="18" w:space="0" w:color="auto"/>
              <w:left w:val="nil"/>
              <w:bottom w:val="single" w:sz="18" w:space="0" w:color="auto"/>
              <w:right w:val="nil"/>
            </w:tcBorders>
            <w:shd w:val="clear" w:color="auto" w:fill="auto"/>
            <w:noWrap/>
            <w:vAlign w:val="center"/>
            <w:hideMark/>
          </w:tcPr>
          <w:p w14:paraId="1E8646A9" w14:textId="7413FA52"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GHDM without Correlations</w:t>
            </w:r>
          </w:p>
        </w:tc>
        <w:tc>
          <w:tcPr>
            <w:tcW w:w="866" w:type="dxa"/>
            <w:tcBorders>
              <w:top w:val="single" w:sz="18" w:space="0" w:color="auto"/>
              <w:left w:val="nil"/>
              <w:bottom w:val="single" w:sz="18" w:space="0" w:color="auto"/>
              <w:right w:val="single" w:sz="18" w:space="0" w:color="auto"/>
            </w:tcBorders>
            <w:shd w:val="clear" w:color="auto" w:fill="auto"/>
            <w:noWrap/>
            <w:vAlign w:val="center"/>
            <w:hideMark/>
          </w:tcPr>
          <w:p w14:paraId="20519252" w14:textId="1CF576F9" w:rsidR="00384FAC" w:rsidRPr="00D309F4" w:rsidRDefault="00384FAC" w:rsidP="00670586">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IHDM</w:t>
            </w:r>
          </w:p>
        </w:tc>
      </w:tr>
      <w:tr w:rsidR="00384FAC" w:rsidRPr="00D309F4" w14:paraId="697937E1" w14:textId="77777777" w:rsidTr="00880D16">
        <w:trPr>
          <w:trHeight w:val="274"/>
          <w:jc w:val="center"/>
        </w:trPr>
        <w:tc>
          <w:tcPr>
            <w:tcW w:w="2227" w:type="dxa"/>
            <w:tcBorders>
              <w:top w:val="single" w:sz="18" w:space="0" w:color="auto"/>
              <w:left w:val="single" w:sz="18" w:space="0" w:color="auto"/>
              <w:bottom w:val="single" w:sz="4" w:space="0" w:color="auto"/>
              <w:right w:val="single" w:sz="4" w:space="0" w:color="auto"/>
            </w:tcBorders>
            <w:shd w:val="clear" w:color="auto" w:fill="auto"/>
            <w:noWrap/>
            <w:vAlign w:val="center"/>
          </w:tcPr>
          <w:p w14:paraId="5D9DC432" w14:textId="166020A5" w:rsidR="00384FAC" w:rsidRPr="00D309F4" w:rsidRDefault="00384FAC"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57" w:type="dxa"/>
            <w:gridSpan w:val="3"/>
            <w:tcBorders>
              <w:top w:val="single" w:sz="18" w:space="0" w:color="auto"/>
              <w:left w:val="nil"/>
              <w:bottom w:val="single" w:sz="4" w:space="0" w:color="auto"/>
              <w:right w:val="single" w:sz="18" w:space="0" w:color="auto"/>
            </w:tcBorders>
            <w:shd w:val="clear" w:color="auto" w:fill="auto"/>
            <w:noWrap/>
            <w:vAlign w:val="center"/>
          </w:tcPr>
          <w:p w14:paraId="44DDB0C7" w14:textId="0FAD7FCB" w:rsidR="00384FAC" w:rsidRPr="00D309F4" w:rsidRDefault="00384FAC" w:rsidP="00384FAC">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Age: 55-64</w:t>
            </w:r>
          </w:p>
        </w:tc>
        <w:tc>
          <w:tcPr>
            <w:tcW w:w="2250" w:type="dxa"/>
            <w:tcBorders>
              <w:top w:val="single" w:sz="18" w:space="0" w:color="auto"/>
              <w:left w:val="single" w:sz="18" w:space="0" w:color="auto"/>
              <w:bottom w:val="single" w:sz="4" w:space="0" w:color="auto"/>
              <w:right w:val="single" w:sz="4" w:space="0" w:color="auto"/>
            </w:tcBorders>
            <w:shd w:val="clear" w:color="auto" w:fill="auto"/>
            <w:noWrap/>
            <w:vAlign w:val="center"/>
          </w:tcPr>
          <w:p w14:paraId="07D3A354" w14:textId="60DE1D6C" w:rsidR="00384FAC" w:rsidRPr="00D309F4" w:rsidRDefault="00384FAC"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18" w:type="dxa"/>
            <w:gridSpan w:val="3"/>
            <w:tcBorders>
              <w:top w:val="single" w:sz="18" w:space="0" w:color="auto"/>
              <w:left w:val="nil"/>
              <w:bottom w:val="single" w:sz="4" w:space="0" w:color="auto"/>
              <w:right w:val="single" w:sz="18" w:space="0" w:color="auto"/>
            </w:tcBorders>
            <w:shd w:val="clear" w:color="auto" w:fill="auto"/>
            <w:noWrap/>
            <w:vAlign w:val="center"/>
          </w:tcPr>
          <w:p w14:paraId="53EDEBBB" w14:textId="51915259" w:rsidR="00384FAC" w:rsidRPr="00D309F4" w:rsidRDefault="00384FAC" w:rsidP="00384FAC">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Gender: Male</w:t>
            </w:r>
          </w:p>
        </w:tc>
      </w:tr>
      <w:tr w:rsidR="006E6035" w:rsidRPr="00D309F4" w14:paraId="0C69E4F8"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hideMark/>
          </w:tcPr>
          <w:p w14:paraId="3244BE25" w14:textId="77777777" w:rsidR="00384FAC" w:rsidRPr="00D309F4" w:rsidRDefault="00384FAC"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57" w:type="dxa"/>
            <w:gridSpan w:val="3"/>
            <w:tcBorders>
              <w:top w:val="nil"/>
              <w:left w:val="nil"/>
              <w:bottom w:val="nil"/>
              <w:right w:val="single" w:sz="18" w:space="0" w:color="auto"/>
            </w:tcBorders>
            <w:shd w:val="clear" w:color="auto" w:fill="auto"/>
            <w:noWrap/>
            <w:vAlign w:val="center"/>
            <w:hideMark/>
          </w:tcPr>
          <w:p w14:paraId="123F59E6" w14:textId="77777777" w:rsidR="00384FAC" w:rsidRPr="00D309F4" w:rsidRDefault="00384FAC"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360</w:t>
            </w:r>
          </w:p>
        </w:tc>
        <w:tc>
          <w:tcPr>
            <w:tcW w:w="2250" w:type="dxa"/>
            <w:tcBorders>
              <w:top w:val="nil"/>
              <w:left w:val="single" w:sz="18" w:space="0" w:color="auto"/>
              <w:bottom w:val="nil"/>
              <w:right w:val="single" w:sz="4" w:space="0" w:color="auto"/>
            </w:tcBorders>
            <w:shd w:val="clear" w:color="auto" w:fill="auto"/>
            <w:noWrap/>
            <w:vAlign w:val="center"/>
            <w:hideMark/>
          </w:tcPr>
          <w:p w14:paraId="236898D5" w14:textId="77777777" w:rsidR="00384FAC" w:rsidRPr="00D309F4" w:rsidRDefault="00384FAC"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18" w:type="dxa"/>
            <w:gridSpan w:val="3"/>
            <w:tcBorders>
              <w:top w:val="nil"/>
              <w:left w:val="nil"/>
              <w:bottom w:val="nil"/>
              <w:right w:val="single" w:sz="18" w:space="0" w:color="auto"/>
            </w:tcBorders>
            <w:shd w:val="clear" w:color="auto" w:fill="auto"/>
            <w:noWrap/>
            <w:vAlign w:val="center"/>
            <w:hideMark/>
          </w:tcPr>
          <w:p w14:paraId="7EBBF9C5" w14:textId="77777777" w:rsidR="00384FAC" w:rsidRPr="00D309F4" w:rsidRDefault="00384FAC"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630</w:t>
            </w:r>
          </w:p>
        </w:tc>
      </w:tr>
      <w:tr w:rsidR="00384FAC" w:rsidRPr="00D309F4" w14:paraId="6786936D"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hideMark/>
          </w:tcPr>
          <w:p w14:paraId="5581AEDF" w14:textId="77777777" w:rsidR="00384FAC" w:rsidRPr="00D309F4" w:rsidRDefault="00384FAC"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6B1E845D" w14:textId="77777777" w:rsidR="00384FAC" w:rsidRPr="00D309F4" w:rsidRDefault="00384FAC"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-702.18</w:t>
            </w:r>
          </w:p>
        </w:tc>
        <w:tc>
          <w:tcPr>
            <w:tcW w:w="1165" w:type="dxa"/>
            <w:tcBorders>
              <w:top w:val="nil"/>
              <w:left w:val="nil"/>
              <w:bottom w:val="nil"/>
              <w:right w:val="nil"/>
            </w:tcBorders>
            <w:shd w:val="clear" w:color="auto" w:fill="auto"/>
            <w:noWrap/>
            <w:vAlign w:val="center"/>
            <w:hideMark/>
          </w:tcPr>
          <w:p w14:paraId="0CC8DE72" w14:textId="77777777" w:rsidR="00384FAC" w:rsidRPr="00D309F4" w:rsidRDefault="00384FAC"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-709.36</w:t>
            </w:r>
          </w:p>
        </w:tc>
        <w:tc>
          <w:tcPr>
            <w:tcW w:w="905" w:type="dxa"/>
            <w:tcBorders>
              <w:top w:val="nil"/>
              <w:left w:val="nil"/>
              <w:bottom w:val="nil"/>
              <w:right w:val="single" w:sz="18" w:space="0" w:color="auto"/>
            </w:tcBorders>
            <w:shd w:val="clear" w:color="auto" w:fill="auto"/>
            <w:noWrap/>
            <w:vAlign w:val="center"/>
            <w:hideMark/>
          </w:tcPr>
          <w:p w14:paraId="110A7C3B" w14:textId="77777777" w:rsidR="00384FAC" w:rsidRPr="00D309F4" w:rsidRDefault="00384FAC"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-843.35</w:t>
            </w:r>
          </w:p>
        </w:tc>
        <w:tc>
          <w:tcPr>
            <w:tcW w:w="2250" w:type="dxa"/>
            <w:tcBorders>
              <w:top w:val="nil"/>
              <w:left w:val="single" w:sz="18" w:space="0" w:color="auto"/>
              <w:bottom w:val="nil"/>
              <w:right w:val="single" w:sz="4" w:space="0" w:color="auto"/>
            </w:tcBorders>
            <w:shd w:val="clear" w:color="auto" w:fill="auto"/>
            <w:noWrap/>
            <w:vAlign w:val="center"/>
            <w:hideMark/>
          </w:tcPr>
          <w:p w14:paraId="5A4C9B7B" w14:textId="77777777" w:rsidR="00384FAC" w:rsidRPr="00D309F4" w:rsidRDefault="00384FAC"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47F5926D" w14:textId="77777777" w:rsidR="00384FAC" w:rsidRPr="00D309F4" w:rsidRDefault="00384FAC"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-1304.14</w:t>
            </w:r>
          </w:p>
        </w:tc>
        <w:tc>
          <w:tcPr>
            <w:tcW w:w="1165" w:type="dxa"/>
            <w:tcBorders>
              <w:top w:val="nil"/>
              <w:left w:val="nil"/>
              <w:bottom w:val="nil"/>
              <w:right w:val="nil"/>
            </w:tcBorders>
            <w:shd w:val="clear" w:color="auto" w:fill="auto"/>
            <w:noWrap/>
            <w:vAlign w:val="center"/>
            <w:hideMark/>
          </w:tcPr>
          <w:p w14:paraId="32FF4A26" w14:textId="3DDB594E" w:rsidR="00384FAC" w:rsidRPr="00D309F4" w:rsidRDefault="006E6035"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-1317.96</w:t>
            </w:r>
          </w:p>
        </w:tc>
        <w:tc>
          <w:tcPr>
            <w:tcW w:w="866" w:type="dxa"/>
            <w:tcBorders>
              <w:top w:val="nil"/>
              <w:left w:val="nil"/>
              <w:bottom w:val="nil"/>
              <w:right w:val="single" w:sz="18" w:space="0" w:color="auto"/>
            </w:tcBorders>
            <w:shd w:val="clear" w:color="auto" w:fill="auto"/>
            <w:noWrap/>
            <w:vAlign w:val="center"/>
            <w:hideMark/>
          </w:tcPr>
          <w:p w14:paraId="06CC5286" w14:textId="77777777" w:rsidR="00384FAC" w:rsidRPr="00D309F4" w:rsidRDefault="00384FAC" w:rsidP="00384FAC">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-1541.52</w:t>
            </w:r>
          </w:p>
        </w:tc>
      </w:tr>
      <w:tr w:rsidR="006E6035" w:rsidRPr="00D309F4" w14:paraId="3F69ABF5"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4C30264B" w14:textId="654E0B34"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6E39D99E"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3C5E8274" w14:textId="1795C4A3"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14.35</w:t>
            </w:r>
          </w:p>
        </w:tc>
        <w:tc>
          <w:tcPr>
            <w:tcW w:w="905" w:type="dxa"/>
            <w:tcBorders>
              <w:top w:val="nil"/>
              <w:left w:val="nil"/>
              <w:bottom w:val="nil"/>
              <w:right w:val="single" w:sz="18" w:space="0" w:color="auto"/>
            </w:tcBorders>
            <w:shd w:val="clear" w:color="auto" w:fill="auto"/>
            <w:noWrap/>
            <w:vAlign w:val="center"/>
          </w:tcPr>
          <w:p w14:paraId="10BF5FF4"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c>
          <w:tcPr>
            <w:tcW w:w="2250" w:type="dxa"/>
            <w:tcBorders>
              <w:top w:val="nil"/>
              <w:left w:val="single" w:sz="18" w:space="0" w:color="auto"/>
              <w:bottom w:val="nil"/>
              <w:right w:val="single" w:sz="4" w:space="0" w:color="auto"/>
            </w:tcBorders>
            <w:shd w:val="clear" w:color="auto" w:fill="auto"/>
            <w:noWrap/>
            <w:vAlign w:val="center"/>
          </w:tcPr>
          <w:p w14:paraId="18D0D5E1" w14:textId="21495B35"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1EA9E218"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765385E3" w14:textId="7663D362"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27.66</w:t>
            </w:r>
          </w:p>
        </w:tc>
        <w:tc>
          <w:tcPr>
            <w:tcW w:w="866" w:type="dxa"/>
            <w:tcBorders>
              <w:top w:val="nil"/>
              <w:left w:val="nil"/>
              <w:bottom w:val="nil"/>
              <w:right w:val="single" w:sz="18" w:space="0" w:color="auto"/>
            </w:tcBorders>
            <w:shd w:val="clear" w:color="auto" w:fill="auto"/>
            <w:noWrap/>
            <w:vAlign w:val="center"/>
          </w:tcPr>
          <w:p w14:paraId="7D444721"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r>
      <w:tr w:rsidR="006E6035" w:rsidRPr="00D309F4" w14:paraId="278131C9"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09DF3F86" w14:textId="7E10BEDA"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5494B006"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6731C6CB"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c>
          <w:tcPr>
            <w:tcW w:w="905" w:type="dxa"/>
            <w:tcBorders>
              <w:top w:val="nil"/>
              <w:left w:val="nil"/>
              <w:bottom w:val="nil"/>
              <w:right w:val="single" w:sz="18" w:space="0" w:color="auto"/>
            </w:tcBorders>
            <w:shd w:val="clear" w:color="auto" w:fill="auto"/>
            <w:noWrap/>
            <w:vAlign w:val="center"/>
          </w:tcPr>
          <w:p w14:paraId="7BA45A2B" w14:textId="7C11CEEE"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-15.95</w:t>
            </w:r>
          </w:p>
        </w:tc>
        <w:tc>
          <w:tcPr>
            <w:tcW w:w="2250" w:type="dxa"/>
            <w:tcBorders>
              <w:top w:val="nil"/>
              <w:left w:val="single" w:sz="18" w:space="0" w:color="auto"/>
              <w:bottom w:val="nil"/>
              <w:right w:val="single" w:sz="4" w:space="0" w:color="auto"/>
            </w:tcBorders>
            <w:shd w:val="clear" w:color="auto" w:fill="auto"/>
            <w:noWrap/>
            <w:vAlign w:val="center"/>
          </w:tcPr>
          <w:p w14:paraId="6B24308F" w14:textId="163CCA5D"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6667D169"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37D9A5E7" w14:textId="77777777" w:rsidR="006E6035" w:rsidRPr="00D309F4" w:rsidRDefault="006E6035" w:rsidP="006E6035">
            <w:pPr>
              <w:spacing w:after="0" w:line="240" w:lineRule="auto"/>
              <w:jc w:val="center"/>
              <w:rPr>
                <w:rFonts w:eastAsia="Times New Roman" w:cs="Times New Roman"/>
                <w:kern w:val="0"/>
                <w:sz w:val="20"/>
                <w:szCs w:val="20"/>
                <w14:ligatures w14:val="none"/>
              </w:rPr>
            </w:pPr>
          </w:p>
        </w:tc>
        <w:tc>
          <w:tcPr>
            <w:tcW w:w="866" w:type="dxa"/>
            <w:tcBorders>
              <w:top w:val="nil"/>
              <w:left w:val="nil"/>
              <w:bottom w:val="nil"/>
              <w:right w:val="single" w:sz="18" w:space="0" w:color="auto"/>
            </w:tcBorders>
            <w:shd w:val="clear" w:color="auto" w:fill="auto"/>
            <w:noWrap/>
            <w:vAlign w:val="center"/>
          </w:tcPr>
          <w:p w14:paraId="33BE52F4" w14:textId="620663D8"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-21.18</w:t>
            </w:r>
          </w:p>
        </w:tc>
      </w:tr>
      <w:tr w:rsidR="006E6035" w:rsidRPr="00D309F4" w14:paraId="4AA52EA1" w14:textId="77777777" w:rsidTr="00880D16">
        <w:trPr>
          <w:trHeight w:val="274"/>
          <w:jc w:val="center"/>
        </w:trPr>
        <w:tc>
          <w:tcPr>
            <w:tcW w:w="2227" w:type="dxa"/>
            <w:tcBorders>
              <w:top w:val="nil"/>
              <w:left w:val="single" w:sz="18" w:space="0" w:color="auto"/>
              <w:bottom w:val="single" w:sz="18" w:space="0" w:color="auto"/>
              <w:right w:val="single" w:sz="4" w:space="0" w:color="auto"/>
            </w:tcBorders>
            <w:shd w:val="clear" w:color="auto" w:fill="auto"/>
            <w:noWrap/>
            <w:vAlign w:val="center"/>
            <w:hideMark/>
          </w:tcPr>
          <w:p w14:paraId="442B1187"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434C2FAD"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2.14</w:t>
            </w:r>
          </w:p>
        </w:tc>
        <w:tc>
          <w:tcPr>
            <w:tcW w:w="1165" w:type="dxa"/>
            <w:tcBorders>
              <w:top w:val="nil"/>
              <w:left w:val="nil"/>
              <w:bottom w:val="single" w:sz="18" w:space="0" w:color="auto"/>
              <w:right w:val="nil"/>
            </w:tcBorders>
            <w:shd w:val="clear" w:color="auto" w:fill="auto"/>
            <w:noWrap/>
            <w:vAlign w:val="center"/>
            <w:hideMark/>
          </w:tcPr>
          <w:p w14:paraId="5CCDCC33"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3.78</w:t>
            </w:r>
          </w:p>
        </w:tc>
        <w:tc>
          <w:tcPr>
            <w:tcW w:w="905" w:type="dxa"/>
            <w:tcBorders>
              <w:top w:val="nil"/>
              <w:left w:val="nil"/>
              <w:bottom w:val="single" w:sz="18" w:space="0" w:color="auto"/>
              <w:right w:val="single" w:sz="18" w:space="0" w:color="auto"/>
            </w:tcBorders>
            <w:shd w:val="clear" w:color="auto" w:fill="auto"/>
            <w:noWrap/>
            <w:vAlign w:val="center"/>
            <w:hideMark/>
          </w:tcPr>
          <w:p w14:paraId="5E1F9DE3"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4.26</w:t>
            </w:r>
          </w:p>
        </w:tc>
        <w:tc>
          <w:tcPr>
            <w:tcW w:w="2250" w:type="dxa"/>
            <w:tcBorders>
              <w:top w:val="nil"/>
              <w:left w:val="single" w:sz="18" w:space="0" w:color="auto"/>
              <w:bottom w:val="single" w:sz="18" w:space="0" w:color="auto"/>
              <w:right w:val="single" w:sz="4" w:space="0" w:color="auto"/>
            </w:tcBorders>
            <w:shd w:val="clear" w:color="auto" w:fill="auto"/>
            <w:noWrap/>
            <w:vAlign w:val="center"/>
            <w:hideMark/>
          </w:tcPr>
          <w:p w14:paraId="7DF8F3BD"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52AB978A"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3.01</w:t>
            </w:r>
          </w:p>
        </w:tc>
        <w:tc>
          <w:tcPr>
            <w:tcW w:w="1165" w:type="dxa"/>
            <w:tcBorders>
              <w:top w:val="nil"/>
              <w:left w:val="nil"/>
              <w:bottom w:val="single" w:sz="18" w:space="0" w:color="auto"/>
              <w:right w:val="nil"/>
            </w:tcBorders>
            <w:shd w:val="clear" w:color="auto" w:fill="auto"/>
            <w:noWrap/>
            <w:vAlign w:val="center"/>
            <w:hideMark/>
          </w:tcPr>
          <w:p w14:paraId="1BE168F8"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5.49</w:t>
            </w:r>
          </w:p>
        </w:tc>
        <w:tc>
          <w:tcPr>
            <w:tcW w:w="866" w:type="dxa"/>
            <w:tcBorders>
              <w:top w:val="nil"/>
              <w:left w:val="nil"/>
              <w:bottom w:val="single" w:sz="18" w:space="0" w:color="auto"/>
              <w:right w:val="single" w:sz="18" w:space="0" w:color="auto"/>
            </w:tcBorders>
            <w:shd w:val="clear" w:color="auto" w:fill="auto"/>
            <w:noWrap/>
            <w:vAlign w:val="center"/>
            <w:hideMark/>
          </w:tcPr>
          <w:p w14:paraId="3184B1C9"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5.65</w:t>
            </w:r>
          </w:p>
        </w:tc>
      </w:tr>
      <w:tr w:rsidR="006E6035" w:rsidRPr="00D309F4" w14:paraId="035E2CAF" w14:textId="77777777" w:rsidTr="00880D16">
        <w:trPr>
          <w:trHeight w:val="274"/>
          <w:jc w:val="center"/>
        </w:trPr>
        <w:tc>
          <w:tcPr>
            <w:tcW w:w="2227"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DFAC2AF"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57"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580B9880" w14:textId="77777777"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Race: White</w:t>
            </w:r>
          </w:p>
        </w:tc>
        <w:tc>
          <w:tcPr>
            <w:tcW w:w="22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4FE65A0A"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18"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53190EEB" w14:textId="77777777"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Employment: Employed</w:t>
            </w:r>
          </w:p>
        </w:tc>
      </w:tr>
      <w:tr w:rsidR="006E6035" w:rsidRPr="00D309F4" w14:paraId="78E5C3DE" w14:textId="77777777" w:rsidTr="00880D16">
        <w:trPr>
          <w:trHeight w:val="274"/>
          <w:jc w:val="center"/>
        </w:trPr>
        <w:tc>
          <w:tcPr>
            <w:tcW w:w="2227" w:type="dxa"/>
            <w:tcBorders>
              <w:top w:val="single" w:sz="4" w:space="0" w:color="auto"/>
              <w:left w:val="single" w:sz="18" w:space="0" w:color="auto"/>
              <w:bottom w:val="nil"/>
              <w:right w:val="single" w:sz="4" w:space="0" w:color="auto"/>
            </w:tcBorders>
            <w:shd w:val="clear" w:color="auto" w:fill="auto"/>
            <w:noWrap/>
            <w:vAlign w:val="center"/>
            <w:hideMark/>
          </w:tcPr>
          <w:p w14:paraId="1B746D54"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57" w:type="dxa"/>
            <w:gridSpan w:val="3"/>
            <w:tcBorders>
              <w:top w:val="single" w:sz="4" w:space="0" w:color="auto"/>
              <w:left w:val="nil"/>
              <w:bottom w:val="nil"/>
              <w:right w:val="single" w:sz="18" w:space="0" w:color="auto"/>
            </w:tcBorders>
            <w:shd w:val="clear" w:color="auto" w:fill="auto"/>
            <w:noWrap/>
            <w:vAlign w:val="center"/>
            <w:hideMark/>
          </w:tcPr>
          <w:p w14:paraId="5C92E08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792</w:t>
            </w:r>
          </w:p>
        </w:tc>
        <w:tc>
          <w:tcPr>
            <w:tcW w:w="2250" w:type="dxa"/>
            <w:tcBorders>
              <w:top w:val="single" w:sz="4" w:space="0" w:color="auto"/>
              <w:left w:val="single" w:sz="18" w:space="0" w:color="auto"/>
              <w:bottom w:val="nil"/>
              <w:right w:val="single" w:sz="4" w:space="0" w:color="auto"/>
            </w:tcBorders>
            <w:shd w:val="clear" w:color="auto" w:fill="auto"/>
            <w:noWrap/>
            <w:vAlign w:val="center"/>
            <w:hideMark/>
          </w:tcPr>
          <w:p w14:paraId="09BC2037"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18" w:type="dxa"/>
            <w:gridSpan w:val="3"/>
            <w:tcBorders>
              <w:top w:val="single" w:sz="4" w:space="0" w:color="auto"/>
              <w:left w:val="nil"/>
              <w:bottom w:val="nil"/>
              <w:right w:val="single" w:sz="18" w:space="0" w:color="auto"/>
            </w:tcBorders>
            <w:shd w:val="clear" w:color="auto" w:fill="auto"/>
            <w:noWrap/>
            <w:vAlign w:val="center"/>
            <w:hideMark/>
          </w:tcPr>
          <w:p w14:paraId="112CA5EA"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648</w:t>
            </w:r>
          </w:p>
        </w:tc>
      </w:tr>
      <w:tr w:rsidR="006E6035" w:rsidRPr="00D309F4" w14:paraId="1A56475A"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hideMark/>
          </w:tcPr>
          <w:p w14:paraId="21980EE4"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61800263"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-1616.51</w:t>
            </w:r>
          </w:p>
        </w:tc>
        <w:tc>
          <w:tcPr>
            <w:tcW w:w="1165" w:type="dxa"/>
            <w:tcBorders>
              <w:top w:val="nil"/>
              <w:left w:val="nil"/>
              <w:bottom w:val="nil"/>
              <w:right w:val="nil"/>
            </w:tcBorders>
            <w:shd w:val="clear" w:color="auto" w:fill="auto"/>
            <w:noWrap/>
            <w:vAlign w:val="center"/>
            <w:hideMark/>
          </w:tcPr>
          <w:p w14:paraId="06E88DB3"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-1623.09</w:t>
            </w:r>
          </w:p>
        </w:tc>
        <w:tc>
          <w:tcPr>
            <w:tcW w:w="905" w:type="dxa"/>
            <w:tcBorders>
              <w:top w:val="nil"/>
              <w:left w:val="nil"/>
              <w:bottom w:val="nil"/>
              <w:right w:val="single" w:sz="18" w:space="0" w:color="auto"/>
            </w:tcBorders>
            <w:shd w:val="clear" w:color="auto" w:fill="auto"/>
            <w:noWrap/>
            <w:vAlign w:val="center"/>
            <w:hideMark/>
          </w:tcPr>
          <w:p w14:paraId="2290B790"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-1921.91</w:t>
            </w:r>
          </w:p>
        </w:tc>
        <w:tc>
          <w:tcPr>
            <w:tcW w:w="2250" w:type="dxa"/>
            <w:tcBorders>
              <w:top w:val="nil"/>
              <w:left w:val="single" w:sz="18" w:space="0" w:color="auto"/>
              <w:bottom w:val="nil"/>
              <w:right w:val="single" w:sz="4" w:space="0" w:color="auto"/>
            </w:tcBorders>
            <w:shd w:val="clear" w:color="auto" w:fill="auto"/>
            <w:noWrap/>
            <w:vAlign w:val="center"/>
            <w:hideMark/>
          </w:tcPr>
          <w:p w14:paraId="24DED73F"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13F44DC0"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-1440.58</w:t>
            </w:r>
          </w:p>
        </w:tc>
        <w:tc>
          <w:tcPr>
            <w:tcW w:w="1165" w:type="dxa"/>
            <w:tcBorders>
              <w:top w:val="nil"/>
              <w:left w:val="nil"/>
              <w:bottom w:val="nil"/>
              <w:right w:val="nil"/>
            </w:tcBorders>
            <w:shd w:val="clear" w:color="auto" w:fill="auto"/>
            <w:noWrap/>
            <w:vAlign w:val="center"/>
            <w:hideMark/>
          </w:tcPr>
          <w:p w14:paraId="1E578BA1" w14:textId="627C5DF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-1457.68</w:t>
            </w:r>
          </w:p>
        </w:tc>
        <w:tc>
          <w:tcPr>
            <w:tcW w:w="866" w:type="dxa"/>
            <w:tcBorders>
              <w:top w:val="nil"/>
              <w:left w:val="nil"/>
              <w:bottom w:val="nil"/>
              <w:right w:val="single" w:sz="18" w:space="0" w:color="auto"/>
            </w:tcBorders>
            <w:shd w:val="clear" w:color="auto" w:fill="auto"/>
            <w:noWrap/>
            <w:vAlign w:val="center"/>
            <w:hideMark/>
          </w:tcPr>
          <w:p w14:paraId="1F9460E7"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-1674.43</w:t>
            </w:r>
          </w:p>
        </w:tc>
      </w:tr>
      <w:tr w:rsidR="006E6035" w:rsidRPr="00D309F4" w14:paraId="6084B90D"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6203DB27"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48FB64D3"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6F57BD94" w14:textId="7CCACF31"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13.16</w:t>
            </w:r>
          </w:p>
        </w:tc>
        <w:tc>
          <w:tcPr>
            <w:tcW w:w="905" w:type="dxa"/>
            <w:tcBorders>
              <w:top w:val="nil"/>
              <w:left w:val="nil"/>
              <w:bottom w:val="nil"/>
              <w:right w:val="single" w:sz="18" w:space="0" w:color="auto"/>
            </w:tcBorders>
            <w:shd w:val="clear" w:color="auto" w:fill="auto"/>
            <w:noWrap/>
            <w:vAlign w:val="center"/>
          </w:tcPr>
          <w:p w14:paraId="1410C92F"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2250" w:type="dxa"/>
            <w:tcBorders>
              <w:top w:val="nil"/>
              <w:left w:val="single" w:sz="18" w:space="0" w:color="auto"/>
              <w:bottom w:val="nil"/>
              <w:right w:val="single" w:sz="4" w:space="0" w:color="auto"/>
            </w:tcBorders>
            <w:shd w:val="clear" w:color="auto" w:fill="auto"/>
            <w:noWrap/>
            <w:vAlign w:val="center"/>
          </w:tcPr>
          <w:p w14:paraId="6302D1A2"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7E313194"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4047F307" w14:textId="15E1D175"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34.22</w:t>
            </w:r>
          </w:p>
        </w:tc>
        <w:tc>
          <w:tcPr>
            <w:tcW w:w="866" w:type="dxa"/>
            <w:tcBorders>
              <w:top w:val="nil"/>
              <w:left w:val="nil"/>
              <w:bottom w:val="nil"/>
              <w:right w:val="single" w:sz="18" w:space="0" w:color="auto"/>
            </w:tcBorders>
            <w:shd w:val="clear" w:color="auto" w:fill="auto"/>
            <w:noWrap/>
            <w:vAlign w:val="center"/>
          </w:tcPr>
          <w:p w14:paraId="23431B8D"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r>
      <w:tr w:rsidR="006E6035" w:rsidRPr="00D309F4" w14:paraId="5C64F25E"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5EBC16D7"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70C51E41"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55268FE2"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905" w:type="dxa"/>
            <w:tcBorders>
              <w:top w:val="nil"/>
              <w:left w:val="nil"/>
              <w:bottom w:val="nil"/>
              <w:right w:val="single" w:sz="18" w:space="0" w:color="auto"/>
            </w:tcBorders>
            <w:shd w:val="clear" w:color="auto" w:fill="auto"/>
            <w:noWrap/>
            <w:vAlign w:val="center"/>
          </w:tcPr>
          <w:p w14:paraId="436ABD13" w14:textId="56896D1A"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-24.18</w:t>
            </w:r>
          </w:p>
        </w:tc>
        <w:tc>
          <w:tcPr>
            <w:tcW w:w="2250" w:type="dxa"/>
            <w:tcBorders>
              <w:top w:val="nil"/>
              <w:left w:val="single" w:sz="18" w:space="0" w:color="auto"/>
              <w:bottom w:val="nil"/>
              <w:right w:val="single" w:sz="4" w:space="0" w:color="auto"/>
            </w:tcBorders>
            <w:shd w:val="clear" w:color="auto" w:fill="auto"/>
            <w:noWrap/>
            <w:vAlign w:val="center"/>
          </w:tcPr>
          <w:p w14:paraId="70E451EC"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0227CAA4"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4B95AB74"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866" w:type="dxa"/>
            <w:tcBorders>
              <w:top w:val="nil"/>
              <w:left w:val="nil"/>
              <w:bottom w:val="nil"/>
              <w:right w:val="single" w:sz="18" w:space="0" w:color="auto"/>
            </w:tcBorders>
            <w:shd w:val="clear" w:color="auto" w:fill="auto"/>
            <w:noWrap/>
            <w:vAlign w:val="center"/>
          </w:tcPr>
          <w:p w14:paraId="47DF4B9F" w14:textId="36F1D975"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-21.02</w:t>
            </w:r>
          </w:p>
        </w:tc>
      </w:tr>
      <w:tr w:rsidR="006E6035" w:rsidRPr="00D309F4" w14:paraId="265111F4" w14:textId="77777777" w:rsidTr="00880D16">
        <w:trPr>
          <w:trHeight w:val="274"/>
          <w:jc w:val="center"/>
        </w:trPr>
        <w:tc>
          <w:tcPr>
            <w:tcW w:w="2227" w:type="dxa"/>
            <w:tcBorders>
              <w:top w:val="nil"/>
              <w:left w:val="single" w:sz="18" w:space="0" w:color="auto"/>
              <w:bottom w:val="single" w:sz="18" w:space="0" w:color="auto"/>
              <w:right w:val="single" w:sz="4" w:space="0" w:color="auto"/>
            </w:tcBorders>
            <w:shd w:val="clear" w:color="auto" w:fill="auto"/>
            <w:noWrap/>
            <w:vAlign w:val="center"/>
            <w:hideMark/>
          </w:tcPr>
          <w:p w14:paraId="3D9C1749"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2836236A"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1.57</w:t>
            </w:r>
          </w:p>
        </w:tc>
        <w:tc>
          <w:tcPr>
            <w:tcW w:w="1165" w:type="dxa"/>
            <w:tcBorders>
              <w:top w:val="nil"/>
              <w:left w:val="nil"/>
              <w:bottom w:val="single" w:sz="18" w:space="0" w:color="auto"/>
              <w:right w:val="nil"/>
            </w:tcBorders>
            <w:shd w:val="clear" w:color="auto" w:fill="auto"/>
            <w:noWrap/>
            <w:vAlign w:val="center"/>
            <w:hideMark/>
          </w:tcPr>
          <w:p w14:paraId="3FF94F75"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3.72</w:t>
            </w:r>
          </w:p>
        </w:tc>
        <w:tc>
          <w:tcPr>
            <w:tcW w:w="905" w:type="dxa"/>
            <w:tcBorders>
              <w:top w:val="nil"/>
              <w:left w:val="nil"/>
              <w:bottom w:val="single" w:sz="18" w:space="0" w:color="auto"/>
              <w:right w:val="single" w:sz="18" w:space="0" w:color="auto"/>
            </w:tcBorders>
            <w:shd w:val="clear" w:color="auto" w:fill="auto"/>
            <w:noWrap/>
            <w:vAlign w:val="center"/>
            <w:hideMark/>
          </w:tcPr>
          <w:p w14:paraId="5A6A0CF3"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4.25</w:t>
            </w:r>
          </w:p>
        </w:tc>
        <w:tc>
          <w:tcPr>
            <w:tcW w:w="2250" w:type="dxa"/>
            <w:tcBorders>
              <w:top w:val="nil"/>
              <w:left w:val="single" w:sz="18" w:space="0" w:color="auto"/>
              <w:bottom w:val="single" w:sz="18" w:space="0" w:color="auto"/>
              <w:right w:val="single" w:sz="4" w:space="0" w:color="auto"/>
            </w:tcBorders>
            <w:shd w:val="clear" w:color="auto" w:fill="auto"/>
            <w:noWrap/>
            <w:vAlign w:val="center"/>
            <w:hideMark/>
          </w:tcPr>
          <w:p w14:paraId="317FB120"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0ABAF338"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2.63</w:t>
            </w:r>
          </w:p>
        </w:tc>
        <w:tc>
          <w:tcPr>
            <w:tcW w:w="1165" w:type="dxa"/>
            <w:tcBorders>
              <w:top w:val="nil"/>
              <w:left w:val="nil"/>
              <w:bottom w:val="single" w:sz="18" w:space="0" w:color="auto"/>
              <w:right w:val="nil"/>
            </w:tcBorders>
            <w:shd w:val="clear" w:color="auto" w:fill="auto"/>
            <w:noWrap/>
            <w:vAlign w:val="center"/>
            <w:hideMark/>
          </w:tcPr>
          <w:p w14:paraId="41114F9C"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6.05</w:t>
            </w:r>
          </w:p>
        </w:tc>
        <w:tc>
          <w:tcPr>
            <w:tcW w:w="866" w:type="dxa"/>
            <w:tcBorders>
              <w:top w:val="nil"/>
              <w:left w:val="nil"/>
              <w:bottom w:val="single" w:sz="18" w:space="0" w:color="auto"/>
              <w:right w:val="single" w:sz="18" w:space="0" w:color="auto"/>
            </w:tcBorders>
            <w:shd w:val="clear" w:color="auto" w:fill="auto"/>
            <w:noWrap/>
            <w:vAlign w:val="center"/>
            <w:hideMark/>
          </w:tcPr>
          <w:p w14:paraId="5027EA37"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6.15</w:t>
            </w:r>
          </w:p>
        </w:tc>
      </w:tr>
      <w:tr w:rsidR="006E6035" w:rsidRPr="00D309F4" w14:paraId="1234831E" w14:textId="77777777" w:rsidTr="00880D16">
        <w:trPr>
          <w:trHeight w:val="274"/>
          <w:jc w:val="center"/>
        </w:trPr>
        <w:tc>
          <w:tcPr>
            <w:tcW w:w="2227"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0F2A8C8B"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57"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6E5E6E3C" w14:textId="77777777"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Ethnicity: Not Hispanic</w:t>
            </w:r>
          </w:p>
        </w:tc>
        <w:tc>
          <w:tcPr>
            <w:tcW w:w="22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7B7E769"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18"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25358B7A" w14:textId="5204032F"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 xml:space="preserve">Education: Less than Bachelor's </w:t>
            </w:r>
          </w:p>
        </w:tc>
      </w:tr>
      <w:tr w:rsidR="006E6035" w:rsidRPr="00D309F4" w14:paraId="7CC3D5BC" w14:textId="77777777" w:rsidTr="00880D16">
        <w:trPr>
          <w:trHeight w:val="274"/>
          <w:jc w:val="center"/>
        </w:trPr>
        <w:tc>
          <w:tcPr>
            <w:tcW w:w="2227" w:type="dxa"/>
            <w:tcBorders>
              <w:top w:val="single" w:sz="4" w:space="0" w:color="auto"/>
              <w:left w:val="single" w:sz="18" w:space="0" w:color="auto"/>
              <w:bottom w:val="nil"/>
              <w:right w:val="single" w:sz="4" w:space="0" w:color="auto"/>
            </w:tcBorders>
            <w:shd w:val="clear" w:color="auto" w:fill="auto"/>
            <w:noWrap/>
            <w:vAlign w:val="center"/>
            <w:hideMark/>
          </w:tcPr>
          <w:p w14:paraId="611CE430"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57" w:type="dxa"/>
            <w:gridSpan w:val="3"/>
            <w:tcBorders>
              <w:top w:val="single" w:sz="4" w:space="0" w:color="auto"/>
              <w:left w:val="nil"/>
              <w:bottom w:val="nil"/>
              <w:right w:val="single" w:sz="18" w:space="0" w:color="auto"/>
            </w:tcBorders>
            <w:shd w:val="clear" w:color="auto" w:fill="auto"/>
            <w:noWrap/>
            <w:vAlign w:val="center"/>
            <w:hideMark/>
          </w:tcPr>
          <w:p w14:paraId="2C6AF90E"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846</w:t>
            </w:r>
          </w:p>
        </w:tc>
        <w:tc>
          <w:tcPr>
            <w:tcW w:w="2250" w:type="dxa"/>
            <w:tcBorders>
              <w:top w:val="single" w:sz="4" w:space="0" w:color="auto"/>
              <w:left w:val="single" w:sz="18" w:space="0" w:color="auto"/>
              <w:bottom w:val="nil"/>
              <w:right w:val="single" w:sz="4" w:space="0" w:color="auto"/>
            </w:tcBorders>
            <w:shd w:val="clear" w:color="auto" w:fill="auto"/>
            <w:noWrap/>
            <w:vAlign w:val="center"/>
            <w:hideMark/>
          </w:tcPr>
          <w:p w14:paraId="1EE14BFB"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18" w:type="dxa"/>
            <w:gridSpan w:val="3"/>
            <w:tcBorders>
              <w:top w:val="single" w:sz="4" w:space="0" w:color="auto"/>
              <w:left w:val="nil"/>
              <w:bottom w:val="nil"/>
              <w:right w:val="single" w:sz="18" w:space="0" w:color="auto"/>
            </w:tcBorders>
            <w:shd w:val="clear" w:color="auto" w:fill="auto"/>
            <w:noWrap/>
            <w:vAlign w:val="center"/>
            <w:hideMark/>
          </w:tcPr>
          <w:p w14:paraId="442C9102"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383</w:t>
            </w:r>
          </w:p>
        </w:tc>
      </w:tr>
      <w:tr w:rsidR="006E6035" w:rsidRPr="00D309F4" w14:paraId="42605157"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hideMark/>
          </w:tcPr>
          <w:p w14:paraId="7FEB8F98"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0AF0B5A1"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-1726.80</w:t>
            </w:r>
          </w:p>
        </w:tc>
        <w:tc>
          <w:tcPr>
            <w:tcW w:w="1165" w:type="dxa"/>
            <w:tcBorders>
              <w:top w:val="nil"/>
              <w:left w:val="nil"/>
              <w:bottom w:val="nil"/>
              <w:right w:val="nil"/>
            </w:tcBorders>
            <w:shd w:val="clear" w:color="auto" w:fill="auto"/>
            <w:noWrap/>
            <w:vAlign w:val="center"/>
            <w:hideMark/>
          </w:tcPr>
          <w:p w14:paraId="4F749B42"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-1739.60</w:t>
            </w:r>
          </w:p>
        </w:tc>
        <w:tc>
          <w:tcPr>
            <w:tcW w:w="905" w:type="dxa"/>
            <w:tcBorders>
              <w:top w:val="nil"/>
              <w:left w:val="nil"/>
              <w:bottom w:val="nil"/>
              <w:right w:val="single" w:sz="18" w:space="0" w:color="auto"/>
            </w:tcBorders>
            <w:shd w:val="clear" w:color="auto" w:fill="auto"/>
            <w:noWrap/>
            <w:vAlign w:val="center"/>
            <w:hideMark/>
          </w:tcPr>
          <w:p w14:paraId="47750E8A"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-2079.77</w:t>
            </w:r>
          </w:p>
        </w:tc>
        <w:tc>
          <w:tcPr>
            <w:tcW w:w="2250" w:type="dxa"/>
            <w:tcBorders>
              <w:top w:val="nil"/>
              <w:left w:val="single" w:sz="18" w:space="0" w:color="auto"/>
              <w:bottom w:val="nil"/>
              <w:right w:val="single" w:sz="4" w:space="0" w:color="auto"/>
            </w:tcBorders>
            <w:shd w:val="clear" w:color="auto" w:fill="auto"/>
            <w:noWrap/>
            <w:vAlign w:val="center"/>
            <w:hideMark/>
          </w:tcPr>
          <w:p w14:paraId="70BB9C9F"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68746D7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-535.69</w:t>
            </w:r>
          </w:p>
        </w:tc>
        <w:tc>
          <w:tcPr>
            <w:tcW w:w="1165" w:type="dxa"/>
            <w:tcBorders>
              <w:top w:val="nil"/>
              <w:left w:val="nil"/>
              <w:bottom w:val="nil"/>
              <w:right w:val="nil"/>
            </w:tcBorders>
            <w:shd w:val="clear" w:color="auto" w:fill="auto"/>
            <w:noWrap/>
            <w:vAlign w:val="center"/>
            <w:hideMark/>
          </w:tcPr>
          <w:p w14:paraId="5597F858"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-542.26</w:t>
            </w:r>
          </w:p>
        </w:tc>
        <w:tc>
          <w:tcPr>
            <w:tcW w:w="866" w:type="dxa"/>
            <w:tcBorders>
              <w:top w:val="nil"/>
              <w:left w:val="nil"/>
              <w:bottom w:val="nil"/>
              <w:right w:val="single" w:sz="18" w:space="0" w:color="auto"/>
            </w:tcBorders>
            <w:shd w:val="clear" w:color="auto" w:fill="auto"/>
            <w:noWrap/>
            <w:vAlign w:val="center"/>
            <w:hideMark/>
          </w:tcPr>
          <w:p w14:paraId="421F35D0"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-612.92</w:t>
            </w:r>
          </w:p>
        </w:tc>
      </w:tr>
      <w:tr w:rsidR="006E6035" w:rsidRPr="00D309F4" w14:paraId="2A7A2158"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1E4EC44B"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4ECD26AB"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2F515B85" w14:textId="5D14D2E3"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25.60</w:t>
            </w:r>
          </w:p>
        </w:tc>
        <w:tc>
          <w:tcPr>
            <w:tcW w:w="905" w:type="dxa"/>
            <w:tcBorders>
              <w:top w:val="nil"/>
              <w:left w:val="nil"/>
              <w:bottom w:val="nil"/>
              <w:right w:val="single" w:sz="18" w:space="0" w:color="auto"/>
            </w:tcBorders>
            <w:shd w:val="clear" w:color="auto" w:fill="auto"/>
            <w:noWrap/>
            <w:vAlign w:val="center"/>
          </w:tcPr>
          <w:p w14:paraId="5F30B849"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2250" w:type="dxa"/>
            <w:tcBorders>
              <w:top w:val="nil"/>
              <w:left w:val="single" w:sz="18" w:space="0" w:color="auto"/>
              <w:bottom w:val="nil"/>
              <w:right w:val="single" w:sz="4" w:space="0" w:color="auto"/>
            </w:tcBorders>
            <w:shd w:val="clear" w:color="auto" w:fill="auto"/>
            <w:noWrap/>
            <w:vAlign w:val="center"/>
          </w:tcPr>
          <w:p w14:paraId="6B1AA07C"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778B9853"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415F9BEB" w14:textId="665BCAC9"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13.15</w:t>
            </w:r>
          </w:p>
        </w:tc>
        <w:tc>
          <w:tcPr>
            <w:tcW w:w="866" w:type="dxa"/>
            <w:tcBorders>
              <w:top w:val="nil"/>
              <w:left w:val="nil"/>
              <w:bottom w:val="nil"/>
              <w:right w:val="single" w:sz="18" w:space="0" w:color="auto"/>
            </w:tcBorders>
            <w:shd w:val="clear" w:color="auto" w:fill="auto"/>
            <w:noWrap/>
            <w:vAlign w:val="center"/>
          </w:tcPr>
          <w:p w14:paraId="0BED5247"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r>
      <w:tr w:rsidR="006E6035" w:rsidRPr="00D309F4" w14:paraId="1A7A9AC0"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2A5E059C"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740A06F0"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3FB91A27"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905" w:type="dxa"/>
            <w:tcBorders>
              <w:top w:val="nil"/>
              <w:left w:val="nil"/>
              <w:bottom w:val="nil"/>
              <w:right w:val="single" w:sz="18" w:space="0" w:color="auto"/>
            </w:tcBorders>
            <w:shd w:val="clear" w:color="auto" w:fill="auto"/>
            <w:noWrap/>
            <w:vAlign w:val="center"/>
          </w:tcPr>
          <w:p w14:paraId="3B2D1279" w14:textId="7EECADDA"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-26.08</w:t>
            </w:r>
          </w:p>
        </w:tc>
        <w:tc>
          <w:tcPr>
            <w:tcW w:w="2250" w:type="dxa"/>
            <w:tcBorders>
              <w:top w:val="nil"/>
              <w:left w:val="single" w:sz="18" w:space="0" w:color="auto"/>
              <w:bottom w:val="nil"/>
              <w:right w:val="single" w:sz="4" w:space="0" w:color="auto"/>
            </w:tcBorders>
            <w:shd w:val="clear" w:color="auto" w:fill="auto"/>
            <w:noWrap/>
            <w:vAlign w:val="center"/>
          </w:tcPr>
          <w:p w14:paraId="4B2A90A9"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3AFC8208"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04153032"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866" w:type="dxa"/>
            <w:tcBorders>
              <w:top w:val="nil"/>
              <w:left w:val="nil"/>
              <w:bottom w:val="nil"/>
              <w:right w:val="single" w:sz="18" w:space="0" w:color="auto"/>
            </w:tcBorders>
            <w:shd w:val="clear" w:color="auto" w:fill="auto"/>
            <w:noWrap/>
            <w:vAlign w:val="center"/>
          </w:tcPr>
          <w:p w14:paraId="3BE6A5FC" w14:textId="6FB66DE5"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-10.74</w:t>
            </w:r>
          </w:p>
        </w:tc>
      </w:tr>
      <w:tr w:rsidR="006E6035" w:rsidRPr="00D309F4" w14:paraId="691F094E" w14:textId="77777777" w:rsidTr="00880D16">
        <w:trPr>
          <w:trHeight w:val="274"/>
          <w:jc w:val="center"/>
        </w:trPr>
        <w:tc>
          <w:tcPr>
            <w:tcW w:w="2227" w:type="dxa"/>
            <w:tcBorders>
              <w:top w:val="nil"/>
              <w:left w:val="single" w:sz="18" w:space="0" w:color="auto"/>
              <w:bottom w:val="single" w:sz="18" w:space="0" w:color="auto"/>
              <w:right w:val="single" w:sz="4" w:space="0" w:color="auto"/>
            </w:tcBorders>
            <w:shd w:val="clear" w:color="auto" w:fill="auto"/>
            <w:noWrap/>
            <w:vAlign w:val="center"/>
            <w:hideMark/>
          </w:tcPr>
          <w:p w14:paraId="531EF538"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65B2348A"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2.47</w:t>
            </w:r>
          </w:p>
        </w:tc>
        <w:tc>
          <w:tcPr>
            <w:tcW w:w="1165" w:type="dxa"/>
            <w:tcBorders>
              <w:top w:val="nil"/>
              <w:left w:val="nil"/>
              <w:bottom w:val="single" w:sz="18" w:space="0" w:color="auto"/>
              <w:right w:val="nil"/>
            </w:tcBorders>
            <w:shd w:val="clear" w:color="auto" w:fill="auto"/>
            <w:noWrap/>
            <w:vAlign w:val="center"/>
            <w:hideMark/>
          </w:tcPr>
          <w:p w14:paraId="0096921D"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5.45</w:t>
            </w:r>
          </w:p>
        </w:tc>
        <w:tc>
          <w:tcPr>
            <w:tcW w:w="905" w:type="dxa"/>
            <w:tcBorders>
              <w:top w:val="nil"/>
              <w:left w:val="nil"/>
              <w:bottom w:val="single" w:sz="18" w:space="0" w:color="auto"/>
              <w:right w:val="single" w:sz="18" w:space="0" w:color="auto"/>
            </w:tcBorders>
            <w:shd w:val="clear" w:color="auto" w:fill="auto"/>
            <w:noWrap/>
            <w:vAlign w:val="center"/>
            <w:hideMark/>
          </w:tcPr>
          <w:p w14:paraId="2B701F4E"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5.72</w:t>
            </w:r>
          </w:p>
        </w:tc>
        <w:tc>
          <w:tcPr>
            <w:tcW w:w="2250" w:type="dxa"/>
            <w:tcBorders>
              <w:top w:val="nil"/>
              <w:left w:val="single" w:sz="18" w:space="0" w:color="auto"/>
              <w:bottom w:val="single" w:sz="18" w:space="0" w:color="auto"/>
              <w:right w:val="single" w:sz="4" w:space="0" w:color="auto"/>
            </w:tcBorders>
            <w:shd w:val="clear" w:color="auto" w:fill="auto"/>
            <w:noWrap/>
            <w:vAlign w:val="center"/>
            <w:hideMark/>
          </w:tcPr>
          <w:p w14:paraId="076DB2BB"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166E622D"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3.61</w:t>
            </w:r>
          </w:p>
        </w:tc>
        <w:tc>
          <w:tcPr>
            <w:tcW w:w="1165" w:type="dxa"/>
            <w:tcBorders>
              <w:top w:val="nil"/>
              <w:left w:val="nil"/>
              <w:bottom w:val="single" w:sz="18" w:space="0" w:color="auto"/>
              <w:right w:val="nil"/>
            </w:tcBorders>
            <w:shd w:val="clear" w:color="auto" w:fill="auto"/>
            <w:noWrap/>
            <w:vAlign w:val="center"/>
            <w:hideMark/>
          </w:tcPr>
          <w:p w14:paraId="23B916F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4.58</w:t>
            </w:r>
          </w:p>
        </w:tc>
        <w:tc>
          <w:tcPr>
            <w:tcW w:w="866" w:type="dxa"/>
            <w:tcBorders>
              <w:top w:val="nil"/>
              <w:left w:val="nil"/>
              <w:bottom w:val="single" w:sz="18" w:space="0" w:color="auto"/>
              <w:right w:val="single" w:sz="18" w:space="0" w:color="auto"/>
            </w:tcBorders>
            <w:shd w:val="clear" w:color="auto" w:fill="auto"/>
            <w:noWrap/>
            <w:vAlign w:val="center"/>
            <w:hideMark/>
          </w:tcPr>
          <w:p w14:paraId="0EB24C1F"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5.10</w:t>
            </w:r>
          </w:p>
        </w:tc>
      </w:tr>
      <w:tr w:rsidR="006E6035" w:rsidRPr="00D309F4" w14:paraId="23823A0C" w14:textId="77777777" w:rsidTr="00880D16">
        <w:trPr>
          <w:trHeight w:val="274"/>
          <w:jc w:val="center"/>
        </w:trPr>
        <w:tc>
          <w:tcPr>
            <w:tcW w:w="2227"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66B4D4D4"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57"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4255C94B" w14:textId="77777777"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Number of Adults: 2+</w:t>
            </w:r>
          </w:p>
        </w:tc>
        <w:tc>
          <w:tcPr>
            <w:tcW w:w="22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70181AE2"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18"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67CC4BBB" w14:textId="77777777"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Presence of Children: No</w:t>
            </w:r>
          </w:p>
        </w:tc>
      </w:tr>
      <w:tr w:rsidR="006E6035" w:rsidRPr="00D309F4" w14:paraId="5466BE29" w14:textId="77777777" w:rsidTr="00880D16">
        <w:trPr>
          <w:trHeight w:val="274"/>
          <w:jc w:val="center"/>
        </w:trPr>
        <w:tc>
          <w:tcPr>
            <w:tcW w:w="2227" w:type="dxa"/>
            <w:tcBorders>
              <w:top w:val="single" w:sz="4" w:space="0" w:color="auto"/>
              <w:left w:val="single" w:sz="18" w:space="0" w:color="auto"/>
              <w:bottom w:val="nil"/>
              <w:right w:val="single" w:sz="4" w:space="0" w:color="auto"/>
            </w:tcBorders>
            <w:shd w:val="clear" w:color="auto" w:fill="auto"/>
            <w:noWrap/>
            <w:vAlign w:val="center"/>
            <w:hideMark/>
          </w:tcPr>
          <w:p w14:paraId="0016BA7D"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57" w:type="dxa"/>
            <w:gridSpan w:val="3"/>
            <w:tcBorders>
              <w:top w:val="single" w:sz="4" w:space="0" w:color="auto"/>
              <w:left w:val="nil"/>
              <w:bottom w:val="nil"/>
              <w:right w:val="single" w:sz="18" w:space="0" w:color="auto"/>
            </w:tcBorders>
            <w:shd w:val="clear" w:color="auto" w:fill="auto"/>
            <w:noWrap/>
            <w:vAlign w:val="center"/>
            <w:hideMark/>
          </w:tcPr>
          <w:p w14:paraId="02FD0ED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901</w:t>
            </w:r>
          </w:p>
        </w:tc>
        <w:tc>
          <w:tcPr>
            <w:tcW w:w="2250" w:type="dxa"/>
            <w:tcBorders>
              <w:top w:val="single" w:sz="4" w:space="0" w:color="auto"/>
              <w:left w:val="single" w:sz="18" w:space="0" w:color="auto"/>
              <w:bottom w:val="nil"/>
              <w:right w:val="single" w:sz="4" w:space="0" w:color="auto"/>
            </w:tcBorders>
            <w:shd w:val="clear" w:color="auto" w:fill="auto"/>
            <w:noWrap/>
            <w:vAlign w:val="center"/>
            <w:hideMark/>
          </w:tcPr>
          <w:p w14:paraId="412E7E15"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18" w:type="dxa"/>
            <w:gridSpan w:val="3"/>
            <w:tcBorders>
              <w:top w:val="single" w:sz="4" w:space="0" w:color="auto"/>
              <w:left w:val="nil"/>
              <w:bottom w:val="nil"/>
              <w:right w:val="single" w:sz="18" w:space="0" w:color="auto"/>
            </w:tcBorders>
            <w:shd w:val="clear" w:color="auto" w:fill="auto"/>
            <w:noWrap/>
            <w:vAlign w:val="center"/>
            <w:hideMark/>
          </w:tcPr>
          <w:p w14:paraId="2FA7D36D"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705</w:t>
            </w:r>
          </w:p>
        </w:tc>
      </w:tr>
      <w:tr w:rsidR="006E6035" w:rsidRPr="00D309F4" w14:paraId="0C48BF55"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hideMark/>
          </w:tcPr>
          <w:p w14:paraId="049A0244"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2355963D"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-1839.62</w:t>
            </w:r>
          </w:p>
        </w:tc>
        <w:tc>
          <w:tcPr>
            <w:tcW w:w="1165" w:type="dxa"/>
            <w:tcBorders>
              <w:top w:val="nil"/>
              <w:left w:val="nil"/>
              <w:bottom w:val="nil"/>
              <w:right w:val="nil"/>
            </w:tcBorders>
            <w:shd w:val="clear" w:color="auto" w:fill="auto"/>
            <w:noWrap/>
            <w:vAlign w:val="center"/>
            <w:hideMark/>
          </w:tcPr>
          <w:p w14:paraId="25716A18"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-1849.58</w:t>
            </w:r>
          </w:p>
        </w:tc>
        <w:tc>
          <w:tcPr>
            <w:tcW w:w="905" w:type="dxa"/>
            <w:tcBorders>
              <w:top w:val="nil"/>
              <w:left w:val="nil"/>
              <w:bottom w:val="nil"/>
              <w:right w:val="single" w:sz="18" w:space="0" w:color="auto"/>
            </w:tcBorders>
            <w:shd w:val="clear" w:color="auto" w:fill="auto"/>
            <w:noWrap/>
            <w:vAlign w:val="center"/>
            <w:hideMark/>
          </w:tcPr>
          <w:p w14:paraId="0AFFDC96"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-2207.69</w:t>
            </w:r>
          </w:p>
        </w:tc>
        <w:tc>
          <w:tcPr>
            <w:tcW w:w="2250" w:type="dxa"/>
            <w:tcBorders>
              <w:top w:val="nil"/>
              <w:left w:val="single" w:sz="18" w:space="0" w:color="auto"/>
              <w:bottom w:val="nil"/>
              <w:right w:val="single" w:sz="4" w:space="0" w:color="auto"/>
            </w:tcBorders>
            <w:shd w:val="clear" w:color="auto" w:fill="auto"/>
            <w:noWrap/>
            <w:vAlign w:val="center"/>
            <w:hideMark/>
          </w:tcPr>
          <w:p w14:paraId="14BE0D02"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5A05C723"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-1377.85</w:t>
            </w:r>
          </w:p>
        </w:tc>
        <w:tc>
          <w:tcPr>
            <w:tcW w:w="1165" w:type="dxa"/>
            <w:tcBorders>
              <w:top w:val="nil"/>
              <w:left w:val="nil"/>
              <w:bottom w:val="nil"/>
              <w:right w:val="nil"/>
            </w:tcBorders>
            <w:shd w:val="clear" w:color="auto" w:fill="auto"/>
            <w:noWrap/>
            <w:vAlign w:val="center"/>
            <w:hideMark/>
          </w:tcPr>
          <w:p w14:paraId="2AB57982" w14:textId="3A60A9B1"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-1385.36</w:t>
            </w:r>
          </w:p>
        </w:tc>
        <w:tc>
          <w:tcPr>
            <w:tcW w:w="866" w:type="dxa"/>
            <w:tcBorders>
              <w:top w:val="nil"/>
              <w:left w:val="nil"/>
              <w:bottom w:val="nil"/>
              <w:right w:val="single" w:sz="18" w:space="0" w:color="auto"/>
            </w:tcBorders>
            <w:shd w:val="clear" w:color="auto" w:fill="auto"/>
            <w:noWrap/>
            <w:vAlign w:val="center"/>
            <w:hideMark/>
          </w:tcPr>
          <w:p w14:paraId="0F034A5E"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-1661.72</w:t>
            </w:r>
          </w:p>
        </w:tc>
      </w:tr>
      <w:tr w:rsidR="006E6035" w:rsidRPr="00D309F4" w14:paraId="3D2F19F9"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51307222"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4A977212"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2EFFEFB6" w14:textId="5CE426AD"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19.93</w:t>
            </w:r>
          </w:p>
        </w:tc>
        <w:tc>
          <w:tcPr>
            <w:tcW w:w="905" w:type="dxa"/>
            <w:tcBorders>
              <w:top w:val="nil"/>
              <w:left w:val="nil"/>
              <w:bottom w:val="nil"/>
              <w:right w:val="single" w:sz="18" w:space="0" w:color="auto"/>
            </w:tcBorders>
            <w:shd w:val="clear" w:color="auto" w:fill="auto"/>
            <w:noWrap/>
            <w:vAlign w:val="center"/>
          </w:tcPr>
          <w:p w14:paraId="2B9BE46C"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2250" w:type="dxa"/>
            <w:tcBorders>
              <w:top w:val="nil"/>
              <w:left w:val="single" w:sz="18" w:space="0" w:color="auto"/>
              <w:bottom w:val="nil"/>
              <w:right w:val="single" w:sz="4" w:space="0" w:color="auto"/>
            </w:tcBorders>
            <w:shd w:val="clear" w:color="auto" w:fill="auto"/>
            <w:noWrap/>
            <w:vAlign w:val="center"/>
          </w:tcPr>
          <w:p w14:paraId="1696CBC5"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3213F173"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42229B0C" w14:textId="6D3D0936"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15.03</w:t>
            </w:r>
          </w:p>
        </w:tc>
        <w:tc>
          <w:tcPr>
            <w:tcW w:w="866" w:type="dxa"/>
            <w:tcBorders>
              <w:top w:val="nil"/>
              <w:left w:val="nil"/>
              <w:bottom w:val="nil"/>
              <w:right w:val="single" w:sz="18" w:space="0" w:color="auto"/>
            </w:tcBorders>
            <w:shd w:val="clear" w:color="auto" w:fill="auto"/>
            <w:noWrap/>
            <w:vAlign w:val="center"/>
          </w:tcPr>
          <w:p w14:paraId="44A30622"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r>
      <w:tr w:rsidR="006E6035" w:rsidRPr="00D309F4" w14:paraId="3562ACED"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53043435"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6353AB6B"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1BE423BB"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905" w:type="dxa"/>
            <w:tcBorders>
              <w:top w:val="nil"/>
              <w:left w:val="nil"/>
              <w:bottom w:val="nil"/>
              <w:right w:val="single" w:sz="18" w:space="0" w:color="auto"/>
            </w:tcBorders>
            <w:shd w:val="clear" w:color="auto" w:fill="auto"/>
            <w:noWrap/>
            <w:vAlign w:val="center"/>
          </w:tcPr>
          <w:p w14:paraId="1A3B7A14" w14:textId="63315C99"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-26.65</w:t>
            </w:r>
          </w:p>
        </w:tc>
        <w:tc>
          <w:tcPr>
            <w:tcW w:w="2250" w:type="dxa"/>
            <w:tcBorders>
              <w:top w:val="nil"/>
              <w:left w:val="single" w:sz="18" w:space="0" w:color="auto"/>
              <w:bottom w:val="nil"/>
              <w:right w:val="single" w:sz="4" w:space="0" w:color="auto"/>
            </w:tcBorders>
            <w:shd w:val="clear" w:color="auto" w:fill="auto"/>
            <w:noWrap/>
            <w:vAlign w:val="center"/>
          </w:tcPr>
          <w:p w14:paraId="76C70D21"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4D4FB036"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0527DFF6"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866" w:type="dxa"/>
            <w:tcBorders>
              <w:top w:val="nil"/>
              <w:left w:val="nil"/>
              <w:bottom w:val="nil"/>
              <w:right w:val="single" w:sz="18" w:space="0" w:color="auto"/>
            </w:tcBorders>
            <w:shd w:val="clear" w:color="auto" w:fill="auto"/>
            <w:noWrap/>
            <w:vAlign w:val="center"/>
          </w:tcPr>
          <w:p w14:paraId="65C799C3" w14:textId="2C49919A"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-23.28</w:t>
            </w:r>
          </w:p>
        </w:tc>
      </w:tr>
      <w:tr w:rsidR="006E6035" w:rsidRPr="00D309F4" w14:paraId="1ECDA155" w14:textId="77777777" w:rsidTr="00880D16">
        <w:trPr>
          <w:trHeight w:val="274"/>
          <w:jc w:val="center"/>
        </w:trPr>
        <w:tc>
          <w:tcPr>
            <w:tcW w:w="2227" w:type="dxa"/>
            <w:tcBorders>
              <w:top w:val="nil"/>
              <w:left w:val="single" w:sz="18" w:space="0" w:color="auto"/>
              <w:bottom w:val="single" w:sz="18" w:space="0" w:color="auto"/>
              <w:right w:val="single" w:sz="4" w:space="0" w:color="auto"/>
            </w:tcBorders>
            <w:shd w:val="clear" w:color="auto" w:fill="auto"/>
            <w:noWrap/>
            <w:vAlign w:val="center"/>
            <w:hideMark/>
          </w:tcPr>
          <w:p w14:paraId="654ACE90"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01E35D55"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2.23</w:t>
            </w:r>
          </w:p>
        </w:tc>
        <w:tc>
          <w:tcPr>
            <w:tcW w:w="1165" w:type="dxa"/>
            <w:tcBorders>
              <w:top w:val="nil"/>
              <w:left w:val="nil"/>
              <w:bottom w:val="single" w:sz="18" w:space="0" w:color="auto"/>
              <w:right w:val="nil"/>
            </w:tcBorders>
            <w:shd w:val="clear" w:color="auto" w:fill="auto"/>
            <w:noWrap/>
            <w:vAlign w:val="center"/>
            <w:hideMark/>
          </w:tcPr>
          <w:p w14:paraId="0A80326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4.18</w:t>
            </w:r>
          </w:p>
        </w:tc>
        <w:tc>
          <w:tcPr>
            <w:tcW w:w="905" w:type="dxa"/>
            <w:tcBorders>
              <w:top w:val="nil"/>
              <w:left w:val="nil"/>
              <w:bottom w:val="single" w:sz="18" w:space="0" w:color="auto"/>
              <w:right w:val="single" w:sz="18" w:space="0" w:color="auto"/>
            </w:tcBorders>
            <w:shd w:val="clear" w:color="auto" w:fill="auto"/>
            <w:noWrap/>
            <w:vAlign w:val="center"/>
            <w:hideMark/>
          </w:tcPr>
          <w:p w14:paraId="7319D5C2"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4.64</w:t>
            </w:r>
          </w:p>
        </w:tc>
        <w:tc>
          <w:tcPr>
            <w:tcW w:w="2250" w:type="dxa"/>
            <w:tcBorders>
              <w:top w:val="nil"/>
              <w:left w:val="single" w:sz="18" w:space="0" w:color="auto"/>
              <w:bottom w:val="single" w:sz="18" w:space="0" w:color="auto"/>
              <w:right w:val="single" w:sz="4" w:space="0" w:color="auto"/>
            </w:tcBorders>
            <w:shd w:val="clear" w:color="auto" w:fill="auto"/>
            <w:noWrap/>
            <w:vAlign w:val="center"/>
            <w:hideMark/>
          </w:tcPr>
          <w:p w14:paraId="412A637C"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12376BE2"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2.14</w:t>
            </w:r>
          </w:p>
        </w:tc>
        <w:tc>
          <w:tcPr>
            <w:tcW w:w="1165" w:type="dxa"/>
            <w:tcBorders>
              <w:top w:val="nil"/>
              <w:left w:val="nil"/>
              <w:bottom w:val="single" w:sz="18" w:space="0" w:color="auto"/>
              <w:right w:val="nil"/>
            </w:tcBorders>
            <w:shd w:val="clear" w:color="auto" w:fill="auto"/>
            <w:noWrap/>
            <w:vAlign w:val="center"/>
            <w:hideMark/>
          </w:tcPr>
          <w:p w14:paraId="73327CCA"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2.88</w:t>
            </w:r>
          </w:p>
        </w:tc>
        <w:tc>
          <w:tcPr>
            <w:tcW w:w="866" w:type="dxa"/>
            <w:tcBorders>
              <w:top w:val="nil"/>
              <w:left w:val="nil"/>
              <w:bottom w:val="single" w:sz="18" w:space="0" w:color="auto"/>
              <w:right w:val="single" w:sz="18" w:space="0" w:color="auto"/>
            </w:tcBorders>
            <w:shd w:val="clear" w:color="auto" w:fill="auto"/>
            <w:noWrap/>
            <w:vAlign w:val="center"/>
            <w:hideMark/>
          </w:tcPr>
          <w:p w14:paraId="72EA3A5B"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3.55</w:t>
            </w:r>
          </w:p>
        </w:tc>
      </w:tr>
      <w:tr w:rsidR="006E6035" w:rsidRPr="00D309F4" w14:paraId="75D34A49" w14:textId="77777777" w:rsidTr="00880D16">
        <w:trPr>
          <w:trHeight w:val="274"/>
          <w:jc w:val="center"/>
        </w:trPr>
        <w:tc>
          <w:tcPr>
            <w:tcW w:w="2227"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51B2FF7D"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57"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5B002E6F" w14:textId="3B01EAC9"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Household Income: &lt; $100,000</w:t>
            </w:r>
          </w:p>
        </w:tc>
        <w:tc>
          <w:tcPr>
            <w:tcW w:w="22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10231DD"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18"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3C3FC773" w14:textId="3AC8E3BB"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Housing Type: Single-Family</w:t>
            </w:r>
          </w:p>
        </w:tc>
      </w:tr>
      <w:tr w:rsidR="006E6035" w:rsidRPr="00D309F4" w14:paraId="40D97C24" w14:textId="77777777" w:rsidTr="00880D16">
        <w:trPr>
          <w:trHeight w:val="274"/>
          <w:jc w:val="center"/>
        </w:trPr>
        <w:tc>
          <w:tcPr>
            <w:tcW w:w="2227" w:type="dxa"/>
            <w:tcBorders>
              <w:top w:val="single" w:sz="4" w:space="0" w:color="auto"/>
              <w:left w:val="single" w:sz="18" w:space="0" w:color="auto"/>
              <w:bottom w:val="nil"/>
              <w:right w:val="single" w:sz="4" w:space="0" w:color="auto"/>
            </w:tcBorders>
            <w:shd w:val="clear" w:color="auto" w:fill="auto"/>
            <w:noWrap/>
            <w:vAlign w:val="center"/>
            <w:hideMark/>
          </w:tcPr>
          <w:p w14:paraId="4B7C8CB8"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57" w:type="dxa"/>
            <w:gridSpan w:val="3"/>
            <w:tcBorders>
              <w:top w:val="single" w:sz="4" w:space="0" w:color="auto"/>
              <w:left w:val="nil"/>
              <w:bottom w:val="nil"/>
              <w:right w:val="single" w:sz="18" w:space="0" w:color="auto"/>
            </w:tcBorders>
            <w:shd w:val="clear" w:color="auto" w:fill="auto"/>
            <w:noWrap/>
            <w:vAlign w:val="center"/>
            <w:hideMark/>
          </w:tcPr>
          <w:p w14:paraId="042F3BCD"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490</w:t>
            </w:r>
          </w:p>
        </w:tc>
        <w:tc>
          <w:tcPr>
            <w:tcW w:w="2250" w:type="dxa"/>
            <w:tcBorders>
              <w:top w:val="single" w:sz="4" w:space="0" w:color="auto"/>
              <w:left w:val="single" w:sz="18" w:space="0" w:color="auto"/>
              <w:bottom w:val="nil"/>
              <w:right w:val="single" w:sz="4" w:space="0" w:color="auto"/>
            </w:tcBorders>
            <w:shd w:val="clear" w:color="auto" w:fill="auto"/>
            <w:noWrap/>
            <w:vAlign w:val="center"/>
            <w:hideMark/>
          </w:tcPr>
          <w:p w14:paraId="2315C97E"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18" w:type="dxa"/>
            <w:gridSpan w:val="3"/>
            <w:tcBorders>
              <w:top w:val="single" w:sz="4" w:space="0" w:color="auto"/>
              <w:left w:val="nil"/>
              <w:bottom w:val="nil"/>
              <w:right w:val="single" w:sz="18" w:space="0" w:color="auto"/>
            </w:tcBorders>
            <w:shd w:val="clear" w:color="auto" w:fill="auto"/>
            <w:noWrap/>
            <w:vAlign w:val="center"/>
            <w:hideMark/>
          </w:tcPr>
          <w:p w14:paraId="15DFAC16"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937</w:t>
            </w:r>
          </w:p>
        </w:tc>
      </w:tr>
      <w:tr w:rsidR="006E6035" w:rsidRPr="00D309F4" w14:paraId="52AA8F02"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hideMark/>
          </w:tcPr>
          <w:p w14:paraId="727C5B19"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27BFCF1C"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-918.05</w:t>
            </w:r>
          </w:p>
        </w:tc>
        <w:tc>
          <w:tcPr>
            <w:tcW w:w="1165" w:type="dxa"/>
            <w:tcBorders>
              <w:top w:val="nil"/>
              <w:left w:val="nil"/>
              <w:bottom w:val="nil"/>
              <w:right w:val="nil"/>
            </w:tcBorders>
            <w:shd w:val="clear" w:color="auto" w:fill="auto"/>
            <w:noWrap/>
            <w:vAlign w:val="center"/>
            <w:hideMark/>
          </w:tcPr>
          <w:p w14:paraId="047936EC"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-935.95</w:t>
            </w:r>
          </w:p>
        </w:tc>
        <w:tc>
          <w:tcPr>
            <w:tcW w:w="905" w:type="dxa"/>
            <w:tcBorders>
              <w:top w:val="nil"/>
              <w:left w:val="nil"/>
              <w:bottom w:val="nil"/>
              <w:right w:val="single" w:sz="18" w:space="0" w:color="auto"/>
            </w:tcBorders>
            <w:shd w:val="clear" w:color="auto" w:fill="auto"/>
            <w:noWrap/>
            <w:vAlign w:val="center"/>
            <w:hideMark/>
          </w:tcPr>
          <w:p w14:paraId="393CB5BB"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-1031.49</w:t>
            </w:r>
          </w:p>
        </w:tc>
        <w:tc>
          <w:tcPr>
            <w:tcW w:w="2250" w:type="dxa"/>
            <w:tcBorders>
              <w:top w:val="nil"/>
              <w:left w:val="single" w:sz="18" w:space="0" w:color="auto"/>
              <w:bottom w:val="nil"/>
              <w:right w:val="single" w:sz="4" w:space="0" w:color="auto"/>
            </w:tcBorders>
            <w:shd w:val="clear" w:color="auto" w:fill="auto"/>
            <w:noWrap/>
            <w:vAlign w:val="center"/>
            <w:hideMark/>
          </w:tcPr>
          <w:p w14:paraId="69149109"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550CF8C2"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-1898.96</w:t>
            </w:r>
          </w:p>
        </w:tc>
        <w:tc>
          <w:tcPr>
            <w:tcW w:w="1165" w:type="dxa"/>
            <w:tcBorders>
              <w:top w:val="nil"/>
              <w:left w:val="nil"/>
              <w:bottom w:val="nil"/>
              <w:right w:val="nil"/>
            </w:tcBorders>
            <w:shd w:val="clear" w:color="auto" w:fill="auto"/>
            <w:noWrap/>
            <w:vAlign w:val="center"/>
            <w:hideMark/>
          </w:tcPr>
          <w:p w14:paraId="6DB0194B" w14:textId="4B58CC05"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-1907.02</w:t>
            </w:r>
          </w:p>
        </w:tc>
        <w:tc>
          <w:tcPr>
            <w:tcW w:w="866" w:type="dxa"/>
            <w:tcBorders>
              <w:top w:val="nil"/>
              <w:left w:val="nil"/>
              <w:bottom w:val="nil"/>
              <w:right w:val="single" w:sz="18" w:space="0" w:color="auto"/>
            </w:tcBorders>
            <w:shd w:val="clear" w:color="auto" w:fill="auto"/>
            <w:noWrap/>
            <w:vAlign w:val="center"/>
            <w:hideMark/>
          </w:tcPr>
          <w:p w14:paraId="17C744E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-2266.91</w:t>
            </w:r>
          </w:p>
        </w:tc>
      </w:tr>
      <w:tr w:rsidR="006E6035" w:rsidRPr="00D309F4" w14:paraId="5099AC20"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63176600"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13B0F2EE"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066461A4" w14:textId="3E4DCC6B"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35.81</w:t>
            </w:r>
          </w:p>
        </w:tc>
        <w:tc>
          <w:tcPr>
            <w:tcW w:w="905" w:type="dxa"/>
            <w:tcBorders>
              <w:top w:val="nil"/>
              <w:left w:val="nil"/>
              <w:bottom w:val="nil"/>
              <w:right w:val="single" w:sz="18" w:space="0" w:color="auto"/>
            </w:tcBorders>
            <w:shd w:val="clear" w:color="auto" w:fill="auto"/>
            <w:noWrap/>
            <w:vAlign w:val="center"/>
          </w:tcPr>
          <w:p w14:paraId="54028780"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2250" w:type="dxa"/>
            <w:tcBorders>
              <w:top w:val="nil"/>
              <w:left w:val="single" w:sz="18" w:space="0" w:color="auto"/>
              <w:bottom w:val="nil"/>
              <w:right w:val="single" w:sz="4" w:space="0" w:color="auto"/>
            </w:tcBorders>
            <w:shd w:val="clear" w:color="auto" w:fill="auto"/>
            <w:noWrap/>
            <w:vAlign w:val="center"/>
          </w:tcPr>
          <w:p w14:paraId="001518D0"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446598D6"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08A52935" w14:textId="6D3E5FC5"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16.11</w:t>
            </w:r>
          </w:p>
        </w:tc>
        <w:tc>
          <w:tcPr>
            <w:tcW w:w="866" w:type="dxa"/>
            <w:tcBorders>
              <w:top w:val="nil"/>
              <w:left w:val="nil"/>
              <w:bottom w:val="nil"/>
              <w:right w:val="single" w:sz="18" w:space="0" w:color="auto"/>
            </w:tcBorders>
            <w:shd w:val="clear" w:color="auto" w:fill="auto"/>
            <w:noWrap/>
            <w:vAlign w:val="center"/>
          </w:tcPr>
          <w:p w14:paraId="432A80BD"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r>
      <w:tr w:rsidR="006E6035" w:rsidRPr="00D309F4" w14:paraId="6114E100"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326D1CD2"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1EF76BEC"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14F40917"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905" w:type="dxa"/>
            <w:tcBorders>
              <w:top w:val="nil"/>
              <w:left w:val="nil"/>
              <w:bottom w:val="nil"/>
              <w:right w:val="single" w:sz="18" w:space="0" w:color="auto"/>
            </w:tcBorders>
            <w:shd w:val="clear" w:color="auto" w:fill="auto"/>
            <w:noWrap/>
            <w:vAlign w:val="center"/>
          </w:tcPr>
          <w:p w14:paraId="710D6E5A" w14:textId="0AC83986"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-12.85</w:t>
            </w:r>
          </w:p>
        </w:tc>
        <w:tc>
          <w:tcPr>
            <w:tcW w:w="2250" w:type="dxa"/>
            <w:tcBorders>
              <w:top w:val="nil"/>
              <w:left w:val="single" w:sz="18" w:space="0" w:color="auto"/>
              <w:bottom w:val="nil"/>
              <w:right w:val="single" w:sz="4" w:space="0" w:color="auto"/>
            </w:tcBorders>
            <w:shd w:val="clear" w:color="auto" w:fill="auto"/>
            <w:noWrap/>
            <w:vAlign w:val="center"/>
          </w:tcPr>
          <w:p w14:paraId="2B4F58F9"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1E15200D"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2B7B532A"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866" w:type="dxa"/>
            <w:tcBorders>
              <w:top w:val="nil"/>
              <w:left w:val="nil"/>
              <w:bottom w:val="nil"/>
              <w:right w:val="single" w:sz="18" w:space="0" w:color="auto"/>
            </w:tcBorders>
            <w:shd w:val="clear" w:color="auto" w:fill="auto"/>
            <w:noWrap/>
            <w:vAlign w:val="center"/>
          </w:tcPr>
          <w:p w14:paraId="35322DD4" w14:textId="2435542D"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-26.64</w:t>
            </w:r>
          </w:p>
        </w:tc>
      </w:tr>
      <w:tr w:rsidR="006E6035" w:rsidRPr="00D309F4" w14:paraId="352D88EB" w14:textId="77777777" w:rsidTr="00880D16">
        <w:trPr>
          <w:trHeight w:val="274"/>
          <w:jc w:val="center"/>
        </w:trPr>
        <w:tc>
          <w:tcPr>
            <w:tcW w:w="2227" w:type="dxa"/>
            <w:tcBorders>
              <w:top w:val="nil"/>
              <w:left w:val="single" w:sz="18" w:space="0" w:color="auto"/>
              <w:bottom w:val="single" w:sz="18" w:space="0" w:color="auto"/>
              <w:right w:val="single" w:sz="4" w:space="0" w:color="auto"/>
            </w:tcBorders>
            <w:shd w:val="clear" w:color="auto" w:fill="auto"/>
            <w:noWrap/>
            <w:vAlign w:val="center"/>
            <w:hideMark/>
          </w:tcPr>
          <w:p w14:paraId="625CCE76"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1D696A79"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2.69</w:t>
            </w:r>
          </w:p>
        </w:tc>
        <w:tc>
          <w:tcPr>
            <w:tcW w:w="1165" w:type="dxa"/>
            <w:tcBorders>
              <w:top w:val="nil"/>
              <w:left w:val="nil"/>
              <w:bottom w:val="single" w:sz="18" w:space="0" w:color="auto"/>
              <w:right w:val="nil"/>
            </w:tcBorders>
            <w:shd w:val="clear" w:color="auto" w:fill="auto"/>
            <w:noWrap/>
            <w:vAlign w:val="center"/>
            <w:hideMark/>
          </w:tcPr>
          <w:p w14:paraId="7026631E"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2.77</w:t>
            </w:r>
          </w:p>
        </w:tc>
        <w:tc>
          <w:tcPr>
            <w:tcW w:w="905" w:type="dxa"/>
            <w:tcBorders>
              <w:top w:val="nil"/>
              <w:left w:val="nil"/>
              <w:bottom w:val="single" w:sz="18" w:space="0" w:color="auto"/>
              <w:right w:val="single" w:sz="18" w:space="0" w:color="auto"/>
            </w:tcBorders>
            <w:shd w:val="clear" w:color="auto" w:fill="auto"/>
            <w:noWrap/>
            <w:vAlign w:val="center"/>
            <w:hideMark/>
          </w:tcPr>
          <w:p w14:paraId="0BB57AD3"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3.39</w:t>
            </w:r>
          </w:p>
        </w:tc>
        <w:tc>
          <w:tcPr>
            <w:tcW w:w="2250" w:type="dxa"/>
            <w:tcBorders>
              <w:top w:val="nil"/>
              <w:left w:val="single" w:sz="18" w:space="0" w:color="auto"/>
              <w:bottom w:val="single" w:sz="18" w:space="0" w:color="auto"/>
              <w:right w:val="single" w:sz="4" w:space="0" w:color="auto"/>
            </w:tcBorders>
            <w:shd w:val="clear" w:color="auto" w:fill="auto"/>
            <w:noWrap/>
            <w:vAlign w:val="center"/>
            <w:hideMark/>
          </w:tcPr>
          <w:p w14:paraId="4C35AD1E"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423F482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1.82</w:t>
            </w:r>
          </w:p>
        </w:tc>
        <w:tc>
          <w:tcPr>
            <w:tcW w:w="1165" w:type="dxa"/>
            <w:tcBorders>
              <w:top w:val="nil"/>
              <w:left w:val="nil"/>
              <w:bottom w:val="single" w:sz="18" w:space="0" w:color="auto"/>
              <w:right w:val="nil"/>
            </w:tcBorders>
            <w:shd w:val="clear" w:color="auto" w:fill="auto"/>
            <w:noWrap/>
            <w:vAlign w:val="center"/>
            <w:hideMark/>
          </w:tcPr>
          <w:p w14:paraId="10BF6AAB"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4.05</w:t>
            </w:r>
          </w:p>
        </w:tc>
        <w:tc>
          <w:tcPr>
            <w:tcW w:w="866" w:type="dxa"/>
            <w:tcBorders>
              <w:top w:val="nil"/>
              <w:left w:val="nil"/>
              <w:bottom w:val="single" w:sz="18" w:space="0" w:color="auto"/>
              <w:right w:val="single" w:sz="18" w:space="0" w:color="auto"/>
            </w:tcBorders>
            <w:shd w:val="clear" w:color="auto" w:fill="auto"/>
            <w:noWrap/>
            <w:vAlign w:val="center"/>
            <w:hideMark/>
          </w:tcPr>
          <w:p w14:paraId="1A6BD094"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4.62</w:t>
            </w:r>
          </w:p>
        </w:tc>
      </w:tr>
      <w:tr w:rsidR="006E6035" w:rsidRPr="00D309F4" w14:paraId="0BF5E9D8" w14:textId="77777777" w:rsidTr="00880D16">
        <w:trPr>
          <w:trHeight w:val="274"/>
          <w:jc w:val="center"/>
        </w:trPr>
        <w:tc>
          <w:tcPr>
            <w:tcW w:w="2227"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2EEA8054"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57"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7549F200" w14:textId="77777777"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Population Density: Low</w:t>
            </w:r>
          </w:p>
        </w:tc>
        <w:tc>
          <w:tcPr>
            <w:tcW w:w="2250" w:type="dxa"/>
            <w:tcBorders>
              <w:top w:val="single" w:sz="18" w:space="0" w:color="auto"/>
              <w:left w:val="single" w:sz="18" w:space="0" w:color="auto"/>
              <w:bottom w:val="single" w:sz="4" w:space="0" w:color="auto"/>
              <w:right w:val="single" w:sz="4" w:space="0" w:color="auto"/>
            </w:tcBorders>
            <w:shd w:val="clear" w:color="auto" w:fill="auto"/>
            <w:noWrap/>
            <w:vAlign w:val="center"/>
            <w:hideMark/>
          </w:tcPr>
          <w:p w14:paraId="30D5E1E3" w14:textId="77777777" w:rsidR="006E6035" w:rsidRPr="00D309F4" w:rsidRDefault="006E6035" w:rsidP="00880D16">
            <w:pPr>
              <w:spacing w:after="0" w:line="240" w:lineRule="auto"/>
              <w:ind w:left="216" w:hanging="216"/>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Market Segment</w:t>
            </w:r>
          </w:p>
        </w:tc>
        <w:tc>
          <w:tcPr>
            <w:tcW w:w="2918" w:type="dxa"/>
            <w:gridSpan w:val="3"/>
            <w:tcBorders>
              <w:top w:val="single" w:sz="18" w:space="0" w:color="auto"/>
              <w:left w:val="nil"/>
              <w:bottom w:val="single" w:sz="4" w:space="0" w:color="auto"/>
              <w:right w:val="single" w:sz="18" w:space="0" w:color="auto"/>
            </w:tcBorders>
            <w:shd w:val="clear" w:color="auto" w:fill="auto"/>
            <w:noWrap/>
            <w:vAlign w:val="center"/>
            <w:hideMark/>
          </w:tcPr>
          <w:p w14:paraId="18478CEC" w14:textId="77777777" w:rsidR="006E6035" w:rsidRPr="00D309F4" w:rsidRDefault="006E6035" w:rsidP="006E6035">
            <w:pPr>
              <w:spacing w:after="0" w:line="240" w:lineRule="auto"/>
              <w:jc w:val="center"/>
              <w:rPr>
                <w:rFonts w:eastAsia="Times New Roman" w:cs="Times New Roman"/>
                <w:b/>
                <w:bCs/>
                <w:kern w:val="0"/>
                <w:sz w:val="20"/>
                <w:szCs w:val="20"/>
                <w14:ligatures w14:val="none"/>
              </w:rPr>
            </w:pPr>
            <w:r w:rsidRPr="00D309F4">
              <w:rPr>
                <w:rFonts w:eastAsia="Times New Roman" w:cs="Times New Roman"/>
                <w:b/>
                <w:bCs/>
                <w:kern w:val="0"/>
                <w:sz w:val="20"/>
                <w:szCs w:val="20"/>
                <w14:ligatures w14:val="none"/>
              </w:rPr>
              <w:t>Charging Density: Low</w:t>
            </w:r>
          </w:p>
        </w:tc>
      </w:tr>
      <w:tr w:rsidR="006E6035" w:rsidRPr="00D309F4" w14:paraId="0704BB8A" w14:textId="77777777" w:rsidTr="00880D16">
        <w:trPr>
          <w:trHeight w:val="274"/>
          <w:jc w:val="center"/>
        </w:trPr>
        <w:tc>
          <w:tcPr>
            <w:tcW w:w="2227" w:type="dxa"/>
            <w:tcBorders>
              <w:top w:val="single" w:sz="4" w:space="0" w:color="auto"/>
              <w:left w:val="single" w:sz="18" w:space="0" w:color="auto"/>
              <w:bottom w:val="nil"/>
              <w:right w:val="single" w:sz="4" w:space="0" w:color="auto"/>
            </w:tcBorders>
            <w:shd w:val="clear" w:color="auto" w:fill="auto"/>
            <w:noWrap/>
            <w:vAlign w:val="center"/>
            <w:hideMark/>
          </w:tcPr>
          <w:p w14:paraId="4B0BA19A"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57" w:type="dxa"/>
            <w:gridSpan w:val="3"/>
            <w:tcBorders>
              <w:top w:val="single" w:sz="4" w:space="0" w:color="auto"/>
              <w:left w:val="nil"/>
              <w:bottom w:val="nil"/>
              <w:right w:val="single" w:sz="18" w:space="0" w:color="auto"/>
            </w:tcBorders>
            <w:shd w:val="clear" w:color="auto" w:fill="auto"/>
            <w:noWrap/>
            <w:vAlign w:val="center"/>
            <w:hideMark/>
          </w:tcPr>
          <w:p w14:paraId="1843659E"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708</w:t>
            </w:r>
          </w:p>
        </w:tc>
        <w:tc>
          <w:tcPr>
            <w:tcW w:w="2250" w:type="dxa"/>
            <w:tcBorders>
              <w:top w:val="single" w:sz="4" w:space="0" w:color="auto"/>
              <w:left w:val="single" w:sz="18" w:space="0" w:color="auto"/>
              <w:bottom w:val="nil"/>
              <w:right w:val="single" w:sz="4" w:space="0" w:color="auto"/>
            </w:tcBorders>
            <w:shd w:val="clear" w:color="auto" w:fill="auto"/>
            <w:noWrap/>
            <w:vAlign w:val="center"/>
            <w:hideMark/>
          </w:tcPr>
          <w:p w14:paraId="6C9E1B9D"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Number of Observations</w:t>
            </w:r>
          </w:p>
        </w:tc>
        <w:tc>
          <w:tcPr>
            <w:tcW w:w="2918" w:type="dxa"/>
            <w:gridSpan w:val="3"/>
            <w:tcBorders>
              <w:top w:val="single" w:sz="4" w:space="0" w:color="auto"/>
              <w:left w:val="nil"/>
              <w:bottom w:val="nil"/>
              <w:right w:val="single" w:sz="18" w:space="0" w:color="auto"/>
            </w:tcBorders>
            <w:shd w:val="clear" w:color="auto" w:fill="auto"/>
            <w:noWrap/>
            <w:vAlign w:val="center"/>
            <w:hideMark/>
          </w:tcPr>
          <w:p w14:paraId="08963F3D"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400</w:t>
            </w:r>
          </w:p>
        </w:tc>
      </w:tr>
      <w:tr w:rsidR="006E6035" w:rsidRPr="00D309F4" w14:paraId="57ABDE44"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hideMark/>
          </w:tcPr>
          <w:p w14:paraId="5B9B4F55"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703F648A"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-1401.62</w:t>
            </w:r>
          </w:p>
        </w:tc>
        <w:tc>
          <w:tcPr>
            <w:tcW w:w="1165" w:type="dxa"/>
            <w:tcBorders>
              <w:top w:val="nil"/>
              <w:left w:val="nil"/>
              <w:bottom w:val="nil"/>
              <w:right w:val="nil"/>
            </w:tcBorders>
            <w:shd w:val="clear" w:color="auto" w:fill="auto"/>
            <w:noWrap/>
            <w:vAlign w:val="center"/>
            <w:hideMark/>
          </w:tcPr>
          <w:p w14:paraId="4B00FB37"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-1410.54</w:t>
            </w:r>
          </w:p>
        </w:tc>
        <w:tc>
          <w:tcPr>
            <w:tcW w:w="905" w:type="dxa"/>
            <w:tcBorders>
              <w:top w:val="nil"/>
              <w:left w:val="nil"/>
              <w:bottom w:val="nil"/>
              <w:right w:val="single" w:sz="18" w:space="0" w:color="auto"/>
            </w:tcBorders>
            <w:shd w:val="clear" w:color="auto" w:fill="auto"/>
            <w:noWrap/>
            <w:vAlign w:val="center"/>
            <w:hideMark/>
          </w:tcPr>
          <w:p w14:paraId="7FB25B32"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-1681.94</w:t>
            </w:r>
          </w:p>
        </w:tc>
        <w:tc>
          <w:tcPr>
            <w:tcW w:w="2250" w:type="dxa"/>
            <w:tcBorders>
              <w:top w:val="nil"/>
              <w:left w:val="single" w:sz="18" w:space="0" w:color="auto"/>
              <w:bottom w:val="nil"/>
              <w:right w:val="single" w:sz="4" w:space="0" w:color="auto"/>
            </w:tcBorders>
            <w:shd w:val="clear" w:color="auto" w:fill="auto"/>
            <w:noWrap/>
            <w:vAlign w:val="center"/>
            <w:hideMark/>
          </w:tcPr>
          <w:p w14:paraId="786194C8"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Predictive Log-Likelihood</w:t>
            </w:r>
          </w:p>
        </w:tc>
        <w:tc>
          <w:tcPr>
            <w:tcW w:w="887" w:type="dxa"/>
            <w:tcBorders>
              <w:top w:val="nil"/>
              <w:left w:val="nil"/>
              <w:bottom w:val="nil"/>
              <w:right w:val="nil"/>
            </w:tcBorders>
            <w:shd w:val="clear" w:color="auto" w:fill="auto"/>
            <w:noWrap/>
            <w:vAlign w:val="center"/>
            <w:hideMark/>
          </w:tcPr>
          <w:p w14:paraId="5295B42B"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-715.94</w:t>
            </w:r>
          </w:p>
        </w:tc>
        <w:tc>
          <w:tcPr>
            <w:tcW w:w="1165" w:type="dxa"/>
            <w:tcBorders>
              <w:top w:val="nil"/>
              <w:left w:val="nil"/>
              <w:bottom w:val="nil"/>
              <w:right w:val="nil"/>
            </w:tcBorders>
            <w:shd w:val="clear" w:color="auto" w:fill="auto"/>
            <w:noWrap/>
            <w:vAlign w:val="center"/>
            <w:hideMark/>
          </w:tcPr>
          <w:p w14:paraId="542DA4AB"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-722.58</w:t>
            </w:r>
          </w:p>
        </w:tc>
        <w:tc>
          <w:tcPr>
            <w:tcW w:w="866" w:type="dxa"/>
            <w:tcBorders>
              <w:top w:val="nil"/>
              <w:left w:val="nil"/>
              <w:bottom w:val="nil"/>
              <w:right w:val="single" w:sz="18" w:space="0" w:color="auto"/>
            </w:tcBorders>
            <w:shd w:val="clear" w:color="auto" w:fill="auto"/>
            <w:noWrap/>
            <w:vAlign w:val="center"/>
            <w:hideMark/>
          </w:tcPr>
          <w:p w14:paraId="76132629"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-868.30</w:t>
            </w:r>
          </w:p>
        </w:tc>
      </w:tr>
      <w:tr w:rsidR="006E6035" w:rsidRPr="00D309F4" w14:paraId="58A0FA9A"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11F5D6AA"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1F38E1F2"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6440BE81" w14:textId="4F025107"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17.82</w:t>
            </w:r>
          </w:p>
        </w:tc>
        <w:tc>
          <w:tcPr>
            <w:tcW w:w="905" w:type="dxa"/>
            <w:tcBorders>
              <w:top w:val="nil"/>
              <w:left w:val="nil"/>
              <w:bottom w:val="nil"/>
              <w:right w:val="single" w:sz="18" w:space="0" w:color="auto"/>
            </w:tcBorders>
            <w:shd w:val="clear" w:color="auto" w:fill="auto"/>
            <w:noWrap/>
            <w:vAlign w:val="center"/>
          </w:tcPr>
          <w:p w14:paraId="22D9408B"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2250" w:type="dxa"/>
            <w:tcBorders>
              <w:top w:val="nil"/>
              <w:left w:val="single" w:sz="18" w:space="0" w:color="auto"/>
              <w:bottom w:val="nil"/>
              <w:right w:val="single" w:sz="4" w:space="0" w:color="auto"/>
            </w:tcBorders>
            <w:shd w:val="clear" w:color="auto" w:fill="auto"/>
            <w:noWrap/>
            <w:vAlign w:val="center"/>
          </w:tcPr>
          <w:p w14:paraId="038DDAA2"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LRT</w:t>
            </w:r>
          </w:p>
        </w:tc>
        <w:tc>
          <w:tcPr>
            <w:tcW w:w="887" w:type="dxa"/>
            <w:tcBorders>
              <w:top w:val="nil"/>
              <w:left w:val="nil"/>
              <w:bottom w:val="nil"/>
              <w:right w:val="nil"/>
            </w:tcBorders>
            <w:shd w:val="clear" w:color="auto" w:fill="auto"/>
            <w:noWrap/>
            <w:vAlign w:val="center"/>
          </w:tcPr>
          <w:p w14:paraId="74092CED"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1F0D6328" w14:textId="55998601"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13.28</w:t>
            </w:r>
          </w:p>
        </w:tc>
        <w:tc>
          <w:tcPr>
            <w:tcW w:w="866" w:type="dxa"/>
            <w:tcBorders>
              <w:top w:val="nil"/>
              <w:left w:val="nil"/>
              <w:bottom w:val="nil"/>
              <w:right w:val="single" w:sz="18" w:space="0" w:color="auto"/>
            </w:tcBorders>
            <w:shd w:val="clear" w:color="auto" w:fill="auto"/>
            <w:noWrap/>
            <w:vAlign w:val="center"/>
          </w:tcPr>
          <w:p w14:paraId="5FA1AE1A"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r>
      <w:tr w:rsidR="006E6035" w:rsidRPr="00D309F4" w14:paraId="3A32273A" w14:textId="77777777" w:rsidTr="00880D16">
        <w:trPr>
          <w:trHeight w:val="274"/>
          <w:jc w:val="center"/>
        </w:trPr>
        <w:tc>
          <w:tcPr>
            <w:tcW w:w="2227" w:type="dxa"/>
            <w:tcBorders>
              <w:top w:val="nil"/>
              <w:left w:val="single" w:sz="18" w:space="0" w:color="auto"/>
              <w:bottom w:val="nil"/>
              <w:right w:val="single" w:sz="4" w:space="0" w:color="auto"/>
            </w:tcBorders>
            <w:shd w:val="clear" w:color="auto" w:fill="auto"/>
            <w:noWrap/>
            <w:vAlign w:val="center"/>
          </w:tcPr>
          <w:p w14:paraId="32BADA03"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454A666D"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52484C6C"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905" w:type="dxa"/>
            <w:tcBorders>
              <w:top w:val="nil"/>
              <w:left w:val="nil"/>
              <w:bottom w:val="nil"/>
              <w:right w:val="single" w:sz="18" w:space="0" w:color="auto"/>
            </w:tcBorders>
            <w:shd w:val="clear" w:color="auto" w:fill="auto"/>
            <w:noWrap/>
            <w:vAlign w:val="center"/>
          </w:tcPr>
          <w:p w14:paraId="3AA8A97F" w14:textId="7817D3DD"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-23.12</w:t>
            </w:r>
          </w:p>
        </w:tc>
        <w:tc>
          <w:tcPr>
            <w:tcW w:w="2250" w:type="dxa"/>
            <w:tcBorders>
              <w:top w:val="nil"/>
              <w:left w:val="single" w:sz="18" w:space="0" w:color="auto"/>
              <w:bottom w:val="nil"/>
              <w:right w:val="single" w:sz="4" w:space="0" w:color="auto"/>
            </w:tcBorders>
            <w:shd w:val="clear" w:color="auto" w:fill="auto"/>
            <w:noWrap/>
            <w:vAlign w:val="center"/>
          </w:tcPr>
          <w:p w14:paraId="737B33F1"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color w:val="000000"/>
                <w:kern w:val="0"/>
                <w:sz w:val="20"/>
                <w:szCs w:val="20"/>
                <w14:ligatures w14:val="none"/>
              </w:rPr>
              <w:t>Informal Predictive non-Nested LRT</w:t>
            </w:r>
          </w:p>
        </w:tc>
        <w:tc>
          <w:tcPr>
            <w:tcW w:w="887" w:type="dxa"/>
            <w:tcBorders>
              <w:top w:val="nil"/>
              <w:left w:val="nil"/>
              <w:bottom w:val="nil"/>
              <w:right w:val="nil"/>
            </w:tcBorders>
            <w:shd w:val="clear" w:color="auto" w:fill="auto"/>
            <w:noWrap/>
            <w:vAlign w:val="center"/>
          </w:tcPr>
          <w:p w14:paraId="58849757"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1165" w:type="dxa"/>
            <w:tcBorders>
              <w:top w:val="nil"/>
              <w:left w:val="nil"/>
              <w:bottom w:val="nil"/>
              <w:right w:val="nil"/>
            </w:tcBorders>
            <w:shd w:val="clear" w:color="auto" w:fill="auto"/>
            <w:noWrap/>
            <w:vAlign w:val="center"/>
          </w:tcPr>
          <w:p w14:paraId="71AEC8EF" w14:textId="77777777" w:rsidR="006E6035" w:rsidRPr="00D309F4" w:rsidRDefault="006E6035" w:rsidP="00357536">
            <w:pPr>
              <w:spacing w:after="0" w:line="240" w:lineRule="auto"/>
              <w:jc w:val="center"/>
              <w:rPr>
                <w:rFonts w:eastAsia="Times New Roman" w:cs="Times New Roman"/>
                <w:kern w:val="0"/>
                <w:sz w:val="20"/>
                <w:szCs w:val="20"/>
                <w14:ligatures w14:val="none"/>
              </w:rPr>
            </w:pPr>
          </w:p>
        </w:tc>
        <w:tc>
          <w:tcPr>
            <w:tcW w:w="866" w:type="dxa"/>
            <w:tcBorders>
              <w:top w:val="nil"/>
              <w:left w:val="nil"/>
              <w:bottom w:val="nil"/>
              <w:right w:val="single" w:sz="18" w:space="0" w:color="auto"/>
            </w:tcBorders>
            <w:shd w:val="clear" w:color="auto" w:fill="auto"/>
            <w:noWrap/>
            <w:vAlign w:val="center"/>
          </w:tcPr>
          <w:p w14:paraId="595F5AFB" w14:textId="7AFAC29D" w:rsidR="006E6035" w:rsidRPr="00D309F4" w:rsidRDefault="006E6035" w:rsidP="00357536">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-16.48</w:t>
            </w:r>
          </w:p>
        </w:tc>
      </w:tr>
      <w:tr w:rsidR="006E6035" w:rsidRPr="00D309F4" w14:paraId="75251366" w14:textId="77777777" w:rsidTr="00880D16">
        <w:trPr>
          <w:trHeight w:val="274"/>
          <w:jc w:val="center"/>
        </w:trPr>
        <w:tc>
          <w:tcPr>
            <w:tcW w:w="2227" w:type="dxa"/>
            <w:tcBorders>
              <w:top w:val="nil"/>
              <w:left w:val="single" w:sz="18" w:space="0" w:color="auto"/>
              <w:bottom w:val="single" w:sz="18" w:space="0" w:color="auto"/>
              <w:right w:val="single" w:sz="4" w:space="0" w:color="auto"/>
            </w:tcBorders>
            <w:shd w:val="clear" w:color="auto" w:fill="auto"/>
            <w:noWrap/>
            <w:vAlign w:val="center"/>
            <w:hideMark/>
          </w:tcPr>
          <w:p w14:paraId="4393CE6B"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1862B1F8"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2.01</w:t>
            </w:r>
          </w:p>
        </w:tc>
        <w:tc>
          <w:tcPr>
            <w:tcW w:w="1165" w:type="dxa"/>
            <w:tcBorders>
              <w:top w:val="nil"/>
              <w:left w:val="nil"/>
              <w:bottom w:val="single" w:sz="18" w:space="0" w:color="auto"/>
              <w:right w:val="nil"/>
            </w:tcBorders>
            <w:shd w:val="clear" w:color="auto" w:fill="auto"/>
            <w:noWrap/>
            <w:vAlign w:val="center"/>
            <w:hideMark/>
          </w:tcPr>
          <w:p w14:paraId="1D523B6E"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2.82</w:t>
            </w:r>
          </w:p>
        </w:tc>
        <w:tc>
          <w:tcPr>
            <w:tcW w:w="905" w:type="dxa"/>
            <w:tcBorders>
              <w:top w:val="nil"/>
              <w:left w:val="nil"/>
              <w:bottom w:val="single" w:sz="18" w:space="0" w:color="auto"/>
              <w:right w:val="single" w:sz="18" w:space="0" w:color="auto"/>
            </w:tcBorders>
            <w:shd w:val="clear" w:color="auto" w:fill="auto"/>
            <w:noWrap/>
            <w:vAlign w:val="center"/>
            <w:hideMark/>
          </w:tcPr>
          <w:p w14:paraId="76BEB79C"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3.60</w:t>
            </w:r>
          </w:p>
        </w:tc>
        <w:tc>
          <w:tcPr>
            <w:tcW w:w="2250" w:type="dxa"/>
            <w:tcBorders>
              <w:top w:val="nil"/>
              <w:left w:val="single" w:sz="18" w:space="0" w:color="auto"/>
              <w:bottom w:val="single" w:sz="18" w:space="0" w:color="auto"/>
              <w:right w:val="single" w:sz="4" w:space="0" w:color="auto"/>
            </w:tcBorders>
            <w:shd w:val="clear" w:color="auto" w:fill="auto"/>
            <w:noWrap/>
            <w:vAlign w:val="center"/>
            <w:hideMark/>
          </w:tcPr>
          <w:p w14:paraId="0D96D4E9" w14:textId="77777777" w:rsidR="006E6035" w:rsidRPr="00D309F4" w:rsidRDefault="006E6035" w:rsidP="00880D16">
            <w:pPr>
              <w:spacing w:after="0" w:line="240" w:lineRule="auto"/>
              <w:ind w:left="216" w:hanging="216"/>
              <w:rPr>
                <w:rFonts w:eastAsia="Times New Roman" w:cs="Times New Roman"/>
                <w:kern w:val="0"/>
                <w:sz w:val="20"/>
                <w:szCs w:val="20"/>
                <w14:ligatures w14:val="none"/>
              </w:rPr>
            </w:pPr>
            <w:r w:rsidRPr="00D309F4">
              <w:rPr>
                <w:rFonts w:eastAsia="Times New Roman" w:cs="Times New Roman"/>
                <w:kern w:val="0"/>
                <w:sz w:val="20"/>
                <w:szCs w:val="20"/>
                <w14:ligatures w14:val="none"/>
              </w:rPr>
              <w:t>WAPE</w:t>
            </w:r>
          </w:p>
        </w:tc>
        <w:tc>
          <w:tcPr>
            <w:tcW w:w="887" w:type="dxa"/>
            <w:tcBorders>
              <w:top w:val="nil"/>
              <w:left w:val="nil"/>
              <w:bottom w:val="single" w:sz="18" w:space="0" w:color="auto"/>
              <w:right w:val="nil"/>
            </w:tcBorders>
            <w:shd w:val="clear" w:color="auto" w:fill="auto"/>
            <w:noWrap/>
            <w:vAlign w:val="center"/>
            <w:hideMark/>
          </w:tcPr>
          <w:p w14:paraId="6E729E39"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1.78</w:t>
            </w:r>
          </w:p>
        </w:tc>
        <w:tc>
          <w:tcPr>
            <w:tcW w:w="1165" w:type="dxa"/>
            <w:tcBorders>
              <w:top w:val="nil"/>
              <w:left w:val="nil"/>
              <w:bottom w:val="single" w:sz="18" w:space="0" w:color="auto"/>
              <w:right w:val="nil"/>
            </w:tcBorders>
            <w:shd w:val="clear" w:color="auto" w:fill="auto"/>
            <w:noWrap/>
            <w:vAlign w:val="center"/>
            <w:hideMark/>
          </w:tcPr>
          <w:p w14:paraId="3E2CD7A9"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2.60</w:t>
            </w:r>
          </w:p>
        </w:tc>
        <w:tc>
          <w:tcPr>
            <w:tcW w:w="866" w:type="dxa"/>
            <w:tcBorders>
              <w:top w:val="nil"/>
              <w:left w:val="nil"/>
              <w:bottom w:val="single" w:sz="18" w:space="0" w:color="auto"/>
              <w:right w:val="single" w:sz="18" w:space="0" w:color="auto"/>
            </w:tcBorders>
            <w:shd w:val="clear" w:color="auto" w:fill="auto"/>
            <w:noWrap/>
            <w:vAlign w:val="center"/>
            <w:hideMark/>
          </w:tcPr>
          <w:p w14:paraId="595A380C" w14:textId="77777777" w:rsidR="006E6035" w:rsidRPr="00D309F4" w:rsidRDefault="006E6035" w:rsidP="006E6035">
            <w:pPr>
              <w:spacing w:after="0" w:line="240" w:lineRule="auto"/>
              <w:jc w:val="center"/>
              <w:rPr>
                <w:rFonts w:eastAsia="Times New Roman" w:cs="Times New Roman"/>
                <w:kern w:val="0"/>
                <w:sz w:val="20"/>
                <w:szCs w:val="20"/>
                <w14:ligatures w14:val="none"/>
              </w:rPr>
            </w:pPr>
            <w:r w:rsidRPr="00D309F4">
              <w:rPr>
                <w:rFonts w:eastAsia="Times New Roman" w:cs="Times New Roman"/>
                <w:kern w:val="0"/>
                <w:sz w:val="20"/>
                <w:szCs w:val="20"/>
                <w14:ligatures w14:val="none"/>
              </w:rPr>
              <w:t>2.63</w:t>
            </w:r>
          </w:p>
        </w:tc>
      </w:tr>
    </w:tbl>
    <w:p w14:paraId="454146EE" w14:textId="77777777" w:rsidR="00384FAC" w:rsidRPr="00D309F4" w:rsidRDefault="00384FAC" w:rsidP="00B95636">
      <w:pPr>
        <w:spacing w:after="0" w:line="240" w:lineRule="auto"/>
        <w:jc w:val="both"/>
        <w:rPr>
          <w:rFonts w:cs="Times New Roman"/>
          <w:b/>
          <w:bCs/>
        </w:rPr>
      </w:pPr>
    </w:p>
    <w:p w14:paraId="5918E9F7" w14:textId="5E7B099D" w:rsidR="00384FAC" w:rsidRPr="00D309F4" w:rsidRDefault="00384FAC" w:rsidP="00B95636">
      <w:pPr>
        <w:spacing w:after="0" w:line="240" w:lineRule="auto"/>
        <w:jc w:val="both"/>
        <w:rPr>
          <w:rFonts w:cs="Times New Roman"/>
          <w:b/>
          <w:bCs/>
        </w:rPr>
        <w:sectPr w:rsidR="00384FAC" w:rsidRPr="00D309F4" w:rsidSect="00384FAC">
          <w:pgSz w:w="12240" w:h="15840" w:code="1"/>
          <w:pgMar w:top="1440" w:right="1440" w:bottom="1440" w:left="1440" w:header="720" w:footer="720" w:gutter="0"/>
          <w:cols w:space="720"/>
          <w:docGrid w:linePitch="360"/>
        </w:sectPr>
      </w:pPr>
    </w:p>
    <w:bookmarkEnd w:id="45"/>
    <w:p w14:paraId="0D30B9D0" w14:textId="77777777" w:rsidR="00B95636" w:rsidRPr="00D309F4" w:rsidRDefault="00B95636" w:rsidP="00B95636">
      <w:pPr>
        <w:spacing w:after="0" w:line="240" w:lineRule="auto"/>
        <w:jc w:val="both"/>
        <w:rPr>
          <w:rFonts w:cs="Times New Roman"/>
          <w:b/>
          <w:bCs/>
        </w:rPr>
      </w:pPr>
    </w:p>
    <w:p w14:paraId="42714262" w14:textId="365098C0" w:rsidR="00B95636" w:rsidRPr="00D309F4" w:rsidRDefault="00B95636" w:rsidP="00B95636">
      <w:pPr>
        <w:spacing w:after="0" w:line="240" w:lineRule="auto"/>
        <w:jc w:val="both"/>
        <w:rPr>
          <w:rFonts w:cs="Times New Roman"/>
          <w:b/>
          <w:bCs/>
          <w:sz w:val="22"/>
          <w:szCs w:val="22"/>
        </w:rPr>
      </w:pPr>
      <w:r w:rsidRPr="00D309F4">
        <w:rPr>
          <w:rFonts w:cs="Times New Roman"/>
          <w:b/>
          <w:bCs/>
          <w:sz w:val="22"/>
          <w:szCs w:val="22"/>
        </w:rPr>
        <w:t xml:space="preserve">Table </w:t>
      </w:r>
      <w:r w:rsidR="00BA07D0" w:rsidRPr="00D309F4">
        <w:rPr>
          <w:rFonts w:cs="Times New Roman"/>
          <w:b/>
          <w:bCs/>
          <w:sz w:val="22"/>
          <w:szCs w:val="22"/>
        </w:rPr>
        <w:t>7</w:t>
      </w:r>
      <w:r w:rsidRPr="00D309F4">
        <w:rPr>
          <w:rFonts w:cs="Times New Roman"/>
          <w:b/>
          <w:bCs/>
          <w:sz w:val="22"/>
          <w:szCs w:val="22"/>
        </w:rPr>
        <w:t>: Average Treatment Effects</w:t>
      </w:r>
    </w:p>
    <w:p w14:paraId="0B3B05F7" w14:textId="77777777" w:rsidR="00B95636" w:rsidRPr="00D309F4" w:rsidRDefault="00B95636" w:rsidP="00B95636">
      <w:pPr>
        <w:spacing w:after="0" w:line="240" w:lineRule="auto"/>
        <w:jc w:val="both"/>
        <w:rPr>
          <w:rFonts w:cs="Times New Roman"/>
          <w:b/>
          <w:bCs/>
          <w:sz w:val="22"/>
          <w:szCs w:val="22"/>
        </w:rPr>
      </w:pPr>
    </w:p>
    <w:tbl>
      <w:tblPr>
        <w:tblW w:w="12516" w:type="dxa"/>
        <w:jc w:val="center"/>
        <w:tblBorders>
          <w:top w:val="single" w:sz="18" w:space="0" w:color="auto"/>
          <w:left w:val="single" w:sz="18" w:space="0" w:color="auto"/>
          <w:bottom w:val="single" w:sz="18" w:space="0" w:color="auto"/>
          <w:right w:val="single" w:sz="18" w:space="0" w:color="auto"/>
        </w:tblBorders>
        <w:tblLook w:val="04A0" w:firstRow="1" w:lastRow="0" w:firstColumn="1" w:lastColumn="0" w:noHBand="0" w:noVBand="1"/>
      </w:tblPr>
      <w:tblGrid>
        <w:gridCol w:w="2227"/>
        <w:gridCol w:w="2610"/>
        <w:gridCol w:w="2819"/>
        <w:gridCol w:w="930"/>
        <w:gridCol w:w="605"/>
        <w:gridCol w:w="672"/>
        <w:gridCol w:w="740"/>
        <w:gridCol w:w="872"/>
        <w:gridCol w:w="1041"/>
      </w:tblGrid>
      <w:tr w:rsidR="005A05D7" w:rsidRPr="00D309F4" w14:paraId="69622C9E" w14:textId="77777777" w:rsidTr="0097080D">
        <w:trPr>
          <w:trHeight w:val="295"/>
          <w:jc w:val="center"/>
        </w:trPr>
        <w:tc>
          <w:tcPr>
            <w:tcW w:w="2227" w:type="dxa"/>
            <w:vMerge w:val="restart"/>
            <w:tcBorders>
              <w:top w:val="single" w:sz="18" w:space="0" w:color="auto"/>
              <w:bottom w:val="nil"/>
              <w:right w:val="single" w:sz="18" w:space="0" w:color="auto"/>
            </w:tcBorders>
            <w:shd w:val="clear" w:color="auto" w:fill="auto"/>
            <w:noWrap/>
            <w:vAlign w:val="center"/>
            <w:hideMark/>
          </w:tcPr>
          <w:p w14:paraId="67614C1F"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bookmarkStart w:id="46" w:name="_Hlk184635175"/>
            <w:r w:rsidRPr="00D309F4">
              <w:rPr>
                <w:rFonts w:eastAsia="Times New Roman" w:cs="Times New Roman"/>
                <w:b/>
                <w:bCs/>
                <w:color w:val="000000"/>
                <w:kern w:val="0"/>
                <w:sz w:val="20"/>
                <w:szCs w:val="20"/>
                <w14:ligatures w14:val="none"/>
              </w:rPr>
              <w:t>Variable</w:t>
            </w:r>
          </w:p>
        </w:tc>
        <w:tc>
          <w:tcPr>
            <w:tcW w:w="2610" w:type="dxa"/>
            <w:vMerge w:val="restart"/>
            <w:tcBorders>
              <w:top w:val="single" w:sz="18" w:space="0" w:color="auto"/>
              <w:left w:val="single" w:sz="18" w:space="0" w:color="auto"/>
              <w:bottom w:val="nil"/>
            </w:tcBorders>
            <w:shd w:val="clear" w:color="auto" w:fill="auto"/>
            <w:noWrap/>
            <w:vAlign w:val="center"/>
            <w:hideMark/>
          </w:tcPr>
          <w:p w14:paraId="1AB22046" w14:textId="70CCAA98"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Base Level</w:t>
            </w:r>
          </w:p>
        </w:tc>
        <w:tc>
          <w:tcPr>
            <w:tcW w:w="2819" w:type="dxa"/>
            <w:vMerge w:val="restart"/>
            <w:tcBorders>
              <w:top w:val="single" w:sz="18" w:space="0" w:color="auto"/>
              <w:bottom w:val="nil"/>
              <w:right w:val="single" w:sz="18" w:space="0" w:color="auto"/>
            </w:tcBorders>
            <w:shd w:val="clear" w:color="auto" w:fill="auto"/>
            <w:noWrap/>
            <w:vAlign w:val="center"/>
            <w:hideMark/>
          </w:tcPr>
          <w:p w14:paraId="3E8CDD32"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Treatment Level</w:t>
            </w:r>
          </w:p>
        </w:tc>
        <w:tc>
          <w:tcPr>
            <w:tcW w:w="2947" w:type="dxa"/>
            <w:gridSpan w:val="4"/>
            <w:tcBorders>
              <w:top w:val="single" w:sz="18" w:space="0" w:color="auto"/>
              <w:left w:val="single" w:sz="18" w:space="0" w:color="auto"/>
              <w:bottom w:val="single" w:sz="8" w:space="0" w:color="auto"/>
            </w:tcBorders>
            <w:shd w:val="clear" w:color="auto" w:fill="auto"/>
            <w:noWrap/>
            <w:vAlign w:val="center"/>
            <w:hideMark/>
          </w:tcPr>
          <w:p w14:paraId="3D0E90BF"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Percent Contribution Through</w:t>
            </w:r>
          </w:p>
        </w:tc>
        <w:tc>
          <w:tcPr>
            <w:tcW w:w="872" w:type="dxa"/>
            <w:vMerge w:val="restart"/>
            <w:tcBorders>
              <w:top w:val="single" w:sz="18" w:space="0" w:color="auto"/>
              <w:right w:val="single" w:sz="18" w:space="0" w:color="auto"/>
            </w:tcBorders>
            <w:shd w:val="clear" w:color="auto" w:fill="auto"/>
            <w:noWrap/>
            <w:vAlign w:val="center"/>
            <w:hideMark/>
          </w:tcPr>
          <w:p w14:paraId="72D3B119"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Percent Direct Effect</w:t>
            </w:r>
          </w:p>
        </w:tc>
        <w:tc>
          <w:tcPr>
            <w:tcW w:w="1041" w:type="dxa"/>
            <w:vMerge w:val="restart"/>
            <w:tcBorders>
              <w:top w:val="single" w:sz="18" w:space="0" w:color="auto"/>
              <w:left w:val="single" w:sz="18" w:space="0" w:color="auto"/>
            </w:tcBorders>
            <w:shd w:val="clear" w:color="auto" w:fill="auto"/>
            <w:noWrap/>
            <w:vAlign w:val="center"/>
            <w:hideMark/>
          </w:tcPr>
          <w:p w14:paraId="3E3DF163" w14:textId="408CC82D"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Total ATE</w:t>
            </w:r>
          </w:p>
        </w:tc>
      </w:tr>
      <w:tr w:rsidR="005A05D7" w:rsidRPr="00D309F4" w14:paraId="64C71914" w14:textId="77777777" w:rsidTr="0097080D">
        <w:trPr>
          <w:trHeight w:val="295"/>
          <w:jc w:val="center"/>
        </w:trPr>
        <w:tc>
          <w:tcPr>
            <w:tcW w:w="2227" w:type="dxa"/>
            <w:vMerge/>
            <w:tcBorders>
              <w:top w:val="nil"/>
              <w:bottom w:val="single" w:sz="18" w:space="0" w:color="auto"/>
              <w:right w:val="single" w:sz="18" w:space="0" w:color="auto"/>
            </w:tcBorders>
            <w:vAlign w:val="center"/>
            <w:hideMark/>
          </w:tcPr>
          <w:p w14:paraId="76569870" w14:textId="77777777" w:rsidR="005A05D7" w:rsidRPr="00D309F4" w:rsidRDefault="005A05D7" w:rsidP="009E0B91">
            <w:pPr>
              <w:spacing w:after="0" w:line="240" w:lineRule="auto"/>
              <w:rPr>
                <w:rFonts w:eastAsia="Times New Roman" w:cs="Times New Roman"/>
                <w:b/>
                <w:bCs/>
                <w:color w:val="000000"/>
                <w:kern w:val="0"/>
                <w:sz w:val="20"/>
                <w:szCs w:val="20"/>
                <w14:ligatures w14:val="none"/>
              </w:rPr>
            </w:pPr>
          </w:p>
        </w:tc>
        <w:tc>
          <w:tcPr>
            <w:tcW w:w="2610" w:type="dxa"/>
            <w:vMerge/>
            <w:tcBorders>
              <w:top w:val="nil"/>
              <w:left w:val="single" w:sz="18" w:space="0" w:color="auto"/>
              <w:bottom w:val="single" w:sz="18" w:space="0" w:color="auto"/>
            </w:tcBorders>
            <w:vAlign w:val="center"/>
            <w:hideMark/>
          </w:tcPr>
          <w:p w14:paraId="7323083B" w14:textId="77777777" w:rsidR="005A05D7" w:rsidRPr="00D309F4" w:rsidRDefault="005A05D7" w:rsidP="009E0B91">
            <w:pPr>
              <w:spacing w:after="0" w:line="240" w:lineRule="auto"/>
              <w:rPr>
                <w:rFonts w:eastAsia="Times New Roman" w:cs="Times New Roman"/>
                <w:b/>
                <w:bCs/>
                <w:color w:val="000000"/>
                <w:kern w:val="0"/>
                <w:sz w:val="20"/>
                <w:szCs w:val="20"/>
                <w14:ligatures w14:val="none"/>
              </w:rPr>
            </w:pPr>
          </w:p>
        </w:tc>
        <w:tc>
          <w:tcPr>
            <w:tcW w:w="2819" w:type="dxa"/>
            <w:vMerge/>
            <w:tcBorders>
              <w:top w:val="nil"/>
              <w:bottom w:val="single" w:sz="18" w:space="0" w:color="auto"/>
              <w:right w:val="single" w:sz="18" w:space="0" w:color="auto"/>
            </w:tcBorders>
            <w:vAlign w:val="center"/>
            <w:hideMark/>
          </w:tcPr>
          <w:p w14:paraId="21FFAFE7" w14:textId="77777777" w:rsidR="005A05D7" w:rsidRPr="00D309F4" w:rsidRDefault="005A05D7" w:rsidP="009E0B91">
            <w:pPr>
              <w:spacing w:after="0" w:line="240" w:lineRule="auto"/>
              <w:rPr>
                <w:rFonts w:eastAsia="Times New Roman" w:cs="Times New Roman"/>
                <w:b/>
                <w:bCs/>
                <w:color w:val="000000"/>
                <w:kern w:val="0"/>
                <w:sz w:val="20"/>
                <w:szCs w:val="20"/>
                <w14:ligatures w14:val="none"/>
              </w:rPr>
            </w:pPr>
          </w:p>
        </w:tc>
        <w:tc>
          <w:tcPr>
            <w:tcW w:w="930" w:type="dxa"/>
            <w:tcBorders>
              <w:top w:val="single" w:sz="8" w:space="0" w:color="auto"/>
              <w:left w:val="single" w:sz="18" w:space="0" w:color="auto"/>
              <w:bottom w:val="single" w:sz="18" w:space="0" w:color="auto"/>
            </w:tcBorders>
            <w:shd w:val="clear" w:color="auto" w:fill="auto"/>
            <w:noWrap/>
            <w:vAlign w:val="center"/>
            <w:hideMark/>
          </w:tcPr>
          <w:p w14:paraId="690BFD1E"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GLP</w:t>
            </w:r>
          </w:p>
        </w:tc>
        <w:tc>
          <w:tcPr>
            <w:tcW w:w="605" w:type="dxa"/>
            <w:tcBorders>
              <w:top w:val="single" w:sz="8" w:space="0" w:color="auto"/>
              <w:bottom w:val="single" w:sz="18" w:space="0" w:color="auto"/>
            </w:tcBorders>
            <w:shd w:val="clear" w:color="auto" w:fill="auto"/>
            <w:noWrap/>
            <w:vAlign w:val="center"/>
            <w:hideMark/>
          </w:tcPr>
          <w:p w14:paraId="0BFA5DB0"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VFP</w:t>
            </w:r>
          </w:p>
        </w:tc>
        <w:tc>
          <w:tcPr>
            <w:tcW w:w="672" w:type="dxa"/>
            <w:tcBorders>
              <w:top w:val="single" w:sz="8" w:space="0" w:color="auto"/>
              <w:bottom w:val="single" w:sz="18" w:space="0" w:color="auto"/>
            </w:tcBorders>
            <w:shd w:val="clear" w:color="auto" w:fill="auto"/>
            <w:noWrap/>
            <w:vAlign w:val="center"/>
            <w:hideMark/>
          </w:tcPr>
          <w:p w14:paraId="1EE8F119"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CMP</w:t>
            </w:r>
          </w:p>
        </w:tc>
        <w:tc>
          <w:tcPr>
            <w:tcW w:w="740" w:type="dxa"/>
            <w:tcBorders>
              <w:top w:val="single" w:sz="8" w:space="0" w:color="auto"/>
              <w:bottom w:val="single" w:sz="18" w:space="0" w:color="auto"/>
            </w:tcBorders>
            <w:shd w:val="clear" w:color="auto" w:fill="auto"/>
            <w:noWrap/>
            <w:vAlign w:val="center"/>
            <w:hideMark/>
          </w:tcPr>
          <w:p w14:paraId="6975FC7C" w14:textId="77777777" w:rsidR="005A05D7" w:rsidRPr="00D309F4" w:rsidRDefault="005A05D7" w:rsidP="004925D7">
            <w:pPr>
              <w:spacing w:after="0" w:line="240" w:lineRule="auto"/>
              <w:jc w:val="center"/>
              <w:rPr>
                <w:rFonts w:eastAsia="Times New Roman" w:cs="Times New Roman"/>
                <w:b/>
                <w:bCs/>
                <w:color w:val="000000"/>
                <w:kern w:val="0"/>
                <w:sz w:val="20"/>
                <w:szCs w:val="20"/>
                <w14:ligatures w14:val="none"/>
              </w:rPr>
            </w:pPr>
            <w:r w:rsidRPr="00D309F4">
              <w:rPr>
                <w:rFonts w:eastAsia="Times New Roman" w:cs="Times New Roman"/>
                <w:b/>
                <w:bCs/>
                <w:color w:val="000000"/>
                <w:kern w:val="0"/>
                <w:sz w:val="20"/>
                <w:szCs w:val="20"/>
                <w14:ligatures w14:val="none"/>
              </w:rPr>
              <w:t>BRP</w:t>
            </w:r>
          </w:p>
        </w:tc>
        <w:tc>
          <w:tcPr>
            <w:tcW w:w="872" w:type="dxa"/>
            <w:vMerge/>
            <w:tcBorders>
              <w:bottom w:val="single" w:sz="18" w:space="0" w:color="auto"/>
              <w:right w:val="single" w:sz="18" w:space="0" w:color="auto"/>
            </w:tcBorders>
            <w:vAlign w:val="center"/>
            <w:hideMark/>
          </w:tcPr>
          <w:p w14:paraId="6E6407EC" w14:textId="77777777" w:rsidR="005A05D7" w:rsidRPr="00D309F4" w:rsidRDefault="005A05D7" w:rsidP="005A05D7">
            <w:pPr>
              <w:spacing w:after="0" w:line="240" w:lineRule="auto"/>
              <w:rPr>
                <w:rFonts w:eastAsia="Times New Roman" w:cs="Times New Roman"/>
                <w:b/>
                <w:bCs/>
                <w:color w:val="000000"/>
                <w:kern w:val="0"/>
                <w:sz w:val="20"/>
                <w:szCs w:val="20"/>
                <w14:ligatures w14:val="none"/>
              </w:rPr>
            </w:pPr>
          </w:p>
        </w:tc>
        <w:tc>
          <w:tcPr>
            <w:tcW w:w="1041" w:type="dxa"/>
            <w:vMerge/>
            <w:tcBorders>
              <w:left w:val="single" w:sz="18" w:space="0" w:color="auto"/>
              <w:bottom w:val="single" w:sz="18" w:space="0" w:color="auto"/>
            </w:tcBorders>
            <w:vAlign w:val="center"/>
            <w:hideMark/>
          </w:tcPr>
          <w:p w14:paraId="0E90D1A3" w14:textId="77777777" w:rsidR="005A05D7" w:rsidRPr="00D309F4" w:rsidRDefault="005A05D7" w:rsidP="009E0B91">
            <w:pPr>
              <w:spacing w:after="0" w:line="240" w:lineRule="auto"/>
              <w:rPr>
                <w:rFonts w:eastAsia="Times New Roman" w:cs="Times New Roman"/>
                <w:b/>
                <w:bCs/>
                <w:color w:val="000000"/>
                <w:kern w:val="0"/>
                <w:sz w:val="20"/>
                <w:szCs w:val="20"/>
                <w14:ligatures w14:val="none"/>
              </w:rPr>
            </w:pPr>
          </w:p>
        </w:tc>
      </w:tr>
      <w:tr w:rsidR="008550EF" w:rsidRPr="00D309F4" w14:paraId="6ECFF3E2" w14:textId="77777777" w:rsidTr="00153258">
        <w:trPr>
          <w:trHeight w:val="295"/>
          <w:jc w:val="center"/>
        </w:trPr>
        <w:tc>
          <w:tcPr>
            <w:tcW w:w="2227" w:type="dxa"/>
            <w:tcBorders>
              <w:right w:val="single" w:sz="18" w:space="0" w:color="auto"/>
            </w:tcBorders>
            <w:shd w:val="clear" w:color="auto" w:fill="auto"/>
            <w:noWrap/>
            <w:vAlign w:val="bottom"/>
            <w:hideMark/>
          </w:tcPr>
          <w:p w14:paraId="204B5D3E"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Gender</w:t>
            </w:r>
          </w:p>
        </w:tc>
        <w:tc>
          <w:tcPr>
            <w:tcW w:w="2610" w:type="dxa"/>
            <w:tcBorders>
              <w:left w:val="single" w:sz="18" w:space="0" w:color="auto"/>
            </w:tcBorders>
            <w:shd w:val="clear" w:color="auto" w:fill="auto"/>
            <w:noWrap/>
            <w:vAlign w:val="bottom"/>
            <w:hideMark/>
          </w:tcPr>
          <w:p w14:paraId="0644D2B1"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Male</w:t>
            </w:r>
          </w:p>
        </w:tc>
        <w:tc>
          <w:tcPr>
            <w:tcW w:w="2819" w:type="dxa"/>
            <w:tcBorders>
              <w:right w:val="single" w:sz="18" w:space="0" w:color="auto"/>
            </w:tcBorders>
            <w:shd w:val="clear" w:color="auto" w:fill="auto"/>
            <w:noWrap/>
            <w:vAlign w:val="bottom"/>
            <w:hideMark/>
          </w:tcPr>
          <w:p w14:paraId="19538880"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Female</w:t>
            </w:r>
          </w:p>
        </w:tc>
        <w:tc>
          <w:tcPr>
            <w:tcW w:w="930" w:type="dxa"/>
            <w:tcBorders>
              <w:left w:val="single" w:sz="18" w:space="0" w:color="auto"/>
            </w:tcBorders>
            <w:shd w:val="clear" w:color="auto" w:fill="auto"/>
            <w:noWrap/>
            <w:vAlign w:val="center"/>
            <w:hideMark/>
          </w:tcPr>
          <w:p w14:paraId="34A852D1" w14:textId="5B604375"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22</w:t>
            </w:r>
          </w:p>
        </w:tc>
        <w:tc>
          <w:tcPr>
            <w:tcW w:w="605" w:type="dxa"/>
            <w:shd w:val="clear" w:color="auto" w:fill="auto"/>
            <w:noWrap/>
            <w:vAlign w:val="center"/>
            <w:hideMark/>
          </w:tcPr>
          <w:p w14:paraId="387DFE3C" w14:textId="7785E7A0"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-17</w:t>
            </w:r>
          </w:p>
        </w:tc>
        <w:tc>
          <w:tcPr>
            <w:tcW w:w="672" w:type="dxa"/>
            <w:shd w:val="clear" w:color="auto" w:fill="auto"/>
            <w:noWrap/>
            <w:vAlign w:val="center"/>
            <w:hideMark/>
          </w:tcPr>
          <w:p w14:paraId="548F0343" w14:textId="4AF2B0E5"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-61</w:t>
            </w:r>
          </w:p>
        </w:tc>
        <w:tc>
          <w:tcPr>
            <w:tcW w:w="740" w:type="dxa"/>
            <w:shd w:val="clear" w:color="auto" w:fill="auto"/>
            <w:noWrap/>
            <w:vAlign w:val="center"/>
            <w:hideMark/>
          </w:tcPr>
          <w:p w14:paraId="0D7CF56A"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872" w:type="dxa"/>
            <w:tcBorders>
              <w:right w:val="single" w:sz="18" w:space="0" w:color="auto"/>
            </w:tcBorders>
            <w:shd w:val="clear" w:color="auto" w:fill="auto"/>
            <w:noWrap/>
            <w:vAlign w:val="center"/>
            <w:hideMark/>
          </w:tcPr>
          <w:p w14:paraId="0DDF8F58" w14:textId="713F5F31"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1041" w:type="dxa"/>
            <w:tcBorders>
              <w:left w:val="single" w:sz="18" w:space="0" w:color="auto"/>
            </w:tcBorders>
            <w:shd w:val="clear" w:color="auto" w:fill="auto"/>
            <w:noWrap/>
            <w:hideMark/>
          </w:tcPr>
          <w:p w14:paraId="548AE069" w14:textId="386E3F46"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-0.0668</w:t>
            </w:r>
          </w:p>
        </w:tc>
      </w:tr>
      <w:tr w:rsidR="008550EF" w:rsidRPr="00D309F4" w14:paraId="5275C2E6" w14:textId="77777777" w:rsidTr="00153258">
        <w:trPr>
          <w:trHeight w:val="295"/>
          <w:jc w:val="center"/>
        </w:trPr>
        <w:tc>
          <w:tcPr>
            <w:tcW w:w="2227" w:type="dxa"/>
            <w:tcBorders>
              <w:right w:val="single" w:sz="18" w:space="0" w:color="auto"/>
            </w:tcBorders>
            <w:shd w:val="clear" w:color="auto" w:fill="auto"/>
            <w:noWrap/>
            <w:vAlign w:val="bottom"/>
            <w:hideMark/>
          </w:tcPr>
          <w:p w14:paraId="3ACC19D7"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Age</w:t>
            </w:r>
          </w:p>
        </w:tc>
        <w:tc>
          <w:tcPr>
            <w:tcW w:w="2610" w:type="dxa"/>
            <w:tcBorders>
              <w:left w:val="single" w:sz="18" w:space="0" w:color="auto"/>
            </w:tcBorders>
            <w:shd w:val="clear" w:color="auto" w:fill="auto"/>
            <w:noWrap/>
            <w:vAlign w:val="bottom"/>
            <w:hideMark/>
          </w:tcPr>
          <w:p w14:paraId="430826F2"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18-34</w:t>
            </w:r>
          </w:p>
        </w:tc>
        <w:tc>
          <w:tcPr>
            <w:tcW w:w="2819" w:type="dxa"/>
            <w:tcBorders>
              <w:right w:val="single" w:sz="18" w:space="0" w:color="auto"/>
            </w:tcBorders>
            <w:shd w:val="clear" w:color="auto" w:fill="auto"/>
            <w:noWrap/>
            <w:vAlign w:val="bottom"/>
            <w:hideMark/>
          </w:tcPr>
          <w:p w14:paraId="2ACAE396"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65+</w:t>
            </w:r>
          </w:p>
        </w:tc>
        <w:tc>
          <w:tcPr>
            <w:tcW w:w="930" w:type="dxa"/>
            <w:tcBorders>
              <w:left w:val="single" w:sz="18" w:space="0" w:color="auto"/>
            </w:tcBorders>
            <w:shd w:val="clear" w:color="auto" w:fill="auto"/>
            <w:noWrap/>
            <w:vAlign w:val="center"/>
            <w:hideMark/>
          </w:tcPr>
          <w:p w14:paraId="4489CAE2" w14:textId="01519944"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24</w:t>
            </w:r>
          </w:p>
        </w:tc>
        <w:tc>
          <w:tcPr>
            <w:tcW w:w="605" w:type="dxa"/>
            <w:shd w:val="clear" w:color="auto" w:fill="auto"/>
            <w:noWrap/>
            <w:vAlign w:val="center"/>
            <w:hideMark/>
          </w:tcPr>
          <w:p w14:paraId="75390E53" w14:textId="32717FB3"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-39</w:t>
            </w:r>
          </w:p>
        </w:tc>
        <w:tc>
          <w:tcPr>
            <w:tcW w:w="672" w:type="dxa"/>
            <w:shd w:val="clear" w:color="auto" w:fill="auto"/>
            <w:noWrap/>
            <w:vAlign w:val="center"/>
            <w:hideMark/>
          </w:tcPr>
          <w:p w14:paraId="28E77845"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740" w:type="dxa"/>
            <w:shd w:val="clear" w:color="auto" w:fill="auto"/>
            <w:noWrap/>
            <w:vAlign w:val="center"/>
            <w:hideMark/>
          </w:tcPr>
          <w:p w14:paraId="52FDBB1E" w14:textId="75D4C253"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-37</w:t>
            </w:r>
          </w:p>
        </w:tc>
        <w:tc>
          <w:tcPr>
            <w:tcW w:w="872" w:type="dxa"/>
            <w:tcBorders>
              <w:right w:val="single" w:sz="18" w:space="0" w:color="auto"/>
            </w:tcBorders>
            <w:shd w:val="clear" w:color="auto" w:fill="auto"/>
            <w:noWrap/>
            <w:vAlign w:val="center"/>
            <w:hideMark/>
          </w:tcPr>
          <w:p w14:paraId="6B0055BF" w14:textId="16439A38"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1041" w:type="dxa"/>
            <w:tcBorders>
              <w:left w:val="single" w:sz="18" w:space="0" w:color="auto"/>
            </w:tcBorders>
            <w:shd w:val="clear" w:color="auto" w:fill="auto"/>
            <w:noWrap/>
            <w:hideMark/>
          </w:tcPr>
          <w:p w14:paraId="06E67727" w14:textId="6A684279"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-0.0849</w:t>
            </w:r>
          </w:p>
        </w:tc>
      </w:tr>
      <w:tr w:rsidR="008550EF" w:rsidRPr="00D309F4" w14:paraId="2A068F63" w14:textId="77777777" w:rsidTr="00153258">
        <w:trPr>
          <w:trHeight w:val="295"/>
          <w:jc w:val="center"/>
        </w:trPr>
        <w:tc>
          <w:tcPr>
            <w:tcW w:w="2227" w:type="dxa"/>
            <w:tcBorders>
              <w:right w:val="single" w:sz="18" w:space="0" w:color="auto"/>
            </w:tcBorders>
            <w:shd w:val="clear" w:color="auto" w:fill="auto"/>
            <w:noWrap/>
            <w:vAlign w:val="bottom"/>
            <w:hideMark/>
          </w:tcPr>
          <w:p w14:paraId="31F4A4E0"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Ethnicity</w:t>
            </w:r>
          </w:p>
        </w:tc>
        <w:tc>
          <w:tcPr>
            <w:tcW w:w="2610" w:type="dxa"/>
            <w:tcBorders>
              <w:left w:val="single" w:sz="18" w:space="0" w:color="auto"/>
            </w:tcBorders>
            <w:shd w:val="clear" w:color="auto" w:fill="auto"/>
            <w:noWrap/>
            <w:vAlign w:val="bottom"/>
            <w:hideMark/>
          </w:tcPr>
          <w:p w14:paraId="11660044"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Not Hispanic</w:t>
            </w:r>
          </w:p>
        </w:tc>
        <w:tc>
          <w:tcPr>
            <w:tcW w:w="2819" w:type="dxa"/>
            <w:tcBorders>
              <w:right w:val="single" w:sz="18" w:space="0" w:color="auto"/>
            </w:tcBorders>
            <w:shd w:val="clear" w:color="auto" w:fill="auto"/>
            <w:noWrap/>
            <w:vAlign w:val="bottom"/>
            <w:hideMark/>
          </w:tcPr>
          <w:p w14:paraId="1124F0D8"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Hispanic</w:t>
            </w:r>
          </w:p>
        </w:tc>
        <w:tc>
          <w:tcPr>
            <w:tcW w:w="930" w:type="dxa"/>
            <w:tcBorders>
              <w:left w:val="single" w:sz="18" w:space="0" w:color="auto"/>
            </w:tcBorders>
            <w:shd w:val="clear" w:color="auto" w:fill="auto"/>
            <w:noWrap/>
            <w:vAlign w:val="center"/>
            <w:hideMark/>
          </w:tcPr>
          <w:p w14:paraId="51385487" w14:textId="584CE169"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-28</w:t>
            </w:r>
          </w:p>
        </w:tc>
        <w:tc>
          <w:tcPr>
            <w:tcW w:w="605" w:type="dxa"/>
            <w:shd w:val="clear" w:color="auto" w:fill="auto"/>
            <w:noWrap/>
            <w:vAlign w:val="center"/>
            <w:hideMark/>
          </w:tcPr>
          <w:p w14:paraId="790F9283" w14:textId="2A45E709"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-12</w:t>
            </w:r>
          </w:p>
        </w:tc>
        <w:tc>
          <w:tcPr>
            <w:tcW w:w="672" w:type="dxa"/>
            <w:shd w:val="clear" w:color="auto" w:fill="auto"/>
            <w:noWrap/>
            <w:vAlign w:val="center"/>
            <w:hideMark/>
          </w:tcPr>
          <w:p w14:paraId="657492C4" w14:textId="70CFF819"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-30</w:t>
            </w:r>
          </w:p>
        </w:tc>
        <w:tc>
          <w:tcPr>
            <w:tcW w:w="740" w:type="dxa"/>
            <w:shd w:val="clear" w:color="auto" w:fill="auto"/>
            <w:noWrap/>
            <w:vAlign w:val="center"/>
            <w:hideMark/>
          </w:tcPr>
          <w:p w14:paraId="442F47B0" w14:textId="699ED69F"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16</w:t>
            </w:r>
          </w:p>
        </w:tc>
        <w:tc>
          <w:tcPr>
            <w:tcW w:w="872" w:type="dxa"/>
            <w:tcBorders>
              <w:right w:val="single" w:sz="18" w:space="0" w:color="auto"/>
            </w:tcBorders>
            <w:shd w:val="clear" w:color="auto" w:fill="auto"/>
            <w:noWrap/>
            <w:vAlign w:val="center"/>
            <w:hideMark/>
          </w:tcPr>
          <w:p w14:paraId="64DE06A6" w14:textId="756DD7F5"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-14</w:t>
            </w:r>
          </w:p>
        </w:tc>
        <w:tc>
          <w:tcPr>
            <w:tcW w:w="1041" w:type="dxa"/>
            <w:tcBorders>
              <w:left w:val="single" w:sz="18" w:space="0" w:color="auto"/>
            </w:tcBorders>
            <w:shd w:val="clear" w:color="auto" w:fill="auto"/>
            <w:noWrap/>
            <w:hideMark/>
          </w:tcPr>
          <w:p w14:paraId="34B1F4BC" w14:textId="04CE0453"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-0.149</w:t>
            </w:r>
            <w:r w:rsidR="00153258" w:rsidRPr="00D309F4">
              <w:rPr>
                <w:rFonts w:cs="Times New Roman"/>
                <w:sz w:val="20"/>
                <w:szCs w:val="20"/>
              </w:rPr>
              <w:t>0</w:t>
            </w:r>
          </w:p>
        </w:tc>
      </w:tr>
      <w:tr w:rsidR="008550EF" w:rsidRPr="00D309F4" w14:paraId="4488442D" w14:textId="77777777" w:rsidTr="00153258">
        <w:trPr>
          <w:trHeight w:val="295"/>
          <w:jc w:val="center"/>
        </w:trPr>
        <w:tc>
          <w:tcPr>
            <w:tcW w:w="2227" w:type="dxa"/>
            <w:tcBorders>
              <w:right w:val="single" w:sz="18" w:space="0" w:color="auto"/>
            </w:tcBorders>
            <w:shd w:val="clear" w:color="auto" w:fill="auto"/>
            <w:noWrap/>
            <w:vAlign w:val="bottom"/>
            <w:hideMark/>
          </w:tcPr>
          <w:p w14:paraId="030F862C"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Race</w:t>
            </w:r>
          </w:p>
        </w:tc>
        <w:tc>
          <w:tcPr>
            <w:tcW w:w="2610" w:type="dxa"/>
            <w:tcBorders>
              <w:left w:val="single" w:sz="18" w:space="0" w:color="auto"/>
            </w:tcBorders>
            <w:shd w:val="clear" w:color="auto" w:fill="auto"/>
            <w:noWrap/>
            <w:vAlign w:val="bottom"/>
            <w:hideMark/>
          </w:tcPr>
          <w:p w14:paraId="059AFDA9"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White</w:t>
            </w:r>
          </w:p>
        </w:tc>
        <w:tc>
          <w:tcPr>
            <w:tcW w:w="2819" w:type="dxa"/>
            <w:tcBorders>
              <w:right w:val="single" w:sz="18" w:space="0" w:color="auto"/>
            </w:tcBorders>
            <w:shd w:val="clear" w:color="auto" w:fill="auto"/>
            <w:noWrap/>
            <w:vAlign w:val="bottom"/>
            <w:hideMark/>
          </w:tcPr>
          <w:p w14:paraId="2601EE4D"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Non-white</w:t>
            </w:r>
          </w:p>
        </w:tc>
        <w:tc>
          <w:tcPr>
            <w:tcW w:w="930" w:type="dxa"/>
            <w:tcBorders>
              <w:left w:val="single" w:sz="18" w:space="0" w:color="auto"/>
            </w:tcBorders>
            <w:shd w:val="clear" w:color="auto" w:fill="auto"/>
            <w:noWrap/>
            <w:vAlign w:val="center"/>
            <w:hideMark/>
          </w:tcPr>
          <w:p w14:paraId="331FC965"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05" w:type="dxa"/>
            <w:shd w:val="clear" w:color="auto" w:fill="auto"/>
            <w:noWrap/>
            <w:vAlign w:val="center"/>
            <w:hideMark/>
          </w:tcPr>
          <w:p w14:paraId="657DF295"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72" w:type="dxa"/>
            <w:shd w:val="clear" w:color="auto" w:fill="auto"/>
            <w:noWrap/>
            <w:vAlign w:val="center"/>
            <w:hideMark/>
          </w:tcPr>
          <w:p w14:paraId="2BD019E1"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740" w:type="dxa"/>
            <w:shd w:val="clear" w:color="auto" w:fill="auto"/>
            <w:noWrap/>
            <w:vAlign w:val="center"/>
            <w:hideMark/>
          </w:tcPr>
          <w:p w14:paraId="697DA381" w14:textId="29A88A06"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39</w:t>
            </w:r>
          </w:p>
        </w:tc>
        <w:tc>
          <w:tcPr>
            <w:tcW w:w="872" w:type="dxa"/>
            <w:tcBorders>
              <w:right w:val="single" w:sz="18" w:space="0" w:color="auto"/>
            </w:tcBorders>
            <w:shd w:val="clear" w:color="auto" w:fill="auto"/>
            <w:noWrap/>
            <w:vAlign w:val="center"/>
            <w:hideMark/>
          </w:tcPr>
          <w:p w14:paraId="13F672BE" w14:textId="41C3D701"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-61</w:t>
            </w:r>
          </w:p>
        </w:tc>
        <w:tc>
          <w:tcPr>
            <w:tcW w:w="1041" w:type="dxa"/>
            <w:tcBorders>
              <w:left w:val="single" w:sz="18" w:space="0" w:color="auto"/>
            </w:tcBorders>
            <w:shd w:val="clear" w:color="auto" w:fill="auto"/>
            <w:noWrap/>
            <w:hideMark/>
          </w:tcPr>
          <w:p w14:paraId="709CA58F" w14:textId="55D37046"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-0.0083</w:t>
            </w:r>
          </w:p>
        </w:tc>
      </w:tr>
      <w:tr w:rsidR="008550EF" w:rsidRPr="00D309F4" w14:paraId="77A7FE35" w14:textId="77777777" w:rsidTr="00153258">
        <w:trPr>
          <w:trHeight w:val="295"/>
          <w:jc w:val="center"/>
        </w:trPr>
        <w:tc>
          <w:tcPr>
            <w:tcW w:w="2227" w:type="dxa"/>
            <w:tcBorders>
              <w:bottom w:val="nil"/>
              <w:right w:val="single" w:sz="18" w:space="0" w:color="auto"/>
            </w:tcBorders>
            <w:shd w:val="clear" w:color="auto" w:fill="auto"/>
            <w:noWrap/>
            <w:vAlign w:val="bottom"/>
            <w:hideMark/>
          </w:tcPr>
          <w:p w14:paraId="2FB87625"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Employment</w:t>
            </w:r>
          </w:p>
        </w:tc>
        <w:tc>
          <w:tcPr>
            <w:tcW w:w="2610" w:type="dxa"/>
            <w:tcBorders>
              <w:left w:val="single" w:sz="18" w:space="0" w:color="auto"/>
              <w:bottom w:val="nil"/>
            </w:tcBorders>
            <w:shd w:val="clear" w:color="auto" w:fill="auto"/>
            <w:noWrap/>
            <w:vAlign w:val="bottom"/>
            <w:hideMark/>
          </w:tcPr>
          <w:p w14:paraId="52992B01"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Employed</w:t>
            </w:r>
          </w:p>
        </w:tc>
        <w:tc>
          <w:tcPr>
            <w:tcW w:w="2819" w:type="dxa"/>
            <w:tcBorders>
              <w:bottom w:val="nil"/>
              <w:right w:val="single" w:sz="18" w:space="0" w:color="auto"/>
            </w:tcBorders>
            <w:shd w:val="clear" w:color="auto" w:fill="auto"/>
            <w:noWrap/>
            <w:vAlign w:val="bottom"/>
            <w:hideMark/>
          </w:tcPr>
          <w:p w14:paraId="59139CBA"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Retired</w:t>
            </w:r>
          </w:p>
        </w:tc>
        <w:tc>
          <w:tcPr>
            <w:tcW w:w="930" w:type="dxa"/>
            <w:tcBorders>
              <w:left w:val="single" w:sz="18" w:space="0" w:color="auto"/>
              <w:bottom w:val="nil"/>
            </w:tcBorders>
            <w:shd w:val="clear" w:color="auto" w:fill="auto"/>
            <w:noWrap/>
            <w:vAlign w:val="center"/>
            <w:hideMark/>
          </w:tcPr>
          <w:p w14:paraId="607083D4"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05" w:type="dxa"/>
            <w:tcBorders>
              <w:bottom w:val="nil"/>
            </w:tcBorders>
            <w:shd w:val="clear" w:color="auto" w:fill="auto"/>
            <w:noWrap/>
            <w:vAlign w:val="center"/>
            <w:hideMark/>
          </w:tcPr>
          <w:p w14:paraId="577E4A4F"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72" w:type="dxa"/>
            <w:tcBorders>
              <w:bottom w:val="nil"/>
            </w:tcBorders>
            <w:shd w:val="clear" w:color="auto" w:fill="auto"/>
            <w:noWrap/>
            <w:vAlign w:val="center"/>
            <w:hideMark/>
          </w:tcPr>
          <w:p w14:paraId="22F5A0ED"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100</w:t>
            </w:r>
          </w:p>
        </w:tc>
        <w:tc>
          <w:tcPr>
            <w:tcW w:w="740" w:type="dxa"/>
            <w:tcBorders>
              <w:bottom w:val="nil"/>
            </w:tcBorders>
            <w:shd w:val="clear" w:color="auto" w:fill="auto"/>
            <w:noWrap/>
            <w:vAlign w:val="center"/>
            <w:hideMark/>
          </w:tcPr>
          <w:p w14:paraId="442B70F9"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872" w:type="dxa"/>
            <w:tcBorders>
              <w:bottom w:val="nil"/>
              <w:right w:val="single" w:sz="18" w:space="0" w:color="auto"/>
            </w:tcBorders>
            <w:shd w:val="clear" w:color="auto" w:fill="auto"/>
            <w:noWrap/>
            <w:vAlign w:val="center"/>
            <w:hideMark/>
          </w:tcPr>
          <w:p w14:paraId="5199E83B"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1041" w:type="dxa"/>
            <w:tcBorders>
              <w:left w:val="single" w:sz="18" w:space="0" w:color="auto"/>
              <w:bottom w:val="nil"/>
            </w:tcBorders>
            <w:shd w:val="clear" w:color="auto" w:fill="auto"/>
            <w:noWrap/>
            <w:hideMark/>
          </w:tcPr>
          <w:p w14:paraId="186F0F3B" w14:textId="2B8715A8"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0.0293</w:t>
            </w:r>
          </w:p>
        </w:tc>
      </w:tr>
      <w:tr w:rsidR="008550EF" w:rsidRPr="00D309F4" w14:paraId="1B7DDDC0" w14:textId="77777777" w:rsidTr="00153258">
        <w:trPr>
          <w:trHeight w:val="295"/>
          <w:jc w:val="center"/>
        </w:trPr>
        <w:tc>
          <w:tcPr>
            <w:tcW w:w="2227" w:type="dxa"/>
            <w:tcBorders>
              <w:top w:val="nil"/>
              <w:bottom w:val="nil"/>
              <w:right w:val="single" w:sz="18" w:space="0" w:color="auto"/>
            </w:tcBorders>
            <w:shd w:val="clear" w:color="auto" w:fill="auto"/>
            <w:noWrap/>
            <w:vAlign w:val="bottom"/>
            <w:hideMark/>
          </w:tcPr>
          <w:p w14:paraId="0B7D489F"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Education</w:t>
            </w:r>
          </w:p>
        </w:tc>
        <w:tc>
          <w:tcPr>
            <w:tcW w:w="2610" w:type="dxa"/>
            <w:tcBorders>
              <w:top w:val="nil"/>
              <w:left w:val="single" w:sz="18" w:space="0" w:color="auto"/>
              <w:bottom w:val="nil"/>
            </w:tcBorders>
            <w:shd w:val="clear" w:color="auto" w:fill="auto"/>
            <w:noWrap/>
            <w:vAlign w:val="bottom"/>
            <w:hideMark/>
          </w:tcPr>
          <w:p w14:paraId="6057A8FB" w14:textId="663D0C68"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Less than bachelor’s degree</w:t>
            </w:r>
          </w:p>
        </w:tc>
        <w:tc>
          <w:tcPr>
            <w:tcW w:w="2819" w:type="dxa"/>
            <w:tcBorders>
              <w:top w:val="nil"/>
              <w:bottom w:val="nil"/>
              <w:right w:val="single" w:sz="18" w:space="0" w:color="auto"/>
            </w:tcBorders>
            <w:shd w:val="clear" w:color="auto" w:fill="auto"/>
            <w:noWrap/>
            <w:vAlign w:val="bottom"/>
            <w:hideMark/>
          </w:tcPr>
          <w:p w14:paraId="1DFA83A2"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Graduate degree</w:t>
            </w:r>
          </w:p>
        </w:tc>
        <w:tc>
          <w:tcPr>
            <w:tcW w:w="930" w:type="dxa"/>
            <w:tcBorders>
              <w:top w:val="nil"/>
              <w:left w:val="single" w:sz="18" w:space="0" w:color="auto"/>
              <w:bottom w:val="nil"/>
            </w:tcBorders>
            <w:shd w:val="clear" w:color="auto" w:fill="auto"/>
            <w:noWrap/>
            <w:vAlign w:val="center"/>
            <w:hideMark/>
          </w:tcPr>
          <w:p w14:paraId="2E98A2F0" w14:textId="15DEC410"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40</w:t>
            </w:r>
          </w:p>
        </w:tc>
        <w:tc>
          <w:tcPr>
            <w:tcW w:w="605" w:type="dxa"/>
            <w:tcBorders>
              <w:top w:val="nil"/>
              <w:bottom w:val="nil"/>
            </w:tcBorders>
            <w:shd w:val="clear" w:color="auto" w:fill="auto"/>
            <w:noWrap/>
            <w:vAlign w:val="center"/>
            <w:hideMark/>
          </w:tcPr>
          <w:p w14:paraId="30AF96CC"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72" w:type="dxa"/>
            <w:tcBorders>
              <w:top w:val="nil"/>
              <w:bottom w:val="nil"/>
            </w:tcBorders>
            <w:shd w:val="clear" w:color="auto" w:fill="auto"/>
            <w:noWrap/>
            <w:vAlign w:val="center"/>
            <w:hideMark/>
          </w:tcPr>
          <w:p w14:paraId="5B38E022"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28</w:t>
            </w:r>
          </w:p>
        </w:tc>
        <w:tc>
          <w:tcPr>
            <w:tcW w:w="740" w:type="dxa"/>
            <w:tcBorders>
              <w:top w:val="nil"/>
              <w:bottom w:val="nil"/>
            </w:tcBorders>
            <w:shd w:val="clear" w:color="auto" w:fill="auto"/>
            <w:noWrap/>
            <w:vAlign w:val="center"/>
            <w:hideMark/>
          </w:tcPr>
          <w:p w14:paraId="2FFB51E4" w14:textId="0E94E2A6"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6</w:t>
            </w:r>
          </w:p>
        </w:tc>
        <w:tc>
          <w:tcPr>
            <w:tcW w:w="872" w:type="dxa"/>
            <w:tcBorders>
              <w:top w:val="nil"/>
              <w:bottom w:val="nil"/>
              <w:right w:val="single" w:sz="18" w:space="0" w:color="auto"/>
            </w:tcBorders>
            <w:shd w:val="clear" w:color="auto" w:fill="auto"/>
            <w:noWrap/>
            <w:vAlign w:val="center"/>
            <w:hideMark/>
          </w:tcPr>
          <w:p w14:paraId="578173FD" w14:textId="08AE5CA8"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26</w:t>
            </w:r>
          </w:p>
        </w:tc>
        <w:tc>
          <w:tcPr>
            <w:tcW w:w="1041" w:type="dxa"/>
            <w:tcBorders>
              <w:top w:val="nil"/>
              <w:left w:val="single" w:sz="18" w:space="0" w:color="auto"/>
              <w:bottom w:val="nil"/>
            </w:tcBorders>
            <w:shd w:val="clear" w:color="auto" w:fill="auto"/>
            <w:noWrap/>
            <w:hideMark/>
          </w:tcPr>
          <w:p w14:paraId="1C4B9AC9" w14:textId="78569AE8"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0.3379</w:t>
            </w:r>
          </w:p>
        </w:tc>
      </w:tr>
      <w:tr w:rsidR="008550EF" w:rsidRPr="00D309F4" w14:paraId="670CD77F" w14:textId="77777777" w:rsidTr="00153258">
        <w:trPr>
          <w:trHeight w:val="295"/>
          <w:jc w:val="center"/>
        </w:trPr>
        <w:tc>
          <w:tcPr>
            <w:tcW w:w="2227" w:type="dxa"/>
            <w:tcBorders>
              <w:top w:val="nil"/>
              <w:right w:val="single" w:sz="18" w:space="0" w:color="auto"/>
            </w:tcBorders>
            <w:shd w:val="clear" w:color="auto" w:fill="auto"/>
            <w:noWrap/>
            <w:vAlign w:val="bottom"/>
            <w:hideMark/>
          </w:tcPr>
          <w:p w14:paraId="4DC95E42"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Number of Adults</w:t>
            </w:r>
          </w:p>
        </w:tc>
        <w:tc>
          <w:tcPr>
            <w:tcW w:w="2610" w:type="dxa"/>
            <w:tcBorders>
              <w:top w:val="nil"/>
              <w:left w:val="single" w:sz="18" w:space="0" w:color="auto"/>
            </w:tcBorders>
            <w:shd w:val="clear" w:color="auto" w:fill="auto"/>
            <w:noWrap/>
            <w:vAlign w:val="bottom"/>
            <w:hideMark/>
          </w:tcPr>
          <w:p w14:paraId="4131E10B"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Two or more</w:t>
            </w:r>
          </w:p>
        </w:tc>
        <w:tc>
          <w:tcPr>
            <w:tcW w:w="2819" w:type="dxa"/>
            <w:tcBorders>
              <w:top w:val="nil"/>
              <w:right w:val="single" w:sz="18" w:space="0" w:color="auto"/>
            </w:tcBorders>
            <w:shd w:val="clear" w:color="auto" w:fill="auto"/>
            <w:noWrap/>
            <w:vAlign w:val="bottom"/>
            <w:hideMark/>
          </w:tcPr>
          <w:p w14:paraId="31933F62"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Single adult</w:t>
            </w:r>
          </w:p>
        </w:tc>
        <w:tc>
          <w:tcPr>
            <w:tcW w:w="930" w:type="dxa"/>
            <w:tcBorders>
              <w:top w:val="nil"/>
              <w:left w:val="single" w:sz="18" w:space="0" w:color="auto"/>
            </w:tcBorders>
            <w:shd w:val="clear" w:color="auto" w:fill="auto"/>
            <w:noWrap/>
            <w:vAlign w:val="center"/>
            <w:hideMark/>
          </w:tcPr>
          <w:p w14:paraId="78F36B04"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05" w:type="dxa"/>
            <w:tcBorders>
              <w:top w:val="nil"/>
            </w:tcBorders>
            <w:shd w:val="clear" w:color="auto" w:fill="auto"/>
            <w:noWrap/>
            <w:vAlign w:val="center"/>
            <w:hideMark/>
          </w:tcPr>
          <w:p w14:paraId="2D5D5F2E"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72" w:type="dxa"/>
            <w:tcBorders>
              <w:top w:val="nil"/>
            </w:tcBorders>
            <w:shd w:val="clear" w:color="auto" w:fill="auto"/>
            <w:noWrap/>
            <w:vAlign w:val="center"/>
            <w:hideMark/>
          </w:tcPr>
          <w:p w14:paraId="721942BF"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740" w:type="dxa"/>
            <w:tcBorders>
              <w:top w:val="nil"/>
            </w:tcBorders>
            <w:shd w:val="clear" w:color="auto" w:fill="auto"/>
            <w:noWrap/>
            <w:vAlign w:val="center"/>
            <w:hideMark/>
          </w:tcPr>
          <w:p w14:paraId="4E228DD3"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872" w:type="dxa"/>
            <w:tcBorders>
              <w:top w:val="nil"/>
              <w:right w:val="single" w:sz="18" w:space="0" w:color="auto"/>
            </w:tcBorders>
            <w:shd w:val="clear" w:color="auto" w:fill="auto"/>
            <w:noWrap/>
            <w:vAlign w:val="center"/>
            <w:hideMark/>
          </w:tcPr>
          <w:p w14:paraId="1EA7BBFC"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-100</w:t>
            </w:r>
          </w:p>
        </w:tc>
        <w:tc>
          <w:tcPr>
            <w:tcW w:w="1041" w:type="dxa"/>
            <w:tcBorders>
              <w:top w:val="nil"/>
              <w:left w:val="single" w:sz="18" w:space="0" w:color="auto"/>
            </w:tcBorders>
            <w:shd w:val="clear" w:color="auto" w:fill="auto"/>
            <w:noWrap/>
            <w:hideMark/>
          </w:tcPr>
          <w:p w14:paraId="23E36E57" w14:textId="2D819E0F"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-0.0364</w:t>
            </w:r>
          </w:p>
        </w:tc>
      </w:tr>
      <w:tr w:rsidR="008550EF" w:rsidRPr="00D309F4" w14:paraId="37ED1383" w14:textId="77777777" w:rsidTr="00153258">
        <w:trPr>
          <w:trHeight w:val="280"/>
          <w:jc w:val="center"/>
        </w:trPr>
        <w:tc>
          <w:tcPr>
            <w:tcW w:w="2227" w:type="dxa"/>
            <w:tcBorders>
              <w:right w:val="single" w:sz="18" w:space="0" w:color="auto"/>
            </w:tcBorders>
            <w:shd w:val="clear" w:color="auto" w:fill="auto"/>
            <w:noWrap/>
            <w:vAlign w:val="bottom"/>
            <w:hideMark/>
          </w:tcPr>
          <w:p w14:paraId="72B3FF72"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Presence of Children</w:t>
            </w:r>
          </w:p>
        </w:tc>
        <w:tc>
          <w:tcPr>
            <w:tcW w:w="2610" w:type="dxa"/>
            <w:tcBorders>
              <w:left w:val="single" w:sz="18" w:space="0" w:color="auto"/>
            </w:tcBorders>
            <w:shd w:val="clear" w:color="auto" w:fill="auto"/>
            <w:noWrap/>
            <w:vAlign w:val="bottom"/>
            <w:hideMark/>
          </w:tcPr>
          <w:p w14:paraId="7E5BB039"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 xml:space="preserve">No </w:t>
            </w:r>
          </w:p>
        </w:tc>
        <w:tc>
          <w:tcPr>
            <w:tcW w:w="2819" w:type="dxa"/>
            <w:tcBorders>
              <w:right w:val="single" w:sz="18" w:space="0" w:color="auto"/>
            </w:tcBorders>
            <w:shd w:val="clear" w:color="auto" w:fill="auto"/>
            <w:noWrap/>
            <w:vAlign w:val="bottom"/>
            <w:hideMark/>
          </w:tcPr>
          <w:p w14:paraId="1E8465A2"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Yes</w:t>
            </w:r>
          </w:p>
        </w:tc>
        <w:tc>
          <w:tcPr>
            <w:tcW w:w="930" w:type="dxa"/>
            <w:tcBorders>
              <w:left w:val="single" w:sz="18" w:space="0" w:color="auto"/>
            </w:tcBorders>
            <w:shd w:val="clear" w:color="auto" w:fill="auto"/>
            <w:noWrap/>
            <w:vAlign w:val="center"/>
            <w:hideMark/>
          </w:tcPr>
          <w:p w14:paraId="583BB31E" w14:textId="5ED4F461"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05" w:type="dxa"/>
            <w:shd w:val="clear" w:color="auto" w:fill="auto"/>
            <w:noWrap/>
            <w:vAlign w:val="center"/>
            <w:hideMark/>
          </w:tcPr>
          <w:p w14:paraId="055379BE" w14:textId="698D3DEB"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38</w:t>
            </w:r>
          </w:p>
        </w:tc>
        <w:tc>
          <w:tcPr>
            <w:tcW w:w="672" w:type="dxa"/>
            <w:shd w:val="clear" w:color="auto" w:fill="auto"/>
            <w:noWrap/>
            <w:vAlign w:val="center"/>
            <w:hideMark/>
          </w:tcPr>
          <w:p w14:paraId="6E721A74" w14:textId="6A8D4765"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38</w:t>
            </w:r>
          </w:p>
        </w:tc>
        <w:tc>
          <w:tcPr>
            <w:tcW w:w="740" w:type="dxa"/>
            <w:shd w:val="clear" w:color="auto" w:fill="auto"/>
            <w:noWrap/>
            <w:vAlign w:val="center"/>
            <w:hideMark/>
          </w:tcPr>
          <w:p w14:paraId="2A6DC955" w14:textId="43BA9486"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872" w:type="dxa"/>
            <w:tcBorders>
              <w:right w:val="single" w:sz="18" w:space="0" w:color="auto"/>
            </w:tcBorders>
            <w:shd w:val="clear" w:color="auto" w:fill="auto"/>
            <w:noWrap/>
            <w:vAlign w:val="center"/>
            <w:hideMark/>
          </w:tcPr>
          <w:p w14:paraId="50D178A7" w14:textId="48F8E48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24</w:t>
            </w:r>
          </w:p>
        </w:tc>
        <w:tc>
          <w:tcPr>
            <w:tcW w:w="1041" w:type="dxa"/>
            <w:tcBorders>
              <w:left w:val="single" w:sz="18" w:space="0" w:color="auto"/>
            </w:tcBorders>
            <w:shd w:val="clear" w:color="auto" w:fill="auto"/>
            <w:noWrap/>
            <w:hideMark/>
          </w:tcPr>
          <w:p w14:paraId="0F0E700B" w14:textId="60996EF4"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0.0467</w:t>
            </w:r>
          </w:p>
        </w:tc>
      </w:tr>
      <w:tr w:rsidR="008550EF" w:rsidRPr="00D309F4" w14:paraId="62254E22" w14:textId="77777777" w:rsidTr="00153258">
        <w:trPr>
          <w:trHeight w:val="295"/>
          <w:jc w:val="center"/>
        </w:trPr>
        <w:tc>
          <w:tcPr>
            <w:tcW w:w="2227" w:type="dxa"/>
            <w:tcBorders>
              <w:right w:val="single" w:sz="18" w:space="0" w:color="auto"/>
            </w:tcBorders>
            <w:shd w:val="clear" w:color="auto" w:fill="auto"/>
            <w:noWrap/>
            <w:vAlign w:val="bottom"/>
            <w:hideMark/>
          </w:tcPr>
          <w:p w14:paraId="3683BBF5"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Income</w:t>
            </w:r>
          </w:p>
        </w:tc>
        <w:tc>
          <w:tcPr>
            <w:tcW w:w="2610" w:type="dxa"/>
            <w:tcBorders>
              <w:left w:val="single" w:sz="18" w:space="0" w:color="auto"/>
            </w:tcBorders>
            <w:shd w:val="clear" w:color="auto" w:fill="auto"/>
            <w:noWrap/>
            <w:vAlign w:val="bottom"/>
            <w:hideMark/>
          </w:tcPr>
          <w:p w14:paraId="76CE75F3"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Less than $100,000</w:t>
            </w:r>
          </w:p>
        </w:tc>
        <w:tc>
          <w:tcPr>
            <w:tcW w:w="2819" w:type="dxa"/>
            <w:tcBorders>
              <w:right w:val="single" w:sz="18" w:space="0" w:color="auto"/>
            </w:tcBorders>
            <w:shd w:val="clear" w:color="auto" w:fill="auto"/>
            <w:noWrap/>
            <w:vAlign w:val="bottom"/>
            <w:hideMark/>
          </w:tcPr>
          <w:p w14:paraId="698FE436"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$200,000 or more</w:t>
            </w:r>
          </w:p>
        </w:tc>
        <w:tc>
          <w:tcPr>
            <w:tcW w:w="930" w:type="dxa"/>
            <w:tcBorders>
              <w:left w:val="single" w:sz="18" w:space="0" w:color="auto"/>
            </w:tcBorders>
            <w:shd w:val="clear" w:color="auto" w:fill="auto"/>
            <w:noWrap/>
            <w:vAlign w:val="center"/>
            <w:hideMark/>
          </w:tcPr>
          <w:p w14:paraId="5032CC0D" w14:textId="0849400C"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29</w:t>
            </w:r>
          </w:p>
        </w:tc>
        <w:tc>
          <w:tcPr>
            <w:tcW w:w="605" w:type="dxa"/>
            <w:shd w:val="clear" w:color="auto" w:fill="auto"/>
            <w:noWrap/>
            <w:vAlign w:val="center"/>
            <w:hideMark/>
          </w:tcPr>
          <w:p w14:paraId="47CADFCB" w14:textId="7D2AC095"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-8</w:t>
            </w:r>
          </w:p>
        </w:tc>
        <w:tc>
          <w:tcPr>
            <w:tcW w:w="672" w:type="dxa"/>
            <w:shd w:val="clear" w:color="auto" w:fill="auto"/>
            <w:noWrap/>
            <w:vAlign w:val="center"/>
            <w:hideMark/>
          </w:tcPr>
          <w:p w14:paraId="4CF85D1D" w14:textId="6C2B051E"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27</w:t>
            </w:r>
          </w:p>
        </w:tc>
        <w:tc>
          <w:tcPr>
            <w:tcW w:w="740" w:type="dxa"/>
            <w:shd w:val="clear" w:color="auto" w:fill="auto"/>
            <w:noWrap/>
            <w:vAlign w:val="center"/>
            <w:hideMark/>
          </w:tcPr>
          <w:p w14:paraId="6F1910BA"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872" w:type="dxa"/>
            <w:tcBorders>
              <w:right w:val="single" w:sz="18" w:space="0" w:color="auto"/>
            </w:tcBorders>
            <w:shd w:val="clear" w:color="auto" w:fill="auto"/>
            <w:noWrap/>
            <w:vAlign w:val="center"/>
            <w:hideMark/>
          </w:tcPr>
          <w:p w14:paraId="2FA39EB1" w14:textId="743F4CE1"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36</w:t>
            </w:r>
          </w:p>
        </w:tc>
        <w:tc>
          <w:tcPr>
            <w:tcW w:w="1041" w:type="dxa"/>
            <w:tcBorders>
              <w:left w:val="single" w:sz="18" w:space="0" w:color="auto"/>
            </w:tcBorders>
            <w:shd w:val="clear" w:color="auto" w:fill="auto"/>
            <w:noWrap/>
            <w:hideMark/>
          </w:tcPr>
          <w:p w14:paraId="330BAE2A" w14:textId="794267BF"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0.2281</w:t>
            </w:r>
          </w:p>
        </w:tc>
      </w:tr>
      <w:tr w:rsidR="008550EF" w:rsidRPr="00D309F4" w14:paraId="379A3CCF" w14:textId="77777777" w:rsidTr="00153258">
        <w:trPr>
          <w:trHeight w:val="295"/>
          <w:jc w:val="center"/>
        </w:trPr>
        <w:tc>
          <w:tcPr>
            <w:tcW w:w="2227" w:type="dxa"/>
            <w:tcBorders>
              <w:right w:val="single" w:sz="18" w:space="0" w:color="auto"/>
            </w:tcBorders>
            <w:shd w:val="clear" w:color="auto" w:fill="auto"/>
            <w:noWrap/>
            <w:vAlign w:val="bottom"/>
            <w:hideMark/>
          </w:tcPr>
          <w:p w14:paraId="02A80D97"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Housing Type</w:t>
            </w:r>
          </w:p>
        </w:tc>
        <w:tc>
          <w:tcPr>
            <w:tcW w:w="2610" w:type="dxa"/>
            <w:tcBorders>
              <w:left w:val="single" w:sz="18" w:space="0" w:color="auto"/>
            </w:tcBorders>
            <w:shd w:val="clear" w:color="auto" w:fill="auto"/>
            <w:noWrap/>
            <w:vAlign w:val="bottom"/>
            <w:hideMark/>
          </w:tcPr>
          <w:p w14:paraId="041DFBCD"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Single family home</w:t>
            </w:r>
          </w:p>
        </w:tc>
        <w:tc>
          <w:tcPr>
            <w:tcW w:w="2819" w:type="dxa"/>
            <w:tcBorders>
              <w:right w:val="single" w:sz="18" w:space="0" w:color="auto"/>
            </w:tcBorders>
            <w:shd w:val="clear" w:color="auto" w:fill="auto"/>
            <w:noWrap/>
            <w:vAlign w:val="bottom"/>
            <w:hideMark/>
          </w:tcPr>
          <w:p w14:paraId="0D51A5D2" w14:textId="3A40F4EF"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Multifamily home or apartment</w:t>
            </w:r>
          </w:p>
        </w:tc>
        <w:tc>
          <w:tcPr>
            <w:tcW w:w="930" w:type="dxa"/>
            <w:tcBorders>
              <w:left w:val="single" w:sz="18" w:space="0" w:color="auto"/>
            </w:tcBorders>
            <w:shd w:val="clear" w:color="auto" w:fill="auto"/>
            <w:noWrap/>
            <w:vAlign w:val="center"/>
            <w:hideMark/>
          </w:tcPr>
          <w:p w14:paraId="10531232"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05" w:type="dxa"/>
            <w:shd w:val="clear" w:color="auto" w:fill="auto"/>
            <w:noWrap/>
            <w:vAlign w:val="center"/>
            <w:hideMark/>
          </w:tcPr>
          <w:p w14:paraId="5DEDB320"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72" w:type="dxa"/>
            <w:shd w:val="clear" w:color="auto" w:fill="auto"/>
            <w:noWrap/>
            <w:vAlign w:val="center"/>
            <w:hideMark/>
          </w:tcPr>
          <w:p w14:paraId="02FDB6F5"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740" w:type="dxa"/>
            <w:shd w:val="clear" w:color="auto" w:fill="auto"/>
            <w:noWrap/>
            <w:vAlign w:val="center"/>
            <w:hideMark/>
          </w:tcPr>
          <w:p w14:paraId="5A6090CC" w14:textId="252D35A2"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48</w:t>
            </w:r>
          </w:p>
        </w:tc>
        <w:tc>
          <w:tcPr>
            <w:tcW w:w="872" w:type="dxa"/>
            <w:tcBorders>
              <w:right w:val="single" w:sz="18" w:space="0" w:color="auto"/>
            </w:tcBorders>
            <w:shd w:val="clear" w:color="auto" w:fill="auto"/>
            <w:noWrap/>
            <w:vAlign w:val="center"/>
            <w:hideMark/>
          </w:tcPr>
          <w:p w14:paraId="459FBA01" w14:textId="526F605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-52</w:t>
            </w:r>
          </w:p>
        </w:tc>
        <w:tc>
          <w:tcPr>
            <w:tcW w:w="1041" w:type="dxa"/>
            <w:tcBorders>
              <w:left w:val="single" w:sz="18" w:space="0" w:color="auto"/>
            </w:tcBorders>
            <w:shd w:val="clear" w:color="auto" w:fill="auto"/>
            <w:noWrap/>
            <w:hideMark/>
          </w:tcPr>
          <w:p w14:paraId="1BAF8551" w14:textId="1F4F4501"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-0.0012</w:t>
            </w:r>
          </w:p>
        </w:tc>
      </w:tr>
      <w:tr w:rsidR="008550EF" w:rsidRPr="00D309F4" w14:paraId="62AAD72F" w14:textId="77777777" w:rsidTr="00153258">
        <w:trPr>
          <w:trHeight w:val="295"/>
          <w:jc w:val="center"/>
        </w:trPr>
        <w:tc>
          <w:tcPr>
            <w:tcW w:w="2227" w:type="dxa"/>
            <w:tcBorders>
              <w:right w:val="single" w:sz="18" w:space="0" w:color="auto"/>
            </w:tcBorders>
            <w:shd w:val="clear" w:color="auto" w:fill="auto"/>
            <w:noWrap/>
            <w:vAlign w:val="bottom"/>
            <w:hideMark/>
          </w:tcPr>
          <w:p w14:paraId="4F714184"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Population Density</w:t>
            </w:r>
          </w:p>
        </w:tc>
        <w:tc>
          <w:tcPr>
            <w:tcW w:w="2610" w:type="dxa"/>
            <w:tcBorders>
              <w:left w:val="single" w:sz="18" w:space="0" w:color="auto"/>
            </w:tcBorders>
            <w:shd w:val="clear" w:color="auto" w:fill="auto"/>
            <w:noWrap/>
            <w:vAlign w:val="bottom"/>
            <w:hideMark/>
          </w:tcPr>
          <w:p w14:paraId="46EB56C5"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Low</w:t>
            </w:r>
          </w:p>
        </w:tc>
        <w:tc>
          <w:tcPr>
            <w:tcW w:w="2819" w:type="dxa"/>
            <w:tcBorders>
              <w:right w:val="single" w:sz="18" w:space="0" w:color="auto"/>
            </w:tcBorders>
            <w:shd w:val="clear" w:color="auto" w:fill="auto"/>
            <w:noWrap/>
            <w:vAlign w:val="bottom"/>
            <w:hideMark/>
          </w:tcPr>
          <w:p w14:paraId="4D6C9A08"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High</w:t>
            </w:r>
          </w:p>
        </w:tc>
        <w:tc>
          <w:tcPr>
            <w:tcW w:w="930" w:type="dxa"/>
            <w:tcBorders>
              <w:left w:val="single" w:sz="18" w:space="0" w:color="auto"/>
            </w:tcBorders>
            <w:shd w:val="clear" w:color="auto" w:fill="auto"/>
            <w:noWrap/>
            <w:vAlign w:val="center"/>
            <w:hideMark/>
          </w:tcPr>
          <w:p w14:paraId="5A5E1645"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05" w:type="dxa"/>
            <w:shd w:val="clear" w:color="auto" w:fill="auto"/>
            <w:noWrap/>
            <w:vAlign w:val="center"/>
            <w:hideMark/>
          </w:tcPr>
          <w:p w14:paraId="66894E73"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72" w:type="dxa"/>
            <w:shd w:val="clear" w:color="auto" w:fill="auto"/>
            <w:noWrap/>
            <w:vAlign w:val="center"/>
            <w:hideMark/>
          </w:tcPr>
          <w:p w14:paraId="3C937582"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740" w:type="dxa"/>
            <w:shd w:val="clear" w:color="auto" w:fill="auto"/>
            <w:noWrap/>
            <w:vAlign w:val="center"/>
            <w:hideMark/>
          </w:tcPr>
          <w:p w14:paraId="000FCD01"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872" w:type="dxa"/>
            <w:tcBorders>
              <w:right w:val="single" w:sz="18" w:space="0" w:color="auto"/>
            </w:tcBorders>
            <w:shd w:val="clear" w:color="auto" w:fill="auto"/>
            <w:noWrap/>
            <w:vAlign w:val="center"/>
            <w:hideMark/>
          </w:tcPr>
          <w:p w14:paraId="79384B7E"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100</w:t>
            </w:r>
          </w:p>
        </w:tc>
        <w:tc>
          <w:tcPr>
            <w:tcW w:w="1041" w:type="dxa"/>
            <w:tcBorders>
              <w:left w:val="single" w:sz="18" w:space="0" w:color="auto"/>
            </w:tcBorders>
            <w:shd w:val="clear" w:color="auto" w:fill="auto"/>
            <w:noWrap/>
            <w:hideMark/>
          </w:tcPr>
          <w:p w14:paraId="7FB52073" w14:textId="3F170A9C"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0.0208</w:t>
            </w:r>
          </w:p>
        </w:tc>
      </w:tr>
      <w:tr w:rsidR="008550EF" w:rsidRPr="00D309F4" w14:paraId="52DABBC2" w14:textId="77777777" w:rsidTr="00153258">
        <w:trPr>
          <w:trHeight w:val="295"/>
          <w:jc w:val="center"/>
        </w:trPr>
        <w:tc>
          <w:tcPr>
            <w:tcW w:w="2227" w:type="dxa"/>
            <w:tcBorders>
              <w:bottom w:val="single" w:sz="18" w:space="0" w:color="auto"/>
              <w:right w:val="single" w:sz="18" w:space="0" w:color="auto"/>
            </w:tcBorders>
            <w:shd w:val="clear" w:color="auto" w:fill="auto"/>
            <w:noWrap/>
            <w:vAlign w:val="bottom"/>
            <w:hideMark/>
          </w:tcPr>
          <w:p w14:paraId="4F0E0635"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Charging Density</w:t>
            </w:r>
          </w:p>
        </w:tc>
        <w:tc>
          <w:tcPr>
            <w:tcW w:w="2610" w:type="dxa"/>
            <w:tcBorders>
              <w:left w:val="single" w:sz="18" w:space="0" w:color="auto"/>
              <w:bottom w:val="single" w:sz="18" w:space="0" w:color="auto"/>
            </w:tcBorders>
            <w:shd w:val="clear" w:color="auto" w:fill="auto"/>
            <w:noWrap/>
            <w:vAlign w:val="bottom"/>
            <w:hideMark/>
          </w:tcPr>
          <w:p w14:paraId="6810FAD0"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Low</w:t>
            </w:r>
          </w:p>
        </w:tc>
        <w:tc>
          <w:tcPr>
            <w:tcW w:w="2819" w:type="dxa"/>
            <w:tcBorders>
              <w:bottom w:val="single" w:sz="18" w:space="0" w:color="auto"/>
              <w:right w:val="single" w:sz="18" w:space="0" w:color="auto"/>
            </w:tcBorders>
            <w:shd w:val="clear" w:color="auto" w:fill="auto"/>
            <w:noWrap/>
            <w:vAlign w:val="bottom"/>
            <w:hideMark/>
          </w:tcPr>
          <w:p w14:paraId="6E72FC6A" w14:textId="77777777" w:rsidR="008550EF" w:rsidRPr="00D309F4" w:rsidRDefault="008550EF" w:rsidP="008550EF">
            <w:pPr>
              <w:spacing w:after="0" w:line="240" w:lineRule="auto"/>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High</w:t>
            </w:r>
          </w:p>
        </w:tc>
        <w:tc>
          <w:tcPr>
            <w:tcW w:w="930" w:type="dxa"/>
            <w:tcBorders>
              <w:left w:val="single" w:sz="18" w:space="0" w:color="auto"/>
            </w:tcBorders>
            <w:shd w:val="clear" w:color="auto" w:fill="auto"/>
            <w:noWrap/>
            <w:vAlign w:val="center"/>
            <w:hideMark/>
          </w:tcPr>
          <w:p w14:paraId="4C4A5C34"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05" w:type="dxa"/>
            <w:shd w:val="clear" w:color="auto" w:fill="auto"/>
            <w:noWrap/>
            <w:vAlign w:val="center"/>
            <w:hideMark/>
          </w:tcPr>
          <w:p w14:paraId="5BC00DBB"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672" w:type="dxa"/>
            <w:shd w:val="clear" w:color="auto" w:fill="auto"/>
            <w:noWrap/>
            <w:vAlign w:val="center"/>
            <w:hideMark/>
          </w:tcPr>
          <w:p w14:paraId="71DBACC7"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0</w:t>
            </w:r>
          </w:p>
        </w:tc>
        <w:tc>
          <w:tcPr>
            <w:tcW w:w="740" w:type="dxa"/>
            <w:shd w:val="clear" w:color="auto" w:fill="auto"/>
            <w:noWrap/>
            <w:vAlign w:val="center"/>
            <w:hideMark/>
          </w:tcPr>
          <w:p w14:paraId="13803313"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44</w:t>
            </w:r>
          </w:p>
        </w:tc>
        <w:tc>
          <w:tcPr>
            <w:tcW w:w="872" w:type="dxa"/>
            <w:tcBorders>
              <w:right w:val="single" w:sz="18" w:space="0" w:color="auto"/>
            </w:tcBorders>
            <w:shd w:val="clear" w:color="auto" w:fill="auto"/>
            <w:noWrap/>
            <w:vAlign w:val="center"/>
            <w:hideMark/>
          </w:tcPr>
          <w:p w14:paraId="38341F38" w14:textId="77777777" w:rsidR="008550EF" w:rsidRPr="00D309F4" w:rsidRDefault="008550EF" w:rsidP="008550EF">
            <w:pPr>
              <w:tabs>
                <w:tab w:val="decimal" w:pos="346"/>
              </w:tabs>
              <w:spacing w:after="0" w:line="240" w:lineRule="auto"/>
              <w:jc w:val="center"/>
              <w:rPr>
                <w:rFonts w:eastAsia="Times New Roman" w:cs="Times New Roman"/>
                <w:color w:val="000000"/>
                <w:kern w:val="0"/>
                <w:sz w:val="20"/>
                <w:szCs w:val="20"/>
                <w14:ligatures w14:val="none"/>
              </w:rPr>
            </w:pPr>
            <w:r w:rsidRPr="00D309F4">
              <w:rPr>
                <w:rFonts w:eastAsia="Times New Roman" w:cs="Times New Roman"/>
                <w:color w:val="000000"/>
                <w:kern w:val="0"/>
                <w:sz w:val="20"/>
                <w:szCs w:val="20"/>
                <w14:ligatures w14:val="none"/>
              </w:rPr>
              <w:t>56</w:t>
            </w:r>
          </w:p>
        </w:tc>
        <w:tc>
          <w:tcPr>
            <w:tcW w:w="1041" w:type="dxa"/>
            <w:tcBorders>
              <w:left w:val="single" w:sz="18" w:space="0" w:color="auto"/>
              <w:bottom w:val="single" w:sz="18" w:space="0" w:color="auto"/>
            </w:tcBorders>
            <w:shd w:val="clear" w:color="auto" w:fill="auto"/>
            <w:noWrap/>
            <w:hideMark/>
          </w:tcPr>
          <w:p w14:paraId="429E6D7A" w14:textId="629C56AC" w:rsidR="008550EF" w:rsidRPr="00D309F4" w:rsidRDefault="008550EF" w:rsidP="00153258">
            <w:pPr>
              <w:tabs>
                <w:tab w:val="decimal" w:pos="272"/>
              </w:tabs>
              <w:spacing w:after="0" w:line="240" w:lineRule="auto"/>
              <w:rPr>
                <w:rFonts w:eastAsia="Times New Roman" w:cs="Times New Roman"/>
                <w:color w:val="000000"/>
                <w:kern w:val="0"/>
                <w:sz w:val="20"/>
                <w:szCs w:val="20"/>
                <w14:ligatures w14:val="none"/>
              </w:rPr>
            </w:pPr>
            <w:r w:rsidRPr="00D309F4">
              <w:rPr>
                <w:rFonts w:cs="Times New Roman"/>
                <w:sz w:val="20"/>
                <w:szCs w:val="20"/>
              </w:rPr>
              <w:t>0.0452</w:t>
            </w:r>
          </w:p>
        </w:tc>
      </w:tr>
      <w:bookmarkEnd w:id="46"/>
    </w:tbl>
    <w:p w14:paraId="4CB38105" w14:textId="77777777" w:rsidR="00AA2B7C" w:rsidRPr="00D309F4" w:rsidRDefault="00AA2B7C" w:rsidP="00264D08">
      <w:pPr>
        <w:spacing w:after="0" w:line="240" w:lineRule="auto"/>
        <w:jc w:val="both"/>
        <w:rPr>
          <w:rFonts w:cs="Times New Roman"/>
          <w:b/>
          <w:bCs/>
        </w:rPr>
        <w:sectPr w:rsidR="00AA2B7C" w:rsidRPr="00D309F4" w:rsidSect="00AA2B7C">
          <w:pgSz w:w="15840" w:h="12240" w:orient="landscape" w:code="1"/>
          <w:pgMar w:top="1440" w:right="1440" w:bottom="1440" w:left="1440" w:header="720" w:footer="720" w:gutter="0"/>
          <w:cols w:space="720"/>
          <w:docGrid w:linePitch="360"/>
        </w:sectPr>
      </w:pPr>
    </w:p>
    <w:p w14:paraId="088A66EE" w14:textId="4A463A81" w:rsidR="00B95636" w:rsidRPr="00D309F4" w:rsidRDefault="00E95E0C" w:rsidP="00264D08">
      <w:pPr>
        <w:spacing w:after="0" w:line="240" w:lineRule="auto"/>
        <w:jc w:val="both"/>
        <w:rPr>
          <w:rFonts w:cs="Times New Roman"/>
          <w:b/>
          <w:bCs/>
        </w:rPr>
      </w:pPr>
      <w:r w:rsidRPr="00D309F4">
        <w:rPr>
          <w:noProof/>
          <w:sz w:val="22"/>
          <w:szCs w:val="22"/>
        </w:rPr>
        <w:lastRenderedPageBreak/>
        <mc:AlternateContent>
          <mc:Choice Requires="wpg">
            <w:drawing>
              <wp:anchor distT="0" distB="0" distL="114300" distR="114300" simplePos="0" relativeHeight="251659264" behindDoc="0" locked="0" layoutInCell="1" allowOverlap="1" wp14:anchorId="033F3086" wp14:editId="31D35EF6">
                <wp:simplePos x="0" y="0"/>
                <wp:positionH relativeFrom="column">
                  <wp:posOffset>0</wp:posOffset>
                </wp:positionH>
                <wp:positionV relativeFrom="paragraph">
                  <wp:posOffset>0</wp:posOffset>
                </wp:positionV>
                <wp:extent cx="6034523" cy="7209949"/>
                <wp:effectExtent l="0" t="0" r="4445" b="0"/>
                <wp:wrapTopAndBottom/>
                <wp:docPr id="2" name="Group 1">
                  <a:extLst xmlns:a="http://schemas.openxmlformats.org/drawingml/2006/main">
                    <a:ext uri="{FF2B5EF4-FFF2-40B4-BE49-F238E27FC236}">
                      <a16:creationId xmlns:a16="http://schemas.microsoft.com/office/drawing/2014/main" id="{40441510-AA40-4664-92EA-BB1CE2800D38}"/>
                    </a:ext>
                  </a:extLst>
                </wp:docPr>
                <wp:cNvGraphicFramePr/>
                <a:graphic xmlns:a="http://schemas.openxmlformats.org/drawingml/2006/main">
                  <a:graphicData uri="http://schemas.microsoft.com/office/word/2010/wordprocessingGroup">
                    <wpg:wgp>
                      <wpg:cNvGrpSpPr/>
                      <wpg:grpSpPr>
                        <a:xfrm>
                          <a:off x="0" y="0"/>
                          <a:ext cx="6034523" cy="7209949"/>
                          <a:chOff x="0" y="0"/>
                          <a:chExt cx="9880443" cy="9848051"/>
                        </a:xfrm>
                      </wpg:grpSpPr>
                      <wpg:graphicFrame>
                        <wpg:cNvPr id="1039594527" name="Chart 1039594527">
                          <a:extLst>
                            <a:ext uri="{FF2B5EF4-FFF2-40B4-BE49-F238E27FC236}">
                              <a16:creationId xmlns:a16="http://schemas.microsoft.com/office/drawing/2014/main" id="{28F851D8-9270-C3E4-B7A0-51C8D277F739}"/>
                            </a:ext>
                          </a:extLst>
                        </wpg:cNvPr>
                        <wpg:cNvFrPr>
                          <a:graphicFrameLocks/>
                        </wpg:cNvFrPr>
                        <wpg:xfrm>
                          <a:off x="85334" y="4754031"/>
                          <a:ext cx="9795109" cy="5094020"/>
                        </wpg:xfrm>
                        <a:graphic>
                          <a:graphicData uri="http://schemas.openxmlformats.org/drawingml/2006/chart">
                            <c:chart xmlns:c="http://schemas.openxmlformats.org/drawingml/2006/chart" xmlns:r="http://schemas.openxmlformats.org/officeDocument/2006/relationships" r:id="rId364"/>
                          </a:graphicData>
                        </a:graphic>
                      </wpg:graphicFrame>
                      <wpg:graphicFrame>
                        <wpg:cNvPr id="713217435" name="Chart 713217435">
                          <a:extLst>
                            <a:ext uri="{FF2B5EF4-FFF2-40B4-BE49-F238E27FC236}">
                              <a16:creationId xmlns:a16="http://schemas.microsoft.com/office/drawing/2014/main" id="{D83EBD55-AFC0-8D49-8657-AE2638794549}"/>
                            </a:ext>
                          </a:extLst>
                        </wpg:cNvPr>
                        <wpg:cNvFrPr>
                          <a:graphicFrameLocks/>
                        </wpg:cNvFrPr>
                        <wpg:xfrm>
                          <a:off x="0" y="0"/>
                          <a:ext cx="9789306" cy="4857432"/>
                        </wpg:xfrm>
                        <a:graphic>
                          <a:graphicData uri="http://schemas.openxmlformats.org/drawingml/2006/chart">
                            <c:chart xmlns:c="http://schemas.openxmlformats.org/drawingml/2006/chart" xmlns:r="http://schemas.openxmlformats.org/officeDocument/2006/relationships" r:id="rId365"/>
                          </a:graphicData>
                        </a:graphic>
                      </wpg:graphicFrame>
                    </wpg:wgp>
                  </a:graphicData>
                </a:graphic>
              </wp:anchor>
            </w:drawing>
          </mc:Choice>
          <mc:Fallback xmlns:w16sdtfl="http://schemas.microsoft.com/office/word/2024/wordml/sdtformatlock" xmlns:w16du="http://schemas.microsoft.com/office/word/2023/wordml/word16du" xmlns:oel="http://schemas.microsoft.com/office/2019/extlst">
            <w:pict>
              <v:group w14:anchorId="0FF9CD6F" id="Group 1" o:spid="_x0000_s1026" style="position:absolute;margin-left:0;margin-top:0;width:475.15pt;height:567.7pt;z-index:251659264" coordsize="98804,98480" o:gfxdata="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">
                <v:shape id="Chart 1039594527" o:spid="_x0000_s1027" type="#_x0000_t75" style="position:absolute;left:898;top:47544;width:97914;height:5095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">
                  <v:imagedata r:id="rId366" o:title=""/>
                  <o:lock v:ext="edit" aspectratio="f"/>
                </v:shape>
                <v:shape id="Chart 713217435" o:spid="_x0000_s1028" type="#_x0000_t75" style="position:absolute;width:97914;height:485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">
                  <v:imagedata r:id="rId367" o:title=""/>
                  <o:lock v:ext="edit" aspectratio="f"/>
                </v:shape>
                <w10:wrap type="topAndBottom"/>
              </v:group>
            </w:pict>
          </mc:Fallback>
        </mc:AlternateContent>
      </w:r>
    </w:p>
    <w:p w14:paraId="36548819" w14:textId="77777777" w:rsidR="00CD29ED" w:rsidRPr="00D309F4" w:rsidRDefault="00CD29ED" w:rsidP="0097080D">
      <w:pPr>
        <w:spacing w:after="0" w:line="240" w:lineRule="auto"/>
        <w:jc w:val="center"/>
        <w:rPr>
          <w:rFonts w:cs="Times New Roman"/>
          <w:b/>
          <w:bCs/>
          <w:sz w:val="22"/>
          <w:szCs w:val="22"/>
        </w:rPr>
      </w:pPr>
    </w:p>
    <w:p w14:paraId="76072F96" w14:textId="37F7BE83" w:rsidR="00451B51" w:rsidRPr="00D309F4" w:rsidRDefault="00F014AC" w:rsidP="0097080D">
      <w:pPr>
        <w:spacing w:after="0" w:line="240" w:lineRule="auto"/>
        <w:jc w:val="center"/>
        <w:rPr>
          <w:rFonts w:cs="Times New Roman"/>
          <w:b/>
          <w:bCs/>
          <w:sz w:val="22"/>
          <w:szCs w:val="22"/>
        </w:rPr>
      </w:pPr>
      <w:r w:rsidRPr="00D309F4">
        <w:rPr>
          <w:rFonts w:cs="Times New Roman"/>
          <w:b/>
          <w:bCs/>
          <w:sz w:val="22"/>
          <w:szCs w:val="22"/>
        </w:rPr>
        <w:t xml:space="preserve">Figure 1: </w:t>
      </w:r>
      <w:r w:rsidR="005C747A" w:rsidRPr="00D309F4">
        <w:rPr>
          <w:rFonts w:cs="Times New Roman"/>
          <w:b/>
          <w:bCs/>
          <w:sz w:val="22"/>
          <w:szCs w:val="22"/>
        </w:rPr>
        <w:t>Distribution of Indicators of Latent Constructs</w:t>
      </w:r>
    </w:p>
    <w:p w14:paraId="7DB9ABAB" w14:textId="7CA8B702" w:rsidR="00451B51" w:rsidRPr="00D309F4" w:rsidRDefault="00451B51">
      <w:pPr>
        <w:rPr>
          <w:rFonts w:cs="Times New Roman"/>
          <w:b/>
          <w:bCs/>
          <w:sz w:val="22"/>
          <w:szCs w:val="22"/>
        </w:rPr>
      </w:pPr>
    </w:p>
    <w:p w14:paraId="19752931" w14:textId="739520B8" w:rsidR="00F014AC" w:rsidRPr="00D309F4" w:rsidRDefault="00F014AC" w:rsidP="00264D08">
      <w:pPr>
        <w:spacing w:after="0" w:line="240" w:lineRule="auto"/>
        <w:jc w:val="both"/>
        <w:rPr>
          <w:rFonts w:cs="Times New Roman"/>
          <w:b/>
          <w:bCs/>
          <w:sz w:val="22"/>
          <w:szCs w:val="22"/>
        </w:rPr>
      </w:pPr>
    </w:p>
    <w:p w14:paraId="6D9B9CDF" w14:textId="52640884" w:rsidR="006274C6" w:rsidRPr="00D309F4" w:rsidRDefault="006274C6" w:rsidP="0097080D">
      <w:pPr>
        <w:spacing w:after="0" w:line="240" w:lineRule="auto"/>
        <w:jc w:val="center"/>
        <w:rPr>
          <w:rFonts w:cs="Times New Roman"/>
          <w:b/>
          <w:bCs/>
        </w:rPr>
      </w:pPr>
      <w:r w:rsidRPr="00D309F4">
        <w:rPr>
          <w:rFonts w:cs="Times New Roman"/>
          <w:b/>
          <w:bCs/>
          <w:noProof/>
        </w:rPr>
        <w:lastRenderedPageBreak/>
        <w:drawing>
          <wp:inline distT="0" distB="0" distL="0" distR="0" wp14:anchorId="54B71309" wp14:editId="1F6084D8">
            <wp:extent cx="5943600" cy="2930785"/>
            <wp:effectExtent l="0" t="0" r="0" b="3175"/>
            <wp:docPr id="20163949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394922" name="Picture 1"/>
                    <pic:cNvPicPr>
                      <a:picLocks noChangeAspect="1" noChangeArrowheads="1"/>
                    </pic:cNvPicPr>
                  </pic:nvPicPr>
                  <pic:blipFill>
                    <a:blip r:embed="rId368" cstate="print">
                      <a:extLst>
                        <a:ext uri="{28A0092B-C50C-407E-A947-70E740481C1C}">
                          <a14:useLocalDpi xmlns:a14="http://schemas.microsoft.com/office/drawing/2010/main" val="0"/>
                        </a:ext>
                      </a:extLst>
                    </a:blip>
                    <a:srcRect/>
                    <a:stretch>
                      <a:fillRect/>
                    </a:stretch>
                  </pic:blipFill>
                  <pic:spPr bwMode="auto">
                    <a:xfrm>
                      <a:off x="0" y="0"/>
                      <a:ext cx="5943600" cy="2930785"/>
                    </a:xfrm>
                    <a:prstGeom prst="rect">
                      <a:avLst/>
                    </a:prstGeom>
                    <a:noFill/>
                  </pic:spPr>
                </pic:pic>
              </a:graphicData>
            </a:graphic>
          </wp:inline>
        </w:drawing>
      </w:r>
    </w:p>
    <w:p w14:paraId="6F493282" w14:textId="77777777" w:rsidR="00CD29ED" w:rsidRPr="00D309F4" w:rsidRDefault="00CD29ED" w:rsidP="0097080D">
      <w:pPr>
        <w:spacing w:after="0" w:line="240" w:lineRule="auto"/>
        <w:jc w:val="center"/>
        <w:rPr>
          <w:rFonts w:cs="Times New Roman"/>
          <w:b/>
          <w:bCs/>
          <w:sz w:val="22"/>
          <w:szCs w:val="22"/>
        </w:rPr>
      </w:pPr>
    </w:p>
    <w:p w14:paraId="7205C671" w14:textId="77777777" w:rsidR="002341A3" w:rsidRPr="00D309F4" w:rsidRDefault="00476687" w:rsidP="0097080D">
      <w:pPr>
        <w:spacing w:after="0" w:line="240" w:lineRule="auto"/>
        <w:jc w:val="center"/>
        <w:rPr>
          <w:rFonts w:cs="Times New Roman"/>
          <w:b/>
          <w:bCs/>
          <w:sz w:val="22"/>
          <w:szCs w:val="22"/>
        </w:rPr>
        <w:sectPr w:rsidR="002341A3" w:rsidRPr="00D309F4" w:rsidSect="002D7FEE">
          <w:pgSz w:w="12240" w:h="15840" w:code="1"/>
          <w:pgMar w:top="1440" w:right="1440" w:bottom="1440" w:left="1440" w:header="720" w:footer="720" w:gutter="0"/>
          <w:cols w:space="720"/>
          <w:docGrid w:linePitch="360"/>
        </w:sectPr>
      </w:pPr>
      <w:r w:rsidRPr="00D309F4">
        <w:rPr>
          <w:rFonts w:cs="Times New Roman"/>
          <w:b/>
          <w:bCs/>
          <w:sz w:val="22"/>
          <w:szCs w:val="22"/>
        </w:rPr>
        <w:t>Figure 2: Analytic Framework of the GHDM Model</w:t>
      </w:r>
    </w:p>
    <w:p w14:paraId="1B6C2C7D" w14:textId="0C0A01C6" w:rsidR="00476687" w:rsidRPr="00D309F4" w:rsidRDefault="002341A3" w:rsidP="0097080D">
      <w:pPr>
        <w:spacing w:after="0" w:line="240" w:lineRule="auto"/>
        <w:jc w:val="center"/>
        <w:rPr>
          <w:rFonts w:cs="Times New Roman"/>
          <w:b/>
          <w:bCs/>
          <w:sz w:val="22"/>
          <w:szCs w:val="22"/>
        </w:rPr>
      </w:pPr>
      <w:r w:rsidRPr="00D309F4">
        <w:rPr>
          <w:noProof/>
        </w:rPr>
        <w:lastRenderedPageBreak/>
        <w:drawing>
          <wp:inline distT="0" distB="0" distL="0" distR="0" wp14:anchorId="76F2BFC6" wp14:editId="11042BEF">
            <wp:extent cx="7924800" cy="5759532"/>
            <wp:effectExtent l="0" t="0" r="0" b="0"/>
            <wp:docPr id="967020290" name="Picture 1" descr="A group of graphs with different colore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7020290" name="Picture 1" descr="A group of graphs with different colored lines&#10;&#10;AI-generated content may be incorrect."/>
                    <pic:cNvPicPr/>
                  </pic:nvPicPr>
                  <pic:blipFill>
                    <a:blip r:embed="rId369"/>
                    <a:stretch>
                      <a:fillRect/>
                    </a:stretch>
                  </pic:blipFill>
                  <pic:spPr>
                    <a:xfrm>
                      <a:off x="0" y="0"/>
                      <a:ext cx="7929060" cy="5762628"/>
                    </a:xfrm>
                    <a:prstGeom prst="rect">
                      <a:avLst/>
                    </a:prstGeom>
                  </pic:spPr>
                </pic:pic>
              </a:graphicData>
            </a:graphic>
          </wp:inline>
        </w:drawing>
      </w:r>
    </w:p>
    <w:p w14:paraId="10CFA20B" w14:textId="2AD6459F" w:rsidR="002341A3" w:rsidRPr="00D309F4" w:rsidRDefault="002341A3" w:rsidP="002341A3">
      <w:pPr>
        <w:spacing w:after="0" w:line="240" w:lineRule="auto"/>
        <w:jc w:val="center"/>
        <w:rPr>
          <w:rFonts w:cs="Times New Roman"/>
          <w:b/>
          <w:bCs/>
          <w:sz w:val="22"/>
          <w:szCs w:val="22"/>
        </w:rPr>
      </w:pPr>
      <w:r w:rsidRPr="00D309F4">
        <w:rPr>
          <w:rFonts w:cs="Times New Roman"/>
          <w:b/>
          <w:bCs/>
          <w:sz w:val="22"/>
          <w:szCs w:val="22"/>
        </w:rPr>
        <w:t>Figure 3: Interaction Effects of Age and Income with GLP and VFP on Probability of EV Adoption</w:t>
      </w:r>
    </w:p>
    <w:sectPr w:rsidR="002341A3" w:rsidRPr="00D309F4" w:rsidSect="00670586">
      <w:pgSz w:w="15840" w:h="12240" w:orient="landscape"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EAF54B" w14:textId="77777777" w:rsidR="00E07308" w:rsidRDefault="00E07308">
      <w:pPr>
        <w:spacing w:after="0" w:line="240" w:lineRule="auto"/>
      </w:pPr>
      <w:r>
        <w:separator/>
      </w:r>
    </w:p>
  </w:endnote>
  <w:endnote w:type="continuationSeparator" w:id="0">
    <w:p w14:paraId="097DD1B8" w14:textId="77777777" w:rsidR="00E07308" w:rsidRDefault="00E07308">
      <w:pPr>
        <w:spacing w:after="0" w:line="240" w:lineRule="auto"/>
      </w:pPr>
      <w:r>
        <w:continuationSeparator/>
      </w:r>
    </w:p>
  </w:endnote>
  <w:endnote w:type="continuationNotice" w:id="1">
    <w:p w14:paraId="37491894" w14:textId="77777777" w:rsidR="00E07308" w:rsidRDefault="00E0730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ptos">
    <w:altName w:val="Calibri"/>
    <w:charset w:val="00"/>
    <w:family w:val="swiss"/>
    <w:pitch w:val="variable"/>
    <w:sig w:usb0="20000287" w:usb1="0000000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516724"/>
      <w:docPartObj>
        <w:docPartGallery w:val="Page Numbers (Bottom of Page)"/>
        <w:docPartUnique/>
      </w:docPartObj>
    </w:sdtPr>
    <w:sdtEndPr>
      <w:rPr>
        <w:noProof/>
        <w:sz w:val="22"/>
        <w:szCs w:val="22"/>
      </w:rPr>
    </w:sdtEndPr>
    <w:sdtContent>
      <w:p w14:paraId="628E06F3" w14:textId="0ABBA1B0" w:rsidR="00EB2920" w:rsidRPr="00782FA6" w:rsidRDefault="00EB2920" w:rsidP="008B43AC">
        <w:pPr>
          <w:pStyle w:val="Footer"/>
          <w:jc w:val="center"/>
          <w:rPr>
            <w:sz w:val="22"/>
            <w:szCs w:val="22"/>
          </w:rPr>
        </w:pPr>
        <w:r w:rsidRPr="00782FA6">
          <w:rPr>
            <w:sz w:val="22"/>
            <w:szCs w:val="22"/>
          </w:rPr>
          <w:fldChar w:fldCharType="begin"/>
        </w:r>
        <w:r w:rsidRPr="00782FA6">
          <w:rPr>
            <w:sz w:val="22"/>
            <w:szCs w:val="22"/>
          </w:rPr>
          <w:instrText xml:space="preserve"> PAGE   \* MERGEFORMAT </w:instrText>
        </w:r>
        <w:r w:rsidRPr="00782FA6">
          <w:rPr>
            <w:sz w:val="22"/>
            <w:szCs w:val="22"/>
          </w:rPr>
          <w:fldChar w:fldCharType="separate"/>
        </w:r>
        <w:r w:rsidRPr="00782FA6">
          <w:rPr>
            <w:noProof/>
            <w:sz w:val="22"/>
            <w:szCs w:val="22"/>
          </w:rPr>
          <w:t>2</w:t>
        </w:r>
        <w:r w:rsidRPr="00782FA6">
          <w:rPr>
            <w:noProof/>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22445A" w14:textId="77777777" w:rsidR="00E07308" w:rsidRDefault="00E07308">
      <w:pPr>
        <w:spacing w:after="0" w:line="240" w:lineRule="auto"/>
      </w:pPr>
      <w:r>
        <w:separator/>
      </w:r>
    </w:p>
  </w:footnote>
  <w:footnote w:type="continuationSeparator" w:id="0">
    <w:p w14:paraId="073C1658" w14:textId="77777777" w:rsidR="00E07308" w:rsidRDefault="00E07308">
      <w:pPr>
        <w:spacing w:after="0" w:line="240" w:lineRule="auto"/>
      </w:pPr>
      <w:r>
        <w:continuationSeparator/>
      </w:r>
    </w:p>
  </w:footnote>
  <w:footnote w:type="continuationNotice" w:id="1">
    <w:p w14:paraId="418B4E1A" w14:textId="77777777" w:rsidR="00E07308" w:rsidRDefault="00E07308">
      <w:pPr>
        <w:spacing w:after="0" w:line="240" w:lineRule="auto"/>
      </w:pPr>
    </w:p>
  </w:footnote>
  <w:footnote w:id="2">
    <w:p w14:paraId="58351F9C" w14:textId="41CBF050" w:rsidR="00A02BEB" w:rsidRDefault="00A02BEB" w:rsidP="00153258">
      <w:pPr>
        <w:pStyle w:val="FootnoteText"/>
        <w:jc w:val="both"/>
      </w:pPr>
      <w:r>
        <w:rPr>
          <w:rStyle w:val="FootnoteReference"/>
        </w:rPr>
        <w:footnoteRef/>
      </w:r>
      <w:r>
        <w:t xml:space="preserve">While our discussion references results and literature from a variety of contexts with different geographic, temporal social, and economic characteristics to provide a </w:t>
      </w:r>
      <w:r w:rsidR="00F42F30">
        <w:t xml:space="preserve">broad </w:t>
      </w:r>
      <w:r>
        <w:t xml:space="preserve">picture of EV adoption patterns, the dataset employed in this study was collected strictly from California homeowners, and </w:t>
      </w:r>
      <w:r w:rsidR="00F42F30">
        <w:t>caution needs to be exercised in any generalization from our study to other geographic, social, and economic contexts.</w:t>
      </w:r>
    </w:p>
  </w:footnote>
  <w:footnote w:id="3">
    <w:p w14:paraId="450A009B" w14:textId="671D606D" w:rsidR="00877671" w:rsidRDefault="00877671" w:rsidP="008B43AC">
      <w:pPr>
        <w:pStyle w:val="FootnoteText"/>
        <w:jc w:val="both"/>
      </w:pPr>
      <w:r>
        <w:rPr>
          <w:rStyle w:val="FootnoteReference"/>
        </w:rPr>
        <w:footnoteRef/>
      </w:r>
      <w:r w:rsidR="00A543BC">
        <w:t>Note that the order of the factors included here is not the same as the order shown in the survey. Additionally, e</w:t>
      </w:r>
      <w:r w:rsidR="00240907">
        <w:t xml:space="preserve">ach of the final five factors </w:t>
      </w:r>
      <w:r w:rsidR="00A543BC">
        <w:t xml:space="preserve">(which were removed from the analysis) </w:t>
      </w:r>
      <w:r w:rsidR="00240907">
        <w:t xml:space="preserve">were ranked in the top three motivating factors by less than </w:t>
      </w:r>
      <w:r w:rsidR="002F0383">
        <w:t>6.5</w:t>
      </w:r>
      <w:r w:rsidR="00240907">
        <w:t xml:space="preserve">% of </w:t>
      </w:r>
      <w:r w:rsidR="00DD0606">
        <w:t>current EV owners</w:t>
      </w:r>
      <w:r w:rsidR="00240907">
        <w:t xml:space="preserve">. </w:t>
      </w:r>
      <w:bookmarkStart w:id="15" w:name="_Hlk198560155"/>
      <w:r w:rsidR="00A543BC">
        <w:t>O</w:t>
      </w:r>
      <w:r w:rsidR="002543F1" w:rsidRPr="002543F1">
        <w:t xml:space="preserve">nly five households were removed because they did not select </w:t>
      </w:r>
      <w:r w:rsidR="002543F1">
        <w:t>at least one</w:t>
      </w:r>
      <w:r w:rsidR="002543F1" w:rsidRPr="002543F1">
        <w:t xml:space="preserve"> of the top eight alternatives. </w:t>
      </w:r>
      <w:bookmarkEnd w:id="15"/>
    </w:p>
  </w:footnote>
  <w:footnote w:id="4">
    <w:p w14:paraId="75A5BA0A" w14:textId="3CE2FDE2" w:rsidR="003337A0" w:rsidRDefault="003337A0" w:rsidP="00335382">
      <w:pPr>
        <w:pStyle w:val="FootnoteText"/>
        <w:jc w:val="both"/>
      </w:pPr>
      <w:r>
        <w:rPr>
          <w:rStyle w:val="FootnoteReference"/>
        </w:rPr>
        <w:footnoteRef/>
      </w:r>
      <w:r>
        <w:t>For completeness</w:t>
      </w:r>
      <w:r w:rsidR="00974A44">
        <w:t xml:space="preserve"> and preciseness</w:t>
      </w:r>
      <w:r>
        <w:t xml:space="preserve">, we should note that the sample included 285 households owning only a BEV, </w:t>
      </w:r>
      <w:r w:rsidR="00EC71D4">
        <w:t>79 households owning only a PHEV, and 53 households owning both a BEV and PHEV</w:t>
      </w:r>
      <w:r w:rsidR="00974A44">
        <w:t xml:space="preserve"> (for the total of </w:t>
      </w:r>
      <w:r w:rsidR="00335382">
        <w:t>417 EV owners)</w:t>
      </w:r>
      <w:r w:rsidR="00EC71D4">
        <w:t xml:space="preserve">. Our PHEV indicator took the value of 1 for the total of 132 (79+53) households that owned a PHEV. Thus, </w:t>
      </w:r>
      <w:r w:rsidR="00974A44">
        <w:t>to be fastidious, the interaction effects represent the difference between households that own a PHEV relative to households that own only a BEV. But, given the small number of households that own both a BEV and PHEV, we will glaze over this nuance in our results discussion and interpret the interaction effects as the preference difference between BEV and PHEV ownership</w:t>
      </w:r>
      <w:r w:rsidR="007D67B0">
        <w:t>.</w:t>
      </w:r>
    </w:p>
  </w:footnote>
  <w:footnote w:id="5">
    <w:p w14:paraId="17C6EB58" w14:textId="0B70A85F" w:rsidR="00E72371" w:rsidRPr="007D2A43" w:rsidRDefault="00E72371" w:rsidP="002D066A">
      <w:pPr>
        <w:pStyle w:val="FootnoteText"/>
        <w:jc w:val="both"/>
      </w:pPr>
      <w:r w:rsidRPr="007D2A43">
        <w:rPr>
          <w:rStyle w:val="FootnoteReference"/>
        </w:rPr>
        <w:footnoteRef/>
      </w:r>
      <w:r w:rsidR="00DC085B" w:rsidRPr="007D2A43">
        <w:t>The dataset did include a larger set of indicators re</w:t>
      </w:r>
      <w:r w:rsidR="005A7409">
        <w:t xml:space="preserve">lated with </w:t>
      </w:r>
      <w:r w:rsidR="00DC085B" w:rsidRPr="007D2A43">
        <w:t xml:space="preserve">additional lifestyle preferences and perceptions of EVs. </w:t>
      </w:r>
      <w:r w:rsidR="00DC085B" w:rsidRPr="00AA6F2B">
        <w:t xml:space="preserve">Based on these indicators, </w:t>
      </w:r>
      <w:r w:rsidR="00DC085B" w:rsidRPr="00AA6F2B">
        <w:rPr>
          <w:color w:val="000000" w:themeColor="text1"/>
        </w:rPr>
        <w:t>o</w:t>
      </w:r>
      <w:r w:rsidR="00DC085B" w:rsidRPr="005D529A">
        <w:rPr>
          <w:color w:val="000000" w:themeColor="text1"/>
        </w:rPr>
        <w:t>th</w:t>
      </w:r>
      <w:r w:rsidR="00DC085B" w:rsidRPr="005D529A">
        <w:t xml:space="preserve">er latent constructs, including those associated with </w:t>
      </w:r>
      <w:r w:rsidR="002D066A">
        <w:t xml:space="preserve">symbolic values, moral norms, emotional factors, and additional perceived usefulness factors </w:t>
      </w:r>
      <w:r w:rsidR="00DC085B" w:rsidRPr="005A7409">
        <w:t xml:space="preserve">were also constructed and considered. But an analysis of “between construct” and “within construct” variances (based on the battery of indicators), along with </w:t>
      </w:r>
      <w:r w:rsidR="005A7409">
        <w:t xml:space="preserve">a </w:t>
      </w:r>
      <w:r w:rsidR="004E2828" w:rsidRPr="007D2A43">
        <w:t xml:space="preserve">comprehensive </w:t>
      </w:r>
      <w:r w:rsidR="00DC085B" w:rsidRPr="007D2A43">
        <w:t>testing of th</w:t>
      </w:r>
      <w:r w:rsidR="004E2828" w:rsidRPr="007D2A43">
        <w:t xml:space="preserve">is </w:t>
      </w:r>
      <w:r w:rsidR="00DC085B" w:rsidRPr="007D2A43">
        <w:t>larger set of developed constructs</w:t>
      </w:r>
      <w:r w:rsidR="004E2828" w:rsidRPr="007D2A43">
        <w:t xml:space="preserve"> using a combination of exploratory </w:t>
      </w:r>
      <w:r w:rsidR="005A7409">
        <w:t xml:space="preserve">and confirmatory </w:t>
      </w:r>
      <w:r w:rsidR="004E2828" w:rsidRPr="007D2A43">
        <w:t>factor analys</w:t>
      </w:r>
      <w:r w:rsidR="005A7409">
        <w:t>e</w:t>
      </w:r>
      <w:r w:rsidR="004E2828" w:rsidRPr="007D2A43">
        <w:t>s,</w:t>
      </w:r>
      <w:r w:rsidR="00DC085B" w:rsidRPr="007D2A43">
        <w:t xml:space="preserve"> </w:t>
      </w:r>
      <w:r w:rsidR="004E2828" w:rsidRPr="007D2A43">
        <w:t xml:space="preserve">resulted in only the four latent constructs used here </w:t>
      </w:r>
      <w:r w:rsidR="005A7409">
        <w:t xml:space="preserve">turning up </w:t>
      </w:r>
      <w:r w:rsidR="004E2828" w:rsidRPr="007D2A43">
        <w:t>being</w:t>
      </w:r>
      <w:r w:rsidR="005A7409">
        <w:t xml:space="preserve"> statistically relevant</w:t>
      </w:r>
      <w:r w:rsidR="004E2828" w:rsidRPr="007D2A43">
        <w:t>. This was because of overlapping sets of</w:t>
      </w:r>
      <w:r w:rsidR="00DC085B" w:rsidRPr="007D2A43">
        <w:t xml:space="preserve"> indicators </w:t>
      </w:r>
      <w:r w:rsidR="004E2828" w:rsidRPr="007D2A43">
        <w:t xml:space="preserve">across </w:t>
      </w:r>
      <w:r w:rsidR="00DC085B" w:rsidRPr="007D2A43">
        <w:t>the many theoretically-developed latent constructs.</w:t>
      </w:r>
    </w:p>
  </w:footnote>
  <w:footnote w:id="6">
    <w:p w14:paraId="5DF99203" w14:textId="23D275F6" w:rsidR="006C6A50" w:rsidRDefault="006C6A50" w:rsidP="00153258">
      <w:pPr>
        <w:pStyle w:val="FootnoteText"/>
        <w:jc w:val="both"/>
      </w:pPr>
      <w:r>
        <w:rPr>
          <w:rStyle w:val="FootnoteReference"/>
        </w:rPr>
        <w:footnoteRef/>
      </w:r>
      <w:r w:rsidRPr="006C6A50">
        <w:t xml:space="preserve">Several important considerations underlie our use of an 80% confidence level for variables impacting the ranked adoption motivation outcome. In empirical modeling situations, analysis must balance concerns regarding Type I errors (falsely attributing significance to irrelevant variables) and Type II errors (rejecting variables incorrectly and overlooking meaningful relationships). Selecting a confidence level inherently involves a tradeoff between these risks. As emphasized by the American Statistical Association (ASA) </w:t>
      </w:r>
      <w:r>
        <w:fldChar w:fldCharType="begin"/>
      </w:r>
      <w:r w:rsidR="005A775A">
        <w:instrText xml:space="preserve"> ADDIN ZOTERO_ITEM CSL_CITATION {"citationID":"5jbhHFcg","properties":{"unsorted":true,"formattedCitation":"(Wasserstein and Lazar, 2016; Wasserstein et al., 2019)","plainCitation":"(Wasserstein and Lazar, 2016; Wasserstein et al., 2019)","dontUpdate":true,"noteIndex":5},"citationItems":[{"id":4411,"uris":["http://zotero.org/users/12832277/items/L2MBY4UM"],"itemData":{"id":4411,"type":"article-journal","container-title":"The American Statistician","DOI":"10.1080/00031305.2016.1154108","ISSN":"0003-1305","issue":"2","note":"publisher: ASA Website\n_eprint: https://doi.org/10.1080/00031305.2016.1154108","page":"129-133","source":"Taylor and Francis+NEJM","title":"The ASA Statement on P-Values: Context, Process, and Purpose","volume":"70","author":[{"family":"Wasserstein","given":"Ronald L."},{"family":"Lazar","given":"Nicole A."}],"issued":{"date-parts":[["2016",4,2]]}}},{"id":4413,"uris":["http://zotero.org/users/12832277/items/LUYFYVPA"],"itemData":{"id":4413,"type":"article-journal","container-title":"The American Statistician","DOI":"10.1080/00031305.2019.1583913","ISSN":"0003-1305","issue":"sup1","note":"publisher: ASA Website\n_eprint: https://doi.org/10.1080/00031305.2019.1583913","page":"1-19","source":"Taylor and Francis+NEJM","title":"Moving to a World Beyond “p &lt; 0.05”","volume":"73","author":[{"family":"Wasserstein","given":"Ronald L."},{"family":"Schirm","given":"Allen L."},{"family":"Lazar","given":"Nicole A."}],"issued":{"date-parts":[["2019",3,29]]}}}],"schema":"https://github.com/citation-style-language/schema/raw/master/csl-citation.json"} </w:instrText>
      </w:r>
      <w:r>
        <w:fldChar w:fldCharType="separate"/>
      </w:r>
      <w:r w:rsidRPr="006C6A50">
        <w:rPr>
          <w:rFonts w:cs="Times New Roman"/>
        </w:rPr>
        <w:t>(</w:t>
      </w:r>
      <w:r>
        <w:rPr>
          <w:rFonts w:cs="Times New Roman"/>
        </w:rPr>
        <w:t xml:space="preserve">see </w:t>
      </w:r>
      <w:r w:rsidRPr="006C6A50">
        <w:rPr>
          <w:rFonts w:cs="Times New Roman"/>
        </w:rPr>
        <w:t>Wasserstein and Lazar, 2016; Wasserstein et al., 2019)</w:t>
      </w:r>
      <w:r>
        <w:fldChar w:fldCharType="end"/>
      </w:r>
      <w:r w:rsidRPr="006C6A50">
        <w:t>, researchers must exercise context-specific judgements about the appropriate thresholds to use in any empirical application rather than adhering rigidly to the typically used 95% level of confidence (or 0.05 level of significance). In our current application, with a relatively modest sample size and particularly limited number of respondents with a full set of ranked outcomes for the motivating reasons for EV adoption, we prioritized reducing the probability of Type II errors compared with a standard 0.05 level of significance. This allows us to identify variables that still seem to be relatively significant in our current dataset and help inform future specifications using larger samples, and particularly larger samples of actual EV owners, even if this allows for a slightly higher probability of a Type I error.</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E610B"/>
    <w:multiLevelType w:val="hybridMultilevel"/>
    <w:tmpl w:val="F85EB4B4"/>
    <w:lvl w:ilvl="0" w:tplc="46EAFBBC">
      <w:start w:val="5"/>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79717C"/>
    <w:multiLevelType w:val="hybridMultilevel"/>
    <w:tmpl w:val="6D0E3D78"/>
    <w:lvl w:ilvl="0" w:tplc="F1B44DBA">
      <w:start w:val="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8B6334"/>
    <w:multiLevelType w:val="hybridMultilevel"/>
    <w:tmpl w:val="0B5AE4D0"/>
    <w:lvl w:ilvl="0" w:tplc="AB7EB0AE">
      <w:start w:val="1"/>
      <w:numFmt w:val="bullet"/>
      <w:lvlText w:val="•"/>
      <w:lvlJc w:val="left"/>
      <w:pPr>
        <w:tabs>
          <w:tab w:val="num" w:pos="720"/>
        </w:tabs>
        <w:ind w:left="720" w:hanging="360"/>
      </w:pPr>
      <w:rPr>
        <w:rFonts w:ascii="Arial" w:hAnsi="Arial" w:hint="default"/>
      </w:rPr>
    </w:lvl>
    <w:lvl w:ilvl="1" w:tplc="7F4040A4" w:tentative="1">
      <w:start w:val="1"/>
      <w:numFmt w:val="bullet"/>
      <w:lvlText w:val="•"/>
      <w:lvlJc w:val="left"/>
      <w:pPr>
        <w:tabs>
          <w:tab w:val="num" w:pos="1440"/>
        </w:tabs>
        <w:ind w:left="1440" w:hanging="360"/>
      </w:pPr>
      <w:rPr>
        <w:rFonts w:ascii="Arial" w:hAnsi="Arial" w:hint="default"/>
      </w:rPr>
    </w:lvl>
    <w:lvl w:ilvl="2" w:tplc="225A46A2" w:tentative="1">
      <w:start w:val="1"/>
      <w:numFmt w:val="bullet"/>
      <w:lvlText w:val="•"/>
      <w:lvlJc w:val="left"/>
      <w:pPr>
        <w:tabs>
          <w:tab w:val="num" w:pos="2160"/>
        </w:tabs>
        <w:ind w:left="2160" w:hanging="360"/>
      </w:pPr>
      <w:rPr>
        <w:rFonts w:ascii="Arial" w:hAnsi="Arial" w:hint="default"/>
      </w:rPr>
    </w:lvl>
    <w:lvl w:ilvl="3" w:tplc="372C0AAC" w:tentative="1">
      <w:start w:val="1"/>
      <w:numFmt w:val="bullet"/>
      <w:lvlText w:val="•"/>
      <w:lvlJc w:val="left"/>
      <w:pPr>
        <w:tabs>
          <w:tab w:val="num" w:pos="2880"/>
        </w:tabs>
        <w:ind w:left="2880" w:hanging="360"/>
      </w:pPr>
      <w:rPr>
        <w:rFonts w:ascii="Arial" w:hAnsi="Arial" w:hint="default"/>
      </w:rPr>
    </w:lvl>
    <w:lvl w:ilvl="4" w:tplc="C144EB84" w:tentative="1">
      <w:start w:val="1"/>
      <w:numFmt w:val="bullet"/>
      <w:lvlText w:val="•"/>
      <w:lvlJc w:val="left"/>
      <w:pPr>
        <w:tabs>
          <w:tab w:val="num" w:pos="3600"/>
        </w:tabs>
        <w:ind w:left="3600" w:hanging="360"/>
      </w:pPr>
      <w:rPr>
        <w:rFonts w:ascii="Arial" w:hAnsi="Arial" w:hint="default"/>
      </w:rPr>
    </w:lvl>
    <w:lvl w:ilvl="5" w:tplc="CD2CBA60" w:tentative="1">
      <w:start w:val="1"/>
      <w:numFmt w:val="bullet"/>
      <w:lvlText w:val="•"/>
      <w:lvlJc w:val="left"/>
      <w:pPr>
        <w:tabs>
          <w:tab w:val="num" w:pos="4320"/>
        </w:tabs>
        <w:ind w:left="4320" w:hanging="360"/>
      </w:pPr>
      <w:rPr>
        <w:rFonts w:ascii="Arial" w:hAnsi="Arial" w:hint="default"/>
      </w:rPr>
    </w:lvl>
    <w:lvl w:ilvl="6" w:tplc="6EF40EE2" w:tentative="1">
      <w:start w:val="1"/>
      <w:numFmt w:val="bullet"/>
      <w:lvlText w:val="•"/>
      <w:lvlJc w:val="left"/>
      <w:pPr>
        <w:tabs>
          <w:tab w:val="num" w:pos="5040"/>
        </w:tabs>
        <w:ind w:left="5040" w:hanging="360"/>
      </w:pPr>
      <w:rPr>
        <w:rFonts w:ascii="Arial" w:hAnsi="Arial" w:hint="default"/>
      </w:rPr>
    </w:lvl>
    <w:lvl w:ilvl="7" w:tplc="7748890E" w:tentative="1">
      <w:start w:val="1"/>
      <w:numFmt w:val="bullet"/>
      <w:lvlText w:val="•"/>
      <w:lvlJc w:val="left"/>
      <w:pPr>
        <w:tabs>
          <w:tab w:val="num" w:pos="5760"/>
        </w:tabs>
        <w:ind w:left="5760" w:hanging="360"/>
      </w:pPr>
      <w:rPr>
        <w:rFonts w:ascii="Arial" w:hAnsi="Arial" w:hint="default"/>
      </w:rPr>
    </w:lvl>
    <w:lvl w:ilvl="8" w:tplc="661CDAA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DDD5149"/>
    <w:multiLevelType w:val="hybridMultilevel"/>
    <w:tmpl w:val="58BC7B6E"/>
    <w:lvl w:ilvl="0" w:tplc="01765988">
      <w:start w:val="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0F5945"/>
    <w:multiLevelType w:val="hybridMultilevel"/>
    <w:tmpl w:val="4C92E7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06D0472"/>
    <w:multiLevelType w:val="hybridMultilevel"/>
    <w:tmpl w:val="827E7B30"/>
    <w:lvl w:ilvl="0" w:tplc="D2A0FA80">
      <w:start w:val="2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774E0D"/>
    <w:multiLevelType w:val="hybridMultilevel"/>
    <w:tmpl w:val="F6F843AA"/>
    <w:lvl w:ilvl="0" w:tplc="4C84ED3E">
      <w:start w:val="5"/>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6A117A"/>
    <w:multiLevelType w:val="hybridMultilevel"/>
    <w:tmpl w:val="2766C340"/>
    <w:lvl w:ilvl="0" w:tplc="3508BB90">
      <w:start w:val="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85A677B"/>
    <w:multiLevelType w:val="hybridMultilevel"/>
    <w:tmpl w:val="3C26E7F4"/>
    <w:lvl w:ilvl="0" w:tplc="2D242E30">
      <w:start w:val="1"/>
      <w:numFmt w:val="bullet"/>
      <w:lvlText w:val="•"/>
      <w:lvlJc w:val="left"/>
      <w:pPr>
        <w:tabs>
          <w:tab w:val="num" w:pos="720"/>
        </w:tabs>
        <w:ind w:left="720" w:hanging="360"/>
      </w:pPr>
      <w:rPr>
        <w:rFonts w:ascii="Arial" w:hAnsi="Arial" w:hint="default"/>
      </w:rPr>
    </w:lvl>
    <w:lvl w:ilvl="1" w:tplc="376ED494" w:tentative="1">
      <w:start w:val="1"/>
      <w:numFmt w:val="bullet"/>
      <w:lvlText w:val="•"/>
      <w:lvlJc w:val="left"/>
      <w:pPr>
        <w:tabs>
          <w:tab w:val="num" w:pos="1440"/>
        </w:tabs>
        <w:ind w:left="1440" w:hanging="360"/>
      </w:pPr>
      <w:rPr>
        <w:rFonts w:ascii="Arial" w:hAnsi="Arial" w:hint="default"/>
      </w:rPr>
    </w:lvl>
    <w:lvl w:ilvl="2" w:tplc="D34C82D2" w:tentative="1">
      <w:start w:val="1"/>
      <w:numFmt w:val="bullet"/>
      <w:lvlText w:val="•"/>
      <w:lvlJc w:val="left"/>
      <w:pPr>
        <w:tabs>
          <w:tab w:val="num" w:pos="2160"/>
        </w:tabs>
        <w:ind w:left="2160" w:hanging="360"/>
      </w:pPr>
      <w:rPr>
        <w:rFonts w:ascii="Arial" w:hAnsi="Arial" w:hint="default"/>
      </w:rPr>
    </w:lvl>
    <w:lvl w:ilvl="3" w:tplc="4F1E88F4" w:tentative="1">
      <w:start w:val="1"/>
      <w:numFmt w:val="bullet"/>
      <w:lvlText w:val="•"/>
      <w:lvlJc w:val="left"/>
      <w:pPr>
        <w:tabs>
          <w:tab w:val="num" w:pos="2880"/>
        </w:tabs>
        <w:ind w:left="2880" w:hanging="360"/>
      </w:pPr>
      <w:rPr>
        <w:rFonts w:ascii="Arial" w:hAnsi="Arial" w:hint="default"/>
      </w:rPr>
    </w:lvl>
    <w:lvl w:ilvl="4" w:tplc="729087F2" w:tentative="1">
      <w:start w:val="1"/>
      <w:numFmt w:val="bullet"/>
      <w:lvlText w:val="•"/>
      <w:lvlJc w:val="left"/>
      <w:pPr>
        <w:tabs>
          <w:tab w:val="num" w:pos="3600"/>
        </w:tabs>
        <w:ind w:left="3600" w:hanging="360"/>
      </w:pPr>
      <w:rPr>
        <w:rFonts w:ascii="Arial" w:hAnsi="Arial" w:hint="default"/>
      </w:rPr>
    </w:lvl>
    <w:lvl w:ilvl="5" w:tplc="E466A978" w:tentative="1">
      <w:start w:val="1"/>
      <w:numFmt w:val="bullet"/>
      <w:lvlText w:val="•"/>
      <w:lvlJc w:val="left"/>
      <w:pPr>
        <w:tabs>
          <w:tab w:val="num" w:pos="4320"/>
        </w:tabs>
        <w:ind w:left="4320" w:hanging="360"/>
      </w:pPr>
      <w:rPr>
        <w:rFonts w:ascii="Arial" w:hAnsi="Arial" w:hint="default"/>
      </w:rPr>
    </w:lvl>
    <w:lvl w:ilvl="6" w:tplc="12EC5916" w:tentative="1">
      <w:start w:val="1"/>
      <w:numFmt w:val="bullet"/>
      <w:lvlText w:val="•"/>
      <w:lvlJc w:val="left"/>
      <w:pPr>
        <w:tabs>
          <w:tab w:val="num" w:pos="5040"/>
        </w:tabs>
        <w:ind w:left="5040" w:hanging="360"/>
      </w:pPr>
      <w:rPr>
        <w:rFonts w:ascii="Arial" w:hAnsi="Arial" w:hint="default"/>
      </w:rPr>
    </w:lvl>
    <w:lvl w:ilvl="7" w:tplc="FBCA2DF6" w:tentative="1">
      <w:start w:val="1"/>
      <w:numFmt w:val="bullet"/>
      <w:lvlText w:val="•"/>
      <w:lvlJc w:val="left"/>
      <w:pPr>
        <w:tabs>
          <w:tab w:val="num" w:pos="5760"/>
        </w:tabs>
        <w:ind w:left="5760" w:hanging="360"/>
      </w:pPr>
      <w:rPr>
        <w:rFonts w:ascii="Arial" w:hAnsi="Arial" w:hint="default"/>
      </w:rPr>
    </w:lvl>
    <w:lvl w:ilvl="8" w:tplc="9EBAE1E6"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98D649A"/>
    <w:multiLevelType w:val="hybridMultilevel"/>
    <w:tmpl w:val="2BF81926"/>
    <w:lvl w:ilvl="0" w:tplc="01765988">
      <w:start w:val="1"/>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D92EC3"/>
    <w:multiLevelType w:val="hybridMultilevel"/>
    <w:tmpl w:val="095ED2D4"/>
    <w:lvl w:ilvl="0" w:tplc="01765988">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42B0A1D"/>
    <w:multiLevelType w:val="hybridMultilevel"/>
    <w:tmpl w:val="8780C39E"/>
    <w:lvl w:ilvl="0" w:tplc="EF703CA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1"/>
  </w:num>
  <w:num w:numId="3">
    <w:abstractNumId w:val="9"/>
  </w:num>
  <w:num w:numId="4">
    <w:abstractNumId w:val="10"/>
  </w:num>
  <w:num w:numId="5">
    <w:abstractNumId w:val="3"/>
  </w:num>
  <w:num w:numId="6">
    <w:abstractNumId w:val="1"/>
  </w:num>
  <w:num w:numId="7">
    <w:abstractNumId w:val="8"/>
  </w:num>
  <w:num w:numId="8">
    <w:abstractNumId w:val="2"/>
  </w:num>
  <w:num w:numId="9">
    <w:abstractNumId w:val="4"/>
  </w:num>
  <w:num w:numId="10">
    <w:abstractNumId w:val="0"/>
  </w:num>
  <w:num w:numId="11">
    <w:abstractNumId w:val="6"/>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6074C"/>
    <w:rsid w:val="0000055C"/>
    <w:rsid w:val="0000092B"/>
    <w:rsid w:val="00000C11"/>
    <w:rsid w:val="00001763"/>
    <w:rsid w:val="000018DC"/>
    <w:rsid w:val="00002E8C"/>
    <w:rsid w:val="0000329F"/>
    <w:rsid w:val="00003FED"/>
    <w:rsid w:val="000047D5"/>
    <w:rsid w:val="000052CD"/>
    <w:rsid w:val="0000554D"/>
    <w:rsid w:val="00005EA3"/>
    <w:rsid w:val="00006B14"/>
    <w:rsid w:val="00006B89"/>
    <w:rsid w:val="00006BC3"/>
    <w:rsid w:val="00007667"/>
    <w:rsid w:val="00007A6E"/>
    <w:rsid w:val="00007AAD"/>
    <w:rsid w:val="00010EC5"/>
    <w:rsid w:val="00011140"/>
    <w:rsid w:val="0001150C"/>
    <w:rsid w:val="00011786"/>
    <w:rsid w:val="000140A2"/>
    <w:rsid w:val="00014461"/>
    <w:rsid w:val="000144BC"/>
    <w:rsid w:val="00014E32"/>
    <w:rsid w:val="00014FD9"/>
    <w:rsid w:val="00014FE4"/>
    <w:rsid w:val="00015414"/>
    <w:rsid w:val="00015A90"/>
    <w:rsid w:val="0001614E"/>
    <w:rsid w:val="00017560"/>
    <w:rsid w:val="000176C4"/>
    <w:rsid w:val="00017A65"/>
    <w:rsid w:val="000200A8"/>
    <w:rsid w:val="00020334"/>
    <w:rsid w:val="000206CB"/>
    <w:rsid w:val="00020971"/>
    <w:rsid w:val="00020AAA"/>
    <w:rsid w:val="0002107A"/>
    <w:rsid w:val="00021AF4"/>
    <w:rsid w:val="000221ED"/>
    <w:rsid w:val="00022468"/>
    <w:rsid w:val="00022828"/>
    <w:rsid w:val="00022961"/>
    <w:rsid w:val="000236A5"/>
    <w:rsid w:val="000236F5"/>
    <w:rsid w:val="00023A48"/>
    <w:rsid w:val="00023C79"/>
    <w:rsid w:val="00023C87"/>
    <w:rsid w:val="0002479C"/>
    <w:rsid w:val="00026688"/>
    <w:rsid w:val="00026A47"/>
    <w:rsid w:val="000276F8"/>
    <w:rsid w:val="00027813"/>
    <w:rsid w:val="00030546"/>
    <w:rsid w:val="000309CC"/>
    <w:rsid w:val="00030D93"/>
    <w:rsid w:val="00030EF0"/>
    <w:rsid w:val="000311CD"/>
    <w:rsid w:val="00032548"/>
    <w:rsid w:val="00032FEA"/>
    <w:rsid w:val="000336C0"/>
    <w:rsid w:val="000336CD"/>
    <w:rsid w:val="00033919"/>
    <w:rsid w:val="00034073"/>
    <w:rsid w:val="00034676"/>
    <w:rsid w:val="00034754"/>
    <w:rsid w:val="00034DF9"/>
    <w:rsid w:val="00034E93"/>
    <w:rsid w:val="000350A1"/>
    <w:rsid w:val="000354D1"/>
    <w:rsid w:val="00035D22"/>
    <w:rsid w:val="000361BB"/>
    <w:rsid w:val="00036A73"/>
    <w:rsid w:val="00036CB1"/>
    <w:rsid w:val="000375ED"/>
    <w:rsid w:val="0004020E"/>
    <w:rsid w:val="00040ACB"/>
    <w:rsid w:val="00041FC1"/>
    <w:rsid w:val="00042CCC"/>
    <w:rsid w:val="00043119"/>
    <w:rsid w:val="000434B6"/>
    <w:rsid w:val="000443EA"/>
    <w:rsid w:val="000446B9"/>
    <w:rsid w:val="00044E04"/>
    <w:rsid w:val="00044E98"/>
    <w:rsid w:val="00045C82"/>
    <w:rsid w:val="0004639A"/>
    <w:rsid w:val="000477FC"/>
    <w:rsid w:val="00047910"/>
    <w:rsid w:val="00047C21"/>
    <w:rsid w:val="00047E39"/>
    <w:rsid w:val="00047FB7"/>
    <w:rsid w:val="0005076F"/>
    <w:rsid w:val="00050BC9"/>
    <w:rsid w:val="00050D9C"/>
    <w:rsid w:val="00051E1E"/>
    <w:rsid w:val="00051FD2"/>
    <w:rsid w:val="0005298B"/>
    <w:rsid w:val="00052DDE"/>
    <w:rsid w:val="00052E82"/>
    <w:rsid w:val="00053645"/>
    <w:rsid w:val="00054845"/>
    <w:rsid w:val="00054BDA"/>
    <w:rsid w:val="000557F3"/>
    <w:rsid w:val="0005584C"/>
    <w:rsid w:val="00055B48"/>
    <w:rsid w:val="00055B5C"/>
    <w:rsid w:val="00055BDD"/>
    <w:rsid w:val="00056738"/>
    <w:rsid w:val="0005759B"/>
    <w:rsid w:val="00057F80"/>
    <w:rsid w:val="0006040A"/>
    <w:rsid w:val="000606D9"/>
    <w:rsid w:val="00060D18"/>
    <w:rsid w:val="00061587"/>
    <w:rsid w:val="00062D48"/>
    <w:rsid w:val="00062FC5"/>
    <w:rsid w:val="00063E8F"/>
    <w:rsid w:val="00064B15"/>
    <w:rsid w:val="00065C8F"/>
    <w:rsid w:val="00065F02"/>
    <w:rsid w:val="00065FE8"/>
    <w:rsid w:val="000666CF"/>
    <w:rsid w:val="00066726"/>
    <w:rsid w:val="00067032"/>
    <w:rsid w:val="00067329"/>
    <w:rsid w:val="0006784A"/>
    <w:rsid w:val="00067ABE"/>
    <w:rsid w:val="00070362"/>
    <w:rsid w:val="0007045F"/>
    <w:rsid w:val="00070BF0"/>
    <w:rsid w:val="00071241"/>
    <w:rsid w:val="000715DA"/>
    <w:rsid w:val="000717E8"/>
    <w:rsid w:val="00071F96"/>
    <w:rsid w:val="000720C8"/>
    <w:rsid w:val="00072BE4"/>
    <w:rsid w:val="000734C9"/>
    <w:rsid w:val="00074527"/>
    <w:rsid w:val="00074CB3"/>
    <w:rsid w:val="0007501B"/>
    <w:rsid w:val="0007507C"/>
    <w:rsid w:val="0007584A"/>
    <w:rsid w:val="00076020"/>
    <w:rsid w:val="0007615E"/>
    <w:rsid w:val="000761D0"/>
    <w:rsid w:val="000763B1"/>
    <w:rsid w:val="00076577"/>
    <w:rsid w:val="00076A0D"/>
    <w:rsid w:val="00076A2F"/>
    <w:rsid w:val="00076C95"/>
    <w:rsid w:val="0008012E"/>
    <w:rsid w:val="000805E6"/>
    <w:rsid w:val="000811B7"/>
    <w:rsid w:val="00081EA6"/>
    <w:rsid w:val="00082482"/>
    <w:rsid w:val="000827A7"/>
    <w:rsid w:val="00082B85"/>
    <w:rsid w:val="00082FF4"/>
    <w:rsid w:val="00084390"/>
    <w:rsid w:val="000843D9"/>
    <w:rsid w:val="00084598"/>
    <w:rsid w:val="000845E9"/>
    <w:rsid w:val="00085FD6"/>
    <w:rsid w:val="00086B1C"/>
    <w:rsid w:val="00086E1B"/>
    <w:rsid w:val="000876A0"/>
    <w:rsid w:val="0008781F"/>
    <w:rsid w:val="00090056"/>
    <w:rsid w:val="00090BDF"/>
    <w:rsid w:val="00091276"/>
    <w:rsid w:val="00091749"/>
    <w:rsid w:val="00091A5D"/>
    <w:rsid w:val="00091B8C"/>
    <w:rsid w:val="00091EAF"/>
    <w:rsid w:val="00092122"/>
    <w:rsid w:val="000935BF"/>
    <w:rsid w:val="00093B0E"/>
    <w:rsid w:val="000940C5"/>
    <w:rsid w:val="0009442E"/>
    <w:rsid w:val="00094A1D"/>
    <w:rsid w:val="00094AB8"/>
    <w:rsid w:val="00094EC7"/>
    <w:rsid w:val="00094F49"/>
    <w:rsid w:val="00096936"/>
    <w:rsid w:val="00096F37"/>
    <w:rsid w:val="000970BA"/>
    <w:rsid w:val="00097547"/>
    <w:rsid w:val="000977E7"/>
    <w:rsid w:val="0009785E"/>
    <w:rsid w:val="00097A5D"/>
    <w:rsid w:val="000A0D4A"/>
    <w:rsid w:val="000A1345"/>
    <w:rsid w:val="000A1499"/>
    <w:rsid w:val="000A1793"/>
    <w:rsid w:val="000A1842"/>
    <w:rsid w:val="000A2769"/>
    <w:rsid w:val="000A2B19"/>
    <w:rsid w:val="000A4684"/>
    <w:rsid w:val="000A49F0"/>
    <w:rsid w:val="000A4C4B"/>
    <w:rsid w:val="000A543B"/>
    <w:rsid w:val="000A56A6"/>
    <w:rsid w:val="000A5A1F"/>
    <w:rsid w:val="000A5E79"/>
    <w:rsid w:val="000A6189"/>
    <w:rsid w:val="000A7A92"/>
    <w:rsid w:val="000A7D57"/>
    <w:rsid w:val="000A7E8C"/>
    <w:rsid w:val="000B0785"/>
    <w:rsid w:val="000B08AD"/>
    <w:rsid w:val="000B0A72"/>
    <w:rsid w:val="000B11D0"/>
    <w:rsid w:val="000B1666"/>
    <w:rsid w:val="000B1F4E"/>
    <w:rsid w:val="000B21F8"/>
    <w:rsid w:val="000B2665"/>
    <w:rsid w:val="000B2881"/>
    <w:rsid w:val="000B37DC"/>
    <w:rsid w:val="000B3875"/>
    <w:rsid w:val="000B3904"/>
    <w:rsid w:val="000B45DB"/>
    <w:rsid w:val="000B49EE"/>
    <w:rsid w:val="000B4C87"/>
    <w:rsid w:val="000B4E18"/>
    <w:rsid w:val="000B53C6"/>
    <w:rsid w:val="000B5B86"/>
    <w:rsid w:val="000B6251"/>
    <w:rsid w:val="000B65CC"/>
    <w:rsid w:val="000B6C4E"/>
    <w:rsid w:val="000B7686"/>
    <w:rsid w:val="000B76E3"/>
    <w:rsid w:val="000C0668"/>
    <w:rsid w:val="000C0796"/>
    <w:rsid w:val="000C0DC3"/>
    <w:rsid w:val="000C12F1"/>
    <w:rsid w:val="000C1BE4"/>
    <w:rsid w:val="000C2028"/>
    <w:rsid w:val="000C23F6"/>
    <w:rsid w:val="000C3168"/>
    <w:rsid w:val="000C3933"/>
    <w:rsid w:val="000C40B5"/>
    <w:rsid w:val="000C491F"/>
    <w:rsid w:val="000C52F5"/>
    <w:rsid w:val="000C5A9F"/>
    <w:rsid w:val="000C5CF3"/>
    <w:rsid w:val="000C5F39"/>
    <w:rsid w:val="000C6038"/>
    <w:rsid w:val="000C6881"/>
    <w:rsid w:val="000C6F99"/>
    <w:rsid w:val="000C71FC"/>
    <w:rsid w:val="000C7D9E"/>
    <w:rsid w:val="000D0274"/>
    <w:rsid w:val="000D0690"/>
    <w:rsid w:val="000D16DC"/>
    <w:rsid w:val="000D1779"/>
    <w:rsid w:val="000D19A3"/>
    <w:rsid w:val="000D1A4D"/>
    <w:rsid w:val="000D25C4"/>
    <w:rsid w:val="000D2C6D"/>
    <w:rsid w:val="000D3189"/>
    <w:rsid w:val="000D3653"/>
    <w:rsid w:val="000D38D0"/>
    <w:rsid w:val="000D3AC1"/>
    <w:rsid w:val="000D3AC2"/>
    <w:rsid w:val="000D3C4E"/>
    <w:rsid w:val="000D41DC"/>
    <w:rsid w:val="000D45C9"/>
    <w:rsid w:val="000D5AA6"/>
    <w:rsid w:val="000D6433"/>
    <w:rsid w:val="000D70CA"/>
    <w:rsid w:val="000D719E"/>
    <w:rsid w:val="000D73A2"/>
    <w:rsid w:val="000D7A34"/>
    <w:rsid w:val="000E00DE"/>
    <w:rsid w:val="000E010E"/>
    <w:rsid w:val="000E03F0"/>
    <w:rsid w:val="000E0659"/>
    <w:rsid w:val="000E0852"/>
    <w:rsid w:val="000E09D3"/>
    <w:rsid w:val="000E0A0F"/>
    <w:rsid w:val="000E176A"/>
    <w:rsid w:val="000E1777"/>
    <w:rsid w:val="000E1B9D"/>
    <w:rsid w:val="000E20F7"/>
    <w:rsid w:val="000E27DA"/>
    <w:rsid w:val="000E27EA"/>
    <w:rsid w:val="000E2C5D"/>
    <w:rsid w:val="000E2EA9"/>
    <w:rsid w:val="000E324B"/>
    <w:rsid w:val="000E352C"/>
    <w:rsid w:val="000E4496"/>
    <w:rsid w:val="000E4B80"/>
    <w:rsid w:val="000E4C77"/>
    <w:rsid w:val="000E4F96"/>
    <w:rsid w:val="000E55C3"/>
    <w:rsid w:val="000E57D8"/>
    <w:rsid w:val="000E62C4"/>
    <w:rsid w:val="000E765B"/>
    <w:rsid w:val="000E7BA9"/>
    <w:rsid w:val="000F02B5"/>
    <w:rsid w:val="000F0C56"/>
    <w:rsid w:val="000F0E28"/>
    <w:rsid w:val="000F11E2"/>
    <w:rsid w:val="000F22E4"/>
    <w:rsid w:val="000F295F"/>
    <w:rsid w:val="000F2DD5"/>
    <w:rsid w:val="000F3134"/>
    <w:rsid w:val="000F4C7A"/>
    <w:rsid w:val="000F4F43"/>
    <w:rsid w:val="000F6A8A"/>
    <w:rsid w:val="000F6C1F"/>
    <w:rsid w:val="000F6C67"/>
    <w:rsid w:val="000F6DB1"/>
    <w:rsid w:val="000F6FE7"/>
    <w:rsid w:val="000F701C"/>
    <w:rsid w:val="001009BE"/>
    <w:rsid w:val="00100DB3"/>
    <w:rsid w:val="00100F24"/>
    <w:rsid w:val="001011E7"/>
    <w:rsid w:val="001015F4"/>
    <w:rsid w:val="001033E5"/>
    <w:rsid w:val="00103653"/>
    <w:rsid w:val="00103F0D"/>
    <w:rsid w:val="00104CCE"/>
    <w:rsid w:val="00105151"/>
    <w:rsid w:val="0010518D"/>
    <w:rsid w:val="0010546F"/>
    <w:rsid w:val="00105B23"/>
    <w:rsid w:val="0010683B"/>
    <w:rsid w:val="001076C3"/>
    <w:rsid w:val="00107843"/>
    <w:rsid w:val="00107978"/>
    <w:rsid w:val="00110328"/>
    <w:rsid w:val="001106E6"/>
    <w:rsid w:val="00110784"/>
    <w:rsid w:val="00110FAB"/>
    <w:rsid w:val="00111833"/>
    <w:rsid w:val="00111CEA"/>
    <w:rsid w:val="00112AE9"/>
    <w:rsid w:val="001133D2"/>
    <w:rsid w:val="001141A6"/>
    <w:rsid w:val="0011490C"/>
    <w:rsid w:val="0011513A"/>
    <w:rsid w:val="0011538A"/>
    <w:rsid w:val="00115CC8"/>
    <w:rsid w:val="00116194"/>
    <w:rsid w:val="001162B1"/>
    <w:rsid w:val="0011666D"/>
    <w:rsid w:val="00116677"/>
    <w:rsid w:val="001168C3"/>
    <w:rsid w:val="00116901"/>
    <w:rsid w:val="00116905"/>
    <w:rsid w:val="00117F42"/>
    <w:rsid w:val="001200B4"/>
    <w:rsid w:val="001204FC"/>
    <w:rsid w:val="00121E73"/>
    <w:rsid w:val="00122F15"/>
    <w:rsid w:val="00122F9C"/>
    <w:rsid w:val="001233A3"/>
    <w:rsid w:val="0012386E"/>
    <w:rsid w:val="001238D7"/>
    <w:rsid w:val="001241A7"/>
    <w:rsid w:val="00124541"/>
    <w:rsid w:val="0012462F"/>
    <w:rsid w:val="00124B45"/>
    <w:rsid w:val="0012507D"/>
    <w:rsid w:val="00125232"/>
    <w:rsid w:val="00125329"/>
    <w:rsid w:val="0012562A"/>
    <w:rsid w:val="0012620C"/>
    <w:rsid w:val="00126766"/>
    <w:rsid w:val="00126F60"/>
    <w:rsid w:val="00127132"/>
    <w:rsid w:val="00127339"/>
    <w:rsid w:val="00130873"/>
    <w:rsid w:val="001314A0"/>
    <w:rsid w:val="001317A3"/>
    <w:rsid w:val="00131EF1"/>
    <w:rsid w:val="00132A2E"/>
    <w:rsid w:val="00133072"/>
    <w:rsid w:val="001330A3"/>
    <w:rsid w:val="001330AE"/>
    <w:rsid w:val="00133B6D"/>
    <w:rsid w:val="00133F0A"/>
    <w:rsid w:val="00133F8D"/>
    <w:rsid w:val="00134756"/>
    <w:rsid w:val="001347AD"/>
    <w:rsid w:val="001347CA"/>
    <w:rsid w:val="00135033"/>
    <w:rsid w:val="00135913"/>
    <w:rsid w:val="00135DCC"/>
    <w:rsid w:val="0013611E"/>
    <w:rsid w:val="00136AD8"/>
    <w:rsid w:val="0013704F"/>
    <w:rsid w:val="0013747E"/>
    <w:rsid w:val="00137C13"/>
    <w:rsid w:val="00137DFC"/>
    <w:rsid w:val="0014019A"/>
    <w:rsid w:val="001405F0"/>
    <w:rsid w:val="00140F8D"/>
    <w:rsid w:val="00140FE4"/>
    <w:rsid w:val="00141E91"/>
    <w:rsid w:val="00141F35"/>
    <w:rsid w:val="001422BB"/>
    <w:rsid w:val="00142944"/>
    <w:rsid w:val="00142A99"/>
    <w:rsid w:val="00142C87"/>
    <w:rsid w:val="00142C99"/>
    <w:rsid w:val="00142E5F"/>
    <w:rsid w:val="00142E8B"/>
    <w:rsid w:val="001433F3"/>
    <w:rsid w:val="001434DE"/>
    <w:rsid w:val="00143940"/>
    <w:rsid w:val="00143E4F"/>
    <w:rsid w:val="00144107"/>
    <w:rsid w:val="00144544"/>
    <w:rsid w:val="001446AA"/>
    <w:rsid w:val="00144741"/>
    <w:rsid w:val="00144E44"/>
    <w:rsid w:val="001450FB"/>
    <w:rsid w:val="00145AA0"/>
    <w:rsid w:val="001463A7"/>
    <w:rsid w:val="001463CB"/>
    <w:rsid w:val="0014681F"/>
    <w:rsid w:val="0014683B"/>
    <w:rsid w:val="00146940"/>
    <w:rsid w:val="0014787A"/>
    <w:rsid w:val="00150253"/>
    <w:rsid w:val="0015040D"/>
    <w:rsid w:val="001514FB"/>
    <w:rsid w:val="0015166E"/>
    <w:rsid w:val="00151744"/>
    <w:rsid w:val="00151854"/>
    <w:rsid w:val="00151C13"/>
    <w:rsid w:val="00152FFD"/>
    <w:rsid w:val="00153258"/>
    <w:rsid w:val="001533C9"/>
    <w:rsid w:val="001541BD"/>
    <w:rsid w:val="0015458D"/>
    <w:rsid w:val="00154919"/>
    <w:rsid w:val="001551CA"/>
    <w:rsid w:val="0015588F"/>
    <w:rsid w:val="00155E88"/>
    <w:rsid w:val="00155EBD"/>
    <w:rsid w:val="00155F3D"/>
    <w:rsid w:val="00156A15"/>
    <w:rsid w:val="00156AE8"/>
    <w:rsid w:val="00156FA4"/>
    <w:rsid w:val="001571BE"/>
    <w:rsid w:val="0015774B"/>
    <w:rsid w:val="001602B3"/>
    <w:rsid w:val="00161337"/>
    <w:rsid w:val="001616E8"/>
    <w:rsid w:val="00161945"/>
    <w:rsid w:val="001625A0"/>
    <w:rsid w:val="0016276D"/>
    <w:rsid w:val="001629D2"/>
    <w:rsid w:val="00163CB0"/>
    <w:rsid w:val="00163EC0"/>
    <w:rsid w:val="00164002"/>
    <w:rsid w:val="001641EC"/>
    <w:rsid w:val="00164936"/>
    <w:rsid w:val="00164CF2"/>
    <w:rsid w:val="0016547C"/>
    <w:rsid w:val="001656BB"/>
    <w:rsid w:val="00166BE8"/>
    <w:rsid w:val="001676D7"/>
    <w:rsid w:val="00167A81"/>
    <w:rsid w:val="00167A8D"/>
    <w:rsid w:val="0017047D"/>
    <w:rsid w:val="00170B5A"/>
    <w:rsid w:val="0017129B"/>
    <w:rsid w:val="00171CDA"/>
    <w:rsid w:val="00171EB1"/>
    <w:rsid w:val="0017250C"/>
    <w:rsid w:val="0017281E"/>
    <w:rsid w:val="0017296D"/>
    <w:rsid w:val="00172AD7"/>
    <w:rsid w:val="00173D9A"/>
    <w:rsid w:val="00174202"/>
    <w:rsid w:val="00174283"/>
    <w:rsid w:val="00174399"/>
    <w:rsid w:val="0017463E"/>
    <w:rsid w:val="001748B3"/>
    <w:rsid w:val="00174AAC"/>
    <w:rsid w:val="00174B88"/>
    <w:rsid w:val="00175F6C"/>
    <w:rsid w:val="00176AB6"/>
    <w:rsid w:val="00176EB3"/>
    <w:rsid w:val="001771ED"/>
    <w:rsid w:val="001776BE"/>
    <w:rsid w:val="00177B91"/>
    <w:rsid w:val="001802DA"/>
    <w:rsid w:val="0018036C"/>
    <w:rsid w:val="0018049F"/>
    <w:rsid w:val="00180503"/>
    <w:rsid w:val="00180F1F"/>
    <w:rsid w:val="00180FA2"/>
    <w:rsid w:val="00181D9E"/>
    <w:rsid w:val="00182254"/>
    <w:rsid w:val="00182522"/>
    <w:rsid w:val="001834EE"/>
    <w:rsid w:val="001836D8"/>
    <w:rsid w:val="001836DE"/>
    <w:rsid w:val="00183E4F"/>
    <w:rsid w:val="00183EF9"/>
    <w:rsid w:val="001840EA"/>
    <w:rsid w:val="00185C2B"/>
    <w:rsid w:val="00185E3E"/>
    <w:rsid w:val="00186633"/>
    <w:rsid w:val="00187057"/>
    <w:rsid w:val="00187C85"/>
    <w:rsid w:val="00187DA8"/>
    <w:rsid w:val="0019014B"/>
    <w:rsid w:val="001904A3"/>
    <w:rsid w:val="00190978"/>
    <w:rsid w:val="00190D9D"/>
    <w:rsid w:val="0019138F"/>
    <w:rsid w:val="001915E7"/>
    <w:rsid w:val="00193E61"/>
    <w:rsid w:val="00193ECE"/>
    <w:rsid w:val="00194652"/>
    <w:rsid w:val="00194927"/>
    <w:rsid w:val="00194C38"/>
    <w:rsid w:val="00194C74"/>
    <w:rsid w:val="00194DB9"/>
    <w:rsid w:val="00195518"/>
    <w:rsid w:val="00195660"/>
    <w:rsid w:val="00195DA7"/>
    <w:rsid w:val="001960DC"/>
    <w:rsid w:val="001A0F32"/>
    <w:rsid w:val="001A0FD9"/>
    <w:rsid w:val="001A1790"/>
    <w:rsid w:val="001A1E22"/>
    <w:rsid w:val="001A22B8"/>
    <w:rsid w:val="001A29B9"/>
    <w:rsid w:val="001A2D84"/>
    <w:rsid w:val="001A3276"/>
    <w:rsid w:val="001A348F"/>
    <w:rsid w:val="001A3A27"/>
    <w:rsid w:val="001A3A96"/>
    <w:rsid w:val="001A3E04"/>
    <w:rsid w:val="001A4EA7"/>
    <w:rsid w:val="001A4EB9"/>
    <w:rsid w:val="001A4F69"/>
    <w:rsid w:val="001A5FE0"/>
    <w:rsid w:val="001A64F1"/>
    <w:rsid w:val="001A66FF"/>
    <w:rsid w:val="001A6C7B"/>
    <w:rsid w:val="001A6D23"/>
    <w:rsid w:val="001A7740"/>
    <w:rsid w:val="001A7C76"/>
    <w:rsid w:val="001B0453"/>
    <w:rsid w:val="001B0766"/>
    <w:rsid w:val="001B1CC3"/>
    <w:rsid w:val="001B1FC9"/>
    <w:rsid w:val="001B20B0"/>
    <w:rsid w:val="001B21A5"/>
    <w:rsid w:val="001B240D"/>
    <w:rsid w:val="001B33B7"/>
    <w:rsid w:val="001B3414"/>
    <w:rsid w:val="001B42A4"/>
    <w:rsid w:val="001B4575"/>
    <w:rsid w:val="001B4613"/>
    <w:rsid w:val="001B4690"/>
    <w:rsid w:val="001B5097"/>
    <w:rsid w:val="001B62FC"/>
    <w:rsid w:val="001B634D"/>
    <w:rsid w:val="001B6501"/>
    <w:rsid w:val="001B6BE5"/>
    <w:rsid w:val="001B73DE"/>
    <w:rsid w:val="001B7963"/>
    <w:rsid w:val="001B7DB7"/>
    <w:rsid w:val="001C0C52"/>
    <w:rsid w:val="001C0F4B"/>
    <w:rsid w:val="001C1A0A"/>
    <w:rsid w:val="001C27F3"/>
    <w:rsid w:val="001C4A59"/>
    <w:rsid w:val="001C4B54"/>
    <w:rsid w:val="001C5278"/>
    <w:rsid w:val="001C5848"/>
    <w:rsid w:val="001C5EBD"/>
    <w:rsid w:val="001C63B2"/>
    <w:rsid w:val="001C7038"/>
    <w:rsid w:val="001D0688"/>
    <w:rsid w:val="001D06BF"/>
    <w:rsid w:val="001D0A6B"/>
    <w:rsid w:val="001D1394"/>
    <w:rsid w:val="001D1647"/>
    <w:rsid w:val="001D1693"/>
    <w:rsid w:val="001D18CC"/>
    <w:rsid w:val="001D1A01"/>
    <w:rsid w:val="001D28DE"/>
    <w:rsid w:val="001D2ABC"/>
    <w:rsid w:val="001D2CC7"/>
    <w:rsid w:val="001D3014"/>
    <w:rsid w:val="001D36AE"/>
    <w:rsid w:val="001D3A7C"/>
    <w:rsid w:val="001D3CEA"/>
    <w:rsid w:val="001D5363"/>
    <w:rsid w:val="001D5448"/>
    <w:rsid w:val="001D5587"/>
    <w:rsid w:val="001D59C8"/>
    <w:rsid w:val="001D5CF6"/>
    <w:rsid w:val="001D6637"/>
    <w:rsid w:val="001D74CE"/>
    <w:rsid w:val="001E0720"/>
    <w:rsid w:val="001E11C1"/>
    <w:rsid w:val="001E1475"/>
    <w:rsid w:val="001E1658"/>
    <w:rsid w:val="001E186A"/>
    <w:rsid w:val="001E1E40"/>
    <w:rsid w:val="001E258A"/>
    <w:rsid w:val="001E261B"/>
    <w:rsid w:val="001E2D74"/>
    <w:rsid w:val="001E2FCD"/>
    <w:rsid w:val="001E3C33"/>
    <w:rsid w:val="001E4540"/>
    <w:rsid w:val="001E45FB"/>
    <w:rsid w:val="001E4BA9"/>
    <w:rsid w:val="001E4CC0"/>
    <w:rsid w:val="001E4DF8"/>
    <w:rsid w:val="001E4FD5"/>
    <w:rsid w:val="001E5097"/>
    <w:rsid w:val="001E618E"/>
    <w:rsid w:val="001E62E2"/>
    <w:rsid w:val="001E666D"/>
    <w:rsid w:val="001E66C0"/>
    <w:rsid w:val="001E6A07"/>
    <w:rsid w:val="001E6C72"/>
    <w:rsid w:val="001E6E1C"/>
    <w:rsid w:val="001E7117"/>
    <w:rsid w:val="001E739F"/>
    <w:rsid w:val="001E7A6E"/>
    <w:rsid w:val="001F0386"/>
    <w:rsid w:val="001F0A53"/>
    <w:rsid w:val="001F10C9"/>
    <w:rsid w:val="001F17D5"/>
    <w:rsid w:val="001F187C"/>
    <w:rsid w:val="001F1E36"/>
    <w:rsid w:val="001F2C38"/>
    <w:rsid w:val="001F2FAF"/>
    <w:rsid w:val="001F30EE"/>
    <w:rsid w:val="001F3A74"/>
    <w:rsid w:val="001F422E"/>
    <w:rsid w:val="001F4EE3"/>
    <w:rsid w:val="001F4F1F"/>
    <w:rsid w:val="001F574F"/>
    <w:rsid w:val="001F5F0F"/>
    <w:rsid w:val="001F605D"/>
    <w:rsid w:val="001F6568"/>
    <w:rsid w:val="001F6B88"/>
    <w:rsid w:val="001F6F30"/>
    <w:rsid w:val="001F718E"/>
    <w:rsid w:val="001F738B"/>
    <w:rsid w:val="001F78B8"/>
    <w:rsid w:val="001F793B"/>
    <w:rsid w:val="001F7CF2"/>
    <w:rsid w:val="0020029A"/>
    <w:rsid w:val="00201525"/>
    <w:rsid w:val="002018DD"/>
    <w:rsid w:val="00201D69"/>
    <w:rsid w:val="002023B0"/>
    <w:rsid w:val="0020257D"/>
    <w:rsid w:val="00202831"/>
    <w:rsid w:val="00202AB6"/>
    <w:rsid w:val="0020371E"/>
    <w:rsid w:val="00203859"/>
    <w:rsid w:val="00203D9E"/>
    <w:rsid w:val="002040E1"/>
    <w:rsid w:val="00204108"/>
    <w:rsid w:val="00204254"/>
    <w:rsid w:val="002046AC"/>
    <w:rsid w:val="002047BD"/>
    <w:rsid w:val="00205182"/>
    <w:rsid w:val="002051FE"/>
    <w:rsid w:val="002057A4"/>
    <w:rsid w:val="0020650B"/>
    <w:rsid w:val="0020651C"/>
    <w:rsid w:val="00206B1D"/>
    <w:rsid w:val="00206B6F"/>
    <w:rsid w:val="00207562"/>
    <w:rsid w:val="00207729"/>
    <w:rsid w:val="00207B16"/>
    <w:rsid w:val="00207BE1"/>
    <w:rsid w:val="00210183"/>
    <w:rsid w:val="002103BB"/>
    <w:rsid w:val="00210563"/>
    <w:rsid w:val="002105AE"/>
    <w:rsid w:val="002107DA"/>
    <w:rsid w:val="002107EF"/>
    <w:rsid w:val="00210821"/>
    <w:rsid w:val="00210995"/>
    <w:rsid w:val="002109F7"/>
    <w:rsid w:val="00210BE0"/>
    <w:rsid w:val="00210C1F"/>
    <w:rsid w:val="00210EB7"/>
    <w:rsid w:val="00211063"/>
    <w:rsid w:val="002130D1"/>
    <w:rsid w:val="00215102"/>
    <w:rsid w:val="00215401"/>
    <w:rsid w:val="00215563"/>
    <w:rsid w:val="00215721"/>
    <w:rsid w:val="002161A6"/>
    <w:rsid w:val="0021631A"/>
    <w:rsid w:val="002165A7"/>
    <w:rsid w:val="00216912"/>
    <w:rsid w:val="00216D45"/>
    <w:rsid w:val="00216EC8"/>
    <w:rsid w:val="00217034"/>
    <w:rsid w:val="00217B93"/>
    <w:rsid w:val="00217F94"/>
    <w:rsid w:val="0022116C"/>
    <w:rsid w:val="002217E8"/>
    <w:rsid w:val="00221C57"/>
    <w:rsid w:val="00222238"/>
    <w:rsid w:val="002225D7"/>
    <w:rsid w:val="00222B22"/>
    <w:rsid w:val="00223DF2"/>
    <w:rsid w:val="002243CF"/>
    <w:rsid w:val="00224D05"/>
    <w:rsid w:val="00224EBA"/>
    <w:rsid w:val="0022552F"/>
    <w:rsid w:val="00225E12"/>
    <w:rsid w:val="00226735"/>
    <w:rsid w:val="002267A5"/>
    <w:rsid w:val="00227152"/>
    <w:rsid w:val="00227379"/>
    <w:rsid w:val="002274B1"/>
    <w:rsid w:val="00227534"/>
    <w:rsid w:val="002302F3"/>
    <w:rsid w:val="00230A0F"/>
    <w:rsid w:val="00231166"/>
    <w:rsid w:val="00231338"/>
    <w:rsid w:val="0023135D"/>
    <w:rsid w:val="0023246F"/>
    <w:rsid w:val="0023254F"/>
    <w:rsid w:val="00233503"/>
    <w:rsid w:val="00233734"/>
    <w:rsid w:val="00234052"/>
    <w:rsid w:val="002341A3"/>
    <w:rsid w:val="00235EA1"/>
    <w:rsid w:val="00236643"/>
    <w:rsid w:val="00236AA8"/>
    <w:rsid w:val="00237AD7"/>
    <w:rsid w:val="00237B3F"/>
    <w:rsid w:val="002400C6"/>
    <w:rsid w:val="002400E9"/>
    <w:rsid w:val="002403F0"/>
    <w:rsid w:val="00240474"/>
    <w:rsid w:val="00240907"/>
    <w:rsid w:val="00240EC1"/>
    <w:rsid w:val="0024136A"/>
    <w:rsid w:val="002414AF"/>
    <w:rsid w:val="00241C98"/>
    <w:rsid w:val="00241F38"/>
    <w:rsid w:val="00242BD9"/>
    <w:rsid w:val="002432C5"/>
    <w:rsid w:val="00243402"/>
    <w:rsid w:val="00243808"/>
    <w:rsid w:val="00243B85"/>
    <w:rsid w:val="00243F84"/>
    <w:rsid w:val="00243FDE"/>
    <w:rsid w:val="00244234"/>
    <w:rsid w:val="0024495D"/>
    <w:rsid w:val="002455B7"/>
    <w:rsid w:val="002456F6"/>
    <w:rsid w:val="00245CC4"/>
    <w:rsid w:val="00246471"/>
    <w:rsid w:val="00246550"/>
    <w:rsid w:val="00247198"/>
    <w:rsid w:val="0024740F"/>
    <w:rsid w:val="00247AD3"/>
    <w:rsid w:val="002506BA"/>
    <w:rsid w:val="0025094F"/>
    <w:rsid w:val="002515B6"/>
    <w:rsid w:val="0025185D"/>
    <w:rsid w:val="002519EC"/>
    <w:rsid w:val="00251ECE"/>
    <w:rsid w:val="00252607"/>
    <w:rsid w:val="00252950"/>
    <w:rsid w:val="00252BB4"/>
    <w:rsid w:val="00253279"/>
    <w:rsid w:val="00253EEC"/>
    <w:rsid w:val="00253F1D"/>
    <w:rsid w:val="0025423C"/>
    <w:rsid w:val="002543F1"/>
    <w:rsid w:val="00254951"/>
    <w:rsid w:val="00254996"/>
    <w:rsid w:val="00254CE5"/>
    <w:rsid w:val="002550EE"/>
    <w:rsid w:val="0025535D"/>
    <w:rsid w:val="00255668"/>
    <w:rsid w:val="002558C9"/>
    <w:rsid w:val="002561E1"/>
    <w:rsid w:val="0025622B"/>
    <w:rsid w:val="00257417"/>
    <w:rsid w:val="002602CE"/>
    <w:rsid w:val="002603DF"/>
    <w:rsid w:val="00260831"/>
    <w:rsid w:val="0026094A"/>
    <w:rsid w:val="00260DD0"/>
    <w:rsid w:val="00261C0D"/>
    <w:rsid w:val="00261DD6"/>
    <w:rsid w:val="00261E5B"/>
    <w:rsid w:val="00261E76"/>
    <w:rsid w:val="0026204D"/>
    <w:rsid w:val="00262753"/>
    <w:rsid w:val="002634B1"/>
    <w:rsid w:val="0026445F"/>
    <w:rsid w:val="002647C6"/>
    <w:rsid w:val="00264D08"/>
    <w:rsid w:val="00264F02"/>
    <w:rsid w:val="002657FA"/>
    <w:rsid w:val="00265B34"/>
    <w:rsid w:val="00265DB2"/>
    <w:rsid w:val="00265F4C"/>
    <w:rsid w:val="0026646A"/>
    <w:rsid w:val="00266AAD"/>
    <w:rsid w:val="00266C07"/>
    <w:rsid w:val="00267208"/>
    <w:rsid w:val="0026725F"/>
    <w:rsid w:val="00267713"/>
    <w:rsid w:val="0026784E"/>
    <w:rsid w:val="0027009E"/>
    <w:rsid w:val="0027037F"/>
    <w:rsid w:val="00270930"/>
    <w:rsid w:val="00270D02"/>
    <w:rsid w:val="0027141D"/>
    <w:rsid w:val="0027174B"/>
    <w:rsid w:val="002717FD"/>
    <w:rsid w:val="00272221"/>
    <w:rsid w:val="002734CA"/>
    <w:rsid w:val="00273D77"/>
    <w:rsid w:val="00273EEE"/>
    <w:rsid w:val="00274045"/>
    <w:rsid w:val="00274EE2"/>
    <w:rsid w:val="00276C76"/>
    <w:rsid w:val="00277AEF"/>
    <w:rsid w:val="00277CF4"/>
    <w:rsid w:val="00277E3E"/>
    <w:rsid w:val="002800A1"/>
    <w:rsid w:val="0028084F"/>
    <w:rsid w:val="00280920"/>
    <w:rsid w:val="00280F7B"/>
    <w:rsid w:val="002816DD"/>
    <w:rsid w:val="00281C83"/>
    <w:rsid w:val="00282035"/>
    <w:rsid w:val="0028208E"/>
    <w:rsid w:val="00283310"/>
    <w:rsid w:val="0028402E"/>
    <w:rsid w:val="00284066"/>
    <w:rsid w:val="00284124"/>
    <w:rsid w:val="00284A9D"/>
    <w:rsid w:val="00284DE8"/>
    <w:rsid w:val="00284EEA"/>
    <w:rsid w:val="0028587A"/>
    <w:rsid w:val="00285FBF"/>
    <w:rsid w:val="002860EA"/>
    <w:rsid w:val="0028615D"/>
    <w:rsid w:val="0028616D"/>
    <w:rsid w:val="002863A0"/>
    <w:rsid w:val="0028694B"/>
    <w:rsid w:val="00286E18"/>
    <w:rsid w:val="00287180"/>
    <w:rsid w:val="002872F5"/>
    <w:rsid w:val="00290009"/>
    <w:rsid w:val="002903E0"/>
    <w:rsid w:val="002908A8"/>
    <w:rsid w:val="00290D62"/>
    <w:rsid w:val="002915BB"/>
    <w:rsid w:val="00291E6B"/>
    <w:rsid w:val="0029242C"/>
    <w:rsid w:val="002933BA"/>
    <w:rsid w:val="00293818"/>
    <w:rsid w:val="00293863"/>
    <w:rsid w:val="002946B1"/>
    <w:rsid w:val="00294EB2"/>
    <w:rsid w:val="00295421"/>
    <w:rsid w:val="00295640"/>
    <w:rsid w:val="00295B8A"/>
    <w:rsid w:val="002961CA"/>
    <w:rsid w:val="00296418"/>
    <w:rsid w:val="002969F8"/>
    <w:rsid w:val="00296C74"/>
    <w:rsid w:val="00296DD7"/>
    <w:rsid w:val="0029722F"/>
    <w:rsid w:val="002972CD"/>
    <w:rsid w:val="00297BCC"/>
    <w:rsid w:val="00297CB9"/>
    <w:rsid w:val="00297E1C"/>
    <w:rsid w:val="002A01C6"/>
    <w:rsid w:val="002A0458"/>
    <w:rsid w:val="002A1634"/>
    <w:rsid w:val="002A1AB3"/>
    <w:rsid w:val="002A1DC3"/>
    <w:rsid w:val="002A268C"/>
    <w:rsid w:val="002A29C1"/>
    <w:rsid w:val="002A2BBA"/>
    <w:rsid w:val="002A2F33"/>
    <w:rsid w:val="002A3260"/>
    <w:rsid w:val="002A3393"/>
    <w:rsid w:val="002A4357"/>
    <w:rsid w:val="002A4A02"/>
    <w:rsid w:val="002A4FB4"/>
    <w:rsid w:val="002A5424"/>
    <w:rsid w:val="002A554C"/>
    <w:rsid w:val="002A56F4"/>
    <w:rsid w:val="002A5FC9"/>
    <w:rsid w:val="002A64B1"/>
    <w:rsid w:val="002A694F"/>
    <w:rsid w:val="002A6D0D"/>
    <w:rsid w:val="002A6E1C"/>
    <w:rsid w:val="002A6E30"/>
    <w:rsid w:val="002A724F"/>
    <w:rsid w:val="002A74B1"/>
    <w:rsid w:val="002A7BCD"/>
    <w:rsid w:val="002B132C"/>
    <w:rsid w:val="002B1349"/>
    <w:rsid w:val="002B1F5C"/>
    <w:rsid w:val="002B26B6"/>
    <w:rsid w:val="002B27C1"/>
    <w:rsid w:val="002B2848"/>
    <w:rsid w:val="002B2981"/>
    <w:rsid w:val="002B298F"/>
    <w:rsid w:val="002B391B"/>
    <w:rsid w:val="002B3920"/>
    <w:rsid w:val="002B3FFC"/>
    <w:rsid w:val="002B4663"/>
    <w:rsid w:val="002B5328"/>
    <w:rsid w:val="002B68D8"/>
    <w:rsid w:val="002B6C42"/>
    <w:rsid w:val="002B7834"/>
    <w:rsid w:val="002C1572"/>
    <w:rsid w:val="002C1E5C"/>
    <w:rsid w:val="002C2346"/>
    <w:rsid w:val="002C2991"/>
    <w:rsid w:val="002C322B"/>
    <w:rsid w:val="002C38A8"/>
    <w:rsid w:val="002C3A84"/>
    <w:rsid w:val="002C3C1F"/>
    <w:rsid w:val="002C4537"/>
    <w:rsid w:val="002C4694"/>
    <w:rsid w:val="002C4E33"/>
    <w:rsid w:val="002C555D"/>
    <w:rsid w:val="002C5706"/>
    <w:rsid w:val="002C5D38"/>
    <w:rsid w:val="002C63E0"/>
    <w:rsid w:val="002C7033"/>
    <w:rsid w:val="002C7537"/>
    <w:rsid w:val="002C7958"/>
    <w:rsid w:val="002D066A"/>
    <w:rsid w:val="002D085A"/>
    <w:rsid w:val="002D20B5"/>
    <w:rsid w:val="002D20BF"/>
    <w:rsid w:val="002D244E"/>
    <w:rsid w:val="002D2508"/>
    <w:rsid w:val="002D37ED"/>
    <w:rsid w:val="002D3EC8"/>
    <w:rsid w:val="002D430F"/>
    <w:rsid w:val="002D4BBA"/>
    <w:rsid w:val="002D5009"/>
    <w:rsid w:val="002D6E7E"/>
    <w:rsid w:val="002D7B93"/>
    <w:rsid w:val="002D7E68"/>
    <w:rsid w:val="002D7FEE"/>
    <w:rsid w:val="002E06E3"/>
    <w:rsid w:val="002E08EC"/>
    <w:rsid w:val="002E0B02"/>
    <w:rsid w:val="002E0BF1"/>
    <w:rsid w:val="002E109A"/>
    <w:rsid w:val="002E147B"/>
    <w:rsid w:val="002E16D0"/>
    <w:rsid w:val="002E1B2A"/>
    <w:rsid w:val="002E1DC1"/>
    <w:rsid w:val="002E2DCC"/>
    <w:rsid w:val="002E2FE2"/>
    <w:rsid w:val="002E3428"/>
    <w:rsid w:val="002E39C5"/>
    <w:rsid w:val="002E4A30"/>
    <w:rsid w:val="002E53F0"/>
    <w:rsid w:val="002E6E5C"/>
    <w:rsid w:val="002E72E1"/>
    <w:rsid w:val="002E74C6"/>
    <w:rsid w:val="002E765D"/>
    <w:rsid w:val="002F0383"/>
    <w:rsid w:val="002F0451"/>
    <w:rsid w:val="002F0E67"/>
    <w:rsid w:val="002F18A1"/>
    <w:rsid w:val="002F33A2"/>
    <w:rsid w:val="002F3AB3"/>
    <w:rsid w:val="002F4C0B"/>
    <w:rsid w:val="002F5454"/>
    <w:rsid w:val="002F5933"/>
    <w:rsid w:val="002F5A0B"/>
    <w:rsid w:val="002F5A54"/>
    <w:rsid w:val="002F5F09"/>
    <w:rsid w:val="002F5F9B"/>
    <w:rsid w:val="002F5FAA"/>
    <w:rsid w:val="002F61A6"/>
    <w:rsid w:val="002F653B"/>
    <w:rsid w:val="002F6774"/>
    <w:rsid w:val="002F769D"/>
    <w:rsid w:val="002F7CD8"/>
    <w:rsid w:val="00300158"/>
    <w:rsid w:val="00300952"/>
    <w:rsid w:val="00300FC5"/>
    <w:rsid w:val="003024DA"/>
    <w:rsid w:val="003041A1"/>
    <w:rsid w:val="00304556"/>
    <w:rsid w:val="0030494D"/>
    <w:rsid w:val="00304B2E"/>
    <w:rsid w:val="003053FA"/>
    <w:rsid w:val="003059E9"/>
    <w:rsid w:val="003059F6"/>
    <w:rsid w:val="0030647A"/>
    <w:rsid w:val="00306712"/>
    <w:rsid w:val="00306741"/>
    <w:rsid w:val="00307433"/>
    <w:rsid w:val="00307AA8"/>
    <w:rsid w:val="00307BA3"/>
    <w:rsid w:val="003102BA"/>
    <w:rsid w:val="003102C7"/>
    <w:rsid w:val="00310678"/>
    <w:rsid w:val="0031091B"/>
    <w:rsid w:val="0031294D"/>
    <w:rsid w:val="00312957"/>
    <w:rsid w:val="00312C35"/>
    <w:rsid w:val="00312E10"/>
    <w:rsid w:val="0031327E"/>
    <w:rsid w:val="00313501"/>
    <w:rsid w:val="00313A93"/>
    <w:rsid w:val="00313DDB"/>
    <w:rsid w:val="00313FCD"/>
    <w:rsid w:val="00314247"/>
    <w:rsid w:val="0031457E"/>
    <w:rsid w:val="003148A2"/>
    <w:rsid w:val="00315AB3"/>
    <w:rsid w:val="00315DC6"/>
    <w:rsid w:val="00315FA2"/>
    <w:rsid w:val="003160A5"/>
    <w:rsid w:val="00316166"/>
    <w:rsid w:val="0031678E"/>
    <w:rsid w:val="00316F35"/>
    <w:rsid w:val="00317F1B"/>
    <w:rsid w:val="00320630"/>
    <w:rsid w:val="0032075E"/>
    <w:rsid w:val="00321847"/>
    <w:rsid w:val="00321F7B"/>
    <w:rsid w:val="0032253A"/>
    <w:rsid w:val="00322E74"/>
    <w:rsid w:val="00325048"/>
    <w:rsid w:val="00326595"/>
    <w:rsid w:val="00326E52"/>
    <w:rsid w:val="00327026"/>
    <w:rsid w:val="00327C2C"/>
    <w:rsid w:val="00330DDF"/>
    <w:rsid w:val="00330E29"/>
    <w:rsid w:val="00330FFD"/>
    <w:rsid w:val="00331494"/>
    <w:rsid w:val="00331774"/>
    <w:rsid w:val="00331B2D"/>
    <w:rsid w:val="00331C5A"/>
    <w:rsid w:val="00332475"/>
    <w:rsid w:val="00332827"/>
    <w:rsid w:val="00332902"/>
    <w:rsid w:val="003337A0"/>
    <w:rsid w:val="0033431B"/>
    <w:rsid w:val="00334535"/>
    <w:rsid w:val="00334793"/>
    <w:rsid w:val="003347F6"/>
    <w:rsid w:val="00335382"/>
    <w:rsid w:val="00335FFB"/>
    <w:rsid w:val="003369C0"/>
    <w:rsid w:val="003370C4"/>
    <w:rsid w:val="003373DF"/>
    <w:rsid w:val="003377D1"/>
    <w:rsid w:val="00337AEE"/>
    <w:rsid w:val="00340985"/>
    <w:rsid w:val="00340C5E"/>
    <w:rsid w:val="00341747"/>
    <w:rsid w:val="00342132"/>
    <w:rsid w:val="003424C6"/>
    <w:rsid w:val="003426FA"/>
    <w:rsid w:val="00342EA3"/>
    <w:rsid w:val="00342F4C"/>
    <w:rsid w:val="003431A4"/>
    <w:rsid w:val="003435C6"/>
    <w:rsid w:val="00343696"/>
    <w:rsid w:val="0034386D"/>
    <w:rsid w:val="00343CF3"/>
    <w:rsid w:val="00344BDB"/>
    <w:rsid w:val="00345271"/>
    <w:rsid w:val="0034533B"/>
    <w:rsid w:val="003458DC"/>
    <w:rsid w:val="003464D9"/>
    <w:rsid w:val="003472DA"/>
    <w:rsid w:val="00347309"/>
    <w:rsid w:val="00347471"/>
    <w:rsid w:val="003478E9"/>
    <w:rsid w:val="0034790A"/>
    <w:rsid w:val="00347E6D"/>
    <w:rsid w:val="00351382"/>
    <w:rsid w:val="00351CB8"/>
    <w:rsid w:val="003527FE"/>
    <w:rsid w:val="00352C6C"/>
    <w:rsid w:val="00352D65"/>
    <w:rsid w:val="0035327D"/>
    <w:rsid w:val="00353607"/>
    <w:rsid w:val="00354E93"/>
    <w:rsid w:val="00355993"/>
    <w:rsid w:val="00356838"/>
    <w:rsid w:val="00356B74"/>
    <w:rsid w:val="00356D7F"/>
    <w:rsid w:val="00357536"/>
    <w:rsid w:val="003576CF"/>
    <w:rsid w:val="00357766"/>
    <w:rsid w:val="00357AF4"/>
    <w:rsid w:val="00357B51"/>
    <w:rsid w:val="00360824"/>
    <w:rsid w:val="00360A27"/>
    <w:rsid w:val="00360FDC"/>
    <w:rsid w:val="0036306A"/>
    <w:rsid w:val="003637A8"/>
    <w:rsid w:val="003647EF"/>
    <w:rsid w:val="003649DA"/>
    <w:rsid w:val="00365614"/>
    <w:rsid w:val="00365F19"/>
    <w:rsid w:val="00365F3E"/>
    <w:rsid w:val="00366089"/>
    <w:rsid w:val="003661D2"/>
    <w:rsid w:val="003661EE"/>
    <w:rsid w:val="003665D1"/>
    <w:rsid w:val="00367449"/>
    <w:rsid w:val="00367A96"/>
    <w:rsid w:val="00367F0A"/>
    <w:rsid w:val="00367FCE"/>
    <w:rsid w:val="00370248"/>
    <w:rsid w:val="00370301"/>
    <w:rsid w:val="00370864"/>
    <w:rsid w:val="003716EA"/>
    <w:rsid w:val="00371989"/>
    <w:rsid w:val="0037297F"/>
    <w:rsid w:val="003729A0"/>
    <w:rsid w:val="00372D85"/>
    <w:rsid w:val="00372F56"/>
    <w:rsid w:val="003739E7"/>
    <w:rsid w:val="00373E2E"/>
    <w:rsid w:val="00373E4E"/>
    <w:rsid w:val="00374947"/>
    <w:rsid w:val="00374999"/>
    <w:rsid w:val="003753ED"/>
    <w:rsid w:val="00375CE0"/>
    <w:rsid w:val="0037602C"/>
    <w:rsid w:val="003760EF"/>
    <w:rsid w:val="00376129"/>
    <w:rsid w:val="0037760B"/>
    <w:rsid w:val="003776DF"/>
    <w:rsid w:val="00380300"/>
    <w:rsid w:val="00380D16"/>
    <w:rsid w:val="0038278F"/>
    <w:rsid w:val="003827E5"/>
    <w:rsid w:val="00382DEF"/>
    <w:rsid w:val="003834B9"/>
    <w:rsid w:val="003834DF"/>
    <w:rsid w:val="00384356"/>
    <w:rsid w:val="00384478"/>
    <w:rsid w:val="00384855"/>
    <w:rsid w:val="00384F7C"/>
    <w:rsid w:val="00384FAC"/>
    <w:rsid w:val="00385191"/>
    <w:rsid w:val="00385409"/>
    <w:rsid w:val="00385975"/>
    <w:rsid w:val="003859C8"/>
    <w:rsid w:val="00385C62"/>
    <w:rsid w:val="00386137"/>
    <w:rsid w:val="003865D3"/>
    <w:rsid w:val="003875E0"/>
    <w:rsid w:val="00387CFF"/>
    <w:rsid w:val="00387F0D"/>
    <w:rsid w:val="00387F65"/>
    <w:rsid w:val="0039031F"/>
    <w:rsid w:val="00390B4A"/>
    <w:rsid w:val="00390FAB"/>
    <w:rsid w:val="00391C34"/>
    <w:rsid w:val="0039208C"/>
    <w:rsid w:val="003921D1"/>
    <w:rsid w:val="003924FC"/>
    <w:rsid w:val="003927CA"/>
    <w:rsid w:val="00392F78"/>
    <w:rsid w:val="003932B5"/>
    <w:rsid w:val="003940AF"/>
    <w:rsid w:val="0039433E"/>
    <w:rsid w:val="00394E64"/>
    <w:rsid w:val="00394F30"/>
    <w:rsid w:val="00394FAA"/>
    <w:rsid w:val="003955EB"/>
    <w:rsid w:val="00395AE9"/>
    <w:rsid w:val="0039660E"/>
    <w:rsid w:val="0039690C"/>
    <w:rsid w:val="003975D4"/>
    <w:rsid w:val="003977BB"/>
    <w:rsid w:val="00397878"/>
    <w:rsid w:val="00397C34"/>
    <w:rsid w:val="00397D0A"/>
    <w:rsid w:val="00397FA3"/>
    <w:rsid w:val="003A005A"/>
    <w:rsid w:val="003A016D"/>
    <w:rsid w:val="003A0A6F"/>
    <w:rsid w:val="003A1486"/>
    <w:rsid w:val="003A1EEF"/>
    <w:rsid w:val="003A1F3C"/>
    <w:rsid w:val="003A22F3"/>
    <w:rsid w:val="003A2911"/>
    <w:rsid w:val="003A326E"/>
    <w:rsid w:val="003A3322"/>
    <w:rsid w:val="003A35F1"/>
    <w:rsid w:val="003A3947"/>
    <w:rsid w:val="003A3D72"/>
    <w:rsid w:val="003A3E70"/>
    <w:rsid w:val="003A3F14"/>
    <w:rsid w:val="003A4331"/>
    <w:rsid w:val="003A46EE"/>
    <w:rsid w:val="003A5275"/>
    <w:rsid w:val="003A5F5F"/>
    <w:rsid w:val="003A64E1"/>
    <w:rsid w:val="003A7EA8"/>
    <w:rsid w:val="003B11EB"/>
    <w:rsid w:val="003B1608"/>
    <w:rsid w:val="003B164E"/>
    <w:rsid w:val="003B1DAF"/>
    <w:rsid w:val="003B236D"/>
    <w:rsid w:val="003B2C35"/>
    <w:rsid w:val="003B48A4"/>
    <w:rsid w:val="003B5576"/>
    <w:rsid w:val="003B5688"/>
    <w:rsid w:val="003B5C63"/>
    <w:rsid w:val="003B67C6"/>
    <w:rsid w:val="003B6F92"/>
    <w:rsid w:val="003B7619"/>
    <w:rsid w:val="003B7EF7"/>
    <w:rsid w:val="003C0152"/>
    <w:rsid w:val="003C0206"/>
    <w:rsid w:val="003C0DEF"/>
    <w:rsid w:val="003C0F92"/>
    <w:rsid w:val="003C15A1"/>
    <w:rsid w:val="003C1B5E"/>
    <w:rsid w:val="003C2900"/>
    <w:rsid w:val="003C2E81"/>
    <w:rsid w:val="003C399C"/>
    <w:rsid w:val="003C4953"/>
    <w:rsid w:val="003C520B"/>
    <w:rsid w:val="003C5A30"/>
    <w:rsid w:val="003C5B36"/>
    <w:rsid w:val="003C63B5"/>
    <w:rsid w:val="003C63BD"/>
    <w:rsid w:val="003C77C9"/>
    <w:rsid w:val="003C793D"/>
    <w:rsid w:val="003D0495"/>
    <w:rsid w:val="003D0926"/>
    <w:rsid w:val="003D093F"/>
    <w:rsid w:val="003D0C59"/>
    <w:rsid w:val="003D1DD8"/>
    <w:rsid w:val="003D2051"/>
    <w:rsid w:val="003D2331"/>
    <w:rsid w:val="003D23C6"/>
    <w:rsid w:val="003D2475"/>
    <w:rsid w:val="003D24D3"/>
    <w:rsid w:val="003D254A"/>
    <w:rsid w:val="003D2F55"/>
    <w:rsid w:val="003D33C9"/>
    <w:rsid w:val="003D387A"/>
    <w:rsid w:val="003D3907"/>
    <w:rsid w:val="003D3C5F"/>
    <w:rsid w:val="003D3CDD"/>
    <w:rsid w:val="003D5C68"/>
    <w:rsid w:val="003D5D27"/>
    <w:rsid w:val="003D609D"/>
    <w:rsid w:val="003D6D90"/>
    <w:rsid w:val="003D6E70"/>
    <w:rsid w:val="003D7CA2"/>
    <w:rsid w:val="003E0224"/>
    <w:rsid w:val="003E08EE"/>
    <w:rsid w:val="003E0AB0"/>
    <w:rsid w:val="003E1700"/>
    <w:rsid w:val="003E18E3"/>
    <w:rsid w:val="003E1948"/>
    <w:rsid w:val="003E21BC"/>
    <w:rsid w:val="003E2350"/>
    <w:rsid w:val="003E2AD3"/>
    <w:rsid w:val="003E2E68"/>
    <w:rsid w:val="003E36B3"/>
    <w:rsid w:val="003E3F54"/>
    <w:rsid w:val="003E4008"/>
    <w:rsid w:val="003E46BE"/>
    <w:rsid w:val="003E49E6"/>
    <w:rsid w:val="003E5476"/>
    <w:rsid w:val="003E54BF"/>
    <w:rsid w:val="003E598C"/>
    <w:rsid w:val="003E5BED"/>
    <w:rsid w:val="003E5D0F"/>
    <w:rsid w:val="003E71DD"/>
    <w:rsid w:val="003E7A9B"/>
    <w:rsid w:val="003E7B0D"/>
    <w:rsid w:val="003E7E75"/>
    <w:rsid w:val="003F150C"/>
    <w:rsid w:val="003F2070"/>
    <w:rsid w:val="003F21CB"/>
    <w:rsid w:val="003F28F9"/>
    <w:rsid w:val="003F29B3"/>
    <w:rsid w:val="003F2BF6"/>
    <w:rsid w:val="003F3145"/>
    <w:rsid w:val="003F3791"/>
    <w:rsid w:val="003F383F"/>
    <w:rsid w:val="003F39D6"/>
    <w:rsid w:val="003F4094"/>
    <w:rsid w:val="003F4DD3"/>
    <w:rsid w:val="003F5071"/>
    <w:rsid w:val="003F518F"/>
    <w:rsid w:val="003F54DA"/>
    <w:rsid w:val="003F6B41"/>
    <w:rsid w:val="003F7722"/>
    <w:rsid w:val="004000A6"/>
    <w:rsid w:val="004000BC"/>
    <w:rsid w:val="00400549"/>
    <w:rsid w:val="00400653"/>
    <w:rsid w:val="00400E52"/>
    <w:rsid w:val="00400FBA"/>
    <w:rsid w:val="00401060"/>
    <w:rsid w:val="00401536"/>
    <w:rsid w:val="00401910"/>
    <w:rsid w:val="00402503"/>
    <w:rsid w:val="004029D6"/>
    <w:rsid w:val="00402A61"/>
    <w:rsid w:val="00402BC1"/>
    <w:rsid w:val="00402FB1"/>
    <w:rsid w:val="00403F22"/>
    <w:rsid w:val="0040454F"/>
    <w:rsid w:val="004048BA"/>
    <w:rsid w:val="0040491A"/>
    <w:rsid w:val="0040572D"/>
    <w:rsid w:val="00405BAA"/>
    <w:rsid w:val="0040630D"/>
    <w:rsid w:val="004068D5"/>
    <w:rsid w:val="00406A94"/>
    <w:rsid w:val="004071C7"/>
    <w:rsid w:val="004075BB"/>
    <w:rsid w:val="00410CEC"/>
    <w:rsid w:val="00411CDF"/>
    <w:rsid w:val="004120A3"/>
    <w:rsid w:val="0041295E"/>
    <w:rsid w:val="00412C15"/>
    <w:rsid w:val="0041326B"/>
    <w:rsid w:val="0041349E"/>
    <w:rsid w:val="0041353E"/>
    <w:rsid w:val="004135E8"/>
    <w:rsid w:val="00413742"/>
    <w:rsid w:val="004139D9"/>
    <w:rsid w:val="004143C2"/>
    <w:rsid w:val="00414690"/>
    <w:rsid w:val="00414F8C"/>
    <w:rsid w:val="004154C4"/>
    <w:rsid w:val="004155B4"/>
    <w:rsid w:val="0041669B"/>
    <w:rsid w:val="004168C3"/>
    <w:rsid w:val="004170DD"/>
    <w:rsid w:val="00417105"/>
    <w:rsid w:val="00417A92"/>
    <w:rsid w:val="00417ADD"/>
    <w:rsid w:val="00417AE3"/>
    <w:rsid w:val="004200EB"/>
    <w:rsid w:val="0042089F"/>
    <w:rsid w:val="00421F54"/>
    <w:rsid w:val="00421F55"/>
    <w:rsid w:val="0042265D"/>
    <w:rsid w:val="004227E6"/>
    <w:rsid w:val="00423AAA"/>
    <w:rsid w:val="0042414C"/>
    <w:rsid w:val="004246F3"/>
    <w:rsid w:val="00424B7C"/>
    <w:rsid w:val="00424C2D"/>
    <w:rsid w:val="00424FFB"/>
    <w:rsid w:val="004251DD"/>
    <w:rsid w:val="00425D06"/>
    <w:rsid w:val="00426209"/>
    <w:rsid w:val="004264C2"/>
    <w:rsid w:val="0042683C"/>
    <w:rsid w:val="00426CE2"/>
    <w:rsid w:val="00426D1D"/>
    <w:rsid w:val="004270E5"/>
    <w:rsid w:val="004273AB"/>
    <w:rsid w:val="00427E08"/>
    <w:rsid w:val="00430491"/>
    <w:rsid w:val="004309EC"/>
    <w:rsid w:val="0043127C"/>
    <w:rsid w:val="00431487"/>
    <w:rsid w:val="00431762"/>
    <w:rsid w:val="00431F27"/>
    <w:rsid w:val="004320F6"/>
    <w:rsid w:val="00432B3B"/>
    <w:rsid w:val="004330E6"/>
    <w:rsid w:val="0043312E"/>
    <w:rsid w:val="004331E4"/>
    <w:rsid w:val="004339FB"/>
    <w:rsid w:val="00434D3B"/>
    <w:rsid w:val="00434EC8"/>
    <w:rsid w:val="0043513D"/>
    <w:rsid w:val="00435A21"/>
    <w:rsid w:val="004364B7"/>
    <w:rsid w:val="004364D0"/>
    <w:rsid w:val="00436A73"/>
    <w:rsid w:val="00436BD0"/>
    <w:rsid w:val="00437035"/>
    <w:rsid w:val="004374A7"/>
    <w:rsid w:val="004374C4"/>
    <w:rsid w:val="00437B81"/>
    <w:rsid w:val="00440835"/>
    <w:rsid w:val="00440D93"/>
    <w:rsid w:val="0044124A"/>
    <w:rsid w:val="0044175D"/>
    <w:rsid w:val="00441FF7"/>
    <w:rsid w:val="00442D6D"/>
    <w:rsid w:val="004433E9"/>
    <w:rsid w:val="00443662"/>
    <w:rsid w:val="00443771"/>
    <w:rsid w:val="0044386A"/>
    <w:rsid w:val="00444723"/>
    <w:rsid w:val="00444B3D"/>
    <w:rsid w:val="00445F0A"/>
    <w:rsid w:val="00446648"/>
    <w:rsid w:val="00446B21"/>
    <w:rsid w:val="00447013"/>
    <w:rsid w:val="00447188"/>
    <w:rsid w:val="00447DC9"/>
    <w:rsid w:val="004506A1"/>
    <w:rsid w:val="00450A12"/>
    <w:rsid w:val="0045119E"/>
    <w:rsid w:val="00451B51"/>
    <w:rsid w:val="00451D2D"/>
    <w:rsid w:val="00451D53"/>
    <w:rsid w:val="004527A6"/>
    <w:rsid w:val="0045288E"/>
    <w:rsid w:val="004528AF"/>
    <w:rsid w:val="0045421B"/>
    <w:rsid w:val="0045451B"/>
    <w:rsid w:val="00454AA5"/>
    <w:rsid w:val="00454B2E"/>
    <w:rsid w:val="00454B51"/>
    <w:rsid w:val="004551F5"/>
    <w:rsid w:val="00455475"/>
    <w:rsid w:val="00455798"/>
    <w:rsid w:val="00455D06"/>
    <w:rsid w:val="00456133"/>
    <w:rsid w:val="004566E4"/>
    <w:rsid w:val="00456ACD"/>
    <w:rsid w:val="00456C87"/>
    <w:rsid w:val="00456EE4"/>
    <w:rsid w:val="00457339"/>
    <w:rsid w:val="004577CE"/>
    <w:rsid w:val="00457A61"/>
    <w:rsid w:val="00457ADF"/>
    <w:rsid w:val="004607A6"/>
    <w:rsid w:val="00460831"/>
    <w:rsid w:val="00461502"/>
    <w:rsid w:val="0046170A"/>
    <w:rsid w:val="0046202B"/>
    <w:rsid w:val="00462659"/>
    <w:rsid w:val="00462B07"/>
    <w:rsid w:val="00462C96"/>
    <w:rsid w:val="00462C9E"/>
    <w:rsid w:val="004638C5"/>
    <w:rsid w:val="00463952"/>
    <w:rsid w:val="00463C5F"/>
    <w:rsid w:val="00463C92"/>
    <w:rsid w:val="00464263"/>
    <w:rsid w:val="004644E8"/>
    <w:rsid w:val="00464EC3"/>
    <w:rsid w:val="00464FA4"/>
    <w:rsid w:val="0046577E"/>
    <w:rsid w:val="004661A1"/>
    <w:rsid w:val="00466757"/>
    <w:rsid w:val="004669E8"/>
    <w:rsid w:val="00466ABC"/>
    <w:rsid w:val="00466ED9"/>
    <w:rsid w:val="00467372"/>
    <w:rsid w:val="00467587"/>
    <w:rsid w:val="00470269"/>
    <w:rsid w:val="0047098C"/>
    <w:rsid w:val="00470DC4"/>
    <w:rsid w:val="004718E8"/>
    <w:rsid w:val="00471E05"/>
    <w:rsid w:val="004729CD"/>
    <w:rsid w:val="00472BF7"/>
    <w:rsid w:val="00473052"/>
    <w:rsid w:val="00473763"/>
    <w:rsid w:val="00473B6B"/>
    <w:rsid w:val="00474272"/>
    <w:rsid w:val="004754EA"/>
    <w:rsid w:val="004759ED"/>
    <w:rsid w:val="00475EF7"/>
    <w:rsid w:val="00475F13"/>
    <w:rsid w:val="004765C0"/>
    <w:rsid w:val="00476687"/>
    <w:rsid w:val="0047692D"/>
    <w:rsid w:val="00476FE3"/>
    <w:rsid w:val="0047764D"/>
    <w:rsid w:val="004778F1"/>
    <w:rsid w:val="0047797E"/>
    <w:rsid w:val="004807B9"/>
    <w:rsid w:val="00480A2F"/>
    <w:rsid w:val="00480D08"/>
    <w:rsid w:val="00480D32"/>
    <w:rsid w:val="00481183"/>
    <w:rsid w:val="00482475"/>
    <w:rsid w:val="004826F6"/>
    <w:rsid w:val="00482834"/>
    <w:rsid w:val="0048303B"/>
    <w:rsid w:val="00483389"/>
    <w:rsid w:val="00483449"/>
    <w:rsid w:val="00483DAC"/>
    <w:rsid w:val="004848C2"/>
    <w:rsid w:val="00484B80"/>
    <w:rsid w:val="0048521E"/>
    <w:rsid w:val="00485CE1"/>
    <w:rsid w:val="00485F51"/>
    <w:rsid w:val="00486259"/>
    <w:rsid w:val="0048637E"/>
    <w:rsid w:val="00486C40"/>
    <w:rsid w:val="00487664"/>
    <w:rsid w:val="004903D8"/>
    <w:rsid w:val="00490FA2"/>
    <w:rsid w:val="004910E0"/>
    <w:rsid w:val="00491363"/>
    <w:rsid w:val="004913C9"/>
    <w:rsid w:val="00491DC0"/>
    <w:rsid w:val="00491E00"/>
    <w:rsid w:val="00491FED"/>
    <w:rsid w:val="004922B5"/>
    <w:rsid w:val="004925CF"/>
    <w:rsid w:val="004925D7"/>
    <w:rsid w:val="00492648"/>
    <w:rsid w:val="00493A40"/>
    <w:rsid w:val="00494171"/>
    <w:rsid w:val="0049432A"/>
    <w:rsid w:val="00494836"/>
    <w:rsid w:val="00494ABB"/>
    <w:rsid w:val="00494E99"/>
    <w:rsid w:val="00494F3F"/>
    <w:rsid w:val="004950C9"/>
    <w:rsid w:val="00495164"/>
    <w:rsid w:val="00495355"/>
    <w:rsid w:val="00496293"/>
    <w:rsid w:val="00496EF4"/>
    <w:rsid w:val="0049761F"/>
    <w:rsid w:val="0049784C"/>
    <w:rsid w:val="004A12FA"/>
    <w:rsid w:val="004A19F4"/>
    <w:rsid w:val="004A1D0E"/>
    <w:rsid w:val="004A23B8"/>
    <w:rsid w:val="004A2A88"/>
    <w:rsid w:val="004A2C69"/>
    <w:rsid w:val="004A2E1D"/>
    <w:rsid w:val="004A325D"/>
    <w:rsid w:val="004A5112"/>
    <w:rsid w:val="004A53B0"/>
    <w:rsid w:val="004A54E5"/>
    <w:rsid w:val="004A58B0"/>
    <w:rsid w:val="004A62D4"/>
    <w:rsid w:val="004A64FD"/>
    <w:rsid w:val="004A6768"/>
    <w:rsid w:val="004A69A2"/>
    <w:rsid w:val="004A741A"/>
    <w:rsid w:val="004A7492"/>
    <w:rsid w:val="004A74E7"/>
    <w:rsid w:val="004B0196"/>
    <w:rsid w:val="004B041A"/>
    <w:rsid w:val="004B06D6"/>
    <w:rsid w:val="004B07D2"/>
    <w:rsid w:val="004B0BA0"/>
    <w:rsid w:val="004B1D85"/>
    <w:rsid w:val="004B1DED"/>
    <w:rsid w:val="004B1E1F"/>
    <w:rsid w:val="004B2F36"/>
    <w:rsid w:val="004B3745"/>
    <w:rsid w:val="004B3B41"/>
    <w:rsid w:val="004B3F76"/>
    <w:rsid w:val="004B3FDA"/>
    <w:rsid w:val="004B409A"/>
    <w:rsid w:val="004B45A7"/>
    <w:rsid w:val="004B56B7"/>
    <w:rsid w:val="004B5F81"/>
    <w:rsid w:val="004B6A19"/>
    <w:rsid w:val="004B6B98"/>
    <w:rsid w:val="004B6CF5"/>
    <w:rsid w:val="004B6E6A"/>
    <w:rsid w:val="004B6FF0"/>
    <w:rsid w:val="004B70E4"/>
    <w:rsid w:val="004B7CA5"/>
    <w:rsid w:val="004C0F99"/>
    <w:rsid w:val="004C10A8"/>
    <w:rsid w:val="004C14F1"/>
    <w:rsid w:val="004C23FA"/>
    <w:rsid w:val="004C3243"/>
    <w:rsid w:val="004C3F69"/>
    <w:rsid w:val="004C4A86"/>
    <w:rsid w:val="004C4AA1"/>
    <w:rsid w:val="004C5104"/>
    <w:rsid w:val="004C51FE"/>
    <w:rsid w:val="004C6A02"/>
    <w:rsid w:val="004C79FF"/>
    <w:rsid w:val="004D023E"/>
    <w:rsid w:val="004D0FCF"/>
    <w:rsid w:val="004D12C6"/>
    <w:rsid w:val="004D2395"/>
    <w:rsid w:val="004D27F1"/>
    <w:rsid w:val="004D2BE1"/>
    <w:rsid w:val="004D2C47"/>
    <w:rsid w:val="004D2D13"/>
    <w:rsid w:val="004D3081"/>
    <w:rsid w:val="004D3776"/>
    <w:rsid w:val="004D37DD"/>
    <w:rsid w:val="004D39F1"/>
    <w:rsid w:val="004D3F4A"/>
    <w:rsid w:val="004D5406"/>
    <w:rsid w:val="004D58C8"/>
    <w:rsid w:val="004D5D4B"/>
    <w:rsid w:val="004D5D5B"/>
    <w:rsid w:val="004D62B3"/>
    <w:rsid w:val="004D66A0"/>
    <w:rsid w:val="004D6B0F"/>
    <w:rsid w:val="004D6B1D"/>
    <w:rsid w:val="004D6C33"/>
    <w:rsid w:val="004D767B"/>
    <w:rsid w:val="004D79F1"/>
    <w:rsid w:val="004D7AC3"/>
    <w:rsid w:val="004D7CB1"/>
    <w:rsid w:val="004D7F93"/>
    <w:rsid w:val="004E116F"/>
    <w:rsid w:val="004E12C4"/>
    <w:rsid w:val="004E14B4"/>
    <w:rsid w:val="004E1CA5"/>
    <w:rsid w:val="004E1E4D"/>
    <w:rsid w:val="004E1FD2"/>
    <w:rsid w:val="004E2828"/>
    <w:rsid w:val="004E28CD"/>
    <w:rsid w:val="004E29F8"/>
    <w:rsid w:val="004E2FDC"/>
    <w:rsid w:val="004E30D3"/>
    <w:rsid w:val="004E33AF"/>
    <w:rsid w:val="004E4148"/>
    <w:rsid w:val="004E44C0"/>
    <w:rsid w:val="004E4CBA"/>
    <w:rsid w:val="004E4F90"/>
    <w:rsid w:val="004E51A8"/>
    <w:rsid w:val="004E58F4"/>
    <w:rsid w:val="004E62FB"/>
    <w:rsid w:val="004E681F"/>
    <w:rsid w:val="004E6DF9"/>
    <w:rsid w:val="004E73F1"/>
    <w:rsid w:val="004E7955"/>
    <w:rsid w:val="004F0398"/>
    <w:rsid w:val="004F0477"/>
    <w:rsid w:val="004F0593"/>
    <w:rsid w:val="004F07D0"/>
    <w:rsid w:val="004F0CD9"/>
    <w:rsid w:val="004F11DC"/>
    <w:rsid w:val="004F141D"/>
    <w:rsid w:val="004F19BD"/>
    <w:rsid w:val="004F1D71"/>
    <w:rsid w:val="004F1E8E"/>
    <w:rsid w:val="004F1EE4"/>
    <w:rsid w:val="004F2E31"/>
    <w:rsid w:val="004F32E3"/>
    <w:rsid w:val="004F3312"/>
    <w:rsid w:val="004F39EB"/>
    <w:rsid w:val="004F3CAD"/>
    <w:rsid w:val="004F3E82"/>
    <w:rsid w:val="004F3EB8"/>
    <w:rsid w:val="004F409D"/>
    <w:rsid w:val="004F4B09"/>
    <w:rsid w:val="004F4B42"/>
    <w:rsid w:val="004F4EFA"/>
    <w:rsid w:val="004F5480"/>
    <w:rsid w:val="0050022E"/>
    <w:rsid w:val="0050040D"/>
    <w:rsid w:val="005004CF"/>
    <w:rsid w:val="0050082E"/>
    <w:rsid w:val="005009D2"/>
    <w:rsid w:val="005013D6"/>
    <w:rsid w:val="005017D7"/>
    <w:rsid w:val="00501F43"/>
    <w:rsid w:val="00503280"/>
    <w:rsid w:val="005034BE"/>
    <w:rsid w:val="00503726"/>
    <w:rsid w:val="00503857"/>
    <w:rsid w:val="0050385E"/>
    <w:rsid w:val="00504CEA"/>
    <w:rsid w:val="00505181"/>
    <w:rsid w:val="005051CA"/>
    <w:rsid w:val="00505A5D"/>
    <w:rsid w:val="005060CC"/>
    <w:rsid w:val="00506283"/>
    <w:rsid w:val="005064A5"/>
    <w:rsid w:val="005066BA"/>
    <w:rsid w:val="00506928"/>
    <w:rsid w:val="0050717E"/>
    <w:rsid w:val="00507C43"/>
    <w:rsid w:val="00507D1E"/>
    <w:rsid w:val="00507DA5"/>
    <w:rsid w:val="00507FE0"/>
    <w:rsid w:val="005104B8"/>
    <w:rsid w:val="005108EC"/>
    <w:rsid w:val="00510CB6"/>
    <w:rsid w:val="005111E1"/>
    <w:rsid w:val="00512541"/>
    <w:rsid w:val="00512762"/>
    <w:rsid w:val="00513746"/>
    <w:rsid w:val="00513753"/>
    <w:rsid w:val="005137AE"/>
    <w:rsid w:val="005137EB"/>
    <w:rsid w:val="005142A3"/>
    <w:rsid w:val="005144B2"/>
    <w:rsid w:val="00514DD0"/>
    <w:rsid w:val="00514FF6"/>
    <w:rsid w:val="00515BC0"/>
    <w:rsid w:val="00515BC9"/>
    <w:rsid w:val="0051637D"/>
    <w:rsid w:val="00517509"/>
    <w:rsid w:val="00517895"/>
    <w:rsid w:val="00520157"/>
    <w:rsid w:val="00520CC6"/>
    <w:rsid w:val="00520FA6"/>
    <w:rsid w:val="00521365"/>
    <w:rsid w:val="00521B61"/>
    <w:rsid w:val="0052226E"/>
    <w:rsid w:val="005223FD"/>
    <w:rsid w:val="005234DC"/>
    <w:rsid w:val="00523D0B"/>
    <w:rsid w:val="005247AF"/>
    <w:rsid w:val="0052480E"/>
    <w:rsid w:val="00524BB8"/>
    <w:rsid w:val="00524E9A"/>
    <w:rsid w:val="0052518B"/>
    <w:rsid w:val="005253C5"/>
    <w:rsid w:val="0052581B"/>
    <w:rsid w:val="00525CC5"/>
    <w:rsid w:val="00526654"/>
    <w:rsid w:val="005269C3"/>
    <w:rsid w:val="00527312"/>
    <w:rsid w:val="00527D49"/>
    <w:rsid w:val="00527D67"/>
    <w:rsid w:val="005303DE"/>
    <w:rsid w:val="0053071E"/>
    <w:rsid w:val="00530874"/>
    <w:rsid w:val="005316FD"/>
    <w:rsid w:val="00531E28"/>
    <w:rsid w:val="005321D8"/>
    <w:rsid w:val="00532225"/>
    <w:rsid w:val="0053286E"/>
    <w:rsid w:val="0053296F"/>
    <w:rsid w:val="00532E77"/>
    <w:rsid w:val="005337D7"/>
    <w:rsid w:val="0053432D"/>
    <w:rsid w:val="005361EF"/>
    <w:rsid w:val="00536930"/>
    <w:rsid w:val="005374F6"/>
    <w:rsid w:val="005379C5"/>
    <w:rsid w:val="00540832"/>
    <w:rsid w:val="00540BAF"/>
    <w:rsid w:val="00540C2D"/>
    <w:rsid w:val="0054102C"/>
    <w:rsid w:val="005419B0"/>
    <w:rsid w:val="00541CFD"/>
    <w:rsid w:val="00542611"/>
    <w:rsid w:val="00542CFA"/>
    <w:rsid w:val="005431EF"/>
    <w:rsid w:val="0054359F"/>
    <w:rsid w:val="00543CB5"/>
    <w:rsid w:val="00544BBA"/>
    <w:rsid w:val="00544E59"/>
    <w:rsid w:val="00544EEF"/>
    <w:rsid w:val="00545D96"/>
    <w:rsid w:val="00546135"/>
    <w:rsid w:val="00546978"/>
    <w:rsid w:val="00546D18"/>
    <w:rsid w:val="00547589"/>
    <w:rsid w:val="005475E1"/>
    <w:rsid w:val="00547B78"/>
    <w:rsid w:val="00547EC7"/>
    <w:rsid w:val="00551C7E"/>
    <w:rsid w:val="005521E1"/>
    <w:rsid w:val="0055236D"/>
    <w:rsid w:val="00552973"/>
    <w:rsid w:val="00554026"/>
    <w:rsid w:val="00554919"/>
    <w:rsid w:val="00554930"/>
    <w:rsid w:val="00554F28"/>
    <w:rsid w:val="0055580F"/>
    <w:rsid w:val="005570DA"/>
    <w:rsid w:val="00557CFF"/>
    <w:rsid w:val="0056074C"/>
    <w:rsid w:val="00560DBF"/>
    <w:rsid w:val="00560DFB"/>
    <w:rsid w:val="005624BD"/>
    <w:rsid w:val="0056276E"/>
    <w:rsid w:val="00562848"/>
    <w:rsid w:val="0056296E"/>
    <w:rsid w:val="00562E95"/>
    <w:rsid w:val="00563F36"/>
    <w:rsid w:val="005646F6"/>
    <w:rsid w:val="00565A4D"/>
    <w:rsid w:val="005660A3"/>
    <w:rsid w:val="00566773"/>
    <w:rsid w:val="00567445"/>
    <w:rsid w:val="00567B9B"/>
    <w:rsid w:val="00567C0B"/>
    <w:rsid w:val="00570A11"/>
    <w:rsid w:val="00570C93"/>
    <w:rsid w:val="005719E6"/>
    <w:rsid w:val="00571BA0"/>
    <w:rsid w:val="00571D7C"/>
    <w:rsid w:val="0057283F"/>
    <w:rsid w:val="005731A9"/>
    <w:rsid w:val="0057345B"/>
    <w:rsid w:val="0057379F"/>
    <w:rsid w:val="00573E24"/>
    <w:rsid w:val="005744C1"/>
    <w:rsid w:val="00574531"/>
    <w:rsid w:val="005747C1"/>
    <w:rsid w:val="00574A3D"/>
    <w:rsid w:val="00575BEA"/>
    <w:rsid w:val="00576675"/>
    <w:rsid w:val="005768EC"/>
    <w:rsid w:val="00577917"/>
    <w:rsid w:val="005808DC"/>
    <w:rsid w:val="00580A85"/>
    <w:rsid w:val="00580BA4"/>
    <w:rsid w:val="005815E5"/>
    <w:rsid w:val="00582110"/>
    <w:rsid w:val="005821B2"/>
    <w:rsid w:val="005825A5"/>
    <w:rsid w:val="00582AA4"/>
    <w:rsid w:val="00582BC2"/>
    <w:rsid w:val="00582CAD"/>
    <w:rsid w:val="00582FBB"/>
    <w:rsid w:val="005834CB"/>
    <w:rsid w:val="00584132"/>
    <w:rsid w:val="0058442D"/>
    <w:rsid w:val="005844CE"/>
    <w:rsid w:val="00585656"/>
    <w:rsid w:val="00585FB1"/>
    <w:rsid w:val="00586025"/>
    <w:rsid w:val="005866F9"/>
    <w:rsid w:val="00590AE3"/>
    <w:rsid w:val="00590FA9"/>
    <w:rsid w:val="005910C0"/>
    <w:rsid w:val="005912EB"/>
    <w:rsid w:val="00591CB3"/>
    <w:rsid w:val="005926EE"/>
    <w:rsid w:val="00593064"/>
    <w:rsid w:val="00593A52"/>
    <w:rsid w:val="00593C56"/>
    <w:rsid w:val="0059496B"/>
    <w:rsid w:val="00594AB6"/>
    <w:rsid w:val="00594B53"/>
    <w:rsid w:val="00595264"/>
    <w:rsid w:val="00595330"/>
    <w:rsid w:val="005954C3"/>
    <w:rsid w:val="00595505"/>
    <w:rsid w:val="00595920"/>
    <w:rsid w:val="00595C60"/>
    <w:rsid w:val="00595D67"/>
    <w:rsid w:val="00596451"/>
    <w:rsid w:val="00596EAB"/>
    <w:rsid w:val="005971A1"/>
    <w:rsid w:val="005972D6"/>
    <w:rsid w:val="00597525"/>
    <w:rsid w:val="005A040E"/>
    <w:rsid w:val="005A04A6"/>
    <w:rsid w:val="005A05D7"/>
    <w:rsid w:val="005A0831"/>
    <w:rsid w:val="005A08DD"/>
    <w:rsid w:val="005A0C8A"/>
    <w:rsid w:val="005A1D9B"/>
    <w:rsid w:val="005A2516"/>
    <w:rsid w:val="005A2D07"/>
    <w:rsid w:val="005A2D2A"/>
    <w:rsid w:val="005A2F17"/>
    <w:rsid w:val="005A3097"/>
    <w:rsid w:val="005A32FA"/>
    <w:rsid w:val="005A3D9B"/>
    <w:rsid w:val="005A4118"/>
    <w:rsid w:val="005A4310"/>
    <w:rsid w:val="005A4412"/>
    <w:rsid w:val="005A4B5C"/>
    <w:rsid w:val="005A586A"/>
    <w:rsid w:val="005A5A2C"/>
    <w:rsid w:val="005A5AE9"/>
    <w:rsid w:val="005A5D9F"/>
    <w:rsid w:val="005A5F58"/>
    <w:rsid w:val="005A60B6"/>
    <w:rsid w:val="005A7409"/>
    <w:rsid w:val="005A775A"/>
    <w:rsid w:val="005A7845"/>
    <w:rsid w:val="005A7846"/>
    <w:rsid w:val="005A787D"/>
    <w:rsid w:val="005A7CF5"/>
    <w:rsid w:val="005A7E2D"/>
    <w:rsid w:val="005B01BF"/>
    <w:rsid w:val="005B0AAA"/>
    <w:rsid w:val="005B0B59"/>
    <w:rsid w:val="005B0C1E"/>
    <w:rsid w:val="005B1307"/>
    <w:rsid w:val="005B162E"/>
    <w:rsid w:val="005B1907"/>
    <w:rsid w:val="005B1ABD"/>
    <w:rsid w:val="005B23AF"/>
    <w:rsid w:val="005B23DB"/>
    <w:rsid w:val="005B3855"/>
    <w:rsid w:val="005B40E4"/>
    <w:rsid w:val="005B46D3"/>
    <w:rsid w:val="005B504D"/>
    <w:rsid w:val="005B5316"/>
    <w:rsid w:val="005B5D77"/>
    <w:rsid w:val="005B6028"/>
    <w:rsid w:val="005B61D0"/>
    <w:rsid w:val="005B662B"/>
    <w:rsid w:val="005B662E"/>
    <w:rsid w:val="005B7249"/>
    <w:rsid w:val="005B79D5"/>
    <w:rsid w:val="005B7C5D"/>
    <w:rsid w:val="005B7F17"/>
    <w:rsid w:val="005C0C20"/>
    <w:rsid w:val="005C10C1"/>
    <w:rsid w:val="005C1951"/>
    <w:rsid w:val="005C25EE"/>
    <w:rsid w:val="005C2CB3"/>
    <w:rsid w:val="005C2D82"/>
    <w:rsid w:val="005C3069"/>
    <w:rsid w:val="005C3411"/>
    <w:rsid w:val="005C4FFB"/>
    <w:rsid w:val="005C5327"/>
    <w:rsid w:val="005C53E5"/>
    <w:rsid w:val="005C56DE"/>
    <w:rsid w:val="005C5ABD"/>
    <w:rsid w:val="005C5B53"/>
    <w:rsid w:val="005C6449"/>
    <w:rsid w:val="005C6CDF"/>
    <w:rsid w:val="005C6D06"/>
    <w:rsid w:val="005C6E31"/>
    <w:rsid w:val="005C70BB"/>
    <w:rsid w:val="005C747A"/>
    <w:rsid w:val="005C7570"/>
    <w:rsid w:val="005C75A2"/>
    <w:rsid w:val="005C7833"/>
    <w:rsid w:val="005D008C"/>
    <w:rsid w:val="005D030C"/>
    <w:rsid w:val="005D08EF"/>
    <w:rsid w:val="005D0DAD"/>
    <w:rsid w:val="005D218E"/>
    <w:rsid w:val="005D244B"/>
    <w:rsid w:val="005D26A5"/>
    <w:rsid w:val="005D2BC3"/>
    <w:rsid w:val="005D2D41"/>
    <w:rsid w:val="005D2DC3"/>
    <w:rsid w:val="005D2EDB"/>
    <w:rsid w:val="005D31E5"/>
    <w:rsid w:val="005D3B1E"/>
    <w:rsid w:val="005D3CFE"/>
    <w:rsid w:val="005D4032"/>
    <w:rsid w:val="005D529A"/>
    <w:rsid w:val="005D5474"/>
    <w:rsid w:val="005D6964"/>
    <w:rsid w:val="005D6D29"/>
    <w:rsid w:val="005D7015"/>
    <w:rsid w:val="005D7173"/>
    <w:rsid w:val="005D7481"/>
    <w:rsid w:val="005D74A7"/>
    <w:rsid w:val="005D7560"/>
    <w:rsid w:val="005D7825"/>
    <w:rsid w:val="005D7B33"/>
    <w:rsid w:val="005E0507"/>
    <w:rsid w:val="005E0842"/>
    <w:rsid w:val="005E0AF5"/>
    <w:rsid w:val="005E0E89"/>
    <w:rsid w:val="005E1FD4"/>
    <w:rsid w:val="005E2217"/>
    <w:rsid w:val="005E2730"/>
    <w:rsid w:val="005E2B8D"/>
    <w:rsid w:val="005E4448"/>
    <w:rsid w:val="005E5521"/>
    <w:rsid w:val="005E55CD"/>
    <w:rsid w:val="005E6254"/>
    <w:rsid w:val="005E6C31"/>
    <w:rsid w:val="005E6D09"/>
    <w:rsid w:val="005E6EC4"/>
    <w:rsid w:val="005F04F7"/>
    <w:rsid w:val="005F08C4"/>
    <w:rsid w:val="005F0CBE"/>
    <w:rsid w:val="005F1A5B"/>
    <w:rsid w:val="005F2390"/>
    <w:rsid w:val="005F29BC"/>
    <w:rsid w:val="005F2A07"/>
    <w:rsid w:val="005F2A33"/>
    <w:rsid w:val="005F2B31"/>
    <w:rsid w:val="005F2C6C"/>
    <w:rsid w:val="005F2E4D"/>
    <w:rsid w:val="005F30A7"/>
    <w:rsid w:val="005F417E"/>
    <w:rsid w:val="005F44F8"/>
    <w:rsid w:val="005F4666"/>
    <w:rsid w:val="005F4B1C"/>
    <w:rsid w:val="005F5AFB"/>
    <w:rsid w:val="005F62D3"/>
    <w:rsid w:val="005F71DE"/>
    <w:rsid w:val="005F7F60"/>
    <w:rsid w:val="006000EF"/>
    <w:rsid w:val="00600B73"/>
    <w:rsid w:val="00601292"/>
    <w:rsid w:val="00601D4B"/>
    <w:rsid w:val="006023A9"/>
    <w:rsid w:val="006031C6"/>
    <w:rsid w:val="00603863"/>
    <w:rsid w:val="00603A94"/>
    <w:rsid w:val="0060474F"/>
    <w:rsid w:val="00604A06"/>
    <w:rsid w:val="00604AB3"/>
    <w:rsid w:val="00605155"/>
    <w:rsid w:val="0060515C"/>
    <w:rsid w:val="00605194"/>
    <w:rsid w:val="00605217"/>
    <w:rsid w:val="00605DA5"/>
    <w:rsid w:val="006061AE"/>
    <w:rsid w:val="00606214"/>
    <w:rsid w:val="00606292"/>
    <w:rsid w:val="00607A9B"/>
    <w:rsid w:val="00610092"/>
    <w:rsid w:val="00610203"/>
    <w:rsid w:val="00610978"/>
    <w:rsid w:val="00611451"/>
    <w:rsid w:val="00611D8C"/>
    <w:rsid w:val="00612088"/>
    <w:rsid w:val="00612A6F"/>
    <w:rsid w:val="00612C8D"/>
    <w:rsid w:val="00612FF5"/>
    <w:rsid w:val="00613779"/>
    <w:rsid w:val="0061392B"/>
    <w:rsid w:val="006147E5"/>
    <w:rsid w:val="006149AC"/>
    <w:rsid w:val="00614C78"/>
    <w:rsid w:val="00614D6B"/>
    <w:rsid w:val="00615993"/>
    <w:rsid w:val="00615DD1"/>
    <w:rsid w:val="00615F6C"/>
    <w:rsid w:val="00616003"/>
    <w:rsid w:val="0061636B"/>
    <w:rsid w:val="006171A8"/>
    <w:rsid w:val="00617481"/>
    <w:rsid w:val="00617B6C"/>
    <w:rsid w:val="00617BD2"/>
    <w:rsid w:val="00620880"/>
    <w:rsid w:val="0062165E"/>
    <w:rsid w:val="00621F51"/>
    <w:rsid w:val="0062242B"/>
    <w:rsid w:val="00622B03"/>
    <w:rsid w:val="00623B66"/>
    <w:rsid w:val="006240EA"/>
    <w:rsid w:val="006240F3"/>
    <w:rsid w:val="00624BB1"/>
    <w:rsid w:val="00624EC1"/>
    <w:rsid w:val="006251F0"/>
    <w:rsid w:val="0062554A"/>
    <w:rsid w:val="00625C2E"/>
    <w:rsid w:val="00625C90"/>
    <w:rsid w:val="00625EBF"/>
    <w:rsid w:val="006262CB"/>
    <w:rsid w:val="00626CE2"/>
    <w:rsid w:val="00626F83"/>
    <w:rsid w:val="00626F8E"/>
    <w:rsid w:val="00626FF8"/>
    <w:rsid w:val="006274C6"/>
    <w:rsid w:val="00627500"/>
    <w:rsid w:val="00627889"/>
    <w:rsid w:val="00630A35"/>
    <w:rsid w:val="00630A39"/>
    <w:rsid w:val="006312B9"/>
    <w:rsid w:val="006313F4"/>
    <w:rsid w:val="00631B7B"/>
    <w:rsid w:val="0063286D"/>
    <w:rsid w:val="00632E97"/>
    <w:rsid w:val="006332BE"/>
    <w:rsid w:val="0063379F"/>
    <w:rsid w:val="00633AD5"/>
    <w:rsid w:val="00634073"/>
    <w:rsid w:val="006343F8"/>
    <w:rsid w:val="006345C2"/>
    <w:rsid w:val="00635B6C"/>
    <w:rsid w:val="00635C0B"/>
    <w:rsid w:val="0063635E"/>
    <w:rsid w:val="006368C1"/>
    <w:rsid w:val="00636D1B"/>
    <w:rsid w:val="00636D73"/>
    <w:rsid w:val="006378BB"/>
    <w:rsid w:val="00637DB8"/>
    <w:rsid w:val="00640328"/>
    <w:rsid w:val="00640D5F"/>
    <w:rsid w:val="00641033"/>
    <w:rsid w:val="00642560"/>
    <w:rsid w:val="006429C8"/>
    <w:rsid w:val="00642D3C"/>
    <w:rsid w:val="00642FED"/>
    <w:rsid w:val="006436C9"/>
    <w:rsid w:val="00643BC0"/>
    <w:rsid w:val="00643EEA"/>
    <w:rsid w:val="0064401F"/>
    <w:rsid w:val="00644085"/>
    <w:rsid w:val="0064426C"/>
    <w:rsid w:val="00644682"/>
    <w:rsid w:val="00644B59"/>
    <w:rsid w:val="00644BB2"/>
    <w:rsid w:val="00646307"/>
    <w:rsid w:val="0064783D"/>
    <w:rsid w:val="00647879"/>
    <w:rsid w:val="0064797E"/>
    <w:rsid w:val="006479C2"/>
    <w:rsid w:val="00647F5F"/>
    <w:rsid w:val="00647FD8"/>
    <w:rsid w:val="00650119"/>
    <w:rsid w:val="00650761"/>
    <w:rsid w:val="00650D7D"/>
    <w:rsid w:val="006511B5"/>
    <w:rsid w:val="0065147D"/>
    <w:rsid w:val="00651843"/>
    <w:rsid w:val="00651987"/>
    <w:rsid w:val="00651CEE"/>
    <w:rsid w:val="0065211D"/>
    <w:rsid w:val="0065251A"/>
    <w:rsid w:val="00652BC3"/>
    <w:rsid w:val="006537AB"/>
    <w:rsid w:val="0065412A"/>
    <w:rsid w:val="0065424A"/>
    <w:rsid w:val="00654BA0"/>
    <w:rsid w:val="00654CCA"/>
    <w:rsid w:val="00655B53"/>
    <w:rsid w:val="006561CC"/>
    <w:rsid w:val="00656697"/>
    <w:rsid w:val="006568E9"/>
    <w:rsid w:val="00656B61"/>
    <w:rsid w:val="00656C31"/>
    <w:rsid w:val="00656D14"/>
    <w:rsid w:val="006606D5"/>
    <w:rsid w:val="006619A0"/>
    <w:rsid w:val="00661B08"/>
    <w:rsid w:val="00661D78"/>
    <w:rsid w:val="006621AF"/>
    <w:rsid w:val="006632A3"/>
    <w:rsid w:val="006633C3"/>
    <w:rsid w:val="006638D8"/>
    <w:rsid w:val="00663BDF"/>
    <w:rsid w:val="006647C9"/>
    <w:rsid w:val="00664BCC"/>
    <w:rsid w:val="00664BF8"/>
    <w:rsid w:val="00664CBB"/>
    <w:rsid w:val="0066501C"/>
    <w:rsid w:val="0066582A"/>
    <w:rsid w:val="006662DD"/>
    <w:rsid w:val="006671EE"/>
    <w:rsid w:val="00670586"/>
    <w:rsid w:val="00671063"/>
    <w:rsid w:val="00671649"/>
    <w:rsid w:val="00671B30"/>
    <w:rsid w:val="00671BC9"/>
    <w:rsid w:val="00671EBD"/>
    <w:rsid w:val="0067209B"/>
    <w:rsid w:val="0067251A"/>
    <w:rsid w:val="006725AE"/>
    <w:rsid w:val="00672705"/>
    <w:rsid w:val="0067295F"/>
    <w:rsid w:val="00672C02"/>
    <w:rsid w:val="00672CEE"/>
    <w:rsid w:val="006730CE"/>
    <w:rsid w:val="00673C98"/>
    <w:rsid w:val="0067446E"/>
    <w:rsid w:val="00674D13"/>
    <w:rsid w:val="00674D4F"/>
    <w:rsid w:val="00674EF5"/>
    <w:rsid w:val="00676340"/>
    <w:rsid w:val="00676836"/>
    <w:rsid w:val="00677697"/>
    <w:rsid w:val="00677B6B"/>
    <w:rsid w:val="00677D79"/>
    <w:rsid w:val="00677DC5"/>
    <w:rsid w:val="00680290"/>
    <w:rsid w:val="006806D2"/>
    <w:rsid w:val="00680873"/>
    <w:rsid w:val="0068101C"/>
    <w:rsid w:val="0068110A"/>
    <w:rsid w:val="00681B44"/>
    <w:rsid w:val="00681BF8"/>
    <w:rsid w:val="0068250F"/>
    <w:rsid w:val="006829C1"/>
    <w:rsid w:val="00682CB3"/>
    <w:rsid w:val="0068382C"/>
    <w:rsid w:val="0068487E"/>
    <w:rsid w:val="0068507E"/>
    <w:rsid w:val="006853A2"/>
    <w:rsid w:val="00685ABB"/>
    <w:rsid w:val="0068604D"/>
    <w:rsid w:val="00686689"/>
    <w:rsid w:val="00687855"/>
    <w:rsid w:val="00691BCB"/>
    <w:rsid w:val="00691DFA"/>
    <w:rsid w:val="00691F79"/>
    <w:rsid w:val="00692151"/>
    <w:rsid w:val="0069235B"/>
    <w:rsid w:val="00692E3C"/>
    <w:rsid w:val="006936C1"/>
    <w:rsid w:val="00693ADC"/>
    <w:rsid w:val="00693FAB"/>
    <w:rsid w:val="00694633"/>
    <w:rsid w:val="006946D0"/>
    <w:rsid w:val="0069492D"/>
    <w:rsid w:val="00694EEF"/>
    <w:rsid w:val="00695109"/>
    <w:rsid w:val="006953D9"/>
    <w:rsid w:val="0069565A"/>
    <w:rsid w:val="00696032"/>
    <w:rsid w:val="006961B0"/>
    <w:rsid w:val="006963EF"/>
    <w:rsid w:val="006969CA"/>
    <w:rsid w:val="006969F4"/>
    <w:rsid w:val="0069772B"/>
    <w:rsid w:val="00697867"/>
    <w:rsid w:val="00697A70"/>
    <w:rsid w:val="00697C18"/>
    <w:rsid w:val="006A0646"/>
    <w:rsid w:val="006A0E42"/>
    <w:rsid w:val="006A24D1"/>
    <w:rsid w:val="006A36DF"/>
    <w:rsid w:val="006A3B42"/>
    <w:rsid w:val="006A3F83"/>
    <w:rsid w:val="006A4926"/>
    <w:rsid w:val="006A49D4"/>
    <w:rsid w:val="006A5441"/>
    <w:rsid w:val="006A5D88"/>
    <w:rsid w:val="006A690B"/>
    <w:rsid w:val="006A6FCE"/>
    <w:rsid w:val="006B0D42"/>
    <w:rsid w:val="006B10EB"/>
    <w:rsid w:val="006B18BB"/>
    <w:rsid w:val="006B31A6"/>
    <w:rsid w:val="006B37A2"/>
    <w:rsid w:val="006B39C8"/>
    <w:rsid w:val="006B4400"/>
    <w:rsid w:val="006B5255"/>
    <w:rsid w:val="006B52B1"/>
    <w:rsid w:val="006B7330"/>
    <w:rsid w:val="006C0F00"/>
    <w:rsid w:val="006C1ADA"/>
    <w:rsid w:val="006C1FB0"/>
    <w:rsid w:val="006C2393"/>
    <w:rsid w:val="006C2A31"/>
    <w:rsid w:val="006C2D94"/>
    <w:rsid w:val="006C359B"/>
    <w:rsid w:val="006C3CCF"/>
    <w:rsid w:val="006C3D34"/>
    <w:rsid w:val="006C3EFE"/>
    <w:rsid w:val="006C4447"/>
    <w:rsid w:val="006C47D5"/>
    <w:rsid w:val="006C4E73"/>
    <w:rsid w:val="006C50E5"/>
    <w:rsid w:val="006C5B7A"/>
    <w:rsid w:val="006C6148"/>
    <w:rsid w:val="006C6173"/>
    <w:rsid w:val="006C637B"/>
    <w:rsid w:val="006C6A0A"/>
    <w:rsid w:val="006C6A50"/>
    <w:rsid w:val="006C702A"/>
    <w:rsid w:val="006C7738"/>
    <w:rsid w:val="006D044A"/>
    <w:rsid w:val="006D0B8E"/>
    <w:rsid w:val="006D0E50"/>
    <w:rsid w:val="006D1523"/>
    <w:rsid w:val="006D1594"/>
    <w:rsid w:val="006D1681"/>
    <w:rsid w:val="006D1AD0"/>
    <w:rsid w:val="006D1F1F"/>
    <w:rsid w:val="006D24B3"/>
    <w:rsid w:val="006D285F"/>
    <w:rsid w:val="006D2E15"/>
    <w:rsid w:val="006D3C5D"/>
    <w:rsid w:val="006D416C"/>
    <w:rsid w:val="006D481C"/>
    <w:rsid w:val="006D4EFB"/>
    <w:rsid w:val="006D4FDE"/>
    <w:rsid w:val="006D5115"/>
    <w:rsid w:val="006D5715"/>
    <w:rsid w:val="006D5FEB"/>
    <w:rsid w:val="006D62FB"/>
    <w:rsid w:val="006D6820"/>
    <w:rsid w:val="006D6E50"/>
    <w:rsid w:val="006E0976"/>
    <w:rsid w:val="006E0F12"/>
    <w:rsid w:val="006E26AF"/>
    <w:rsid w:val="006E32E2"/>
    <w:rsid w:val="006E380F"/>
    <w:rsid w:val="006E4F5A"/>
    <w:rsid w:val="006E5610"/>
    <w:rsid w:val="006E584D"/>
    <w:rsid w:val="006E5908"/>
    <w:rsid w:val="006E5D47"/>
    <w:rsid w:val="006E6035"/>
    <w:rsid w:val="006E608A"/>
    <w:rsid w:val="006E624D"/>
    <w:rsid w:val="006E676E"/>
    <w:rsid w:val="006E6B9E"/>
    <w:rsid w:val="006E6CB5"/>
    <w:rsid w:val="006E77F1"/>
    <w:rsid w:val="006E78C0"/>
    <w:rsid w:val="006F0A6E"/>
    <w:rsid w:val="006F16BC"/>
    <w:rsid w:val="006F1B21"/>
    <w:rsid w:val="006F2415"/>
    <w:rsid w:val="006F2538"/>
    <w:rsid w:val="006F2B0D"/>
    <w:rsid w:val="006F2E71"/>
    <w:rsid w:val="006F338D"/>
    <w:rsid w:val="006F4161"/>
    <w:rsid w:val="006F416B"/>
    <w:rsid w:val="006F5AE8"/>
    <w:rsid w:val="006F5B64"/>
    <w:rsid w:val="006F5C98"/>
    <w:rsid w:val="006F604B"/>
    <w:rsid w:val="006F60F5"/>
    <w:rsid w:val="006F6244"/>
    <w:rsid w:val="006F6D1D"/>
    <w:rsid w:val="006F78BF"/>
    <w:rsid w:val="006F7F20"/>
    <w:rsid w:val="007007BC"/>
    <w:rsid w:val="00700A42"/>
    <w:rsid w:val="00700A76"/>
    <w:rsid w:val="00701AB9"/>
    <w:rsid w:val="00701FA9"/>
    <w:rsid w:val="007025EB"/>
    <w:rsid w:val="007029FB"/>
    <w:rsid w:val="00703032"/>
    <w:rsid w:val="00703A34"/>
    <w:rsid w:val="00703AB7"/>
    <w:rsid w:val="00704347"/>
    <w:rsid w:val="00704AFA"/>
    <w:rsid w:val="007052E9"/>
    <w:rsid w:val="00705C4B"/>
    <w:rsid w:val="00705D4A"/>
    <w:rsid w:val="00706826"/>
    <w:rsid w:val="0070721E"/>
    <w:rsid w:val="00707225"/>
    <w:rsid w:val="00707309"/>
    <w:rsid w:val="00707F21"/>
    <w:rsid w:val="0071080F"/>
    <w:rsid w:val="00710D7C"/>
    <w:rsid w:val="007118DA"/>
    <w:rsid w:val="00712A2B"/>
    <w:rsid w:val="00712BC9"/>
    <w:rsid w:val="00712E4A"/>
    <w:rsid w:val="007132E3"/>
    <w:rsid w:val="00714016"/>
    <w:rsid w:val="007141C4"/>
    <w:rsid w:val="007142E7"/>
    <w:rsid w:val="00714365"/>
    <w:rsid w:val="007149A2"/>
    <w:rsid w:val="0071531E"/>
    <w:rsid w:val="00715967"/>
    <w:rsid w:val="00715EE2"/>
    <w:rsid w:val="007161C7"/>
    <w:rsid w:val="00716C99"/>
    <w:rsid w:val="007170C3"/>
    <w:rsid w:val="007170F2"/>
    <w:rsid w:val="00720058"/>
    <w:rsid w:val="00720273"/>
    <w:rsid w:val="00720C01"/>
    <w:rsid w:val="00721564"/>
    <w:rsid w:val="00721632"/>
    <w:rsid w:val="0072201E"/>
    <w:rsid w:val="00722052"/>
    <w:rsid w:val="00722933"/>
    <w:rsid w:val="007230CB"/>
    <w:rsid w:val="007233EB"/>
    <w:rsid w:val="0072349A"/>
    <w:rsid w:val="007238C3"/>
    <w:rsid w:val="007244FC"/>
    <w:rsid w:val="00725FEB"/>
    <w:rsid w:val="00726092"/>
    <w:rsid w:val="007262CC"/>
    <w:rsid w:val="00726327"/>
    <w:rsid w:val="00726939"/>
    <w:rsid w:val="00726C7E"/>
    <w:rsid w:val="0072736A"/>
    <w:rsid w:val="007279BD"/>
    <w:rsid w:val="00727DAB"/>
    <w:rsid w:val="0073024D"/>
    <w:rsid w:val="0073028B"/>
    <w:rsid w:val="007313C4"/>
    <w:rsid w:val="007314BC"/>
    <w:rsid w:val="007314CC"/>
    <w:rsid w:val="007317D7"/>
    <w:rsid w:val="00732178"/>
    <w:rsid w:val="0073239E"/>
    <w:rsid w:val="007324B2"/>
    <w:rsid w:val="00732C9C"/>
    <w:rsid w:val="007330D6"/>
    <w:rsid w:val="007340A0"/>
    <w:rsid w:val="007343FF"/>
    <w:rsid w:val="00734593"/>
    <w:rsid w:val="007347B4"/>
    <w:rsid w:val="00734AA7"/>
    <w:rsid w:val="00734B7F"/>
    <w:rsid w:val="00734DDB"/>
    <w:rsid w:val="00735A1F"/>
    <w:rsid w:val="00735EEB"/>
    <w:rsid w:val="00736008"/>
    <w:rsid w:val="00736147"/>
    <w:rsid w:val="0073620F"/>
    <w:rsid w:val="00736ADF"/>
    <w:rsid w:val="0073734F"/>
    <w:rsid w:val="00737B3A"/>
    <w:rsid w:val="00737EC7"/>
    <w:rsid w:val="00741925"/>
    <w:rsid w:val="007422EE"/>
    <w:rsid w:val="0074251F"/>
    <w:rsid w:val="00742B02"/>
    <w:rsid w:val="00742B3D"/>
    <w:rsid w:val="00742CAA"/>
    <w:rsid w:val="00743154"/>
    <w:rsid w:val="007438CF"/>
    <w:rsid w:val="00744085"/>
    <w:rsid w:val="0074417E"/>
    <w:rsid w:val="007446B4"/>
    <w:rsid w:val="00745284"/>
    <w:rsid w:val="00745575"/>
    <w:rsid w:val="007455F6"/>
    <w:rsid w:val="007459D8"/>
    <w:rsid w:val="0074699D"/>
    <w:rsid w:val="00747022"/>
    <w:rsid w:val="007472E5"/>
    <w:rsid w:val="00747902"/>
    <w:rsid w:val="00747C52"/>
    <w:rsid w:val="00750E2F"/>
    <w:rsid w:val="007510A2"/>
    <w:rsid w:val="00751281"/>
    <w:rsid w:val="007513D3"/>
    <w:rsid w:val="0075210C"/>
    <w:rsid w:val="00752AA0"/>
    <w:rsid w:val="00752C1B"/>
    <w:rsid w:val="00752C50"/>
    <w:rsid w:val="007530F2"/>
    <w:rsid w:val="0075428D"/>
    <w:rsid w:val="0075477F"/>
    <w:rsid w:val="007547B4"/>
    <w:rsid w:val="007549EE"/>
    <w:rsid w:val="00754ABF"/>
    <w:rsid w:val="00755CB7"/>
    <w:rsid w:val="00756567"/>
    <w:rsid w:val="0075658F"/>
    <w:rsid w:val="00756901"/>
    <w:rsid w:val="00757D34"/>
    <w:rsid w:val="00757F8B"/>
    <w:rsid w:val="007600BE"/>
    <w:rsid w:val="00760889"/>
    <w:rsid w:val="00760C2F"/>
    <w:rsid w:val="00760F14"/>
    <w:rsid w:val="00760F98"/>
    <w:rsid w:val="00761223"/>
    <w:rsid w:val="00762B51"/>
    <w:rsid w:val="00763255"/>
    <w:rsid w:val="007632C1"/>
    <w:rsid w:val="007637E6"/>
    <w:rsid w:val="00764591"/>
    <w:rsid w:val="007648C3"/>
    <w:rsid w:val="00764D72"/>
    <w:rsid w:val="00765777"/>
    <w:rsid w:val="00765884"/>
    <w:rsid w:val="00767EDF"/>
    <w:rsid w:val="0077093D"/>
    <w:rsid w:val="00770A11"/>
    <w:rsid w:val="00771D0F"/>
    <w:rsid w:val="00771F4B"/>
    <w:rsid w:val="0077202E"/>
    <w:rsid w:val="0077236B"/>
    <w:rsid w:val="007724B3"/>
    <w:rsid w:val="007726EF"/>
    <w:rsid w:val="00772CD5"/>
    <w:rsid w:val="00772D9B"/>
    <w:rsid w:val="0077374C"/>
    <w:rsid w:val="00773980"/>
    <w:rsid w:val="00773ACC"/>
    <w:rsid w:val="00773DCE"/>
    <w:rsid w:val="00773E1A"/>
    <w:rsid w:val="00773F71"/>
    <w:rsid w:val="00774314"/>
    <w:rsid w:val="0077532D"/>
    <w:rsid w:val="00775AB2"/>
    <w:rsid w:val="00776F4C"/>
    <w:rsid w:val="0077779C"/>
    <w:rsid w:val="00777B45"/>
    <w:rsid w:val="00777ED9"/>
    <w:rsid w:val="007803E8"/>
    <w:rsid w:val="00780D08"/>
    <w:rsid w:val="007810FC"/>
    <w:rsid w:val="007812AC"/>
    <w:rsid w:val="00781726"/>
    <w:rsid w:val="00781B52"/>
    <w:rsid w:val="00782FA6"/>
    <w:rsid w:val="00783C57"/>
    <w:rsid w:val="00784916"/>
    <w:rsid w:val="00785CEE"/>
    <w:rsid w:val="00785F50"/>
    <w:rsid w:val="0078635D"/>
    <w:rsid w:val="007869D5"/>
    <w:rsid w:val="00786D11"/>
    <w:rsid w:val="0079018A"/>
    <w:rsid w:val="00790594"/>
    <w:rsid w:val="00790BE5"/>
    <w:rsid w:val="00791861"/>
    <w:rsid w:val="0079235F"/>
    <w:rsid w:val="00792D49"/>
    <w:rsid w:val="007930AE"/>
    <w:rsid w:val="0079366D"/>
    <w:rsid w:val="007937E9"/>
    <w:rsid w:val="00794226"/>
    <w:rsid w:val="007944A7"/>
    <w:rsid w:val="00794886"/>
    <w:rsid w:val="007948C8"/>
    <w:rsid w:val="00794962"/>
    <w:rsid w:val="00795043"/>
    <w:rsid w:val="00795117"/>
    <w:rsid w:val="00795C23"/>
    <w:rsid w:val="00795CE9"/>
    <w:rsid w:val="00795E37"/>
    <w:rsid w:val="00796708"/>
    <w:rsid w:val="00797699"/>
    <w:rsid w:val="0079778E"/>
    <w:rsid w:val="007A034C"/>
    <w:rsid w:val="007A0352"/>
    <w:rsid w:val="007A09E1"/>
    <w:rsid w:val="007A0CF5"/>
    <w:rsid w:val="007A0E1E"/>
    <w:rsid w:val="007A0FD5"/>
    <w:rsid w:val="007A153D"/>
    <w:rsid w:val="007A168C"/>
    <w:rsid w:val="007A257D"/>
    <w:rsid w:val="007A2A06"/>
    <w:rsid w:val="007A2F54"/>
    <w:rsid w:val="007A3175"/>
    <w:rsid w:val="007A4234"/>
    <w:rsid w:val="007A4397"/>
    <w:rsid w:val="007A4B48"/>
    <w:rsid w:val="007A4D39"/>
    <w:rsid w:val="007A5C89"/>
    <w:rsid w:val="007A614B"/>
    <w:rsid w:val="007A66F7"/>
    <w:rsid w:val="007A673C"/>
    <w:rsid w:val="007A6777"/>
    <w:rsid w:val="007A687B"/>
    <w:rsid w:val="007A6C67"/>
    <w:rsid w:val="007A6E8C"/>
    <w:rsid w:val="007A763C"/>
    <w:rsid w:val="007A7A74"/>
    <w:rsid w:val="007A7F12"/>
    <w:rsid w:val="007B0633"/>
    <w:rsid w:val="007B0E39"/>
    <w:rsid w:val="007B192A"/>
    <w:rsid w:val="007B2BFB"/>
    <w:rsid w:val="007B3D42"/>
    <w:rsid w:val="007B3F76"/>
    <w:rsid w:val="007B3FD0"/>
    <w:rsid w:val="007B463B"/>
    <w:rsid w:val="007B57C7"/>
    <w:rsid w:val="007B5A22"/>
    <w:rsid w:val="007B5D10"/>
    <w:rsid w:val="007B6110"/>
    <w:rsid w:val="007B6B7D"/>
    <w:rsid w:val="007B7110"/>
    <w:rsid w:val="007B71B3"/>
    <w:rsid w:val="007B76C9"/>
    <w:rsid w:val="007B7A4A"/>
    <w:rsid w:val="007B7F47"/>
    <w:rsid w:val="007C0065"/>
    <w:rsid w:val="007C0066"/>
    <w:rsid w:val="007C0C47"/>
    <w:rsid w:val="007C11D1"/>
    <w:rsid w:val="007C13CD"/>
    <w:rsid w:val="007C15E3"/>
    <w:rsid w:val="007C1C51"/>
    <w:rsid w:val="007C1DE2"/>
    <w:rsid w:val="007C2387"/>
    <w:rsid w:val="007C39D0"/>
    <w:rsid w:val="007C4848"/>
    <w:rsid w:val="007C52AF"/>
    <w:rsid w:val="007C638C"/>
    <w:rsid w:val="007C6B1A"/>
    <w:rsid w:val="007C764C"/>
    <w:rsid w:val="007D2472"/>
    <w:rsid w:val="007D24AE"/>
    <w:rsid w:val="007D2A43"/>
    <w:rsid w:val="007D32DB"/>
    <w:rsid w:val="007D3D7A"/>
    <w:rsid w:val="007D3E89"/>
    <w:rsid w:val="007D4EDA"/>
    <w:rsid w:val="007D50D4"/>
    <w:rsid w:val="007D57DD"/>
    <w:rsid w:val="007D5A59"/>
    <w:rsid w:val="007D6544"/>
    <w:rsid w:val="007D67B0"/>
    <w:rsid w:val="007D6C73"/>
    <w:rsid w:val="007D6F25"/>
    <w:rsid w:val="007D7602"/>
    <w:rsid w:val="007D7A71"/>
    <w:rsid w:val="007D7B57"/>
    <w:rsid w:val="007D7B5A"/>
    <w:rsid w:val="007D7CB5"/>
    <w:rsid w:val="007D7D28"/>
    <w:rsid w:val="007D7F3A"/>
    <w:rsid w:val="007E02D6"/>
    <w:rsid w:val="007E048F"/>
    <w:rsid w:val="007E0CAB"/>
    <w:rsid w:val="007E1470"/>
    <w:rsid w:val="007E24BD"/>
    <w:rsid w:val="007E2B6B"/>
    <w:rsid w:val="007E3DC1"/>
    <w:rsid w:val="007E4563"/>
    <w:rsid w:val="007E4950"/>
    <w:rsid w:val="007E53A8"/>
    <w:rsid w:val="007E566A"/>
    <w:rsid w:val="007E5C89"/>
    <w:rsid w:val="007E67CD"/>
    <w:rsid w:val="007E6EF1"/>
    <w:rsid w:val="007E70F4"/>
    <w:rsid w:val="007E71C6"/>
    <w:rsid w:val="007E72D1"/>
    <w:rsid w:val="007E77B2"/>
    <w:rsid w:val="007E7B55"/>
    <w:rsid w:val="007E7C33"/>
    <w:rsid w:val="007F0605"/>
    <w:rsid w:val="007F09BF"/>
    <w:rsid w:val="007F1573"/>
    <w:rsid w:val="007F2273"/>
    <w:rsid w:val="007F22F6"/>
    <w:rsid w:val="007F25F5"/>
    <w:rsid w:val="007F41B1"/>
    <w:rsid w:val="007F4223"/>
    <w:rsid w:val="007F4769"/>
    <w:rsid w:val="007F47FC"/>
    <w:rsid w:val="007F5003"/>
    <w:rsid w:val="007F5127"/>
    <w:rsid w:val="007F5B69"/>
    <w:rsid w:val="007F5D94"/>
    <w:rsid w:val="007F649D"/>
    <w:rsid w:val="007F7402"/>
    <w:rsid w:val="008004F7"/>
    <w:rsid w:val="00800534"/>
    <w:rsid w:val="00801176"/>
    <w:rsid w:val="008013D4"/>
    <w:rsid w:val="00801770"/>
    <w:rsid w:val="0080221B"/>
    <w:rsid w:val="008029DA"/>
    <w:rsid w:val="008041CC"/>
    <w:rsid w:val="00804745"/>
    <w:rsid w:val="008047AB"/>
    <w:rsid w:val="008049CF"/>
    <w:rsid w:val="00804C9B"/>
    <w:rsid w:val="00804D3A"/>
    <w:rsid w:val="008051EF"/>
    <w:rsid w:val="008055D9"/>
    <w:rsid w:val="00805C01"/>
    <w:rsid w:val="00805D3F"/>
    <w:rsid w:val="0080641E"/>
    <w:rsid w:val="0080685A"/>
    <w:rsid w:val="00806FEE"/>
    <w:rsid w:val="00807454"/>
    <w:rsid w:val="00810468"/>
    <w:rsid w:val="008105EE"/>
    <w:rsid w:val="00810844"/>
    <w:rsid w:val="0081180F"/>
    <w:rsid w:val="00812E48"/>
    <w:rsid w:val="00813880"/>
    <w:rsid w:val="00813C36"/>
    <w:rsid w:val="00813F48"/>
    <w:rsid w:val="008143A2"/>
    <w:rsid w:val="00814BD2"/>
    <w:rsid w:val="00814C0D"/>
    <w:rsid w:val="00814DE5"/>
    <w:rsid w:val="00815127"/>
    <w:rsid w:val="0081605D"/>
    <w:rsid w:val="00816A59"/>
    <w:rsid w:val="00817475"/>
    <w:rsid w:val="00817BB7"/>
    <w:rsid w:val="00817C82"/>
    <w:rsid w:val="00820C73"/>
    <w:rsid w:val="00820E1B"/>
    <w:rsid w:val="008210B5"/>
    <w:rsid w:val="008212A6"/>
    <w:rsid w:val="00821D48"/>
    <w:rsid w:val="008220CF"/>
    <w:rsid w:val="0082246C"/>
    <w:rsid w:val="00822C02"/>
    <w:rsid w:val="00822DD7"/>
    <w:rsid w:val="00823546"/>
    <w:rsid w:val="00823FFD"/>
    <w:rsid w:val="00824407"/>
    <w:rsid w:val="00824A6F"/>
    <w:rsid w:val="008256CE"/>
    <w:rsid w:val="00825733"/>
    <w:rsid w:val="00825895"/>
    <w:rsid w:val="0082594E"/>
    <w:rsid w:val="0082624D"/>
    <w:rsid w:val="00826EE6"/>
    <w:rsid w:val="00826F76"/>
    <w:rsid w:val="00827AE1"/>
    <w:rsid w:val="00830B28"/>
    <w:rsid w:val="00831574"/>
    <w:rsid w:val="00831CDC"/>
    <w:rsid w:val="00831F87"/>
    <w:rsid w:val="00832404"/>
    <w:rsid w:val="00832B9E"/>
    <w:rsid w:val="00833194"/>
    <w:rsid w:val="008331A1"/>
    <w:rsid w:val="0083326A"/>
    <w:rsid w:val="0083335F"/>
    <w:rsid w:val="008333D1"/>
    <w:rsid w:val="008333FB"/>
    <w:rsid w:val="00834465"/>
    <w:rsid w:val="0083447B"/>
    <w:rsid w:val="0083471C"/>
    <w:rsid w:val="0083524C"/>
    <w:rsid w:val="00835B20"/>
    <w:rsid w:val="00835C9E"/>
    <w:rsid w:val="00835D67"/>
    <w:rsid w:val="0083622F"/>
    <w:rsid w:val="008369C2"/>
    <w:rsid w:val="00836B4B"/>
    <w:rsid w:val="00836C75"/>
    <w:rsid w:val="00836D07"/>
    <w:rsid w:val="008379D0"/>
    <w:rsid w:val="00837A26"/>
    <w:rsid w:val="0084050A"/>
    <w:rsid w:val="008405F5"/>
    <w:rsid w:val="00841DD8"/>
    <w:rsid w:val="00842442"/>
    <w:rsid w:val="00843491"/>
    <w:rsid w:val="008434B8"/>
    <w:rsid w:val="00843A2B"/>
    <w:rsid w:val="008446BE"/>
    <w:rsid w:val="0084497E"/>
    <w:rsid w:val="00844C95"/>
    <w:rsid w:val="008450A1"/>
    <w:rsid w:val="00845263"/>
    <w:rsid w:val="00845285"/>
    <w:rsid w:val="00845CD2"/>
    <w:rsid w:val="008461F1"/>
    <w:rsid w:val="008466C6"/>
    <w:rsid w:val="00846A0C"/>
    <w:rsid w:val="00846A9B"/>
    <w:rsid w:val="00846B09"/>
    <w:rsid w:val="008475FF"/>
    <w:rsid w:val="008479D5"/>
    <w:rsid w:val="00847F21"/>
    <w:rsid w:val="00850348"/>
    <w:rsid w:val="0085044B"/>
    <w:rsid w:val="00850874"/>
    <w:rsid w:val="00851215"/>
    <w:rsid w:val="0085291E"/>
    <w:rsid w:val="00853765"/>
    <w:rsid w:val="00853927"/>
    <w:rsid w:val="00853B0A"/>
    <w:rsid w:val="0085443D"/>
    <w:rsid w:val="0085494F"/>
    <w:rsid w:val="00854EC5"/>
    <w:rsid w:val="008550EF"/>
    <w:rsid w:val="00855162"/>
    <w:rsid w:val="00855224"/>
    <w:rsid w:val="00856282"/>
    <w:rsid w:val="00857939"/>
    <w:rsid w:val="008579D2"/>
    <w:rsid w:val="00860DCF"/>
    <w:rsid w:val="00860F12"/>
    <w:rsid w:val="00861A59"/>
    <w:rsid w:val="00861E85"/>
    <w:rsid w:val="00862773"/>
    <w:rsid w:val="00862E24"/>
    <w:rsid w:val="00862FD5"/>
    <w:rsid w:val="008631A0"/>
    <w:rsid w:val="008633CA"/>
    <w:rsid w:val="00863733"/>
    <w:rsid w:val="008641CA"/>
    <w:rsid w:val="00864414"/>
    <w:rsid w:val="00864B8F"/>
    <w:rsid w:val="00865A07"/>
    <w:rsid w:val="00865A7E"/>
    <w:rsid w:val="00865E23"/>
    <w:rsid w:val="00865FBE"/>
    <w:rsid w:val="008667FD"/>
    <w:rsid w:val="008669CF"/>
    <w:rsid w:val="00867279"/>
    <w:rsid w:val="008673CD"/>
    <w:rsid w:val="008679FE"/>
    <w:rsid w:val="008700B5"/>
    <w:rsid w:val="00870542"/>
    <w:rsid w:val="0087121E"/>
    <w:rsid w:val="0087122E"/>
    <w:rsid w:val="0087161D"/>
    <w:rsid w:val="00872004"/>
    <w:rsid w:val="008725D2"/>
    <w:rsid w:val="008729F0"/>
    <w:rsid w:val="00872ACE"/>
    <w:rsid w:val="00872BC1"/>
    <w:rsid w:val="00872BD0"/>
    <w:rsid w:val="00873DB1"/>
    <w:rsid w:val="00873FB5"/>
    <w:rsid w:val="0087411B"/>
    <w:rsid w:val="008744C3"/>
    <w:rsid w:val="008744E8"/>
    <w:rsid w:val="00874CFC"/>
    <w:rsid w:val="00874D5D"/>
    <w:rsid w:val="00875395"/>
    <w:rsid w:val="00875593"/>
    <w:rsid w:val="008761E4"/>
    <w:rsid w:val="00876B6A"/>
    <w:rsid w:val="008773AA"/>
    <w:rsid w:val="00877671"/>
    <w:rsid w:val="00877E0B"/>
    <w:rsid w:val="008800FE"/>
    <w:rsid w:val="00880167"/>
    <w:rsid w:val="00880D16"/>
    <w:rsid w:val="008813A0"/>
    <w:rsid w:val="00881425"/>
    <w:rsid w:val="00881C29"/>
    <w:rsid w:val="00881C92"/>
    <w:rsid w:val="00883418"/>
    <w:rsid w:val="0088371E"/>
    <w:rsid w:val="008841C6"/>
    <w:rsid w:val="008852D5"/>
    <w:rsid w:val="008853C9"/>
    <w:rsid w:val="00885FC2"/>
    <w:rsid w:val="00885FD9"/>
    <w:rsid w:val="0088637C"/>
    <w:rsid w:val="00886524"/>
    <w:rsid w:val="00886C8C"/>
    <w:rsid w:val="0088750F"/>
    <w:rsid w:val="0088781B"/>
    <w:rsid w:val="00887FBF"/>
    <w:rsid w:val="008902EA"/>
    <w:rsid w:val="00890853"/>
    <w:rsid w:val="008908DB"/>
    <w:rsid w:val="00890C3C"/>
    <w:rsid w:val="008914AF"/>
    <w:rsid w:val="00892B00"/>
    <w:rsid w:val="00893668"/>
    <w:rsid w:val="008941C7"/>
    <w:rsid w:val="0089494B"/>
    <w:rsid w:val="00894CC5"/>
    <w:rsid w:val="00895238"/>
    <w:rsid w:val="00895386"/>
    <w:rsid w:val="008957DB"/>
    <w:rsid w:val="00895A20"/>
    <w:rsid w:val="00895D41"/>
    <w:rsid w:val="008969D8"/>
    <w:rsid w:val="00897433"/>
    <w:rsid w:val="00897C5A"/>
    <w:rsid w:val="008A0962"/>
    <w:rsid w:val="008A0AB3"/>
    <w:rsid w:val="008A0C72"/>
    <w:rsid w:val="008A0D17"/>
    <w:rsid w:val="008A0E42"/>
    <w:rsid w:val="008A26B6"/>
    <w:rsid w:val="008A28FC"/>
    <w:rsid w:val="008A2EEC"/>
    <w:rsid w:val="008A3F10"/>
    <w:rsid w:val="008A4679"/>
    <w:rsid w:val="008A47E1"/>
    <w:rsid w:val="008A49DD"/>
    <w:rsid w:val="008A4A16"/>
    <w:rsid w:val="008A4ADB"/>
    <w:rsid w:val="008A50F4"/>
    <w:rsid w:val="008A5951"/>
    <w:rsid w:val="008A6056"/>
    <w:rsid w:val="008A6066"/>
    <w:rsid w:val="008A6655"/>
    <w:rsid w:val="008A6BCD"/>
    <w:rsid w:val="008A6BDE"/>
    <w:rsid w:val="008A6EB5"/>
    <w:rsid w:val="008A7675"/>
    <w:rsid w:val="008A78CA"/>
    <w:rsid w:val="008B071E"/>
    <w:rsid w:val="008B0738"/>
    <w:rsid w:val="008B0B3E"/>
    <w:rsid w:val="008B1446"/>
    <w:rsid w:val="008B1D07"/>
    <w:rsid w:val="008B2126"/>
    <w:rsid w:val="008B23A9"/>
    <w:rsid w:val="008B2BA2"/>
    <w:rsid w:val="008B31E2"/>
    <w:rsid w:val="008B367A"/>
    <w:rsid w:val="008B3A65"/>
    <w:rsid w:val="008B43AC"/>
    <w:rsid w:val="008B4502"/>
    <w:rsid w:val="008B4632"/>
    <w:rsid w:val="008B465A"/>
    <w:rsid w:val="008B4EA7"/>
    <w:rsid w:val="008B5037"/>
    <w:rsid w:val="008B52AD"/>
    <w:rsid w:val="008B56F4"/>
    <w:rsid w:val="008B5976"/>
    <w:rsid w:val="008B6208"/>
    <w:rsid w:val="008B63E1"/>
    <w:rsid w:val="008B67B0"/>
    <w:rsid w:val="008B70AA"/>
    <w:rsid w:val="008B78DB"/>
    <w:rsid w:val="008B7CC0"/>
    <w:rsid w:val="008B7D04"/>
    <w:rsid w:val="008B7ED7"/>
    <w:rsid w:val="008B7FF6"/>
    <w:rsid w:val="008C019C"/>
    <w:rsid w:val="008C0470"/>
    <w:rsid w:val="008C083B"/>
    <w:rsid w:val="008C083E"/>
    <w:rsid w:val="008C08E7"/>
    <w:rsid w:val="008C0D5E"/>
    <w:rsid w:val="008C11E8"/>
    <w:rsid w:val="008C1D02"/>
    <w:rsid w:val="008C1D17"/>
    <w:rsid w:val="008C26B4"/>
    <w:rsid w:val="008C297D"/>
    <w:rsid w:val="008C345E"/>
    <w:rsid w:val="008C35EC"/>
    <w:rsid w:val="008C4658"/>
    <w:rsid w:val="008C4AD3"/>
    <w:rsid w:val="008C50D0"/>
    <w:rsid w:val="008C5408"/>
    <w:rsid w:val="008C582E"/>
    <w:rsid w:val="008C667A"/>
    <w:rsid w:val="008C6CAD"/>
    <w:rsid w:val="008C73E7"/>
    <w:rsid w:val="008C7731"/>
    <w:rsid w:val="008C7CFE"/>
    <w:rsid w:val="008C7E13"/>
    <w:rsid w:val="008C7E1E"/>
    <w:rsid w:val="008D001F"/>
    <w:rsid w:val="008D008C"/>
    <w:rsid w:val="008D1541"/>
    <w:rsid w:val="008D1D33"/>
    <w:rsid w:val="008D2926"/>
    <w:rsid w:val="008D2DCF"/>
    <w:rsid w:val="008D323A"/>
    <w:rsid w:val="008D33B6"/>
    <w:rsid w:val="008D3FA3"/>
    <w:rsid w:val="008D41C2"/>
    <w:rsid w:val="008D448A"/>
    <w:rsid w:val="008D461F"/>
    <w:rsid w:val="008D478C"/>
    <w:rsid w:val="008D4A8E"/>
    <w:rsid w:val="008D4DB7"/>
    <w:rsid w:val="008D4E6C"/>
    <w:rsid w:val="008D5616"/>
    <w:rsid w:val="008D58EE"/>
    <w:rsid w:val="008D5C64"/>
    <w:rsid w:val="008D5D2C"/>
    <w:rsid w:val="008D6F0F"/>
    <w:rsid w:val="008D71F2"/>
    <w:rsid w:val="008D7DC7"/>
    <w:rsid w:val="008E0C96"/>
    <w:rsid w:val="008E2C42"/>
    <w:rsid w:val="008E2CE5"/>
    <w:rsid w:val="008E3322"/>
    <w:rsid w:val="008E3406"/>
    <w:rsid w:val="008E368F"/>
    <w:rsid w:val="008E40FC"/>
    <w:rsid w:val="008E41B3"/>
    <w:rsid w:val="008E4774"/>
    <w:rsid w:val="008E4DE6"/>
    <w:rsid w:val="008E4FB1"/>
    <w:rsid w:val="008E57AC"/>
    <w:rsid w:val="008E5CD3"/>
    <w:rsid w:val="008E5DA7"/>
    <w:rsid w:val="008E5ED0"/>
    <w:rsid w:val="008E67EA"/>
    <w:rsid w:val="008E6D6F"/>
    <w:rsid w:val="008E7FFB"/>
    <w:rsid w:val="008F0947"/>
    <w:rsid w:val="008F14B0"/>
    <w:rsid w:val="008F1999"/>
    <w:rsid w:val="008F1E41"/>
    <w:rsid w:val="008F269E"/>
    <w:rsid w:val="008F28EB"/>
    <w:rsid w:val="008F2F86"/>
    <w:rsid w:val="008F345A"/>
    <w:rsid w:val="008F3F6D"/>
    <w:rsid w:val="008F4014"/>
    <w:rsid w:val="008F4285"/>
    <w:rsid w:val="008F42DE"/>
    <w:rsid w:val="008F6466"/>
    <w:rsid w:val="008F679D"/>
    <w:rsid w:val="008F6C37"/>
    <w:rsid w:val="008F750E"/>
    <w:rsid w:val="008F7519"/>
    <w:rsid w:val="008F7907"/>
    <w:rsid w:val="008F7938"/>
    <w:rsid w:val="00901792"/>
    <w:rsid w:val="00901817"/>
    <w:rsid w:val="00901DEB"/>
    <w:rsid w:val="00902156"/>
    <w:rsid w:val="00902BC6"/>
    <w:rsid w:val="00902CF6"/>
    <w:rsid w:val="00902D0B"/>
    <w:rsid w:val="00902D19"/>
    <w:rsid w:val="00902F02"/>
    <w:rsid w:val="00902FB2"/>
    <w:rsid w:val="00902FCA"/>
    <w:rsid w:val="009038BF"/>
    <w:rsid w:val="00903938"/>
    <w:rsid w:val="00903A02"/>
    <w:rsid w:val="00903A6E"/>
    <w:rsid w:val="009044AD"/>
    <w:rsid w:val="00904733"/>
    <w:rsid w:val="0090483C"/>
    <w:rsid w:val="0090485A"/>
    <w:rsid w:val="00904A3E"/>
    <w:rsid w:val="00904BF7"/>
    <w:rsid w:val="00904CA6"/>
    <w:rsid w:val="009050EB"/>
    <w:rsid w:val="00905492"/>
    <w:rsid w:val="00905763"/>
    <w:rsid w:val="00905C39"/>
    <w:rsid w:val="0090665E"/>
    <w:rsid w:val="00906902"/>
    <w:rsid w:val="00906BDC"/>
    <w:rsid w:val="00906C00"/>
    <w:rsid w:val="00906CF3"/>
    <w:rsid w:val="009072CE"/>
    <w:rsid w:val="00907817"/>
    <w:rsid w:val="00907B8C"/>
    <w:rsid w:val="0091021A"/>
    <w:rsid w:val="00910A04"/>
    <w:rsid w:val="00910D36"/>
    <w:rsid w:val="00910F7B"/>
    <w:rsid w:val="00911828"/>
    <w:rsid w:val="00911F1F"/>
    <w:rsid w:val="0091265E"/>
    <w:rsid w:val="00912885"/>
    <w:rsid w:val="00913349"/>
    <w:rsid w:val="00913562"/>
    <w:rsid w:val="00913C2A"/>
    <w:rsid w:val="00914327"/>
    <w:rsid w:val="009143C1"/>
    <w:rsid w:val="009146DB"/>
    <w:rsid w:val="009151A1"/>
    <w:rsid w:val="00915555"/>
    <w:rsid w:val="0091575D"/>
    <w:rsid w:val="0091602B"/>
    <w:rsid w:val="00916246"/>
    <w:rsid w:val="00916343"/>
    <w:rsid w:val="00916E1F"/>
    <w:rsid w:val="00916FB5"/>
    <w:rsid w:val="009175C4"/>
    <w:rsid w:val="0092008E"/>
    <w:rsid w:val="009205D0"/>
    <w:rsid w:val="00920E1A"/>
    <w:rsid w:val="009212B0"/>
    <w:rsid w:val="009214EE"/>
    <w:rsid w:val="0092153E"/>
    <w:rsid w:val="00921D73"/>
    <w:rsid w:val="0092219B"/>
    <w:rsid w:val="009221D1"/>
    <w:rsid w:val="0092223C"/>
    <w:rsid w:val="0092240B"/>
    <w:rsid w:val="009224FD"/>
    <w:rsid w:val="00922E3E"/>
    <w:rsid w:val="009235EC"/>
    <w:rsid w:val="009237F4"/>
    <w:rsid w:val="00924844"/>
    <w:rsid w:val="009252EE"/>
    <w:rsid w:val="00925362"/>
    <w:rsid w:val="009258B7"/>
    <w:rsid w:val="00925D5A"/>
    <w:rsid w:val="00926124"/>
    <w:rsid w:val="00926878"/>
    <w:rsid w:val="00926B48"/>
    <w:rsid w:val="00926C33"/>
    <w:rsid w:val="009273D6"/>
    <w:rsid w:val="009300AE"/>
    <w:rsid w:val="0093022F"/>
    <w:rsid w:val="009309B1"/>
    <w:rsid w:val="00931269"/>
    <w:rsid w:val="009312FC"/>
    <w:rsid w:val="009314C9"/>
    <w:rsid w:val="00931FF8"/>
    <w:rsid w:val="009321E9"/>
    <w:rsid w:val="0093256E"/>
    <w:rsid w:val="00932573"/>
    <w:rsid w:val="0093296B"/>
    <w:rsid w:val="00932BC1"/>
    <w:rsid w:val="009330C2"/>
    <w:rsid w:val="00933122"/>
    <w:rsid w:val="00933798"/>
    <w:rsid w:val="0093379F"/>
    <w:rsid w:val="00933D33"/>
    <w:rsid w:val="00934941"/>
    <w:rsid w:val="00935320"/>
    <w:rsid w:val="00935A88"/>
    <w:rsid w:val="00935E05"/>
    <w:rsid w:val="0093685A"/>
    <w:rsid w:val="00936971"/>
    <w:rsid w:val="009378A3"/>
    <w:rsid w:val="0093791B"/>
    <w:rsid w:val="009379E8"/>
    <w:rsid w:val="00937CD3"/>
    <w:rsid w:val="009409FE"/>
    <w:rsid w:val="00941356"/>
    <w:rsid w:val="00941CC5"/>
    <w:rsid w:val="00941EB9"/>
    <w:rsid w:val="00942B2B"/>
    <w:rsid w:val="00942B82"/>
    <w:rsid w:val="009432D1"/>
    <w:rsid w:val="00945297"/>
    <w:rsid w:val="0094611A"/>
    <w:rsid w:val="00946AA0"/>
    <w:rsid w:val="00946CAE"/>
    <w:rsid w:val="0094700C"/>
    <w:rsid w:val="0094725B"/>
    <w:rsid w:val="00947400"/>
    <w:rsid w:val="00947A31"/>
    <w:rsid w:val="00947A67"/>
    <w:rsid w:val="0095018F"/>
    <w:rsid w:val="00950718"/>
    <w:rsid w:val="00950DCC"/>
    <w:rsid w:val="009519F6"/>
    <w:rsid w:val="00952115"/>
    <w:rsid w:val="00953523"/>
    <w:rsid w:val="00953672"/>
    <w:rsid w:val="0095394E"/>
    <w:rsid w:val="00954190"/>
    <w:rsid w:val="009541C0"/>
    <w:rsid w:val="00954F42"/>
    <w:rsid w:val="00955491"/>
    <w:rsid w:val="009557CF"/>
    <w:rsid w:val="009559D3"/>
    <w:rsid w:val="0095606B"/>
    <w:rsid w:val="00956505"/>
    <w:rsid w:val="00957407"/>
    <w:rsid w:val="009603C5"/>
    <w:rsid w:val="009605DC"/>
    <w:rsid w:val="009610DD"/>
    <w:rsid w:val="009620A0"/>
    <w:rsid w:val="00962D23"/>
    <w:rsid w:val="009632AD"/>
    <w:rsid w:val="009633F0"/>
    <w:rsid w:val="00963EF9"/>
    <w:rsid w:val="00964375"/>
    <w:rsid w:val="009649BB"/>
    <w:rsid w:val="0096500B"/>
    <w:rsid w:val="00966556"/>
    <w:rsid w:val="009705B5"/>
    <w:rsid w:val="0097080C"/>
    <w:rsid w:val="0097080D"/>
    <w:rsid w:val="00970A58"/>
    <w:rsid w:val="00970CEC"/>
    <w:rsid w:val="00971529"/>
    <w:rsid w:val="00971901"/>
    <w:rsid w:val="00971968"/>
    <w:rsid w:val="00971A82"/>
    <w:rsid w:val="00972785"/>
    <w:rsid w:val="00972C6E"/>
    <w:rsid w:val="009730CC"/>
    <w:rsid w:val="00973328"/>
    <w:rsid w:val="009738CD"/>
    <w:rsid w:val="00973FA6"/>
    <w:rsid w:val="00973FF4"/>
    <w:rsid w:val="00974A44"/>
    <w:rsid w:val="00974A48"/>
    <w:rsid w:val="00975563"/>
    <w:rsid w:val="009760ED"/>
    <w:rsid w:val="009762EA"/>
    <w:rsid w:val="00977B8F"/>
    <w:rsid w:val="009800D9"/>
    <w:rsid w:val="00980177"/>
    <w:rsid w:val="00980300"/>
    <w:rsid w:val="00980413"/>
    <w:rsid w:val="009808D6"/>
    <w:rsid w:val="009819D6"/>
    <w:rsid w:val="00981BD0"/>
    <w:rsid w:val="00982FBB"/>
    <w:rsid w:val="00983482"/>
    <w:rsid w:val="0098491B"/>
    <w:rsid w:val="00985140"/>
    <w:rsid w:val="00985803"/>
    <w:rsid w:val="00985DA2"/>
    <w:rsid w:val="00986F6B"/>
    <w:rsid w:val="0099057E"/>
    <w:rsid w:val="0099064E"/>
    <w:rsid w:val="00990E12"/>
    <w:rsid w:val="009912D4"/>
    <w:rsid w:val="0099136B"/>
    <w:rsid w:val="00991C87"/>
    <w:rsid w:val="0099237E"/>
    <w:rsid w:val="00992765"/>
    <w:rsid w:val="00993508"/>
    <w:rsid w:val="0099351A"/>
    <w:rsid w:val="00993A50"/>
    <w:rsid w:val="00993C76"/>
    <w:rsid w:val="00993D48"/>
    <w:rsid w:val="00993F77"/>
    <w:rsid w:val="00994BDE"/>
    <w:rsid w:val="009958AA"/>
    <w:rsid w:val="00995989"/>
    <w:rsid w:val="00995B39"/>
    <w:rsid w:val="00995E09"/>
    <w:rsid w:val="00995E4E"/>
    <w:rsid w:val="00995F27"/>
    <w:rsid w:val="009960EB"/>
    <w:rsid w:val="00996103"/>
    <w:rsid w:val="0099649D"/>
    <w:rsid w:val="0099654C"/>
    <w:rsid w:val="00996571"/>
    <w:rsid w:val="00997268"/>
    <w:rsid w:val="00997269"/>
    <w:rsid w:val="00997515"/>
    <w:rsid w:val="00997ABB"/>
    <w:rsid w:val="009A040F"/>
    <w:rsid w:val="009A0564"/>
    <w:rsid w:val="009A09E3"/>
    <w:rsid w:val="009A2691"/>
    <w:rsid w:val="009A2CC8"/>
    <w:rsid w:val="009A48BB"/>
    <w:rsid w:val="009A4CA3"/>
    <w:rsid w:val="009A5B55"/>
    <w:rsid w:val="009A64C3"/>
    <w:rsid w:val="009A6C38"/>
    <w:rsid w:val="009A7D7D"/>
    <w:rsid w:val="009B0614"/>
    <w:rsid w:val="009B0746"/>
    <w:rsid w:val="009B085C"/>
    <w:rsid w:val="009B08E6"/>
    <w:rsid w:val="009B2486"/>
    <w:rsid w:val="009B279A"/>
    <w:rsid w:val="009B3078"/>
    <w:rsid w:val="009B324D"/>
    <w:rsid w:val="009B38E0"/>
    <w:rsid w:val="009B3DFF"/>
    <w:rsid w:val="009B3E91"/>
    <w:rsid w:val="009B4556"/>
    <w:rsid w:val="009B480D"/>
    <w:rsid w:val="009B49E0"/>
    <w:rsid w:val="009B4BE2"/>
    <w:rsid w:val="009B5C95"/>
    <w:rsid w:val="009B661A"/>
    <w:rsid w:val="009B6949"/>
    <w:rsid w:val="009B6B9C"/>
    <w:rsid w:val="009B714B"/>
    <w:rsid w:val="009B79A9"/>
    <w:rsid w:val="009B7ADC"/>
    <w:rsid w:val="009C0428"/>
    <w:rsid w:val="009C1C88"/>
    <w:rsid w:val="009C23EE"/>
    <w:rsid w:val="009C24C1"/>
    <w:rsid w:val="009C362E"/>
    <w:rsid w:val="009C3854"/>
    <w:rsid w:val="009C3A7A"/>
    <w:rsid w:val="009C3C29"/>
    <w:rsid w:val="009C40ED"/>
    <w:rsid w:val="009C41F1"/>
    <w:rsid w:val="009C44FB"/>
    <w:rsid w:val="009C4650"/>
    <w:rsid w:val="009C4837"/>
    <w:rsid w:val="009C4C10"/>
    <w:rsid w:val="009C4F4F"/>
    <w:rsid w:val="009C54A2"/>
    <w:rsid w:val="009C58CF"/>
    <w:rsid w:val="009C5C5E"/>
    <w:rsid w:val="009C5D41"/>
    <w:rsid w:val="009C6352"/>
    <w:rsid w:val="009C6F6F"/>
    <w:rsid w:val="009C7180"/>
    <w:rsid w:val="009C775E"/>
    <w:rsid w:val="009C7ACD"/>
    <w:rsid w:val="009C7B17"/>
    <w:rsid w:val="009D04A8"/>
    <w:rsid w:val="009D0685"/>
    <w:rsid w:val="009D095A"/>
    <w:rsid w:val="009D0BA0"/>
    <w:rsid w:val="009D0E8E"/>
    <w:rsid w:val="009D10D6"/>
    <w:rsid w:val="009D10E3"/>
    <w:rsid w:val="009D1135"/>
    <w:rsid w:val="009D121B"/>
    <w:rsid w:val="009D1783"/>
    <w:rsid w:val="009D1F7C"/>
    <w:rsid w:val="009D2103"/>
    <w:rsid w:val="009D2399"/>
    <w:rsid w:val="009D242F"/>
    <w:rsid w:val="009D2E01"/>
    <w:rsid w:val="009D3F03"/>
    <w:rsid w:val="009D408B"/>
    <w:rsid w:val="009D426D"/>
    <w:rsid w:val="009D4453"/>
    <w:rsid w:val="009D52F8"/>
    <w:rsid w:val="009D5DF4"/>
    <w:rsid w:val="009D6C13"/>
    <w:rsid w:val="009D6D6A"/>
    <w:rsid w:val="009D6FF3"/>
    <w:rsid w:val="009D73BE"/>
    <w:rsid w:val="009D7EE0"/>
    <w:rsid w:val="009E02FF"/>
    <w:rsid w:val="009E05A5"/>
    <w:rsid w:val="009E0837"/>
    <w:rsid w:val="009E0A2F"/>
    <w:rsid w:val="009E0AF9"/>
    <w:rsid w:val="009E0B91"/>
    <w:rsid w:val="009E138E"/>
    <w:rsid w:val="009E181B"/>
    <w:rsid w:val="009E1B91"/>
    <w:rsid w:val="009E25EF"/>
    <w:rsid w:val="009E2A31"/>
    <w:rsid w:val="009E43D2"/>
    <w:rsid w:val="009E450F"/>
    <w:rsid w:val="009E5F10"/>
    <w:rsid w:val="009E6195"/>
    <w:rsid w:val="009E6539"/>
    <w:rsid w:val="009E6F94"/>
    <w:rsid w:val="009E721D"/>
    <w:rsid w:val="009E730A"/>
    <w:rsid w:val="009E75E2"/>
    <w:rsid w:val="009F0BA6"/>
    <w:rsid w:val="009F1253"/>
    <w:rsid w:val="009F139E"/>
    <w:rsid w:val="009F1C7A"/>
    <w:rsid w:val="009F1F43"/>
    <w:rsid w:val="009F21CB"/>
    <w:rsid w:val="009F2489"/>
    <w:rsid w:val="009F25B1"/>
    <w:rsid w:val="009F3069"/>
    <w:rsid w:val="009F306A"/>
    <w:rsid w:val="009F35E3"/>
    <w:rsid w:val="009F3CF9"/>
    <w:rsid w:val="009F42D2"/>
    <w:rsid w:val="009F48B2"/>
    <w:rsid w:val="009F4EC2"/>
    <w:rsid w:val="009F5759"/>
    <w:rsid w:val="009F578D"/>
    <w:rsid w:val="009F5971"/>
    <w:rsid w:val="009F5B77"/>
    <w:rsid w:val="009F5CCE"/>
    <w:rsid w:val="009F5DA4"/>
    <w:rsid w:val="009F6013"/>
    <w:rsid w:val="009F72FE"/>
    <w:rsid w:val="009F7ABC"/>
    <w:rsid w:val="00A00281"/>
    <w:rsid w:val="00A0077B"/>
    <w:rsid w:val="00A00915"/>
    <w:rsid w:val="00A00B4B"/>
    <w:rsid w:val="00A01025"/>
    <w:rsid w:val="00A0105D"/>
    <w:rsid w:val="00A0127E"/>
    <w:rsid w:val="00A0138A"/>
    <w:rsid w:val="00A01610"/>
    <w:rsid w:val="00A01963"/>
    <w:rsid w:val="00A01A0E"/>
    <w:rsid w:val="00A01B7B"/>
    <w:rsid w:val="00A01F23"/>
    <w:rsid w:val="00A02810"/>
    <w:rsid w:val="00A02A33"/>
    <w:rsid w:val="00A02BEB"/>
    <w:rsid w:val="00A02D7D"/>
    <w:rsid w:val="00A032BA"/>
    <w:rsid w:val="00A037D7"/>
    <w:rsid w:val="00A03E35"/>
    <w:rsid w:val="00A042B8"/>
    <w:rsid w:val="00A044E4"/>
    <w:rsid w:val="00A04902"/>
    <w:rsid w:val="00A04969"/>
    <w:rsid w:val="00A04FC0"/>
    <w:rsid w:val="00A05223"/>
    <w:rsid w:val="00A052F5"/>
    <w:rsid w:val="00A057B0"/>
    <w:rsid w:val="00A0614C"/>
    <w:rsid w:val="00A06276"/>
    <w:rsid w:val="00A068B2"/>
    <w:rsid w:val="00A0700E"/>
    <w:rsid w:val="00A07065"/>
    <w:rsid w:val="00A071B8"/>
    <w:rsid w:val="00A07ADC"/>
    <w:rsid w:val="00A07E03"/>
    <w:rsid w:val="00A07FBD"/>
    <w:rsid w:val="00A10122"/>
    <w:rsid w:val="00A1031F"/>
    <w:rsid w:val="00A10488"/>
    <w:rsid w:val="00A10DB7"/>
    <w:rsid w:val="00A10EFE"/>
    <w:rsid w:val="00A11406"/>
    <w:rsid w:val="00A11EA6"/>
    <w:rsid w:val="00A11F53"/>
    <w:rsid w:val="00A13D22"/>
    <w:rsid w:val="00A13FF4"/>
    <w:rsid w:val="00A145B9"/>
    <w:rsid w:val="00A146AF"/>
    <w:rsid w:val="00A14C98"/>
    <w:rsid w:val="00A15348"/>
    <w:rsid w:val="00A16F8C"/>
    <w:rsid w:val="00A17F3F"/>
    <w:rsid w:val="00A20748"/>
    <w:rsid w:val="00A20E5B"/>
    <w:rsid w:val="00A21FA0"/>
    <w:rsid w:val="00A2202B"/>
    <w:rsid w:val="00A22467"/>
    <w:rsid w:val="00A227A0"/>
    <w:rsid w:val="00A22AAC"/>
    <w:rsid w:val="00A22D50"/>
    <w:rsid w:val="00A22D9E"/>
    <w:rsid w:val="00A22F71"/>
    <w:rsid w:val="00A22FCD"/>
    <w:rsid w:val="00A23B36"/>
    <w:rsid w:val="00A23F91"/>
    <w:rsid w:val="00A24053"/>
    <w:rsid w:val="00A24741"/>
    <w:rsid w:val="00A24806"/>
    <w:rsid w:val="00A25E3B"/>
    <w:rsid w:val="00A262DC"/>
    <w:rsid w:val="00A263CD"/>
    <w:rsid w:val="00A26D37"/>
    <w:rsid w:val="00A2723B"/>
    <w:rsid w:val="00A2728A"/>
    <w:rsid w:val="00A27918"/>
    <w:rsid w:val="00A27BFA"/>
    <w:rsid w:val="00A300F7"/>
    <w:rsid w:val="00A30233"/>
    <w:rsid w:val="00A3056E"/>
    <w:rsid w:val="00A30CBE"/>
    <w:rsid w:val="00A31204"/>
    <w:rsid w:val="00A31A39"/>
    <w:rsid w:val="00A31A6D"/>
    <w:rsid w:val="00A31AE9"/>
    <w:rsid w:val="00A323BB"/>
    <w:rsid w:val="00A33650"/>
    <w:rsid w:val="00A33780"/>
    <w:rsid w:val="00A34507"/>
    <w:rsid w:val="00A345DC"/>
    <w:rsid w:val="00A3473C"/>
    <w:rsid w:val="00A34BF3"/>
    <w:rsid w:val="00A34CC8"/>
    <w:rsid w:val="00A351E2"/>
    <w:rsid w:val="00A35AD2"/>
    <w:rsid w:val="00A362CA"/>
    <w:rsid w:val="00A36380"/>
    <w:rsid w:val="00A36541"/>
    <w:rsid w:val="00A36B0A"/>
    <w:rsid w:val="00A36B2F"/>
    <w:rsid w:val="00A373D9"/>
    <w:rsid w:val="00A3751E"/>
    <w:rsid w:val="00A3799A"/>
    <w:rsid w:val="00A40D04"/>
    <w:rsid w:val="00A4115C"/>
    <w:rsid w:val="00A41648"/>
    <w:rsid w:val="00A41741"/>
    <w:rsid w:val="00A422BF"/>
    <w:rsid w:val="00A432FF"/>
    <w:rsid w:val="00A437E8"/>
    <w:rsid w:val="00A43FFC"/>
    <w:rsid w:val="00A4498C"/>
    <w:rsid w:val="00A45521"/>
    <w:rsid w:val="00A45D1B"/>
    <w:rsid w:val="00A46026"/>
    <w:rsid w:val="00A46913"/>
    <w:rsid w:val="00A46C85"/>
    <w:rsid w:val="00A46E88"/>
    <w:rsid w:val="00A4721E"/>
    <w:rsid w:val="00A4741E"/>
    <w:rsid w:val="00A477F0"/>
    <w:rsid w:val="00A4785A"/>
    <w:rsid w:val="00A522CE"/>
    <w:rsid w:val="00A523F8"/>
    <w:rsid w:val="00A52593"/>
    <w:rsid w:val="00A52798"/>
    <w:rsid w:val="00A536B2"/>
    <w:rsid w:val="00A53CD0"/>
    <w:rsid w:val="00A543BC"/>
    <w:rsid w:val="00A55B0D"/>
    <w:rsid w:val="00A55E75"/>
    <w:rsid w:val="00A56089"/>
    <w:rsid w:val="00A56608"/>
    <w:rsid w:val="00A570FB"/>
    <w:rsid w:val="00A57257"/>
    <w:rsid w:val="00A574C2"/>
    <w:rsid w:val="00A576EA"/>
    <w:rsid w:val="00A57CB7"/>
    <w:rsid w:val="00A60873"/>
    <w:rsid w:val="00A60C79"/>
    <w:rsid w:val="00A61465"/>
    <w:rsid w:val="00A615CE"/>
    <w:rsid w:val="00A61B0F"/>
    <w:rsid w:val="00A61B60"/>
    <w:rsid w:val="00A62338"/>
    <w:rsid w:val="00A634E6"/>
    <w:rsid w:val="00A6387C"/>
    <w:rsid w:val="00A6464B"/>
    <w:rsid w:val="00A64FEA"/>
    <w:rsid w:val="00A651AA"/>
    <w:rsid w:val="00A6539A"/>
    <w:rsid w:val="00A65821"/>
    <w:rsid w:val="00A65C0A"/>
    <w:rsid w:val="00A66172"/>
    <w:rsid w:val="00A661FF"/>
    <w:rsid w:val="00A6642C"/>
    <w:rsid w:val="00A665E9"/>
    <w:rsid w:val="00A66762"/>
    <w:rsid w:val="00A66DA8"/>
    <w:rsid w:val="00A66E92"/>
    <w:rsid w:val="00A675E6"/>
    <w:rsid w:val="00A70F5D"/>
    <w:rsid w:val="00A71465"/>
    <w:rsid w:val="00A71474"/>
    <w:rsid w:val="00A717CB"/>
    <w:rsid w:val="00A71A15"/>
    <w:rsid w:val="00A71EBD"/>
    <w:rsid w:val="00A724A1"/>
    <w:rsid w:val="00A73745"/>
    <w:rsid w:val="00A7484F"/>
    <w:rsid w:val="00A749FE"/>
    <w:rsid w:val="00A74D55"/>
    <w:rsid w:val="00A75BA7"/>
    <w:rsid w:val="00A76A3E"/>
    <w:rsid w:val="00A77729"/>
    <w:rsid w:val="00A77A31"/>
    <w:rsid w:val="00A801EB"/>
    <w:rsid w:val="00A80D42"/>
    <w:rsid w:val="00A80E71"/>
    <w:rsid w:val="00A813A9"/>
    <w:rsid w:val="00A818CE"/>
    <w:rsid w:val="00A818E9"/>
    <w:rsid w:val="00A81B2E"/>
    <w:rsid w:val="00A81C4A"/>
    <w:rsid w:val="00A81D97"/>
    <w:rsid w:val="00A8273E"/>
    <w:rsid w:val="00A83082"/>
    <w:rsid w:val="00A836B8"/>
    <w:rsid w:val="00A83922"/>
    <w:rsid w:val="00A839B0"/>
    <w:rsid w:val="00A8435A"/>
    <w:rsid w:val="00A851C2"/>
    <w:rsid w:val="00A85571"/>
    <w:rsid w:val="00A858CC"/>
    <w:rsid w:val="00A85961"/>
    <w:rsid w:val="00A86074"/>
    <w:rsid w:val="00A86248"/>
    <w:rsid w:val="00A862A8"/>
    <w:rsid w:val="00A8665F"/>
    <w:rsid w:val="00A86688"/>
    <w:rsid w:val="00A872CA"/>
    <w:rsid w:val="00A87504"/>
    <w:rsid w:val="00A87B54"/>
    <w:rsid w:val="00A87DE9"/>
    <w:rsid w:val="00A9014E"/>
    <w:rsid w:val="00A90456"/>
    <w:rsid w:val="00A90779"/>
    <w:rsid w:val="00A907C1"/>
    <w:rsid w:val="00A90D85"/>
    <w:rsid w:val="00A90E7B"/>
    <w:rsid w:val="00A90F1A"/>
    <w:rsid w:val="00A911A8"/>
    <w:rsid w:val="00A9179C"/>
    <w:rsid w:val="00A93FBC"/>
    <w:rsid w:val="00A943AF"/>
    <w:rsid w:val="00A94BAA"/>
    <w:rsid w:val="00A94CAA"/>
    <w:rsid w:val="00A94ED9"/>
    <w:rsid w:val="00A94FEC"/>
    <w:rsid w:val="00A95313"/>
    <w:rsid w:val="00A959B9"/>
    <w:rsid w:val="00A961D4"/>
    <w:rsid w:val="00A96210"/>
    <w:rsid w:val="00A965F1"/>
    <w:rsid w:val="00A97174"/>
    <w:rsid w:val="00A978A3"/>
    <w:rsid w:val="00A97B4A"/>
    <w:rsid w:val="00A97D42"/>
    <w:rsid w:val="00A97DBB"/>
    <w:rsid w:val="00AA0D17"/>
    <w:rsid w:val="00AA0F32"/>
    <w:rsid w:val="00AA1251"/>
    <w:rsid w:val="00AA1B64"/>
    <w:rsid w:val="00AA255A"/>
    <w:rsid w:val="00AA2B7C"/>
    <w:rsid w:val="00AA2FD1"/>
    <w:rsid w:val="00AA3F0C"/>
    <w:rsid w:val="00AA4F9E"/>
    <w:rsid w:val="00AA527A"/>
    <w:rsid w:val="00AA5778"/>
    <w:rsid w:val="00AA5E46"/>
    <w:rsid w:val="00AA6242"/>
    <w:rsid w:val="00AA6D97"/>
    <w:rsid w:val="00AA6F2B"/>
    <w:rsid w:val="00AA7DB2"/>
    <w:rsid w:val="00AA7E15"/>
    <w:rsid w:val="00AB086C"/>
    <w:rsid w:val="00AB09B1"/>
    <w:rsid w:val="00AB0B20"/>
    <w:rsid w:val="00AB1386"/>
    <w:rsid w:val="00AB1767"/>
    <w:rsid w:val="00AB2569"/>
    <w:rsid w:val="00AB30FE"/>
    <w:rsid w:val="00AB4253"/>
    <w:rsid w:val="00AB461B"/>
    <w:rsid w:val="00AB5F86"/>
    <w:rsid w:val="00AB63E5"/>
    <w:rsid w:val="00AB65AB"/>
    <w:rsid w:val="00AB6B4F"/>
    <w:rsid w:val="00AB6BBB"/>
    <w:rsid w:val="00AB75BE"/>
    <w:rsid w:val="00AB7C58"/>
    <w:rsid w:val="00AC010C"/>
    <w:rsid w:val="00AC0518"/>
    <w:rsid w:val="00AC13C1"/>
    <w:rsid w:val="00AC19BD"/>
    <w:rsid w:val="00AC2391"/>
    <w:rsid w:val="00AC2B0D"/>
    <w:rsid w:val="00AC31C1"/>
    <w:rsid w:val="00AC358B"/>
    <w:rsid w:val="00AC3DEE"/>
    <w:rsid w:val="00AC4553"/>
    <w:rsid w:val="00AC46C5"/>
    <w:rsid w:val="00AC49B0"/>
    <w:rsid w:val="00AC4A98"/>
    <w:rsid w:val="00AC5313"/>
    <w:rsid w:val="00AC5535"/>
    <w:rsid w:val="00AC55A0"/>
    <w:rsid w:val="00AC5B18"/>
    <w:rsid w:val="00AC604D"/>
    <w:rsid w:val="00AC60B0"/>
    <w:rsid w:val="00AC6692"/>
    <w:rsid w:val="00AC66CB"/>
    <w:rsid w:val="00AC6959"/>
    <w:rsid w:val="00AC7348"/>
    <w:rsid w:val="00AC7F42"/>
    <w:rsid w:val="00AD065A"/>
    <w:rsid w:val="00AD07B8"/>
    <w:rsid w:val="00AD08D7"/>
    <w:rsid w:val="00AD0AB8"/>
    <w:rsid w:val="00AD0EC6"/>
    <w:rsid w:val="00AD1808"/>
    <w:rsid w:val="00AD185C"/>
    <w:rsid w:val="00AD1B52"/>
    <w:rsid w:val="00AD1D40"/>
    <w:rsid w:val="00AD1E86"/>
    <w:rsid w:val="00AD1FA8"/>
    <w:rsid w:val="00AD28DF"/>
    <w:rsid w:val="00AD2CFF"/>
    <w:rsid w:val="00AD3704"/>
    <w:rsid w:val="00AD4DD9"/>
    <w:rsid w:val="00AD5002"/>
    <w:rsid w:val="00AD53C3"/>
    <w:rsid w:val="00AD66B2"/>
    <w:rsid w:val="00AD6D7B"/>
    <w:rsid w:val="00AD6DF4"/>
    <w:rsid w:val="00AD6FD5"/>
    <w:rsid w:val="00AD7161"/>
    <w:rsid w:val="00AD7BA1"/>
    <w:rsid w:val="00AE021D"/>
    <w:rsid w:val="00AE083A"/>
    <w:rsid w:val="00AE0974"/>
    <w:rsid w:val="00AE0BFC"/>
    <w:rsid w:val="00AE1150"/>
    <w:rsid w:val="00AE1572"/>
    <w:rsid w:val="00AE18F8"/>
    <w:rsid w:val="00AE2660"/>
    <w:rsid w:val="00AE2A47"/>
    <w:rsid w:val="00AE2AA6"/>
    <w:rsid w:val="00AE2B30"/>
    <w:rsid w:val="00AE2FD2"/>
    <w:rsid w:val="00AE38D4"/>
    <w:rsid w:val="00AE3D59"/>
    <w:rsid w:val="00AE3E4E"/>
    <w:rsid w:val="00AE42C7"/>
    <w:rsid w:val="00AE439E"/>
    <w:rsid w:val="00AE446D"/>
    <w:rsid w:val="00AE47CC"/>
    <w:rsid w:val="00AE4848"/>
    <w:rsid w:val="00AE487D"/>
    <w:rsid w:val="00AE4BF6"/>
    <w:rsid w:val="00AE4CBF"/>
    <w:rsid w:val="00AE51B8"/>
    <w:rsid w:val="00AE5333"/>
    <w:rsid w:val="00AE5ACC"/>
    <w:rsid w:val="00AE6073"/>
    <w:rsid w:val="00AE6AC3"/>
    <w:rsid w:val="00AE743A"/>
    <w:rsid w:val="00AE75C2"/>
    <w:rsid w:val="00AE7A6B"/>
    <w:rsid w:val="00AF0F82"/>
    <w:rsid w:val="00AF1510"/>
    <w:rsid w:val="00AF28DF"/>
    <w:rsid w:val="00AF2D68"/>
    <w:rsid w:val="00AF4087"/>
    <w:rsid w:val="00AF4304"/>
    <w:rsid w:val="00AF4342"/>
    <w:rsid w:val="00AF4A4D"/>
    <w:rsid w:val="00AF4CAA"/>
    <w:rsid w:val="00AF4F95"/>
    <w:rsid w:val="00AF5276"/>
    <w:rsid w:val="00AF56FB"/>
    <w:rsid w:val="00AF6B2C"/>
    <w:rsid w:val="00AF7443"/>
    <w:rsid w:val="00AF790A"/>
    <w:rsid w:val="00B003C1"/>
    <w:rsid w:val="00B00B7D"/>
    <w:rsid w:val="00B01469"/>
    <w:rsid w:val="00B014AA"/>
    <w:rsid w:val="00B02032"/>
    <w:rsid w:val="00B02777"/>
    <w:rsid w:val="00B029A6"/>
    <w:rsid w:val="00B02E5B"/>
    <w:rsid w:val="00B02FA7"/>
    <w:rsid w:val="00B035AD"/>
    <w:rsid w:val="00B03977"/>
    <w:rsid w:val="00B03A8E"/>
    <w:rsid w:val="00B0404A"/>
    <w:rsid w:val="00B04261"/>
    <w:rsid w:val="00B0453C"/>
    <w:rsid w:val="00B04736"/>
    <w:rsid w:val="00B05579"/>
    <w:rsid w:val="00B05C04"/>
    <w:rsid w:val="00B06316"/>
    <w:rsid w:val="00B0732B"/>
    <w:rsid w:val="00B07468"/>
    <w:rsid w:val="00B07EE0"/>
    <w:rsid w:val="00B10177"/>
    <w:rsid w:val="00B102AF"/>
    <w:rsid w:val="00B10B50"/>
    <w:rsid w:val="00B10E15"/>
    <w:rsid w:val="00B12106"/>
    <w:rsid w:val="00B12623"/>
    <w:rsid w:val="00B12B3D"/>
    <w:rsid w:val="00B136F2"/>
    <w:rsid w:val="00B144B0"/>
    <w:rsid w:val="00B14719"/>
    <w:rsid w:val="00B15948"/>
    <w:rsid w:val="00B15A60"/>
    <w:rsid w:val="00B15C09"/>
    <w:rsid w:val="00B164F8"/>
    <w:rsid w:val="00B16B07"/>
    <w:rsid w:val="00B16E02"/>
    <w:rsid w:val="00B177A2"/>
    <w:rsid w:val="00B17CE4"/>
    <w:rsid w:val="00B210D3"/>
    <w:rsid w:val="00B212EF"/>
    <w:rsid w:val="00B21C9D"/>
    <w:rsid w:val="00B21DF6"/>
    <w:rsid w:val="00B22886"/>
    <w:rsid w:val="00B22F6C"/>
    <w:rsid w:val="00B23037"/>
    <w:rsid w:val="00B231F0"/>
    <w:rsid w:val="00B234E9"/>
    <w:rsid w:val="00B243D4"/>
    <w:rsid w:val="00B244C3"/>
    <w:rsid w:val="00B2461F"/>
    <w:rsid w:val="00B24FA8"/>
    <w:rsid w:val="00B251B3"/>
    <w:rsid w:val="00B2529A"/>
    <w:rsid w:val="00B252DD"/>
    <w:rsid w:val="00B2599F"/>
    <w:rsid w:val="00B259DA"/>
    <w:rsid w:val="00B25A5E"/>
    <w:rsid w:val="00B2626F"/>
    <w:rsid w:val="00B2627D"/>
    <w:rsid w:val="00B266BC"/>
    <w:rsid w:val="00B272EB"/>
    <w:rsid w:val="00B27AB6"/>
    <w:rsid w:val="00B30298"/>
    <w:rsid w:val="00B3283D"/>
    <w:rsid w:val="00B33014"/>
    <w:rsid w:val="00B33B27"/>
    <w:rsid w:val="00B3430E"/>
    <w:rsid w:val="00B34660"/>
    <w:rsid w:val="00B3507F"/>
    <w:rsid w:val="00B36FC5"/>
    <w:rsid w:val="00B372EE"/>
    <w:rsid w:val="00B379C3"/>
    <w:rsid w:val="00B4005F"/>
    <w:rsid w:val="00B40CD3"/>
    <w:rsid w:val="00B40E30"/>
    <w:rsid w:val="00B40E3B"/>
    <w:rsid w:val="00B412C7"/>
    <w:rsid w:val="00B4149E"/>
    <w:rsid w:val="00B41515"/>
    <w:rsid w:val="00B41653"/>
    <w:rsid w:val="00B4223D"/>
    <w:rsid w:val="00B42849"/>
    <w:rsid w:val="00B42CE2"/>
    <w:rsid w:val="00B42D42"/>
    <w:rsid w:val="00B42FCC"/>
    <w:rsid w:val="00B430AC"/>
    <w:rsid w:val="00B43DAD"/>
    <w:rsid w:val="00B443C9"/>
    <w:rsid w:val="00B44953"/>
    <w:rsid w:val="00B44EC2"/>
    <w:rsid w:val="00B45352"/>
    <w:rsid w:val="00B45741"/>
    <w:rsid w:val="00B45B13"/>
    <w:rsid w:val="00B4677E"/>
    <w:rsid w:val="00B46867"/>
    <w:rsid w:val="00B46BCC"/>
    <w:rsid w:val="00B470D9"/>
    <w:rsid w:val="00B474A3"/>
    <w:rsid w:val="00B476E7"/>
    <w:rsid w:val="00B47B4E"/>
    <w:rsid w:val="00B47F04"/>
    <w:rsid w:val="00B51058"/>
    <w:rsid w:val="00B51116"/>
    <w:rsid w:val="00B514D0"/>
    <w:rsid w:val="00B51B9D"/>
    <w:rsid w:val="00B51D8A"/>
    <w:rsid w:val="00B52BA3"/>
    <w:rsid w:val="00B537A3"/>
    <w:rsid w:val="00B549E6"/>
    <w:rsid w:val="00B55452"/>
    <w:rsid w:val="00B55847"/>
    <w:rsid w:val="00B5632D"/>
    <w:rsid w:val="00B56357"/>
    <w:rsid w:val="00B564B0"/>
    <w:rsid w:val="00B56E0E"/>
    <w:rsid w:val="00B56E16"/>
    <w:rsid w:val="00B57221"/>
    <w:rsid w:val="00B57398"/>
    <w:rsid w:val="00B579FB"/>
    <w:rsid w:val="00B6015D"/>
    <w:rsid w:val="00B60281"/>
    <w:rsid w:val="00B61D9F"/>
    <w:rsid w:val="00B622F4"/>
    <w:rsid w:val="00B623D5"/>
    <w:rsid w:val="00B62419"/>
    <w:rsid w:val="00B6480E"/>
    <w:rsid w:val="00B654FA"/>
    <w:rsid w:val="00B6567B"/>
    <w:rsid w:val="00B666A0"/>
    <w:rsid w:val="00B66A3B"/>
    <w:rsid w:val="00B66D19"/>
    <w:rsid w:val="00B67396"/>
    <w:rsid w:val="00B67530"/>
    <w:rsid w:val="00B67559"/>
    <w:rsid w:val="00B67EEC"/>
    <w:rsid w:val="00B70930"/>
    <w:rsid w:val="00B70959"/>
    <w:rsid w:val="00B71344"/>
    <w:rsid w:val="00B7231A"/>
    <w:rsid w:val="00B728E4"/>
    <w:rsid w:val="00B72B55"/>
    <w:rsid w:val="00B72C84"/>
    <w:rsid w:val="00B72CB1"/>
    <w:rsid w:val="00B73549"/>
    <w:rsid w:val="00B74109"/>
    <w:rsid w:val="00B74421"/>
    <w:rsid w:val="00B74FC8"/>
    <w:rsid w:val="00B7642F"/>
    <w:rsid w:val="00B7725F"/>
    <w:rsid w:val="00B77C6C"/>
    <w:rsid w:val="00B8013B"/>
    <w:rsid w:val="00B80866"/>
    <w:rsid w:val="00B80C43"/>
    <w:rsid w:val="00B81320"/>
    <w:rsid w:val="00B813FA"/>
    <w:rsid w:val="00B821D3"/>
    <w:rsid w:val="00B82225"/>
    <w:rsid w:val="00B8231B"/>
    <w:rsid w:val="00B831D5"/>
    <w:rsid w:val="00B83260"/>
    <w:rsid w:val="00B833AA"/>
    <w:rsid w:val="00B8369C"/>
    <w:rsid w:val="00B836C1"/>
    <w:rsid w:val="00B840C4"/>
    <w:rsid w:val="00B842C0"/>
    <w:rsid w:val="00B844FB"/>
    <w:rsid w:val="00B84598"/>
    <w:rsid w:val="00B84EF3"/>
    <w:rsid w:val="00B8535E"/>
    <w:rsid w:val="00B85FCE"/>
    <w:rsid w:val="00B8638B"/>
    <w:rsid w:val="00B864E0"/>
    <w:rsid w:val="00B86E78"/>
    <w:rsid w:val="00B90731"/>
    <w:rsid w:val="00B90CB5"/>
    <w:rsid w:val="00B9292C"/>
    <w:rsid w:val="00B933CE"/>
    <w:rsid w:val="00B93643"/>
    <w:rsid w:val="00B939ED"/>
    <w:rsid w:val="00B93E1E"/>
    <w:rsid w:val="00B942B4"/>
    <w:rsid w:val="00B9441A"/>
    <w:rsid w:val="00B944A4"/>
    <w:rsid w:val="00B944B3"/>
    <w:rsid w:val="00B94625"/>
    <w:rsid w:val="00B94818"/>
    <w:rsid w:val="00B948E9"/>
    <w:rsid w:val="00B95298"/>
    <w:rsid w:val="00B9562B"/>
    <w:rsid w:val="00B95636"/>
    <w:rsid w:val="00B9614F"/>
    <w:rsid w:val="00B9661A"/>
    <w:rsid w:val="00B967C1"/>
    <w:rsid w:val="00B979BC"/>
    <w:rsid w:val="00BA02A4"/>
    <w:rsid w:val="00BA07D0"/>
    <w:rsid w:val="00BA1404"/>
    <w:rsid w:val="00BA1436"/>
    <w:rsid w:val="00BA1494"/>
    <w:rsid w:val="00BA1AAA"/>
    <w:rsid w:val="00BA1CFA"/>
    <w:rsid w:val="00BA1F13"/>
    <w:rsid w:val="00BA21AC"/>
    <w:rsid w:val="00BA27A9"/>
    <w:rsid w:val="00BA2E95"/>
    <w:rsid w:val="00BA2EE1"/>
    <w:rsid w:val="00BA2F9A"/>
    <w:rsid w:val="00BA31D6"/>
    <w:rsid w:val="00BA37D8"/>
    <w:rsid w:val="00BA4454"/>
    <w:rsid w:val="00BA5136"/>
    <w:rsid w:val="00BA5219"/>
    <w:rsid w:val="00BA53C9"/>
    <w:rsid w:val="00BA5C28"/>
    <w:rsid w:val="00BA6043"/>
    <w:rsid w:val="00BA6A65"/>
    <w:rsid w:val="00BA6AFB"/>
    <w:rsid w:val="00BA6F3A"/>
    <w:rsid w:val="00BA73A3"/>
    <w:rsid w:val="00BA744D"/>
    <w:rsid w:val="00BA7565"/>
    <w:rsid w:val="00BA7DCB"/>
    <w:rsid w:val="00BB020D"/>
    <w:rsid w:val="00BB0214"/>
    <w:rsid w:val="00BB02D1"/>
    <w:rsid w:val="00BB15C1"/>
    <w:rsid w:val="00BB204F"/>
    <w:rsid w:val="00BB331C"/>
    <w:rsid w:val="00BB4658"/>
    <w:rsid w:val="00BB4E09"/>
    <w:rsid w:val="00BB5067"/>
    <w:rsid w:val="00BB6139"/>
    <w:rsid w:val="00BB6186"/>
    <w:rsid w:val="00BB66C4"/>
    <w:rsid w:val="00BB6802"/>
    <w:rsid w:val="00BB7518"/>
    <w:rsid w:val="00BB7A24"/>
    <w:rsid w:val="00BB7FCF"/>
    <w:rsid w:val="00BC009F"/>
    <w:rsid w:val="00BC00A2"/>
    <w:rsid w:val="00BC00AC"/>
    <w:rsid w:val="00BC0B95"/>
    <w:rsid w:val="00BC10FA"/>
    <w:rsid w:val="00BC1D37"/>
    <w:rsid w:val="00BC24A0"/>
    <w:rsid w:val="00BC2916"/>
    <w:rsid w:val="00BC3C43"/>
    <w:rsid w:val="00BC3E13"/>
    <w:rsid w:val="00BC3F09"/>
    <w:rsid w:val="00BC3F0C"/>
    <w:rsid w:val="00BC42DA"/>
    <w:rsid w:val="00BC446B"/>
    <w:rsid w:val="00BC4C03"/>
    <w:rsid w:val="00BC4DEE"/>
    <w:rsid w:val="00BC50CA"/>
    <w:rsid w:val="00BC54CB"/>
    <w:rsid w:val="00BC5694"/>
    <w:rsid w:val="00BC5C48"/>
    <w:rsid w:val="00BC5D99"/>
    <w:rsid w:val="00BC5F87"/>
    <w:rsid w:val="00BC65F3"/>
    <w:rsid w:val="00BC6F23"/>
    <w:rsid w:val="00BD0281"/>
    <w:rsid w:val="00BD09F8"/>
    <w:rsid w:val="00BD0FE7"/>
    <w:rsid w:val="00BD1147"/>
    <w:rsid w:val="00BD16F5"/>
    <w:rsid w:val="00BD1C70"/>
    <w:rsid w:val="00BD1F33"/>
    <w:rsid w:val="00BD21EB"/>
    <w:rsid w:val="00BD2294"/>
    <w:rsid w:val="00BD34B0"/>
    <w:rsid w:val="00BD3ABB"/>
    <w:rsid w:val="00BD40DB"/>
    <w:rsid w:val="00BD4C82"/>
    <w:rsid w:val="00BD504F"/>
    <w:rsid w:val="00BD5350"/>
    <w:rsid w:val="00BD5733"/>
    <w:rsid w:val="00BD5E6C"/>
    <w:rsid w:val="00BD63BC"/>
    <w:rsid w:val="00BD6520"/>
    <w:rsid w:val="00BD65A3"/>
    <w:rsid w:val="00BD68F3"/>
    <w:rsid w:val="00BD6FA7"/>
    <w:rsid w:val="00BD6FEC"/>
    <w:rsid w:val="00BD740B"/>
    <w:rsid w:val="00BD740C"/>
    <w:rsid w:val="00BD7672"/>
    <w:rsid w:val="00BD7E83"/>
    <w:rsid w:val="00BE09CF"/>
    <w:rsid w:val="00BE0A75"/>
    <w:rsid w:val="00BE0EE9"/>
    <w:rsid w:val="00BE148D"/>
    <w:rsid w:val="00BE1E5D"/>
    <w:rsid w:val="00BE210D"/>
    <w:rsid w:val="00BE28E1"/>
    <w:rsid w:val="00BE3598"/>
    <w:rsid w:val="00BE3A67"/>
    <w:rsid w:val="00BE48B4"/>
    <w:rsid w:val="00BE4AD6"/>
    <w:rsid w:val="00BE5000"/>
    <w:rsid w:val="00BE5217"/>
    <w:rsid w:val="00BE5C37"/>
    <w:rsid w:val="00BE6228"/>
    <w:rsid w:val="00BE64C8"/>
    <w:rsid w:val="00BE7066"/>
    <w:rsid w:val="00BE7571"/>
    <w:rsid w:val="00BF0107"/>
    <w:rsid w:val="00BF01D7"/>
    <w:rsid w:val="00BF1785"/>
    <w:rsid w:val="00BF1C29"/>
    <w:rsid w:val="00BF1CF2"/>
    <w:rsid w:val="00BF21A5"/>
    <w:rsid w:val="00BF2368"/>
    <w:rsid w:val="00BF238E"/>
    <w:rsid w:val="00BF26D2"/>
    <w:rsid w:val="00BF2888"/>
    <w:rsid w:val="00BF2FCE"/>
    <w:rsid w:val="00BF37CA"/>
    <w:rsid w:val="00BF3C0D"/>
    <w:rsid w:val="00BF5438"/>
    <w:rsid w:val="00BF5CD2"/>
    <w:rsid w:val="00BF5DD4"/>
    <w:rsid w:val="00BF6035"/>
    <w:rsid w:val="00BF68F2"/>
    <w:rsid w:val="00BF731F"/>
    <w:rsid w:val="00BF7BFD"/>
    <w:rsid w:val="00C006D3"/>
    <w:rsid w:val="00C00D77"/>
    <w:rsid w:val="00C0182F"/>
    <w:rsid w:val="00C01F4B"/>
    <w:rsid w:val="00C0204B"/>
    <w:rsid w:val="00C02453"/>
    <w:rsid w:val="00C02BC2"/>
    <w:rsid w:val="00C02E26"/>
    <w:rsid w:val="00C0363D"/>
    <w:rsid w:val="00C04009"/>
    <w:rsid w:val="00C042D2"/>
    <w:rsid w:val="00C04603"/>
    <w:rsid w:val="00C0473B"/>
    <w:rsid w:val="00C04B27"/>
    <w:rsid w:val="00C04EE3"/>
    <w:rsid w:val="00C04F91"/>
    <w:rsid w:val="00C05021"/>
    <w:rsid w:val="00C0594C"/>
    <w:rsid w:val="00C05A90"/>
    <w:rsid w:val="00C05B74"/>
    <w:rsid w:val="00C05D54"/>
    <w:rsid w:val="00C060A4"/>
    <w:rsid w:val="00C07280"/>
    <w:rsid w:val="00C07420"/>
    <w:rsid w:val="00C07BA2"/>
    <w:rsid w:val="00C07DE0"/>
    <w:rsid w:val="00C1018F"/>
    <w:rsid w:val="00C10355"/>
    <w:rsid w:val="00C11151"/>
    <w:rsid w:val="00C11A87"/>
    <w:rsid w:val="00C11F0A"/>
    <w:rsid w:val="00C1236B"/>
    <w:rsid w:val="00C138B0"/>
    <w:rsid w:val="00C138F8"/>
    <w:rsid w:val="00C13A4F"/>
    <w:rsid w:val="00C1498C"/>
    <w:rsid w:val="00C15468"/>
    <w:rsid w:val="00C1584B"/>
    <w:rsid w:val="00C160E0"/>
    <w:rsid w:val="00C171E7"/>
    <w:rsid w:val="00C17339"/>
    <w:rsid w:val="00C176C1"/>
    <w:rsid w:val="00C17AC0"/>
    <w:rsid w:val="00C17BEA"/>
    <w:rsid w:val="00C17DE3"/>
    <w:rsid w:val="00C20270"/>
    <w:rsid w:val="00C204EC"/>
    <w:rsid w:val="00C21C22"/>
    <w:rsid w:val="00C21F2D"/>
    <w:rsid w:val="00C22F9F"/>
    <w:rsid w:val="00C23E8C"/>
    <w:rsid w:val="00C25383"/>
    <w:rsid w:val="00C25F3A"/>
    <w:rsid w:val="00C262E2"/>
    <w:rsid w:val="00C268C0"/>
    <w:rsid w:val="00C26EC1"/>
    <w:rsid w:val="00C2708B"/>
    <w:rsid w:val="00C27CF2"/>
    <w:rsid w:val="00C3055A"/>
    <w:rsid w:val="00C30AF1"/>
    <w:rsid w:val="00C3148C"/>
    <w:rsid w:val="00C320D0"/>
    <w:rsid w:val="00C327D0"/>
    <w:rsid w:val="00C32F8A"/>
    <w:rsid w:val="00C33273"/>
    <w:rsid w:val="00C33851"/>
    <w:rsid w:val="00C338B3"/>
    <w:rsid w:val="00C34031"/>
    <w:rsid w:val="00C34866"/>
    <w:rsid w:val="00C34947"/>
    <w:rsid w:val="00C365E7"/>
    <w:rsid w:val="00C36840"/>
    <w:rsid w:val="00C36BC7"/>
    <w:rsid w:val="00C37420"/>
    <w:rsid w:val="00C37EF4"/>
    <w:rsid w:val="00C4009B"/>
    <w:rsid w:val="00C4024C"/>
    <w:rsid w:val="00C40B00"/>
    <w:rsid w:val="00C40B05"/>
    <w:rsid w:val="00C40D96"/>
    <w:rsid w:val="00C413CB"/>
    <w:rsid w:val="00C4291B"/>
    <w:rsid w:val="00C429EA"/>
    <w:rsid w:val="00C429F2"/>
    <w:rsid w:val="00C43347"/>
    <w:rsid w:val="00C435D9"/>
    <w:rsid w:val="00C44028"/>
    <w:rsid w:val="00C44AF4"/>
    <w:rsid w:val="00C44E94"/>
    <w:rsid w:val="00C4571E"/>
    <w:rsid w:val="00C45CA3"/>
    <w:rsid w:val="00C460CF"/>
    <w:rsid w:val="00C4693D"/>
    <w:rsid w:val="00C47423"/>
    <w:rsid w:val="00C4753D"/>
    <w:rsid w:val="00C47A19"/>
    <w:rsid w:val="00C47ACD"/>
    <w:rsid w:val="00C47BAE"/>
    <w:rsid w:val="00C50A11"/>
    <w:rsid w:val="00C51902"/>
    <w:rsid w:val="00C51940"/>
    <w:rsid w:val="00C5214E"/>
    <w:rsid w:val="00C5279C"/>
    <w:rsid w:val="00C52966"/>
    <w:rsid w:val="00C5419D"/>
    <w:rsid w:val="00C55310"/>
    <w:rsid w:val="00C553B6"/>
    <w:rsid w:val="00C55670"/>
    <w:rsid w:val="00C556D8"/>
    <w:rsid w:val="00C55761"/>
    <w:rsid w:val="00C55868"/>
    <w:rsid w:val="00C55922"/>
    <w:rsid w:val="00C55943"/>
    <w:rsid w:val="00C55A95"/>
    <w:rsid w:val="00C56C5B"/>
    <w:rsid w:val="00C5712B"/>
    <w:rsid w:val="00C57272"/>
    <w:rsid w:val="00C6046D"/>
    <w:rsid w:val="00C60879"/>
    <w:rsid w:val="00C60C3E"/>
    <w:rsid w:val="00C61790"/>
    <w:rsid w:val="00C61B2D"/>
    <w:rsid w:val="00C620CA"/>
    <w:rsid w:val="00C62297"/>
    <w:rsid w:val="00C62823"/>
    <w:rsid w:val="00C629FC"/>
    <w:rsid w:val="00C63453"/>
    <w:rsid w:val="00C63A1F"/>
    <w:rsid w:val="00C646CE"/>
    <w:rsid w:val="00C67247"/>
    <w:rsid w:val="00C6748D"/>
    <w:rsid w:val="00C676AF"/>
    <w:rsid w:val="00C67857"/>
    <w:rsid w:val="00C67C02"/>
    <w:rsid w:val="00C70774"/>
    <w:rsid w:val="00C70775"/>
    <w:rsid w:val="00C708A7"/>
    <w:rsid w:val="00C70EB1"/>
    <w:rsid w:val="00C71475"/>
    <w:rsid w:val="00C71E95"/>
    <w:rsid w:val="00C72197"/>
    <w:rsid w:val="00C72848"/>
    <w:rsid w:val="00C72B26"/>
    <w:rsid w:val="00C72B35"/>
    <w:rsid w:val="00C732AC"/>
    <w:rsid w:val="00C7334B"/>
    <w:rsid w:val="00C73934"/>
    <w:rsid w:val="00C73D84"/>
    <w:rsid w:val="00C745C1"/>
    <w:rsid w:val="00C750E3"/>
    <w:rsid w:val="00C75D87"/>
    <w:rsid w:val="00C75F73"/>
    <w:rsid w:val="00C76202"/>
    <w:rsid w:val="00C77AEA"/>
    <w:rsid w:val="00C77FA3"/>
    <w:rsid w:val="00C80006"/>
    <w:rsid w:val="00C801C8"/>
    <w:rsid w:val="00C809C7"/>
    <w:rsid w:val="00C80BE3"/>
    <w:rsid w:val="00C80DFF"/>
    <w:rsid w:val="00C80F57"/>
    <w:rsid w:val="00C8108B"/>
    <w:rsid w:val="00C8159F"/>
    <w:rsid w:val="00C82536"/>
    <w:rsid w:val="00C82ABA"/>
    <w:rsid w:val="00C83B42"/>
    <w:rsid w:val="00C83D04"/>
    <w:rsid w:val="00C83D58"/>
    <w:rsid w:val="00C83DE3"/>
    <w:rsid w:val="00C84084"/>
    <w:rsid w:val="00C84836"/>
    <w:rsid w:val="00C84E9A"/>
    <w:rsid w:val="00C855D2"/>
    <w:rsid w:val="00C858CE"/>
    <w:rsid w:val="00C8598F"/>
    <w:rsid w:val="00C867BF"/>
    <w:rsid w:val="00C86926"/>
    <w:rsid w:val="00C86A41"/>
    <w:rsid w:val="00C87040"/>
    <w:rsid w:val="00C8706A"/>
    <w:rsid w:val="00C87289"/>
    <w:rsid w:val="00C873FF"/>
    <w:rsid w:val="00C87D8A"/>
    <w:rsid w:val="00C87ECA"/>
    <w:rsid w:val="00C900CE"/>
    <w:rsid w:val="00C909E2"/>
    <w:rsid w:val="00C90ABD"/>
    <w:rsid w:val="00C9145A"/>
    <w:rsid w:val="00C91E5E"/>
    <w:rsid w:val="00C92D95"/>
    <w:rsid w:val="00C92F21"/>
    <w:rsid w:val="00C93128"/>
    <w:rsid w:val="00C952FE"/>
    <w:rsid w:val="00C958CE"/>
    <w:rsid w:val="00C95B7B"/>
    <w:rsid w:val="00C95D52"/>
    <w:rsid w:val="00C969EF"/>
    <w:rsid w:val="00C96A1D"/>
    <w:rsid w:val="00C97171"/>
    <w:rsid w:val="00C979F8"/>
    <w:rsid w:val="00C97C0D"/>
    <w:rsid w:val="00C97D47"/>
    <w:rsid w:val="00C97EEE"/>
    <w:rsid w:val="00CA04D8"/>
    <w:rsid w:val="00CA0594"/>
    <w:rsid w:val="00CA06EE"/>
    <w:rsid w:val="00CA0803"/>
    <w:rsid w:val="00CA0AF4"/>
    <w:rsid w:val="00CA16FD"/>
    <w:rsid w:val="00CA1703"/>
    <w:rsid w:val="00CA1FC5"/>
    <w:rsid w:val="00CA284D"/>
    <w:rsid w:val="00CA2B60"/>
    <w:rsid w:val="00CA2E82"/>
    <w:rsid w:val="00CA3503"/>
    <w:rsid w:val="00CA3642"/>
    <w:rsid w:val="00CA3696"/>
    <w:rsid w:val="00CA3DE6"/>
    <w:rsid w:val="00CA463F"/>
    <w:rsid w:val="00CA4A88"/>
    <w:rsid w:val="00CA5227"/>
    <w:rsid w:val="00CA52B0"/>
    <w:rsid w:val="00CA633C"/>
    <w:rsid w:val="00CA664D"/>
    <w:rsid w:val="00CA70B2"/>
    <w:rsid w:val="00CA7AF5"/>
    <w:rsid w:val="00CB03C3"/>
    <w:rsid w:val="00CB09C8"/>
    <w:rsid w:val="00CB0AE6"/>
    <w:rsid w:val="00CB0DC0"/>
    <w:rsid w:val="00CB24D7"/>
    <w:rsid w:val="00CB288F"/>
    <w:rsid w:val="00CB2ADA"/>
    <w:rsid w:val="00CB2CC6"/>
    <w:rsid w:val="00CB33BC"/>
    <w:rsid w:val="00CB3C24"/>
    <w:rsid w:val="00CB51CC"/>
    <w:rsid w:val="00CB5AA3"/>
    <w:rsid w:val="00CB5E60"/>
    <w:rsid w:val="00CB642B"/>
    <w:rsid w:val="00CB647E"/>
    <w:rsid w:val="00CB790A"/>
    <w:rsid w:val="00CB7941"/>
    <w:rsid w:val="00CC0119"/>
    <w:rsid w:val="00CC059C"/>
    <w:rsid w:val="00CC0C3F"/>
    <w:rsid w:val="00CC10BD"/>
    <w:rsid w:val="00CC19F6"/>
    <w:rsid w:val="00CC2306"/>
    <w:rsid w:val="00CC25C3"/>
    <w:rsid w:val="00CC27D7"/>
    <w:rsid w:val="00CC39B1"/>
    <w:rsid w:val="00CC520C"/>
    <w:rsid w:val="00CC52EB"/>
    <w:rsid w:val="00CC531E"/>
    <w:rsid w:val="00CC594C"/>
    <w:rsid w:val="00CC59E1"/>
    <w:rsid w:val="00CC5C46"/>
    <w:rsid w:val="00CC6508"/>
    <w:rsid w:val="00CC6631"/>
    <w:rsid w:val="00CC765D"/>
    <w:rsid w:val="00CC7949"/>
    <w:rsid w:val="00CC7A29"/>
    <w:rsid w:val="00CD04D0"/>
    <w:rsid w:val="00CD0B69"/>
    <w:rsid w:val="00CD0DBC"/>
    <w:rsid w:val="00CD0E5C"/>
    <w:rsid w:val="00CD2426"/>
    <w:rsid w:val="00CD29ED"/>
    <w:rsid w:val="00CD2A4C"/>
    <w:rsid w:val="00CD3288"/>
    <w:rsid w:val="00CD345C"/>
    <w:rsid w:val="00CD35DA"/>
    <w:rsid w:val="00CD3D4D"/>
    <w:rsid w:val="00CD42C7"/>
    <w:rsid w:val="00CD489E"/>
    <w:rsid w:val="00CD4D6D"/>
    <w:rsid w:val="00CD59CC"/>
    <w:rsid w:val="00CD686B"/>
    <w:rsid w:val="00CD6898"/>
    <w:rsid w:val="00CD791D"/>
    <w:rsid w:val="00CD792D"/>
    <w:rsid w:val="00CD7D86"/>
    <w:rsid w:val="00CE008B"/>
    <w:rsid w:val="00CE0211"/>
    <w:rsid w:val="00CE057B"/>
    <w:rsid w:val="00CE0D6E"/>
    <w:rsid w:val="00CE1717"/>
    <w:rsid w:val="00CE1BF8"/>
    <w:rsid w:val="00CE212D"/>
    <w:rsid w:val="00CE24C0"/>
    <w:rsid w:val="00CE2ABF"/>
    <w:rsid w:val="00CE2F5F"/>
    <w:rsid w:val="00CE3188"/>
    <w:rsid w:val="00CE3685"/>
    <w:rsid w:val="00CE4117"/>
    <w:rsid w:val="00CE474D"/>
    <w:rsid w:val="00CE4B4A"/>
    <w:rsid w:val="00CE4E79"/>
    <w:rsid w:val="00CE5061"/>
    <w:rsid w:val="00CE569D"/>
    <w:rsid w:val="00CE62F8"/>
    <w:rsid w:val="00CE6833"/>
    <w:rsid w:val="00CE6860"/>
    <w:rsid w:val="00CE6CA4"/>
    <w:rsid w:val="00CE7364"/>
    <w:rsid w:val="00CE73F4"/>
    <w:rsid w:val="00CE7B6A"/>
    <w:rsid w:val="00CE7C38"/>
    <w:rsid w:val="00CE7F6F"/>
    <w:rsid w:val="00CE7F97"/>
    <w:rsid w:val="00CF0217"/>
    <w:rsid w:val="00CF0BF8"/>
    <w:rsid w:val="00CF0D03"/>
    <w:rsid w:val="00CF1218"/>
    <w:rsid w:val="00CF2366"/>
    <w:rsid w:val="00CF29E2"/>
    <w:rsid w:val="00CF2C8F"/>
    <w:rsid w:val="00CF30D5"/>
    <w:rsid w:val="00CF315E"/>
    <w:rsid w:val="00CF4C6E"/>
    <w:rsid w:val="00CF6172"/>
    <w:rsid w:val="00CF6BC7"/>
    <w:rsid w:val="00CF7B20"/>
    <w:rsid w:val="00D00381"/>
    <w:rsid w:val="00D02735"/>
    <w:rsid w:val="00D03255"/>
    <w:rsid w:val="00D033DF"/>
    <w:rsid w:val="00D036DE"/>
    <w:rsid w:val="00D03FF0"/>
    <w:rsid w:val="00D04133"/>
    <w:rsid w:val="00D04759"/>
    <w:rsid w:val="00D04C4E"/>
    <w:rsid w:val="00D05A81"/>
    <w:rsid w:val="00D0639F"/>
    <w:rsid w:val="00D065CF"/>
    <w:rsid w:val="00D065D6"/>
    <w:rsid w:val="00D067F0"/>
    <w:rsid w:val="00D07366"/>
    <w:rsid w:val="00D07598"/>
    <w:rsid w:val="00D07C4F"/>
    <w:rsid w:val="00D07DD8"/>
    <w:rsid w:val="00D107EA"/>
    <w:rsid w:val="00D1091C"/>
    <w:rsid w:val="00D10CC1"/>
    <w:rsid w:val="00D11332"/>
    <w:rsid w:val="00D11A06"/>
    <w:rsid w:val="00D11D31"/>
    <w:rsid w:val="00D122FA"/>
    <w:rsid w:val="00D136DD"/>
    <w:rsid w:val="00D137A9"/>
    <w:rsid w:val="00D138B4"/>
    <w:rsid w:val="00D139B1"/>
    <w:rsid w:val="00D13BA3"/>
    <w:rsid w:val="00D13BCA"/>
    <w:rsid w:val="00D14241"/>
    <w:rsid w:val="00D144C1"/>
    <w:rsid w:val="00D14D4F"/>
    <w:rsid w:val="00D1516B"/>
    <w:rsid w:val="00D15515"/>
    <w:rsid w:val="00D15A47"/>
    <w:rsid w:val="00D17034"/>
    <w:rsid w:val="00D17452"/>
    <w:rsid w:val="00D20150"/>
    <w:rsid w:val="00D205C2"/>
    <w:rsid w:val="00D2061A"/>
    <w:rsid w:val="00D20730"/>
    <w:rsid w:val="00D20C79"/>
    <w:rsid w:val="00D2116D"/>
    <w:rsid w:val="00D2120B"/>
    <w:rsid w:val="00D21EB8"/>
    <w:rsid w:val="00D21EE3"/>
    <w:rsid w:val="00D226A0"/>
    <w:rsid w:val="00D230A3"/>
    <w:rsid w:val="00D2370F"/>
    <w:rsid w:val="00D23FD0"/>
    <w:rsid w:val="00D240AB"/>
    <w:rsid w:val="00D24113"/>
    <w:rsid w:val="00D244DB"/>
    <w:rsid w:val="00D24B0D"/>
    <w:rsid w:val="00D24B82"/>
    <w:rsid w:val="00D24DD1"/>
    <w:rsid w:val="00D24ED4"/>
    <w:rsid w:val="00D252FA"/>
    <w:rsid w:val="00D2559A"/>
    <w:rsid w:val="00D26159"/>
    <w:rsid w:val="00D26ADB"/>
    <w:rsid w:val="00D26B7C"/>
    <w:rsid w:val="00D27612"/>
    <w:rsid w:val="00D27A05"/>
    <w:rsid w:val="00D27FC4"/>
    <w:rsid w:val="00D304B6"/>
    <w:rsid w:val="00D30764"/>
    <w:rsid w:val="00D309F4"/>
    <w:rsid w:val="00D30C64"/>
    <w:rsid w:val="00D31A7A"/>
    <w:rsid w:val="00D31C78"/>
    <w:rsid w:val="00D33512"/>
    <w:rsid w:val="00D33825"/>
    <w:rsid w:val="00D3382F"/>
    <w:rsid w:val="00D33C99"/>
    <w:rsid w:val="00D34434"/>
    <w:rsid w:val="00D346E9"/>
    <w:rsid w:val="00D34E26"/>
    <w:rsid w:val="00D370D8"/>
    <w:rsid w:val="00D3741C"/>
    <w:rsid w:val="00D37724"/>
    <w:rsid w:val="00D377FD"/>
    <w:rsid w:val="00D37CC2"/>
    <w:rsid w:val="00D40F30"/>
    <w:rsid w:val="00D415B4"/>
    <w:rsid w:val="00D419AA"/>
    <w:rsid w:val="00D41B72"/>
    <w:rsid w:val="00D42968"/>
    <w:rsid w:val="00D43033"/>
    <w:rsid w:val="00D431AB"/>
    <w:rsid w:val="00D4357B"/>
    <w:rsid w:val="00D43BD9"/>
    <w:rsid w:val="00D43CA4"/>
    <w:rsid w:val="00D443DA"/>
    <w:rsid w:val="00D44AE0"/>
    <w:rsid w:val="00D44BE9"/>
    <w:rsid w:val="00D44E1C"/>
    <w:rsid w:val="00D44F78"/>
    <w:rsid w:val="00D454B7"/>
    <w:rsid w:val="00D458B9"/>
    <w:rsid w:val="00D45976"/>
    <w:rsid w:val="00D45C3E"/>
    <w:rsid w:val="00D474FB"/>
    <w:rsid w:val="00D4797B"/>
    <w:rsid w:val="00D47A0E"/>
    <w:rsid w:val="00D47C1F"/>
    <w:rsid w:val="00D47E87"/>
    <w:rsid w:val="00D47FD1"/>
    <w:rsid w:val="00D50353"/>
    <w:rsid w:val="00D50422"/>
    <w:rsid w:val="00D506C9"/>
    <w:rsid w:val="00D50855"/>
    <w:rsid w:val="00D53550"/>
    <w:rsid w:val="00D53DDF"/>
    <w:rsid w:val="00D53ECC"/>
    <w:rsid w:val="00D541BB"/>
    <w:rsid w:val="00D545B5"/>
    <w:rsid w:val="00D559BA"/>
    <w:rsid w:val="00D55EAD"/>
    <w:rsid w:val="00D56C39"/>
    <w:rsid w:val="00D56F36"/>
    <w:rsid w:val="00D6034E"/>
    <w:rsid w:val="00D603E6"/>
    <w:rsid w:val="00D613C9"/>
    <w:rsid w:val="00D61419"/>
    <w:rsid w:val="00D6159D"/>
    <w:rsid w:val="00D61762"/>
    <w:rsid w:val="00D6176E"/>
    <w:rsid w:val="00D6217D"/>
    <w:rsid w:val="00D6282D"/>
    <w:rsid w:val="00D62C8F"/>
    <w:rsid w:val="00D6374D"/>
    <w:rsid w:val="00D66744"/>
    <w:rsid w:val="00D66951"/>
    <w:rsid w:val="00D6721E"/>
    <w:rsid w:val="00D67939"/>
    <w:rsid w:val="00D67B22"/>
    <w:rsid w:val="00D67DE6"/>
    <w:rsid w:val="00D67F2C"/>
    <w:rsid w:val="00D707F6"/>
    <w:rsid w:val="00D70F5F"/>
    <w:rsid w:val="00D710F4"/>
    <w:rsid w:val="00D711DE"/>
    <w:rsid w:val="00D71432"/>
    <w:rsid w:val="00D7257A"/>
    <w:rsid w:val="00D72DD1"/>
    <w:rsid w:val="00D72EDE"/>
    <w:rsid w:val="00D737FD"/>
    <w:rsid w:val="00D73F5F"/>
    <w:rsid w:val="00D74225"/>
    <w:rsid w:val="00D751D2"/>
    <w:rsid w:val="00D75948"/>
    <w:rsid w:val="00D75D6E"/>
    <w:rsid w:val="00D77029"/>
    <w:rsid w:val="00D778BC"/>
    <w:rsid w:val="00D80350"/>
    <w:rsid w:val="00D80885"/>
    <w:rsid w:val="00D81FD5"/>
    <w:rsid w:val="00D82719"/>
    <w:rsid w:val="00D83A77"/>
    <w:rsid w:val="00D83AF0"/>
    <w:rsid w:val="00D83C16"/>
    <w:rsid w:val="00D83C8D"/>
    <w:rsid w:val="00D8425D"/>
    <w:rsid w:val="00D8434E"/>
    <w:rsid w:val="00D8437B"/>
    <w:rsid w:val="00D845DC"/>
    <w:rsid w:val="00D84A6B"/>
    <w:rsid w:val="00D84E1F"/>
    <w:rsid w:val="00D84EB7"/>
    <w:rsid w:val="00D8551C"/>
    <w:rsid w:val="00D855DE"/>
    <w:rsid w:val="00D85899"/>
    <w:rsid w:val="00D86028"/>
    <w:rsid w:val="00D8762C"/>
    <w:rsid w:val="00D87CA4"/>
    <w:rsid w:val="00D914B0"/>
    <w:rsid w:val="00D92B55"/>
    <w:rsid w:val="00D92F73"/>
    <w:rsid w:val="00D94155"/>
    <w:rsid w:val="00D949F9"/>
    <w:rsid w:val="00D9550F"/>
    <w:rsid w:val="00D9581A"/>
    <w:rsid w:val="00D95CB5"/>
    <w:rsid w:val="00D95D5F"/>
    <w:rsid w:val="00D95E94"/>
    <w:rsid w:val="00D96CB2"/>
    <w:rsid w:val="00D96DCF"/>
    <w:rsid w:val="00D96F18"/>
    <w:rsid w:val="00DA0030"/>
    <w:rsid w:val="00DA0184"/>
    <w:rsid w:val="00DA043D"/>
    <w:rsid w:val="00DA0E05"/>
    <w:rsid w:val="00DA1015"/>
    <w:rsid w:val="00DA1063"/>
    <w:rsid w:val="00DA252F"/>
    <w:rsid w:val="00DA3A09"/>
    <w:rsid w:val="00DA47C9"/>
    <w:rsid w:val="00DA4889"/>
    <w:rsid w:val="00DA4975"/>
    <w:rsid w:val="00DA4DFC"/>
    <w:rsid w:val="00DA5B59"/>
    <w:rsid w:val="00DA6581"/>
    <w:rsid w:val="00DA65C7"/>
    <w:rsid w:val="00DA6722"/>
    <w:rsid w:val="00DA6E0D"/>
    <w:rsid w:val="00DB0674"/>
    <w:rsid w:val="00DB1340"/>
    <w:rsid w:val="00DB1B10"/>
    <w:rsid w:val="00DB1E4D"/>
    <w:rsid w:val="00DB1F96"/>
    <w:rsid w:val="00DB2C36"/>
    <w:rsid w:val="00DB35CF"/>
    <w:rsid w:val="00DB3930"/>
    <w:rsid w:val="00DB3960"/>
    <w:rsid w:val="00DB3FD1"/>
    <w:rsid w:val="00DB42DB"/>
    <w:rsid w:val="00DB43C5"/>
    <w:rsid w:val="00DB49FB"/>
    <w:rsid w:val="00DB4E65"/>
    <w:rsid w:val="00DB4FA5"/>
    <w:rsid w:val="00DB5194"/>
    <w:rsid w:val="00DB5BD6"/>
    <w:rsid w:val="00DB6C6A"/>
    <w:rsid w:val="00DB7360"/>
    <w:rsid w:val="00DB769E"/>
    <w:rsid w:val="00DC0178"/>
    <w:rsid w:val="00DC04AF"/>
    <w:rsid w:val="00DC070C"/>
    <w:rsid w:val="00DC085B"/>
    <w:rsid w:val="00DC1437"/>
    <w:rsid w:val="00DC1A63"/>
    <w:rsid w:val="00DC1FF7"/>
    <w:rsid w:val="00DC242F"/>
    <w:rsid w:val="00DC3776"/>
    <w:rsid w:val="00DC4652"/>
    <w:rsid w:val="00DC5153"/>
    <w:rsid w:val="00DC522C"/>
    <w:rsid w:val="00DC63A1"/>
    <w:rsid w:val="00DC6B50"/>
    <w:rsid w:val="00DC6CB1"/>
    <w:rsid w:val="00DC6D70"/>
    <w:rsid w:val="00DC74F2"/>
    <w:rsid w:val="00DD0606"/>
    <w:rsid w:val="00DD088B"/>
    <w:rsid w:val="00DD0CE1"/>
    <w:rsid w:val="00DD0D12"/>
    <w:rsid w:val="00DD16E4"/>
    <w:rsid w:val="00DD19E3"/>
    <w:rsid w:val="00DD1BDE"/>
    <w:rsid w:val="00DD1E11"/>
    <w:rsid w:val="00DD1E38"/>
    <w:rsid w:val="00DD1F13"/>
    <w:rsid w:val="00DD203E"/>
    <w:rsid w:val="00DD26B5"/>
    <w:rsid w:val="00DD27CA"/>
    <w:rsid w:val="00DD27F3"/>
    <w:rsid w:val="00DD289A"/>
    <w:rsid w:val="00DD2AD7"/>
    <w:rsid w:val="00DD444C"/>
    <w:rsid w:val="00DD4922"/>
    <w:rsid w:val="00DD4BED"/>
    <w:rsid w:val="00DD561C"/>
    <w:rsid w:val="00DD63AC"/>
    <w:rsid w:val="00DD64E8"/>
    <w:rsid w:val="00DD67E0"/>
    <w:rsid w:val="00DD6840"/>
    <w:rsid w:val="00DD710B"/>
    <w:rsid w:val="00DD77DD"/>
    <w:rsid w:val="00DD782B"/>
    <w:rsid w:val="00DD7F16"/>
    <w:rsid w:val="00DE02AB"/>
    <w:rsid w:val="00DE09D8"/>
    <w:rsid w:val="00DE0D99"/>
    <w:rsid w:val="00DE0FD0"/>
    <w:rsid w:val="00DE1B1D"/>
    <w:rsid w:val="00DE206A"/>
    <w:rsid w:val="00DE20F8"/>
    <w:rsid w:val="00DE332E"/>
    <w:rsid w:val="00DE3379"/>
    <w:rsid w:val="00DE33EE"/>
    <w:rsid w:val="00DE36DB"/>
    <w:rsid w:val="00DE37F5"/>
    <w:rsid w:val="00DE3DA6"/>
    <w:rsid w:val="00DE3E3C"/>
    <w:rsid w:val="00DE4178"/>
    <w:rsid w:val="00DE470A"/>
    <w:rsid w:val="00DE4D03"/>
    <w:rsid w:val="00DE5204"/>
    <w:rsid w:val="00DE5738"/>
    <w:rsid w:val="00DE5C5D"/>
    <w:rsid w:val="00DE638E"/>
    <w:rsid w:val="00DE6462"/>
    <w:rsid w:val="00DE65E4"/>
    <w:rsid w:val="00DE6C77"/>
    <w:rsid w:val="00DE73D4"/>
    <w:rsid w:val="00DE7490"/>
    <w:rsid w:val="00DE761C"/>
    <w:rsid w:val="00DE77B7"/>
    <w:rsid w:val="00DE7D66"/>
    <w:rsid w:val="00DF055C"/>
    <w:rsid w:val="00DF05EE"/>
    <w:rsid w:val="00DF0DD4"/>
    <w:rsid w:val="00DF149F"/>
    <w:rsid w:val="00DF2486"/>
    <w:rsid w:val="00DF2A92"/>
    <w:rsid w:val="00DF43BE"/>
    <w:rsid w:val="00DF4BA2"/>
    <w:rsid w:val="00DF52B4"/>
    <w:rsid w:val="00DF548A"/>
    <w:rsid w:val="00DF6F1D"/>
    <w:rsid w:val="00E00241"/>
    <w:rsid w:val="00E0043B"/>
    <w:rsid w:val="00E00EE5"/>
    <w:rsid w:val="00E00F57"/>
    <w:rsid w:val="00E02792"/>
    <w:rsid w:val="00E02AF3"/>
    <w:rsid w:val="00E02B26"/>
    <w:rsid w:val="00E02DAF"/>
    <w:rsid w:val="00E02F96"/>
    <w:rsid w:val="00E03792"/>
    <w:rsid w:val="00E0485D"/>
    <w:rsid w:val="00E04996"/>
    <w:rsid w:val="00E04A61"/>
    <w:rsid w:val="00E04C51"/>
    <w:rsid w:val="00E05AD4"/>
    <w:rsid w:val="00E05D92"/>
    <w:rsid w:val="00E06215"/>
    <w:rsid w:val="00E06457"/>
    <w:rsid w:val="00E0677B"/>
    <w:rsid w:val="00E070F4"/>
    <w:rsid w:val="00E07308"/>
    <w:rsid w:val="00E075D0"/>
    <w:rsid w:val="00E077F8"/>
    <w:rsid w:val="00E07C0C"/>
    <w:rsid w:val="00E07C27"/>
    <w:rsid w:val="00E07CDD"/>
    <w:rsid w:val="00E10090"/>
    <w:rsid w:val="00E10C80"/>
    <w:rsid w:val="00E10D8B"/>
    <w:rsid w:val="00E1110F"/>
    <w:rsid w:val="00E11AC7"/>
    <w:rsid w:val="00E1248A"/>
    <w:rsid w:val="00E130A5"/>
    <w:rsid w:val="00E13206"/>
    <w:rsid w:val="00E13E53"/>
    <w:rsid w:val="00E14190"/>
    <w:rsid w:val="00E14735"/>
    <w:rsid w:val="00E14BDB"/>
    <w:rsid w:val="00E1564A"/>
    <w:rsid w:val="00E159B0"/>
    <w:rsid w:val="00E17734"/>
    <w:rsid w:val="00E210E4"/>
    <w:rsid w:val="00E21407"/>
    <w:rsid w:val="00E21A6F"/>
    <w:rsid w:val="00E21AE3"/>
    <w:rsid w:val="00E21BBF"/>
    <w:rsid w:val="00E21FEC"/>
    <w:rsid w:val="00E22646"/>
    <w:rsid w:val="00E22EFB"/>
    <w:rsid w:val="00E230FE"/>
    <w:rsid w:val="00E2331F"/>
    <w:rsid w:val="00E237C2"/>
    <w:rsid w:val="00E23DC7"/>
    <w:rsid w:val="00E249C3"/>
    <w:rsid w:val="00E24F62"/>
    <w:rsid w:val="00E25278"/>
    <w:rsid w:val="00E26BD1"/>
    <w:rsid w:val="00E26FA5"/>
    <w:rsid w:val="00E3036C"/>
    <w:rsid w:val="00E305D6"/>
    <w:rsid w:val="00E3196E"/>
    <w:rsid w:val="00E323AC"/>
    <w:rsid w:val="00E327CD"/>
    <w:rsid w:val="00E329A8"/>
    <w:rsid w:val="00E32BA5"/>
    <w:rsid w:val="00E32DCF"/>
    <w:rsid w:val="00E32E9A"/>
    <w:rsid w:val="00E33281"/>
    <w:rsid w:val="00E333D9"/>
    <w:rsid w:val="00E341B3"/>
    <w:rsid w:val="00E341BD"/>
    <w:rsid w:val="00E35199"/>
    <w:rsid w:val="00E3540D"/>
    <w:rsid w:val="00E35D66"/>
    <w:rsid w:val="00E36092"/>
    <w:rsid w:val="00E362E1"/>
    <w:rsid w:val="00E363CC"/>
    <w:rsid w:val="00E36A39"/>
    <w:rsid w:val="00E3728A"/>
    <w:rsid w:val="00E37810"/>
    <w:rsid w:val="00E37DAD"/>
    <w:rsid w:val="00E4097D"/>
    <w:rsid w:val="00E42451"/>
    <w:rsid w:val="00E439FF"/>
    <w:rsid w:val="00E4444C"/>
    <w:rsid w:val="00E44484"/>
    <w:rsid w:val="00E44486"/>
    <w:rsid w:val="00E44BA7"/>
    <w:rsid w:val="00E4500E"/>
    <w:rsid w:val="00E455A4"/>
    <w:rsid w:val="00E45A71"/>
    <w:rsid w:val="00E45E4F"/>
    <w:rsid w:val="00E46271"/>
    <w:rsid w:val="00E464B7"/>
    <w:rsid w:val="00E46760"/>
    <w:rsid w:val="00E4718E"/>
    <w:rsid w:val="00E473C0"/>
    <w:rsid w:val="00E47BE6"/>
    <w:rsid w:val="00E47EAE"/>
    <w:rsid w:val="00E5021C"/>
    <w:rsid w:val="00E505FB"/>
    <w:rsid w:val="00E5072B"/>
    <w:rsid w:val="00E50B67"/>
    <w:rsid w:val="00E5121F"/>
    <w:rsid w:val="00E5159D"/>
    <w:rsid w:val="00E51BD7"/>
    <w:rsid w:val="00E51FCE"/>
    <w:rsid w:val="00E52D10"/>
    <w:rsid w:val="00E52DF5"/>
    <w:rsid w:val="00E5400F"/>
    <w:rsid w:val="00E54A78"/>
    <w:rsid w:val="00E54DBC"/>
    <w:rsid w:val="00E54FF2"/>
    <w:rsid w:val="00E55213"/>
    <w:rsid w:val="00E55467"/>
    <w:rsid w:val="00E554D3"/>
    <w:rsid w:val="00E559B3"/>
    <w:rsid w:val="00E55B11"/>
    <w:rsid w:val="00E55D2B"/>
    <w:rsid w:val="00E56202"/>
    <w:rsid w:val="00E56C19"/>
    <w:rsid w:val="00E57804"/>
    <w:rsid w:val="00E601CB"/>
    <w:rsid w:val="00E60229"/>
    <w:rsid w:val="00E604B5"/>
    <w:rsid w:val="00E608A1"/>
    <w:rsid w:val="00E62C48"/>
    <w:rsid w:val="00E62DFE"/>
    <w:rsid w:val="00E63391"/>
    <w:rsid w:val="00E63AAC"/>
    <w:rsid w:val="00E64871"/>
    <w:rsid w:val="00E650BE"/>
    <w:rsid w:val="00E65253"/>
    <w:rsid w:val="00E65891"/>
    <w:rsid w:val="00E658EB"/>
    <w:rsid w:val="00E664C8"/>
    <w:rsid w:val="00E66599"/>
    <w:rsid w:val="00E66979"/>
    <w:rsid w:val="00E672BF"/>
    <w:rsid w:val="00E67596"/>
    <w:rsid w:val="00E70C9B"/>
    <w:rsid w:val="00E72245"/>
    <w:rsid w:val="00E72371"/>
    <w:rsid w:val="00E728C5"/>
    <w:rsid w:val="00E730A5"/>
    <w:rsid w:val="00E730FE"/>
    <w:rsid w:val="00E7334A"/>
    <w:rsid w:val="00E739D4"/>
    <w:rsid w:val="00E73FB8"/>
    <w:rsid w:val="00E752CA"/>
    <w:rsid w:val="00E75BF7"/>
    <w:rsid w:val="00E75C03"/>
    <w:rsid w:val="00E75D41"/>
    <w:rsid w:val="00E75E83"/>
    <w:rsid w:val="00E760CD"/>
    <w:rsid w:val="00E76736"/>
    <w:rsid w:val="00E76BB2"/>
    <w:rsid w:val="00E77C5B"/>
    <w:rsid w:val="00E77CF3"/>
    <w:rsid w:val="00E77FD6"/>
    <w:rsid w:val="00E80012"/>
    <w:rsid w:val="00E8017D"/>
    <w:rsid w:val="00E803BF"/>
    <w:rsid w:val="00E8151D"/>
    <w:rsid w:val="00E81926"/>
    <w:rsid w:val="00E81CFF"/>
    <w:rsid w:val="00E81FBB"/>
    <w:rsid w:val="00E81FC3"/>
    <w:rsid w:val="00E82481"/>
    <w:rsid w:val="00E82D71"/>
    <w:rsid w:val="00E833B8"/>
    <w:rsid w:val="00E837CC"/>
    <w:rsid w:val="00E838A9"/>
    <w:rsid w:val="00E83963"/>
    <w:rsid w:val="00E83AD8"/>
    <w:rsid w:val="00E83DCF"/>
    <w:rsid w:val="00E83FB5"/>
    <w:rsid w:val="00E84590"/>
    <w:rsid w:val="00E845AF"/>
    <w:rsid w:val="00E85093"/>
    <w:rsid w:val="00E854F1"/>
    <w:rsid w:val="00E85537"/>
    <w:rsid w:val="00E85750"/>
    <w:rsid w:val="00E8593D"/>
    <w:rsid w:val="00E85E4E"/>
    <w:rsid w:val="00E86987"/>
    <w:rsid w:val="00E86C74"/>
    <w:rsid w:val="00E86F6A"/>
    <w:rsid w:val="00E87A56"/>
    <w:rsid w:val="00E90B31"/>
    <w:rsid w:val="00E91314"/>
    <w:rsid w:val="00E922F1"/>
    <w:rsid w:val="00E92794"/>
    <w:rsid w:val="00E92AE6"/>
    <w:rsid w:val="00E92B56"/>
    <w:rsid w:val="00E92CE5"/>
    <w:rsid w:val="00E930B5"/>
    <w:rsid w:val="00E931E9"/>
    <w:rsid w:val="00E9382A"/>
    <w:rsid w:val="00E93A15"/>
    <w:rsid w:val="00E93BE9"/>
    <w:rsid w:val="00E94292"/>
    <w:rsid w:val="00E9484E"/>
    <w:rsid w:val="00E94AE6"/>
    <w:rsid w:val="00E94FC4"/>
    <w:rsid w:val="00E95194"/>
    <w:rsid w:val="00E95D51"/>
    <w:rsid w:val="00E95E0C"/>
    <w:rsid w:val="00E9678B"/>
    <w:rsid w:val="00E96B5E"/>
    <w:rsid w:val="00E97A6E"/>
    <w:rsid w:val="00E97BC8"/>
    <w:rsid w:val="00E97EFC"/>
    <w:rsid w:val="00E97FD6"/>
    <w:rsid w:val="00EA056F"/>
    <w:rsid w:val="00EA0EBA"/>
    <w:rsid w:val="00EA0EE6"/>
    <w:rsid w:val="00EA0F1A"/>
    <w:rsid w:val="00EA18A5"/>
    <w:rsid w:val="00EA1F5C"/>
    <w:rsid w:val="00EA22CC"/>
    <w:rsid w:val="00EA2352"/>
    <w:rsid w:val="00EA2663"/>
    <w:rsid w:val="00EA2912"/>
    <w:rsid w:val="00EA2A40"/>
    <w:rsid w:val="00EA2AFE"/>
    <w:rsid w:val="00EA2FCC"/>
    <w:rsid w:val="00EA3086"/>
    <w:rsid w:val="00EA5133"/>
    <w:rsid w:val="00EA5882"/>
    <w:rsid w:val="00EA59C3"/>
    <w:rsid w:val="00EA5F60"/>
    <w:rsid w:val="00EA6991"/>
    <w:rsid w:val="00EA7304"/>
    <w:rsid w:val="00EA7766"/>
    <w:rsid w:val="00EB0BD1"/>
    <w:rsid w:val="00EB0D9A"/>
    <w:rsid w:val="00EB1122"/>
    <w:rsid w:val="00EB1356"/>
    <w:rsid w:val="00EB15D0"/>
    <w:rsid w:val="00EB17F1"/>
    <w:rsid w:val="00EB2496"/>
    <w:rsid w:val="00EB24E4"/>
    <w:rsid w:val="00EB2920"/>
    <w:rsid w:val="00EB2F56"/>
    <w:rsid w:val="00EB3832"/>
    <w:rsid w:val="00EB3B6D"/>
    <w:rsid w:val="00EB3BDC"/>
    <w:rsid w:val="00EB45EF"/>
    <w:rsid w:val="00EB510D"/>
    <w:rsid w:val="00EB52DF"/>
    <w:rsid w:val="00EB620D"/>
    <w:rsid w:val="00EB69A6"/>
    <w:rsid w:val="00EB6EF2"/>
    <w:rsid w:val="00EB7882"/>
    <w:rsid w:val="00EB7C7A"/>
    <w:rsid w:val="00EC0368"/>
    <w:rsid w:val="00EC04B7"/>
    <w:rsid w:val="00EC05DA"/>
    <w:rsid w:val="00EC0ADE"/>
    <w:rsid w:val="00EC0E1D"/>
    <w:rsid w:val="00EC0E57"/>
    <w:rsid w:val="00EC16BD"/>
    <w:rsid w:val="00EC1FE6"/>
    <w:rsid w:val="00EC2198"/>
    <w:rsid w:val="00EC27C8"/>
    <w:rsid w:val="00EC2B96"/>
    <w:rsid w:val="00EC2FB0"/>
    <w:rsid w:val="00EC3210"/>
    <w:rsid w:val="00EC3337"/>
    <w:rsid w:val="00EC3378"/>
    <w:rsid w:val="00EC360B"/>
    <w:rsid w:val="00EC398C"/>
    <w:rsid w:val="00EC3C28"/>
    <w:rsid w:val="00EC3CCF"/>
    <w:rsid w:val="00EC4AA8"/>
    <w:rsid w:val="00EC5CA0"/>
    <w:rsid w:val="00EC5E39"/>
    <w:rsid w:val="00EC6CD3"/>
    <w:rsid w:val="00EC71D4"/>
    <w:rsid w:val="00EC7CEB"/>
    <w:rsid w:val="00ED03FC"/>
    <w:rsid w:val="00ED0AA0"/>
    <w:rsid w:val="00ED1243"/>
    <w:rsid w:val="00ED2A89"/>
    <w:rsid w:val="00ED37B3"/>
    <w:rsid w:val="00ED3E59"/>
    <w:rsid w:val="00ED3ED1"/>
    <w:rsid w:val="00ED41EB"/>
    <w:rsid w:val="00ED47F1"/>
    <w:rsid w:val="00ED490B"/>
    <w:rsid w:val="00ED4987"/>
    <w:rsid w:val="00ED4B30"/>
    <w:rsid w:val="00ED4E7B"/>
    <w:rsid w:val="00ED4EA6"/>
    <w:rsid w:val="00ED587D"/>
    <w:rsid w:val="00ED5BBE"/>
    <w:rsid w:val="00ED5D3C"/>
    <w:rsid w:val="00ED6002"/>
    <w:rsid w:val="00ED65CF"/>
    <w:rsid w:val="00ED6A33"/>
    <w:rsid w:val="00ED7A14"/>
    <w:rsid w:val="00EE01F0"/>
    <w:rsid w:val="00EE02A0"/>
    <w:rsid w:val="00EE2284"/>
    <w:rsid w:val="00EE2632"/>
    <w:rsid w:val="00EE2AB4"/>
    <w:rsid w:val="00EE2BD2"/>
    <w:rsid w:val="00EE2BF2"/>
    <w:rsid w:val="00EE2EA9"/>
    <w:rsid w:val="00EE3494"/>
    <w:rsid w:val="00EE3848"/>
    <w:rsid w:val="00EE38E7"/>
    <w:rsid w:val="00EE390D"/>
    <w:rsid w:val="00EE44FA"/>
    <w:rsid w:val="00EE4598"/>
    <w:rsid w:val="00EE528F"/>
    <w:rsid w:val="00EE58AB"/>
    <w:rsid w:val="00EE5976"/>
    <w:rsid w:val="00EE5D61"/>
    <w:rsid w:val="00EE5EBD"/>
    <w:rsid w:val="00EE636B"/>
    <w:rsid w:val="00EE6A45"/>
    <w:rsid w:val="00EE7131"/>
    <w:rsid w:val="00EE7811"/>
    <w:rsid w:val="00EE79E4"/>
    <w:rsid w:val="00EE7DBC"/>
    <w:rsid w:val="00EE7F0D"/>
    <w:rsid w:val="00EF04C7"/>
    <w:rsid w:val="00EF056C"/>
    <w:rsid w:val="00EF0846"/>
    <w:rsid w:val="00EF12CB"/>
    <w:rsid w:val="00EF173D"/>
    <w:rsid w:val="00EF198F"/>
    <w:rsid w:val="00EF25E1"/>
    <w:rsid w:val="00EF2FAC"/>
    <w:rsid w:val="00EF331C"/>
    <w:rsid w:val="00EF380F"/>
    <w:rsid w:val="00EF3AC2"/>
    <w:rsid w:val="00EF3BA5"/>
    <w:rsid w:val="00EF3F2D"/>
    <w:rsid w:val="00EF4159"/>
    <w:rsid w:val="00EF453F"/>
    <w:rsid w:val="00EF5D39"/>
    <w:rsid w:val="00EF5D74"/>
    <w:rsid w:val="00EF5FEE"/>
    <w:rsid w:val="00EF6AE1"/>
    <w:rsid w:val="00EF7CC1"/>
    <w:rsid w:val="00F00391"/>
    <w:rsid w:val="00F00868"/>
    <w:rsid w:val="00F01131"/>
    <w:rsid w:val="00F01417"/>
    <w:rsid w:val="00F014AC"/>
    <w:rsid w:val="00F020BC"/>
    <w:rsid w:val="00F0254E"/>
    <w:rsid w:val="00F027E9"/>
    <w:rsid w:val="00F02904"/>
    <w:rsid w:val="00F0330C"/>
    <w:rsid w:val="00F0370F"/>
    <w:rsid w:val="00F03F8F"/>
    <w:rsid w:val="00F04AE3"/>
    <w:rsid w:val="00F04EB5"/>
    <w:rsid w:val="00F06702"/>
    <w:rsid w:val="00F06E9C"/>
    <w:rsid w:val="00F06F3F"/>
    <w:rsid w:val="00F07F1F"/>
    <w:rsid w:val="00F10887"/>
    <w:rsid w:val="00F1090F"/>
    <w:rsid w:val="00F10B2B"/>
    <w:rsid w:val="00F11C2D"/>
    <w:rsid w:val="00F12A6F"/>
    <w:rsid w:val="00F12BC0"/>
    <w:rsid w:val="00F13231"/>
    <w:rsid w:val="00F13D32"/>
    <w:rsid w:val="00F13FC1"/>
    <w:rsid w:val="00F1419F"/>
    <w:rsid w:val="00F145CB"/>
    <w:rsid w:val="00F145D5"/>
    <w:rsid w:val="00F14D9E"/>
    <w:rsid w:val="00F150EA"/>
    <w:rsid w:val="00F154FA"/>
    <w:rsid w:val="00F15BB4"/>
    <w:rsid w:val="00F15F16"/>
    <w:rsid w:val="00F16316"/>
    <w:rsid w:val="00F16A6A"/>
    <w:rsid w:val="00F173C6"/>
    <w:rsid w:val="00F17AE2"/>
    <w:rsid w:val="00F17B7B"/>
    <w:rsid w:val="00F17DF7"/>
    <w:rsid w:val="00F2085C"/>
    <w:rsid w:val="00F21CD0"/>
    <w:rsid w:val="00F228ED"/>
    <w:rsid w:val="00F22969"/>
    <w:rsid w:val="00F24613"/>
    <w:rsid w:val="00F24AC0"/>
    <w:rsid w:val="00F24FF7"/>
    <w:rsid w:val="00F2503D"/>
    <w:rsid w:val="00F2506E"/>
    <w:rsid w:val="00F270F8"/>
    <w:rsid w:val="00F2727B"/>
    <w:rsid w:val="00F3038E"/>
    <w:rsid w:val="00F30BD7"/>
    <w:rsid w:val="00F316B8"/>
    <w:rsid w:val="00F3218E"/>
    <w:rsid w:val="00F32915"/>
    <w:rsid w:val="00F3293C"/>
    <w:rsid w:val="00F33091"/>
    <w:rsid w:val="00F3310B"/>
    <w:rsid w:val="00F33190"/>
    <w:rsid w:val="00F33392"/>
    <w:rsid w:val="00F336F0"/>
    <w:rsid w:val="00F339D0"/>
    <w:rsid w:val="00F33A36"/>
    <w:rsid w:val="00F340A2"/>
    <w:rsid w:val="00F34E2A"/>
    <w:rsid w:val="00F35296"/>
    <w:rsid w:val="00F3547C"/>
    <w:rsid w:val="00F355DF"/>
    <w:rsid w:val="00F35B6E"/>
    <w:rsid w:val="00F35F53"/>
    <w:rsid w:val="00F36E8D"/>
    <w:rsid w:val="00F37076"/>
    <w:rsid w:val="00F37BF0"/>
    <w:rsid w:val="00F37FD0"/>
    <w:rsid w:val="00F40083"/>
    <w:rsid w:val="00F400A9"/>
    <w:rsid w:val="00F41564"/>
    <w:rsid w:val="00F41664"/>
    <w:rsid w:val="00F41E44"/>
    <w:rsid w:val="00F4277C"/>
    <w:rsid w:val="00F42E61"/>
    <w:rsid w:val="00F42F30"/>
    <w:rsid w:val="00F436F1"/>
    <w:rsid w:val="00F43E19"/>
    <w:rsid w:val="00F444AB"/>
    <w:rsid w:val="00F44BB9"/>
    <w:rsid w:val="00F44D46"/>
    <w:rsid w:val="00F44F6D"/>
    <w:rsid w:val="00F4522F"/>
    <w:rsid w:val="00F459DC"/>
    <w:rsid w:val="00F46868"/>
    <w:rsid w:val="00F468FD"/>
    <w:rsid w:val="00F46A3C"/>
    <w:rsid w:val="00F47C34"/>
    <w:rsid w:val="00F503CE"/>
    <w:rsid w:val="00F509DC"/>
    <w:rsid w:val="00F50E41"/>
    <w:rsid w:val="00F50FAC"/>
    <w:rsid w:val="00F516D4"/>
    <w:rsid w:val="00F51848"/>
    <w:rsid w:val="00F526BD"/>
    <w:rsid w:val="00F52743"/>
    <w:rsid w:val="00F531CD"/>
    <w:rsid w:val="00F535F6"/>
    <w:rsid w:val="00F53E58"/>
    <w:rsid w:val="00F5426A"/>
    <w:rsid w:val="00F55970"/>
    <w:rsid w:val="00F559B6"/>
    <w:rsid w:val="00F55C23"/>
    <w:rsid w:val="00F55C2A"/>
    <w:rsid w:val="00F564AE"/>
    <w:rsid w:val="00F565F8"/>
    <w:rsid w:val="00F56839"/>
    <w:rsid w:val="00F56A01"/>
    <w:rsid w:val="00F60086"/>
    <w:rsid w:val="00F607DC"/>
    <w:rsid w:val="00F60803"/>
    <w:rsid w:val="00F61562"/>
    <w:rsid w:val="00F63AF6"/>
    <w:rsid w:val="00F642E5"/>
    <w:rsid w:val="00F652A2"/>
    <w:rsid w:val="00F658E4"/>
    <w:rsid w:val="00F65A15"/>
    <w:rsid w:val="00F65B2B"/>
    <w:rsid w:val="00F66678"/>
    <w:rsid w:val="00F6697C"/>
    <w:rsid w:val="00F66E9E"/>
    <w:rsid w:val="00F67430"/>
    <w:rsid w:val="00F676C4"/>
    <w:rsid w:val="00F67B33"/>
    <w:rsid w:val="00F701EB"/>
    <w:rsid w:val="00F7031D"/>
    <w:rsid w:val="00F70356"/>
    <w:rsid w:val="00F70464"/>
    <w:rsid w:val="00F7052C"/>
    <w:rsid w:val="00F70D2C"/>
    <w:rsid w:val="00F70DF1"/>
    <w:rsid w:val="00F70EEA"/>
    <w:rsid w:val="00F710F5"/>
    <w:rsid w:val="00F7121A"/>
    <w:rsid w:val="00F713B0"/>
    <w:rsid w:val="00F71C85"/>
    <w:rsid w:val="00F71E39"/>
    <w:rsid w:val="00F71E50"/>
    <w:rsid w:val="00F72DCD"/>
    <w:rsid w:val="00F732C6"/>
    <w:rsid w:val="00F73A16"/>
    <w:rsid w:val="00F73A23"/>
    <w:rsid w:val="00F73BDE"/>
    <w:rsid w:val="00F73F25"/>
    <w:rsid w:val="00F7403E"/>
    <w:rsid w:val="00F7435D"/>
    <w:rsid w:val="00F74657"/>
    <w:rsid w:val="00F74D4F"/>
    <w:rsid w:val="00F76165"/>
    <w:rsid w:val="00F7624B"/>
    <w:rsid w:val="00F77688"/>
    <w:rsid w:val="00F77CC5"/>
    <w:rsid w:val="00F8006B"/>
    <w:rsid w:val="00F807E7"/>
    <w:rsid w:val="00F80F2D"/>
    <w:rsid w:val="00F8156B"/>
    <w:rsid w:val="00F81837"/>
    <w:rsid w:val="00F8192C"/>
    <w:rsid w:val="00F81ABF"/>
    <w:rsid w:val="00F81CB0"/>
    <w:rsid w:val="00F81E52"/>
    <w:rsid w:val="00F81F5E"/>
    <w:rsid w:val="00F821D5"/>
    <w:rsid w:val="00F82E29"/>
    <w:rsid w:val="00F82F29"/>
    <w:rsid w:val="00F83D54"/>
    <w:rsid w:val="00F84980"/>
    <w:rsid w:val="00F84D50"/>
    <w:rsid w:val="00F851FC"/>
    <w:rsid w:val="00F865D3"/>
    <w:rsid w:val="00F8672E"/>
    <w:rsid w:val="00F86C26"/>
    <w:rsid w:val="00F8725A"/>
    <w:rsid w:val="00F878B3"/>
    <w:rsid w:val="00F901E0"/>
    <w:rsid w:val="00F902AC"/>
    <w:rsid w:val="00F9058A"/>
    <w:rsid w:val="00F905D7"/>
    <w:rsid w:val="00F90A51"/>
    <w:rsid w:val="00F91C2C"/>
    <w:rsid w:val="00F928C8"/>
    <w:rsid w:val="00F92967"/>
    <w:rsid w:val="00F92980"/>
    <w:rsid w:val="00F93DFC"/>
    <w:rsid w:val="00F94636"/>
    <w:rsid w:val="00F94B06"/>
    <w:rsid w:val="00F951CC"/>
    <w:rsid w:val="00F95201"/>
    <w:rsid w:val="00F95A1F"/>
    <w:rsid w:val="00F95BC8"/>
    <w:rsid w:val="00F95E36"/>
    <w:rsid w:val="00F96844"/>
    <w:rsid w:val="00F969C3"/>
    <w:rsid w:val="00F96C24"/>
    <w:rsid w:val="00F9710C"/>
    <w:rsid w:val="00F97408"/>
    <w:rsid w:val="00F97743"/>
    <w:rsid w:val="00FA0497"/>
    <w:rsid w:val="00FA06DC"/>
    <w:rsid w:val="00FA1328"/>
    <w:rsid w:val="00FA204B"/>
    <w:rsid w:val="00FA2402"/>
    <w:rsid w:val="00FA24F0"/>
    <w:rsid w:val="00FA2EDB"/>
    <w:rsid w:val="00FA316F"/>
    <w:rsid w:val="00FA327F"/>
    <w:rsid w:val="00FA3B49"/>
    <w:rsid w:val="00FA497D"/>
    <w:rsid w:val="00FA49E3"/>
    <w:rsid w:val="00FA4DFD"/>
    <w:rsid w:val="00FA5054"/>
    <w:rsid w:val="00FA50EB"/>
    <w:rsid w:val="00FA5E3B"/>
    <w:rsid w:val="00FA5FAE"/>
    <w:rsid w:val="00FA6276"/>
    <w:rsid w:val="00FA63CC"/>
    <w:rsid w:val="00FA65E3"/>
    <w:rsid w:val="00FA675D"/>
    <w:rsid w:val="00FA6A38"/>
    <w:rsid w:val="00FA6C84"/>
    <w:rsid w:val="00FA6D2A"/>
    <w:rsid w:val="00FA71E3"/>
    <w:rsid w:val="00FA75EF"/>
    <w:rsid w:val="00FA7B5D"/>
    <w:rsid w:val="00FA7CCF"/>
    <w:rsid w:val="00FA7F58"/>
    <w:rsid w:val="00FB101D"/>
    <w:rsid w:val="00FB13FE"/>
    <w:rsid w:val="00FB1D02"/>
    <w:rsid w:val="00FB227E"/>
    <w:rsid w:val="00FB2471"/>
    <w:rsid w:val="00FB325E"/>
    <w:rsid w:val="00FB336C"/>
    <w:rsid w:val="00FB3B0C"/>
    <w:rsid w:val="00FB3E9C"/>
    <w:rsid w:val="00FB40CE"/>
    <w:rsid w:val="00FB45D5"/>
    <w:rsid w:val="00FB4966"/>
    <w:rsid w:val="00FB4A33"/>
    <w:rsid w:val="00FB4AB7"/>
    <w:rsid w:val="00FB5F7A"/>
    <w:rsid w:val="00FB6169"/>
    <w:rsid w:val="00FB780A"/>
    <w:rsid w:val="00FB7908"/>
    <w:rsid w:val="00FB7ADB"/>
    <w:rsid w:val="00FB7C36"/>
    <w:rsid w:val="00FC1075"/>
    <w:rsid w:val="00FC1C20"/>
    <w:rsid w:val="00FC1DC6"/>
    <w:rsid w:val="00FC2600"/>
    <w:rsid w:val="00FC29BC"/>
    <w:rsid w:val="00FC2BF7"/>
    <w:rsid w:val="00FC30E6"/>
    <w:rsid w:val="00FC31A8"/>
    <w:rsid w:val="00FC39BD"/>
    <w:rsid w:val="00FC3C71"/>
    <w:rsid w:val="00FC3CD9"/>
    <w:rsid w:val="00FC41FF"/>
    <w:rsid w:val="00FC4C4B"/>
    <w:rsid w:val="00FC4CE8"/>
    <w:rsid w:val="00FC5178"/>
    <w:rsid w:val="00FC530E"/>
    <w:rsid w:val="00FC580A"/>
    <w:rsid w:val="00FC5DB8"/>
    <w:rsid w:val="00FC5E9A"/>
    <w:rsid w:val="00FC6F84"/>
    <w:rsid w:val="00FC7F96"/>
    <w:rsid w:val="00FD0551"/>
    <w:rsid w:val="00FD0EC1"/>
    <w:rsid w:val="00FD0FB5"/>
    <w:rsid w:val="00FD140E"/>
    <w:rsid w:val="00FD1624"/>
    <w:rsid w:val="00FD1A66"/>
    <w:rsid w:val="00FD20AC"/>
    <w:rsid w:val="00FD2849"/>
    <w:rsid w:val="00FD2D10"/>
    <w:rsid w:val="00FD3180"/>
    <w:rsid w:val="00FD4B88"/>
    <w:rsid w:val="00FD4DE6"/>
    <w:rsid w:val="00FD5942"/>
    <w:rsid w:val="00FD5A32"/>
    <w:rsid w:val="00FD5EA4"/>
    <w:rsid w:val="00FD62B0"/>
    <w:rsid w:val="00FD7B7B"/>
    <w:rsid w:val="00FD7D16"/>
    <w:rsid w:val="00FD7D32"/>
    <w:rsid w:val="00FD7DDB"/>
    <w:rsid w:val="00FE0426"/>
    <w:rsid w:val="00FE113C"/>
    <w:rsid w:val="00FE16B3"/>
    <w:rsid w:val="00FE1C68"/>
    <w:rsid w:val="00FE1CA0"/>
    <w:rsid w:val="00FE2B6C"/>
    <w:rsid w:val="00FE326D"/>
    <w:rsid w:val="00FE4913"/>
    <w:rsid w:val="00FE4C08"/>
    <w:rsid w:val="00FE5CC9"/>
    <w:rsid w:val="00FE65E9"/>
    <w:rsid w:val="00FE66A2"/>
    <w:rsid w:val="00FE66DC"/>
    <w:rsid w:val="00FE69C0"/>
    <w:rsid w:val="00FE7B26"/>
    <w:rsid w:val="00FF1217"/>
    <w:rsid w:val="00FF13E7"/>
    <w:rsid w:val="00FF2233"/>
    <w:rsid w:val="00FF26BC"/>
    <w:rsid w:val="00FF2834"/>
    <w:rsid w:val="00FF3565"/>
    <w:rsid w:val="00FF3BCD"/>
    <w:rsid w:val="00FF3D67"/>
    <w:rsid w:val="00FF3E13"/>
    <w:rsid w:val="00FF4837"/>
    <w:rsid w:val="00FF618E"/>
    <w:rsid w:val="00FF6294"/>
    <w:rsid w:val="00FF6A05"/>
    <w:rsid w:val="00FF6A3F"/>
    <w:rsid w:val="00FF6D10"/>
    <w:rsid w:val="00FF73E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4CA1EF"/>
  <w15:chartTrackingRefBased/>
  <w15:docId w15:val="{F1FD0A98-3503-4442-87FF-5AB6734B30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6035"/>
  </w:style>
  <w:style w:type="paragraph" w:styleId="Heading1">
    <w:name w:val="heading 1"/>
    <w:basedOn w:val="Normal"/>
    <w:next w:val="Normal"/>
    <w:link w:val="Heading1Char"/>
    <w:uiPriority w:val="9"/>
    <w:qFormat/>
    <w:rsid w:val="005607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607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6074C"/>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6074C"/>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56074C"/>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56074C"/>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56074C"/>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56074C"/>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56074C"/>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07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607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6074C"/>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6074C"/>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56074C"/>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56074C"/>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56074C"/>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56074C"/>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56074C"/>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5607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607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6074C"/>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6074C"/>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56074C"/>
    <w:pPr>
      <w:spacing w:before="160"/>
      <w:jc w:val="center"/>
    </w:pPr>
    <w:rPr>
      <w:i/>
      <w:iCs/>
      <w:color w:val="404040" w:themeColor="text1" w:themeTint="BF"/>
    </w:rPr>
  </w:style>
  <w:style w:type="character" w:customStyle="1" w:styleId="QuoteChar">
    <w:name w:val="Quote Char"/>
    <w:basedOn w:val="DefaultParagraphFont"/>
    <w:link w:val="Quote"/>
    <w:uiPriority w:val="29"/>
    <w:rsid w:val="0056074C"/>
    <w:rPr>
      <w:i/>
      <w:iCs/>
      <w:color w:val="404040" w:themeColor="text1" w:themeTint="BF"/>
    </w:rPr>
  </w:style>
  <w:style w:type="paragraph" w:styleId="ListParagraph">
    <w:name w:val="List Paragraph"/>
    <w:basedOn w:val="Normal"/>
    <w:uiPriority w:val="34"/>
    <w:qFormat/>
    <w:rsid w:val="0056074C"/>
    <w:pPr>
      <w:ind w:left="720"/>
      <w:contextualSpacing/>
    </w:pPr>
  </w:style>
  <w:style w:type="character" w:styleId="IntenseEmphasis">
    <w:name w:val="Intense Emphasis"/>
    <w:basedOn w:val="DefaultParagraphFont"/>
    <w:uiPriority w:val="21"/>
    <w:qFormat/>
    <w:rsid w:val="0056074C"/>
    <w:rPr>
      <w:i/>
      <w:iCs/>
      <w:color w:val="0F4761" w:themeColor="accent1" w:themeShade="BF"/>
    </w:rPr>
  </w:style>
  <w:style w:type="paragraph" w:styleId="IntenseQuote">
    <w:name w:val="Intense Quote"/>
    <w:basedOn w:val="Normal"/>
    <w:next w:val="Normal"/>
    <w:link w:val="IntenseQuoteChar"/>
    <w:uiPriority w:val="30"/>
    <w:qFormat/>
    <w:rsid w:val="005607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6074C"/>
    <w:rPr>
      <w:i/>
      <w:iCs/>
      <w:color w:val="0F4761" w:themeColor="accent1" w:themeShade="BF"/>
    </w:rPr>
  </w:style>
  <w:style w:type="character" w:styleId="IntenseReference">
    <w:name w:val="Intense Reference"/>
    <w:basedOn w:val="DefaultParagraphFont"/>
    <w:uiPriority w:val="32"/>
    <w:qFormat/>
    <w:rsid w:val="0056074C"/>
    <w:rPr>
      <w:b/>
      <w:bCs/>
      <w:smallCaps/>
      <w:color w:val="0F4761" w:themeColor="accent1" w:themeShade="BF"/>
      <w:spacing w:val="5"/>
    </w:rPr>
  </w:style>
  <w:style w:type="paragraph" w:styleId="Bibliography">
    <w:name w:val="Bibliography"/>
    <w:basedOn w:val="Normal"/>
    <w:next w:val="Normal"/>
    <w:uiPriority w:val="37"/>
    <w:unhideWhenUsed/>
    <w:rsid w:val="005C6CDF"/>
    <w:pPr>
      <w:spacing w:after="0" w:line="240" w:lineRule="auto"/>
      <w:ind w:left="720" w:hanging="720"/>
    </w:pPr>
  </w:style>
  <w:style w:type="character" w:customStyle="1" w:styleId="MTEquationSection">
    <w:name w:val="MTEquationSection"/>
    <w:basedOn w:val="DefaultParagraphFont"/>
    <w:rsid w:val="00AE2B30"/>
    <w:rPr>
      <w:b/>
      <w:vanish/>
      <w:color w:val="FF0000"/>
    </w:rPr>
  </w:style>
  <w:style w:type="paragraph" w:customStyle="1" w:styleId="MTDisplayEquation">
    <w:name w:val="MTDisplayEquation"/>
    <w:basedOn w:val="Normal"/>
    <w:next w:val="Normal"/>
    <w:link w:val="MTDisplayEquationChar"/>
    <w:rsid w:val="00AE2B30"/>
    <w:pPr>
      <w:shd w:val="clear" w:color="auto" w:fill="FFFFFF"/>
      <w:tabs>
        <w:tab w:val="center" w:pos="4680"/>
        <w:tab w:val="right" w:pos="9360"/>
      </w:tabs>
      <w:spacing w:after="0" w:line="240" w:lineRule="auto"/>
      <w:jc w:val="both"/>
    </w:pPr>
  </w:style>
  <w:style w:type="character" w:customStyle="1" w:styleId="MTDisplayEquationChar">
    <w:name w:val="MTDisplayEquation Char"/>
    <w:basedOn w:val="DefaultParagraphFont"/>
    <w:link w:val="MTDisplayEquation"/>
    <w:rsid w:val="00AE2B30"/>
    <w:rPr>
      <w:shd w:val="clear" w:color="auto" w:fill="FFFFFF"/>
    </w:rPr>
  </w:style>
  <w:style w:type="character" w:styleId="Hyperlink">
    <w:name w:val="Hyperlink"/>
    <w:basedOn w:val="DefaultParagraphFont"/>
    <w:uiPriority w:val="99"/>
    <w:unhideWhenUsed/>
    <w:rsid w:val="009221D1"/>
    <w:rPr>
      <w:color w:val="0563C1"/>
      <w:u w:val="single"/>
    </w:rPr>
  </w:style>
  <w:style w:type="character" w:styleId="FollowedHyperlink">
    <w:name w:val="FollowedHyperlink"/>
    <w:basedOn w:val="DefaultParagraphFont"/>
    <w:uiPriority w:val="99"/>
    <w:semiHidden/>
    <w:unhideWhenUsed/>
    <w:rsid w:val="009221D1"/>
    <w:rPr>
      <w:color w:val="954F72"/>
      <w:u w:val="single"/>
    </w:rPr>
  </w:style>
  <w:style w:type="paragraph" w:customStyle="1" w:styleId="msonormal0">
    <w:name w:val="msonormal"/>
    <w:basedOn w:val="Normal"/>
    <w:rsid w:val="009221D1"/>
    <w:pPr>
      <w:spacing w:before="100" w:beforeAutospacing="1" w:after="100" w:afterAutospacing="1" w:line="240" w:lineRule="auto"/>
    </w:pPr>
    <w:rPr>
      <w:rFonts w:eastAsia="Times New Roman" w:cs="Times New Roman"/>
      <w:kern w:val="0"/>
      <w14:ligatures w14:val="none"/>
    </w:rPr>
  </w:style>
  <w:style w:type="paragraph" w:customStyle="1" w:styleId="xl65">
    <w:name w:val="xl65"/>
    <w:basedOn w:val="Normal"/>
    <w:rsid w:val="009221D1"/>
    <w:pPr>
      <w:shd w:val="clear" w:color="000000" w:fill="FFFFFF"/>
      <w:spacing w:before="100" w:beforeAutospacing="1" w:after="100" w:afterAutospacing="1" w:line="240" w:lineRule="auto"/>
    </w:pPr>
    <w:rPr>
      <w:rFonts w:eastAsia="Times New Roman" w:cs="Times New Roman"/>
      <w:kern w:val="0"/>
      <w14:ligatures w14:val="none"/>
    </w:rPr>
  </w:style>
  <w:style w:type="paragraph" w:customStyle="1" w:styleId="xl66">
    <w:name w:val="xl66"/>
    <w:basedOn w:val="Normal"/>
    <w:rsid w:val="009221D1"/>
    <w:pPr>
      <w:shd w:val="clear" w:color="000000" w:fill="FFFFFF"/>
      <w:spacing w:before="100" w:beforeAutospacing="1" w:after="100" w:afterAutospacing="1" w:line="240" w:lineRule="auto"/>
    </w:pPr>
    <w:rPr>
      <w:rFonts w:eastAsia="Times New Roman" w:cs="Times New Roman"/>
      <w:kern w:val="0"/>
      <w14:ligatures w14:val="none"/>
    </w:rPr>
  </w:style>
  <w:style w:type="paragraph" w:customStyle="1" w:styleId="xl67">
    <w:name w:val="xl67"/>
    <w:basedOn w:val="Normal"/>
    <w:rsid w:val="009221D1"/>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68">
    <w:name w:val="xl68"/>
    <w:basedOn w:val="Normal"/>
    <w:rsid w:val="009221D1"/>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69">
    <w:name w:val="xl69"/>
    <w:basedOn w:val="Normal"/>
    <w:rsid w:val="009221D1"/>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0">
    <w:name w:val="xl70"/>
    <w:basedOn w:val="Normal"/>
    <w:rsid w:val="009221D1"/>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1">
    <w:name w:val="xl71"/>
    <w:basedOn w:val="Normal"/>
    <w:rsid w:val="009221D1"/>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2">
    <w:name w:val="xl72"/>
    <w:basedOn w:val="Normal"/>
    <w:rsid w:val="009221D1"/>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3">
    <w:name w:val="xl73"/>
    <w:basedOn w:val="Normal"/>
    <w:rsid w:val="009221D1"/>
    <w:pPr>
      <w:pBdr>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4">
    <w:name w:val="xl74"/>
    <w:basedOn w:val="Normal"/>
    <w:rsid w:val="009221D1"/>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75">
    <w:name w:val="xl75"/>
    <w:basedOn w:val="Normal"/>
    <w:rsid w:val="009221D1"/>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6">
    <w:name w:val="xl76"/>
    <w:basedOn w:val="Normal"/>
    <w:rsid w:val="009221D1"/>
    <w:pPr>
      <w:pBdr>
        <w:top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7">
    <w:name w:val="xl77"/>
    <w:basedOn w:val="Normal"/>
    <w:rsid w:val="009221D1"/>
    <w:pPr>
      <w:pBdr>
        <w:top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8">
    <w:name w:val="xl78"/>
    <w:basedOn w:val="Normal"/>
    <w:rsid w:val="009221D1"/>
    <w:pPr>
      <w:pBdr>
        <w:top w:val="single" w:sz="8" w:space="0" w:color="auto"/>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79">
    <w:name w:val="xl79"/>
    <w:basedOn w:val="Normal"/>
    <w:rsid w:val="009221D1"/>
    <w:pPr>
      <w:pBdr>
        <w:top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0">
    <w:name w:val="xl80"/>
    <w:basedOn w:val="Normal"/>
    <w:rsid w:val="009221D1"/>
    <w:pPr>
      <w:pBdr>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81">
    <w:name w:val="xl81"/>
    <w:basedOn w:val="Normal"/>
    <w:rsid w:val="009221D1"/>
    <w:pPr>
      <w:pBdr>
        <w:lef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2">
    <w:name w:val="xl82"/>
    <w:basedOn w:val="Normal"/>
    <w:rsid w:val="009221D1"/>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3">
    <w:name w:val="xl83"/>
    <w:basedOn w:val="Normal"/>
    <w:rsid w:val="009221D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4">
    <w:name w:val="xl84"/>
    <w:basedOn w:val="Normal"/>
    <w:rsid w:val="009221D1"/>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5">
    <w:name w:val="xl85"/>
    <w:basedOn w:val="Normal"/>
    <w:rsid w:val="009221D1"/>
    <w:pP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6">
    <w:name w:val="xl86"/>
    <w:basedOn w:val="Normal"/>
    <w:rsid w:val="009221D1"/>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87">
    <w:name w:val="xl87"/>
    <w:basedOn w:val="Normal"/>
    <w:rsid w:val="009221D1"/>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8">
    <w:name w:val="xl88"/>
    <w:basedOn w:val="Normal"/>
    <w:rsid w:val="009221D1"/>
    <w:pPr>
      <w:pBdr>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89">
    <w:name w:val="xl89"/>
    <w:basedOn w:val="Normal"/>
    <w:rsid w:val="009221D1"/>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0">
    <w:name w:val="xl90"/>
    <w:basedOn w:val="Normal"/>
    <w:rsid w:val="009221D1"/>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1">
    <w:name w:val="xl91"/>
    <w:basedOn w:val="Normal"/>
    <w:rsid w:val="009221D1"/>
    <w:pPr>
      <w:pBdr>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2">
    <w:name w:val="xl92"/>
    <w:basedOn w:val="Normal"/>
    <w:rsid w:val="009221D1"/>
    <w:pPr>
      <w:pBdr>
        <w:left w:val="single" w:sz="8" w:space="0" w:color="auto"/>
        <w:bottom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93">
    <w:name w:val="xl93"/>
    <w:basedOn w:val="Normal"/>
    <w:rsid w:val="009221D1"/>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b/>
      <w:bCs/>
      <w:i/>
      <w:iCs/>
      <w:kern w:val="0"/>
      <w:sz w:val="20"/>
      <w:szCs w:val="20"/>
      <w14:ligatures w14:val="none"/>
    </w:rPr>
  </w:style>
  <w:style w:type="paragraph" w:customStyle="1" w:styleId="xl94">
    <w:name w:val="xl94"/>
    <w:basedOn w:val="Normal"/>
    <w:rsid w:val="009221D1"/>
    <w:pPr>
      <w:pBdr>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95">
    <w:name w:val="xl95"/>
    <w:basedOn w:val="Normal"/>
    <w:rsid w:val="009221D1"/>
    <w:pPr>
      <w:pBdr>
        <w:lef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6">
    <w:name w:val="xl96"/>
    <w:basedOn w:val="Normal"/>
    <w:rsid w:val="009221D1"/>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7">
    <w:name w:val="xl97"/>
    <w:basedOn w:val="Normal"/>
    <w:rsid w:val="009221D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8">
    <w:name w:val="xl98"/>
    <w:basedOn w:val="Normal"/>
    <w:rsid w:val="009221D1"/>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99">
    <w:name w:val="xl99"/>
    <w:basedOn w:val="Normal"/>
    <w:rsid w:val="009221D1"/>
    <w:pP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00">
    <w:name w:val="xl100"/>
    <w:basedOn w:val="Normal"/>
    <w:rsid w:val="009221D1"/>
    <w:pPr>
      <w:pBdr>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101">
    <w:name w:val="xl101"/>
    <w:basedOn w:val="Normal"/>
    <w:rsid w:val="009221D1"/>
    <w:pPr>
      <w:pBdr>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102">
    <w:name w:val="xl102"/>
    <w:basedOn w:val="Normal"/>
    <w:rsid w:val="009221D1"/>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03">
    <w:name w:val="xl103"/>
    <w:basedOn w:val="Normal"/>
    <w:rsid w:val="009221D1"/>
    <w:pPr>
      <w:pBdr>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04">
    <w:name w:val="xl104"/>
    <w:basedOn w:val="Normal"/>
    <w:rsid w:val="009221D1"/>
    <w:pPr>
      <w:pBdr>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05">
    <w:name w:val="xl105"/>
    <w:basedOn w:val="Normal"/>
    <w:rsid w:val="009221D1"/>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b/>
      <w:bCs/>
      <w:i/>
      <w:iCs/>
      <w:kern w:val="0"/>
      <w:sz w:val="20"/>
      <w:szCs w:val="20"/>
      <w14:ligatures w14:val="none"/>
    </w:rPr>
  </w:style>
  <w:style w:type="paragraph" w:customStyle="1" w:styleId="xl106">
    <w:name w:val="xl106"/>
    <w:basedOn w:val="Normal"/>
    <w:rsid w:val="009221D1"/>
    <w:pPr>
      <w:pBdr>
        <w:lef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07">
    <w:name w:val="xl107"/>
    <w:basedOn w:val="Normal"/>
    <w:rsid w:val="009221D1"/>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08">
    <w:name w:val="xl108"/>
    <w:basedOn w:val="Normal"/>
    <w:rsid w:val="009221D1"/>
    <w:pPr>
      <w:pBdr>
        <w:lef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09">
    <w:name w:val="xl109"/>
    <w:basedOn w:val="Normal"/>
    <w:rsid w:val="009221D1"/>
    <w:pPr>
      <w:pBdr>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0">
    <w:name w:val="xl110"/>
    <w:basedOn w:val="Normal"/>
    <w:rsid w:val="009221D1"/>
    <w:pPr>
      <w:pBdr>
        <w:lef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1">
    <w:name w:val="xl111"/>
    <w:basedOn w:val="Normal"/>
    <w:rsid w:val="009221D1"/>
    <w:pP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2">
    <w:name w:val="xl112"/>
    <w:basedOn w:val="Normal"/>
    <w:rsid w:val="009221D1"/>
    <w:pPr>
      <w:pBdr>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3">
    <w:name w:val="xl113"/>
    <w:basedOn w:val="Normal"/>
    <w:rsid w:val="009221D1"/>
    <w:pPr>
      <w:pBdr>
        <w:top w:val="single" w:sz="8" w:space="0" w:color="auto"/>
        <w:left w:val="single" w:sz="8" w:space="0" w:color="auto"/>
        <w:right w:val="single" w:sz="8" w:space="0" w:color="auto"/>
      </w:pBdr>
      <w:shd w:val="clear" w:color="000000" w:fill="FFFFFF"/>
      <w:spacing w:before="100" w:beforeAutospacing="1" w:after="100" w:afterAutospacing="1" w:line="240" w:lineRule="auto"/>
    </w:pPr>
    <w:rPr>
      <w:rFonts w:eastAsia="Times New Roman" w:cs="Times New Roman"/>
      <w:kern w:val="0"/>
      <w:sz w:val="20"/>
      <w:szCs w:val="20"/>
      <w14:ligatures w14:val="none"/>
    </w:rPr>
  </w:style>
  <w:style w:type="paragraph" w:customStyle="1" w:styleId="xl114">
    <w:name w:val="xl114"/>
    <w:basedOn w:val="Normal"/>
    <w:rsid w:val="009221D1"/>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5">
    <w:name w:val="xl115"/>
    <w:basedOn w:val="Normal"/>
    <w:rsid w:val="009221D1"/>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6">
    <w:name w:val="xl116"/>
    <w:basedOn w:val="Normal"/>
    <w:rsid w:val="009221D1"/>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7">
    <w:name w:val="xl117"/>
    <w:basedOn w:val="Normal"/>
    <w:rsid w:val="009221D1"/>
    <w:pPr>
      <w:pBdr>
        <w:top w:val="single" w:sz="8"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8">
    <w:name w:val="xl118"/>
    <w:basedOn w:val="Normal"/>
    <w:rsid w:val="009221D1"/>
    <w:pPr>
      <w:pBdr>
        <w:top w:val="single" w:sz="8"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customStyle="1" w:styleId="xl119">
    <w:name w:val="xl119"/>
    <w:basedOn w:val="Normal"/>
    <w:rsid w:val="009221D1"/>
    <w:pPr>
      <w:pBdr>
        <w:top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eastAsia="Times New Roman" w:cs="Times New Roman"/>
      <w:kern w:val="0"/>
      <w:sz w:val="20"/>
      <w:szCs w:val="20"/>
      <w14:ligatures w14:val="none"/>
    </w:rPr>
  </w:style>
  <w:style w:type="paragraph" w:styleId="Header">
    <w:name w:val="header"/>
    <w:basedOn w:val="Normal"/>
    <w:link w:val="HeaderChar"/>
    <w:uiPriority w:val="99"/>
    <w:unhideWhenUsed/>
    <w:rsid w:val="009B45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9B4556"/>
  </w:style>
  <w:style w:type="paragraph" w:styleId="Footer">
    <w:name w:val="footer"/>
    <w:basedOn w:val="Normal"/>
    <w:link w:val="FooterChar"/>
    <w:uiPriority w:val="99"/>
    <w:unhideWhenUsed/>
    <w:rsid w:val="009B45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9B4556"/>
  </w:style>
  <w:style w:type="character" w:styleId="UnresolvedMention">
    <w:name w:val="Unresolved Mention"/>
    <w:basedOn w:val="DefaultParagraphFont"/>
    <w:uiPriority w:val="99"/>
    <w:semiHidden/>
    <w:unhideWhenUsed/>
    <w:rsid w:val="00507D1E"/>
    <w:rPr>
      <w:color w:val="605E5C"/>
      <w:shd w:val="clear" w:color="auto" w:fill="E1DFDD"/>
    </w:rPr>
  </w:style>
  <w:style w:type="paragraph" w:styleId="FootnoteText">
    <w:name w:val="footnote text"/>
    <w:basedOn w:val="Normal"/>
    <w:link w:val="FootnoteTextChar"/>
    <w:uiPriority w:val="99"/>
    <w:unhideWhenUsed/>
    <w:rsid w:val="00877671"/>
    <w:pPr>
      <w:spacing w:after="0" w:line="240" w:lineRule="auto"/>
    </w:pPr>
    <w:rPr>
      <w:sz w:val="20"/>
      <w:szCs w:val="20"/>
    </w:rPr>
  </w:style>
  <w:style w:type="character" w:customStyle="1" w:styleId="FootnoteTextChar">
    <w:name w:val="Footnote Text Char"/>
    <w:basedOn w:val="DefaultParagraphFont"/>
    <w:link w:val="FootnoteText"/>
    <w:uiPriority w:val="99"/>
    <w:qFormat/>
    <w:rsid w:val="00877671"/>
    <w:rPr>
      <w:sz w:val="20"/>
      <w:szCs w:val="20"/>
    </w:rPr>
  </w:style>
  <w:style w:type="character" w:styleId="FootnoteReference">
    <w:name w:val="footnote reference"/>
    <w:basedOn w:val="DefaultParagraphFont"/>
    <w:uiPriority w:val="99"/>
    <w:semiHidden/>
    <w:unhideWhenUsed/>
    <w:rsid w:val="00877671"/>
    <w:rPr>
      <w:vertAlign w:val="superscript"/>
    </w:rPr>
  </w:style>
  <w:style w:type="paragraph" w:styleId="Revision">
    <w:name w:val="Revision"/>
    <w:hidden/>
    <w:uiPriority w:val="99"/>
    <w:semiHidden/>
    <w:rsid w:val="00BA1404"/>
    <w:pPr>
      <w:spacing w:after="0" w:line="240" w:lineRule="auto"/>
    </w:pPr>
  </w:style>
  <w:style w:type="table" w:styleId="TableGrid">
    <w:name w:val="Table Grid"/>
    <w:basedOn w:val="TableNormal"/>
    <w:uiPriority w:val="39"/>
    <w:rsid w:val="00FC26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B7FCF"/>
    <w:rPr>
      <w:sz w:val="16"/>
      <w:szCs w:val="16"/>
    </w:rPr>
  </w:style>
  <w:style w:type="paragraph" w:styleId="CommentText">
    <w:name w:val="annotation text"/>
    <w:basedOn w:val="Normal"/>
    <w:link w:val="CommentTextChar"/>
    <w:uiPriority w:val="99"/>
    <w:semiHidden/>
    <w:unhideWhenUsed/>
    <w:rsid w:val="00BB7FCF"/>
    <w:pPr>
      <w:spacing w:line="240" w:lineRule="auto"/>
    </w:pPr>
    <w:rPr>
      <w:sz w:val="20"/>
      <w:szCs w:val="20"/>
    </w:rPr>
  </w:style>
  <w:style w:type="character" w:customStyle="1" w:styleId="CommentTextChar">
    <w:name w:val="Comment Text Char"/>
    <w:basedOn w:val="DefaultParagraphFont"/>
    <w:link w:val="CommentText"/>
    <w:uiPriority w:val="99"/>
    <w:semiHidden/>
    <w:rsid w:val="00BB7FCF"/>
    <w:rPr>
      <w:sz w:val="20"/>
      <w:szCs w:val="20"/>
    </w:rPr>
  </w:style>
  <w:style w:type="paragraph" w:styleId="CommentSubject">
    <w:name w:val="annotation subject"/>
    <w:basedOn w:val="CommentText"/>
    <w:next w:val="CommentText"/>
    <w:link w:val="CommentSubjectChar"/>
    <w:uiPriority w:val="99"/>
    <w:semiHidden/>
    <w:unhideWhenUsed/>
    <w:rsid w:val="00BB7FCF"/>
    <w:rPr>
      <w:b/>
      <w:bCs/>
    </w:rPr>
  </w:style>
  <w:style w:type="character" w:customStyle="1" w:styleId="CommentSubjectChar">
    <w:name w:val="Comment Subject Char"/>
    <w:basedOn w:val="CommentTextChar"/>
    <w:link w:val="CommentSubject"/>
    <w:uiPriority w:val="99"/>
    <w:semiHidden/>
    <w:rsid w:val="00BB7FCF"/>
    <w:rPr>
      <w:b/>
      <w:bCs/>
      <w:sz w:val="20"/>
      <w:szCs w:val="20"/>
    </w:rPr>
  </w:style>
  <w:style w:type="paragraph" w:styleId="NormalWeb">
    <w:name w:val="Normal (Web)"/>
    <w:basedOn w:val="Normal"/>
    <w:uiPriority w:val="99"/>
    <w:unhideWhenUsed/>
    <w:rsid w:val="00A34BF3"/>
    <w:pPr>
      <w:spacing w:before="100" w:beforeAutospacing="1" w:after="100" w:afterAutospacing="1" w:line="240" w:lineRule="auto"/>
    </w:pPr>
    <w:rPr>
      <w:rFonts w:eastAsia="Times New Roman"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1256241">
      <w:bodyDiv w:val="1"/>
      <w:marLeft w:val="0"/>
      <w:marRight w:val="0"/>
      <w:marTop w:val="0"/>
      <w:marBottom w:val="0"/>
      <w:divBdr>
        <w:top w:val="none" w:sz="0" w:space="0" w:color="auto"/>
        <w:left w:val="none" w:sz="0" w:space="0" w:color="auto"/>
        <w:bottom w:val="none" w:sz="0" w:space="0" w:color="auto"/>
        <w:right w:val="none" w:sz="0" w:space="0" w:color="auto"/>
      </w:divBdr>
    </w:div>
    <w:div w:id="398870940">
      <w:bodyDiv w:val="1"/>
      <w:marLeft w:val="0"/>
      <w:marRight w:val="0"/>
      <w:marTop w:val="0"/>
      <w:marBottom w:val="0"/>
      <w:divBdr>
        <w:top w:val="none" w:sz="0" w:space="0" w:color="auto"/>
        <w:left w:val="none" w:sz="0" w:space="0" w:color="auto"/>
        <w:bottom w:val="none" w:sz="0" w:space="0" w:color="auto"/>
        <w:right w:val="none" w:sz="0" w:space="0" w:color="auto"/>
      </w:divBdr>
    </w:div>
    <w:div w:id="502546922">
      <w:bodyDiv w:val="1"/>
      <w:marLeft w:val="0"/>
      <w:marRight w:val="0"/>
      <w:marTop w:val="0"/>
      <w:marBottom w:val="0"/>
      <w:divBdr>
        <w:top w:val="none" w:sz="0" w:space="0" w:color="auto"/>
        <w:left w:val="none" w:sz="0" w:space="0" w:color="auto"/>
        <w:bottom w:val="none" w:sz="0" w:space="0" w:color="auto"/>
        <w:right w:val="none" w:sz="0" w:space="0" w:color="auto"/>
      </w:divBdr>
    </w:div>
    <w:div w:id="693306762">
      <w:bodyDiv w:val="1"/>
      <w:marLeft w:val="0"/>
      <w:marRight w:val="0"/>
      <w:marTop w:val="0"/>
      <w:marBottom w:val="0"/>
      <w:divBdr>
        <w:top w:val="none" w:sz="0" w:space="0" w:color="auto"/>
        <w:left w:val="none" w:sz="0" w:space="0" w:color="auto"/>
        <w:bottom w:val="none" w:sz="0" w:space="0" w:color="auto"/>
        <w:right w:val="none" w:sz="0" w:space="0" w:color="auto"/>
      </w:divBdr>
    </w:div>
    <w:div w:id="721901551">
      <w:bodyDiv w:val="1"/>
      <w:marLeft w:val="0"/>
      <w:marRight w:val="0"/>
      <w:marTop w:val="0"/>
      <w:marBottom w:val="0"/>
      <w:divBdr>
        <w:top w:val="none" w:sz="0" w:space="0" w:color="auto"/>
        <w:left w:val="none" w:sz="0" w:space="0" w:color="auto"/>
        <w:bottom w:val="none" w:sz="0" w:space="0" w:color="auto"/>
        <w:right w:val="none" w:sz="0" w:space="0" w:color="auto"/>
      </w:divBdr>
    </w:div>
    <w:div w:id="831529858">
      <w:bodyDiv w:val="1"/>
      <w:marLeft w:val="0"/>
      <w:marRight w:val="0"/>
      <w:marTop w:val="0"/>
      <w:marBottom w:val="0"/>
      <w:divBdr>
        <w:top w:val="none" w:sz="0" w:space="0" w:color="auto"/>
        <w:left w:val="none" w:sz="0" w:space="0" w:color="auto"/>
        <w:bottom w:val="none" w:sz="0" w:space="0" w:color="auto"/>
        <w:right w:val="none" w:sz="0" w:space="0" w:color="auto"/>
      </w:divBdr>
    </w:div>
    <w:div w:id="1086195458">
      <w:bodyDiv w:val="1"/>
      <w:marLeft w:val="0"/>
      <w:marRight w:val="0"/>
      <w:marTop w:val="0"/>
      <w:marBottom w:val="0"/>
      <w:divBdr>
        <w:top w:val="none" w:sz="0" w:space="0" w:color="auto"/>
        <w:left w:val="none" w:sz="0" w:space="0" w:color="auto"/>
        <w:bottom w:val="none" w:sz="0" w:space="0" w:color="auto"/>
        <w:right w:val="none" w:sz="0" w:space="0" w:color="auto"/>
      </w:divBdr>
      <w:divsChild>
        <w:div w:id="1751266501">
          <w:marLeft w:val="0"/>
          <w:marRight w:val="0"/>
          <w:marTop w:val="0"/>
          <w:marBottom w:val="0"/>
          <w:divBdr>
            <w:top w:val="none" w:sz="0" w:space="0" w:color="auto"/>
            <w:left w:val="none" w:sz="0" w:space="0" w:color="auto"/>
            <w:bottom w:val="none" w:sz="0" w:space="0" w:color="auto"/>
            <w:right w:val="none" w:sz="0" w:space="0" w:color="auto"/>
          </w:divBdr>
          <w:divsChild>
            <w:div w:id="24407420">
              <w:marLeft w:val="0"/>
              <w:marRight w:val="0"/>
              <w:marTop w:val="0"/>
              <w:marBottom w:val="0"/>
              <w:divBdr>
                <w:top w:val="none" w:sz="0" w:space="0" w:color="auto"/>
                <w:left w:val="none" w:sz="0" w:space="0" w:color="auto"/>
                <w:bottom w:val="none" w:sz="0" w:space="0" w:color="auto"/>
                <w:right w:val="none" w:sz="0" w:space="0" w:color="auto"/>
              </w:divBdr>
            </w:div>
          </w:divsChild>
        </w:div>
        <w:div w:id="1821652077">
          <w:marLeft w:val="0"/>
          <w:marRight w:val="0"/>
          <w:marTop w:val="0"/>
          <w:marBottom w:val="0"/>
          <w:divBdr>
            <w:top w:val="none" w:sz="0" w:space="0" w:color="auto"/>
            <w:left w:val="none" w:sz="0" w:space="0" w:color="auto"/>
            <w:bottom w:val="none" w:sz="0" w:space="0" w:color="auto"/>
            <w:right w:val="none" w:sz="0" w:space="0" w:color="auto"/>
          </w:divBdr>
          <w:divsChild>
            <w:div w:id="1138524045">
              <w:marLeft w:val="0"/>
              <w:marRight w:val="0"/>
              <w:marTop w:val="0"/>
              <w:marBottom w:val="300"/>
              <w:divBdr>
                <w:top w:val="none" w:sz="0" w:space="0" w:color="auto"/>
                <w:left w:val="none" w:sz="0" w:space="0" w:color="auto"/>
                <w:bottom w:val="none" w:sz="0" w:space="0" w:color="auto"/>
                <w:right w:val="none" w:sz="0" w:space="0" w:color="auto"/>
              </w:divBdr>
              <w:divsChild>
                <w:div w:id="369384616">
                  <w:marLeft w:val="0"/>
                  <w:marRight w:val="0"/>
                  <w:marTop w:val="0"/>
                  <w:marBottom w:val="0"/>
                  <w:divBdr>
                    <w:top w:val="none" w:sz="0" w:space="0" w:color="auto"/>
                    <w:left w:val="none" w:sz="0" w:space="0" w:color="auto"/>
                    <w:bottom w:val="none" w:sz="0" w:space="0" w:color="auto"/>
                    <w:right w:val="none" w:sz="0" w:space="0" w:color="auto"/>
                  </w:divBdr>
                  <w:divsChild>
                    <w:div w:id="574558470">
                      <w:marLeft w:val="0"/>
                      <w:marRight w:val="0"/>
                      <w:marTop w:val="0"/>
                      <w:marBottom w:val="0"/>
                      <w:divBdr>
                        <w:top w:val="none" w:sz="0" w:space="0" w:color="auto"/>
                        <w:left w:val="none" w:sz="0" w:space="0" w:color="auto"/>
                        <w:bottom w:val="none" w:sz="0" w:space="0" w:color="auto"/>
                        <w:right w:val="none" w:sz="0" w:space="0" w:color="auto"/>
                      </w:divBdr>
                      <w:divsChild>
                        <w:div w:id="2055809888">
                          <w:marLeft w:val="0"/>
                          <w:marRight w:val="0"/>
                          <w:marTop w:val="0"/>
                          <w:marBottom w:val="0"/>
                          <w:divBdr>
                            <w:top w:val="none" w:sz="0" w:space="0" w:color="auto"/>
                            <w:left w:val="none" w:sz="0" w:space="0" w:color="auto"/>
                            <w:bottom w:val="none" w:sz="0" w:space="0" w:color="auto"/>
                            <w:right w:val="none" w:sz="0" w:space="0" w:color="auto"/>
                          </w:divBdr>
                          <w:divsChild>
                            <w:div w:id="147092318">
                              <w:marLeft w:val="0"/>
                              <w:marRight w:val="0"/>
                              <w:marTop w:val="0"/>
                              <w:marBottom w:val="0"/>
                              <w:divBdr>
                                <w:top w:val="none" w:sz="0" w:space="0" w:color="auto"/>
                                <w:left w:val="none" w:sz="0" w:space="0" w:color="auto"/>
                                <w:bottom w:val="none" w:sz="0" w:space="0" w:color="auto"/>
                                <w:right w:val="none" w:sz="0" w:space="0" w:color="auto"/>
                              </w:divBdr>
                              <w:divsChild>
                                <w:div w:id="977612493">
                                  <w:marLeft w:val="0"/>
                                  <w:marRight w:val="0"/>
                                  <w:marTop w:val="0"/>
                                  <w:marBottom w:val="0"/>
                                  <w:divBdr>
                                    <w:top w:val="none" w:sz="0" w:space="0" w:color="auto"/>
                                    <w:left w:val="none" w:sz="0" w:space="0" w:color="auto"/>
                                    <w:bottom w:val="none" w:sz="0" w:space="0" w:color="auto"/>
                                    <w:right w:val="none" w:sz="0" w:space="0" w:color="auto"/>
                                  </w:divBdr>
                                  <w:divsChild>
                                    <w:div w:id="1662541832">
                                      <w:marLeft w:val="0"/>
                                      <w:marRight w:val="0"/>
                                      <w:marTop w:val="0"/>
                                      <w:marBottom w:val="0"/>
                                      <w:divBdr>
                                        <w:top w:val="none" w:sz="0" w:space="0" w:color="auto"/>
                                        <w:left w:val="none" w:sz="0" w:space="0" w:color="auto"/>
                                        <w:bottom w:val="none" w:sz="0" w:space="0" w:color="auto"/>
                                        <w:right w:val="none" w:sz="0" w:space="0" w:color="auto"/>
                                      </w:divBdr>
                                      <w:divsChild>
                                        <w:div w:id="134612518">
                                          <w:marLeft w:val="0"/>
                                          <w:marRight w:val="0"/>
                                          <w:marTop w:val="0"/>
                                          <w:marBottom w:val="0"/>
                                          <w:divBdr>
                                            <w:top w:val="none" w:sz="0" w:space="0" w:color="auto"/>
                                            <w:left w:val="none" w:sz="0" w:space="0" w:color="auto"/>
                                            <w:bottom w:val="none" w:sz="0" w:space="0" w:color="auto"/>
                                            <w:right w:val="none" w:sz="0" w:space="0" w:color="auto"/>
                                          </w:divBdr>
                                        </w:div>
                                        <w:div w:id="159078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03770508">
      <w:bodyDiv w:val="1"/>
      <w:marLeft w:val="0"/>
      <w:marRight w:val="0"/>
      <w:marTop w:val="0"/>
      <w:marBottom w:val="0"/>
      <w:divBdr>
        <w:top w:val="none" w:sz="0" w:space="0" w:color="auto"/>
        <w:left w:val="none" w:sz="0" w:space="0" w:color="auto"/>
        <w:bottom w:val="none" w:sz="0" w:space="0" w:color="auto"/>
        <w:right w:val="none" w:sz="0" w:space="0" w:color="auto"/>
      </w:divBdr>
    </w:div>
    <w:div w:id="1249339589">
      <w:bodyDiv w:val="1"/>
      <w:marLeft w:val="0"/>
      <w:marRight w:val="0"/>
      <w:marTop w:val="0"/>
      <w:marBottom w:val="0"/>
      <w:divBdr>
        <w:top w:val="none" w:sz="0" w:space="0" w:color="auto"/>
        <w:left w:val="none" w:sz="0" w:space="0" w:color="auto"/>
        <w:bottom w:val="none" w:sz="0" w:space="0" w:color="auto"/>
        <w:right w:val="none" w:sz="0" w:space="0" w:color="auto"/>
      </w:divBdr>
    </w:div>
    <w:div w:id="1471627052">
      <w:bodyDiv w:val="1"/>
      <w:marLeft w:val="0"/>
      <w:marRight w:val="0"/>
      <w:marTop w:val="0"/>
      <w:marBottom w:val="0"/>
      <w:divBdr>
        <w:top w:val="none" w:sz="0" w:space="0" w:color="auto"/>
        <w:left w:val="none" w:sz="0" w:space="0" w:color="auto"/>
        <w:bottom w:val="none" w:sz="0" w:space="0" w:color="auto"/>
        <w:right w:val="none" w:sz="0" w:space="0" w:color="auto"/>
      </w:divBdr>
    </w:div>
    <w:div w:id="1531256430">
      <w:bodyDiv w:val="1"/>
      <w:marLeft w:val="0"/>
      <w:marRight w:val="0"/>
      <w:marTop w:val="0"/>
      <w:marBottom w:val="0"/>
      <w:divBdr>
        <w:top w:val="none" w:sz="0" w:space="0" w:color="auto"/>
        <w:left w:val="none" w:sz="0" w:space="0" w:color="auto"/>
        <w:bottom w:val="none" w:sz="0" w:space="0" w:color="auto"/>
        <w:right w:val="none" w:sz="0" w:space="0" w:color="auto"/>
      </w:divBdr>
    </w:div>
    <w:div w:id="1532382088">
      <w:bodyDiv w:val="1"/>
      <w:marLeft w:val="0"/>
      <w:marRight w:val="0"/>
      <w:marTop w:val="0"/>
      <w:marBottom w:val="0"/>
      <w:divBdr>
        <w:top w:val="none" w:sz="0" w:space="0" w:color="auto"/>
        <w:left w:val="none" w:sz="0" w:space="0" w:color="auto"/>
        <w:bottom w:val="none" w:sz="0" w:space="0" w:color="auto"/>
        <w:right w:val="none" w:sz="0" w:space="0" w:color="auto"/>
      </w:divBdr>
    </w:div>
    <w:div w:id="1544751064">
      <w:bodyDiv w:val="1"/>
      <w:marLeft w:val="0"/>
      <w:marRight w:val="0"/>
      <w:marTop w:val="0"/>
      <w:marBottom w:val="0"/>
      <w:divBdr>
        <w:top w:val="none" w:sz="0" w:space="0" w:color="auto"/>
        <w:left w:val="none" w:sz="0" w:space="0" w:color="auto"/>
        <w:bottom w:val="none" w:sz="0" w:space="0" w:color="auto"/>
        <w:right w:val="none" w:sz="0" w:space="0" w:color="auto"/>
      </w:divBdr>
    </w:div>
    <w:div w:id="1587886005">
      <w:bodyDiv w:val="1"/>
      <w:marLeft w:val="0"/>
      <w:marRight w:val="0"/>
      <w:marTop w:val="0"/>
      <w:marBottom w:val="0"/>
      <w:divBdr>
        <w:top w:val="none" w:sz="0" w:space="0" w:color="auto"/>
        <w:left w:val="none" w:sz="0" w:space="0" w:color="auto"/>
        <w:bottom w:val="none" w:sz="0" w:space="0" w:color="auto"/>
        <w:right w:val="none" w:sz="0" w:space="0" w:color="auto"/>
      </w:divBdr>
    </w:div>
    <w:div w:id="1683435303">
      <w:bodyDiv w:val="1"/>
      <w:marLeft w:val="0"/>
      <w:marRight w:val="0"/>
      <w:marTop w:val="0"/>
      <w:marBottom w:val="0"/>
      <w:divBdr>
        <w:top w:val="none" w:sz="0" w:space="0" w:color="auto"/>
        <w:left w:val="none" w:sz="0" w:space="0" w:color="auto"/>
        <w:bottom w:val="none" w:sz="0" w:space="0" w:color="auto"/>
        <w:right w:val="none" w:sz="0" w:space="0" w:color="auto"/>
      </w:divBdr>
    </w:div>
    <w:div w:id="1703627926">
      <w:bodyDiv w:val="1"/>
      <w:marLeft w:val="0"/>
      <w:marRight w:val="0"/>
      <w:marTop w:val="0"/>
      <w:marBottom w:val="0"/>
      <w:divBdr>
        <w:top w:val="none" w:sz="0" w:space="0" w:color="auto"/>
        <w:left w:val="none" w:sz="0" w:space="0" w:color="auto"/>
        <w:bottom w:val="none" w:sz="0" w:space="0" w:color="auto"/>
        <w:right w:val="none" w:sz="0" w:space="0" w:color="auto"/>
      </w:divBdr>
    </w:div>
    <w:div w:id="1732001377">
      <w:bodyDiv w:val="1"/>
      <w:marLeft w:val="0"/>
      <w:marRight w:val="0"/>
      <w:marTop w:val="0"/>
      <w:marBottom w:val="0"/>
      <w:divBdr>
        <w:top w:val="none" w:sz="0" w:space="0" w:color="auto"/>
        <w:left w:val="none" w:sz="0" w:space="0" w:color="auto"/>
        <w:bottom w:val="none" w:sz="0" w:space="0" w:color="auto"/>
        <w:right w:val="none" w:sz="0" w:space="0" w:color="auto"/>
      </w:divBdr>
    </w:div>
    <w:div w:id="1773359667">
      <w:bodyDiv w:val="1"/>
      <w:marLeft w:val="0"/>
      <w:marRight w:val="0"/>
      <w:marTop w:val="0"/>
      <w:marBottom w:val="0"/>
      <w:divBdr>
        <w:top w:val="none" w:sz="0" w:space="0" w:color="auto"/>
        <w:left w:val="none" w:sz="0" w:space="0" w:color="auto"/>
        <w:bottom w:val="none" w:sz="0" w:space="0" w:color="auto"/>
        <w:right w:val="none" w:sz="0" w:space="0" w:color="auto"/>
      </w:divBdr>
    </w:div>
    <w:div w:id="1774781237">
      <w:bodyDiv w:val="1"/>
      <w:marLeft w:val="0"/>
      <w:marRight w:val="0"/>
      <w:marTop w:val="0"/>
      <w:marBottom w:val="0"/>
      <w:divBdr>
        <w:top w:val="none" w:sz="0" w:space="0" w:color="auto"/>
        <w:left w:val="none" w:sz="0" w:space="0" w:color="auto"/>
        <w:bottom w:val="none" w:sz="0" w:space="0" w:color="auto"/>
        <w:right w:val="none" w:sz="0" w:space="0" w:color="auto"/>
      </w:divBdr>
    </w:div>
    <w:div w:id="1926189762">
      <w:bodyDiv w:val="1"/>
      <w:marLeft w:val="0"/>
      <w:marRight w:val="0"/>
      <w:marTop w:val="0"/>
      <w:marBottom w:val="0"/>
      <w:divBdr>
        <w:top w:val="none" w:sz="0" w:space="0" w:color="auto"/>
        <w:left w:val="none" w:sz="0" w:space="0" w:color="auto"/>
        <w:bottom w:val="none" w:sz="0" w:space="0" w:color="auto"/>
        <w:right w:val="none" w:sz="0" w:space="0" w:color="auto"/>
      </w:divBdr>
      <w:divsChild>
        <w:div w:id="454564979">
          <w:marLeft w:val="0"/>
          <w:marRight w:val="0"/>
          <w:marTop w:val="0"/>
          <w:marBottom w:val="0"/>
          <w:divBdr>
            <w:top w:val="none" w:sz="0" w:space="0" w:color="auto"/>
            <w:left w:val="none" w:sz="0" w:space="0" w:color="auto"/>
            <w:bottom w:val="none" w:sz="0" w:space="0" w:color="auto"/>
            <w:right w:val="none" w:sz="0" w:space="0" w:color="auto"/>
          </w:divBdr>
          <w:divsChild>
            <w:div w:id="1585138767">
              <w:marLeft w:val="0"/>
              <w:marRight w:val="0"/>
              <w:marTop w:val="0"/>
              <w:marBottom w:val="300"/>
              <w:divBdr>
                <w:top w:val="none" w:sz="0" w:space="0" w:color="auto"/>
                <w:left w:val="none" w:sz="0" w:space="0" w:color="auto"/>
                <w:bottom w:val="none" w:sz="0" w:space="0" w:color="auto"/>
                <w:right w:val="none" w:sz="0" w:space="0" w:color="auto"/>
              </w:divBdr>
              <w:divsChild>
                <w:div w:id="597104400">
                  <w:marLeft w:val="0"/>
                  <w:marRight w:val="0"/>
                  <w:marTop w:val="0"/>
                  <w:marBottom w:val="0"/>
                  <w:divBdr>
                    <w:top w:val="none" w:sz="0" w:space="0" w:color="auto"/>
                    <w:left w:val="none" w:sz="0" w:space="0" w:color="auto"/>
                    <w:bottom w:val="none" w:sz="0" w:space="0" w:color="auto"/>
                    <w:right w:val="none" w:sz="0" w:space="0" w:color="auto"/>
                  </w:divBdr>
                  <w:divsChild>
                    <w:div w:id="25763453">
                      <w:marLeft w:val="0"/>
                      <w:marRight w:val="0"/>
                      <w:marTop w:val="0"/>
                      <w:marBottom w:val="0"/>
                      <w:divBdr>
                        <w:top w:val="none" w:sz="0" w:space="0" w:color="auto"/>
                        <w:left w:val="none" w:sz="0" w:space="0" w:color="auto"/>
                        <w:bottom w:val="none" w:sz="0" w:space="0" w:color="auto"/>
                        <w:right w:val="none" w:sz="0" w:space="0" w:color="auto"/>
                      </w:divBdr>
                      <w:divsChild>
                        <w:div w:id="601651629">
                          <w:marLeft w:val="0"/>
                          <w:marRight w:val="0"/>
                          <w:marTop w:val="0"/>
                          <w:marBottom w:val="0"/>
                          <w:divBdr>
                            <w:top w:val="none" w:sz="0" w:space="0" w:color="auto"/>
                            <w:left w:val="none" w:sz="0" w:space="0" w:color="auto"/>
                            <w:bottom w:val="none" w:sz="0" w:space="0" w:color="auto"/>
                            <w:right w:val="none" w:sz="0" w:space="0" w:color="auto"/>
                          </w:divBdr>
                          <w:divsChild>
                            <w:div w:id="1713534858">
                              <w:marLeft w:val="0"/>
                              <w:marRight w:val="0"/>
                              <w:marTop w:val="0"/>
                              <w:marBottom w:val="0"/>
                              <w:divBdr>
                                <w:top w:val="none" w:sz="0" w:space="0" w:color="auto"/>
                                <w:left w:val="none" w:sz="0" w:space="0" w:color="auto"/>
                                <w:bottom w:val="none" w:sz="0" w:space="0" w:color="auto"/>
                                <w:right w:val="none" w:sz="0" w:space="0" w:color="auto"/>
                              </w:divBdr>
                              <w:divsChild>
                                <w:div w:id="626662495">
                                  <w:marLeft w:val="0"/>
                                  <w:marRight w:val="0"/>
                                  <w:marTop w:val="0"/>
                                  <w:marBottom w:val="0"/>
                                  <w:divBdr>
                                    <w:top w:val="none" w:sz="0" w:space="0" w:color="auto"/>
                                    <w:left w:val="none" w:sz="0" w:space="0" w:color="auto"/>
                                    <w:bottom w:val="none" w:sz="0" w:space="0" w:color="auto"/>
                                    <w:right w:val="none" w:sz="0" w:space="0" w:color="auto"/>
                                  </w:divBdr>
                                  <w:divsChild>
                                    <w:div w:id="460341110">
                                      <w:marLeft w:val="0"/>
                                      <w:marRight w:val="0"/>
                                      <w:marTop w:val="0"/>
                                      <w:marBottom w:val="0"/>
                                      <w:divBdr>
                                        <w:top w:val="none" w:sz="0" w:space="0" w:color="auto"/>
                                        <w:left w:val="none" w:sz="0" w:space="0" w:color="auto"/>
                                        <w:bottom w:val="none" w:sz="0" w:space="0" w:color="auto"/>
                                        <w:right w:val="none" w:sz="0" w:space="0" w:color="auto"/>
                                      </w:divBdr>
                                      <w:divsChild>
                                        <w:div w:id="2059358791">
                                          <w:marLeft w:val="0"/>
                                          <w:marRight w:val="0"/>
                                          <w:marTop w:val="0"/>
                                          <w:marBottom w:val="0"/>
                                          <w:divBdr>
                                            <w:top w:val="none" w:sz="0" w:space="0" w:color="auto"/>
                                            <w:left w:val="none" w:sz="0" w:space="0" w:color="auto"/>
                                            <w:bottom w:val="none" w:sz="0" w:space="0" w:color="auto"/>
                                            <w:right w:val="none" w:sz="0" w:space="0" w:color="auto"/>
                                          </w:divBdr>
                                        </w:div>
                                        <w:div w:id="2098017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5303671">
          <w:marLeft w:val="0"/>
          <w:marRight w:val="0"/>
          <w:marTop w:val="0"/>
          <w:marBottom w:val="0"/>
          <w:divBdr>
            <w:top w:val="none" w:sz="0" w:space="0" w:color="auto"/>
            <w:left w:val="none" w:sz="0" w:space="0" w:color="auto"/>
            <w:bottom w:val="none" w:sz="0" w:space="0" w:color="auto"/>
            <w:right w:val="none" w:sz="0" w:space="0" w:color="auto"/>
          </w:divBdr>
          <w:divsChild>
            <w:div w:id="757756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665759">
      <w:bodyDiv w:val="1"/>
      <w:marLeft w:val="0"/>
      <w:marRight w:val="0"/>
      <w:marTop w:val="0"/>
      <w:marBottom w:val="0"/>
      <w:divBdr>
        <w:top w:val="none" w:sz="0" w:space="0" w:color="auto"/>
        <w:left w:val="none" w:sz="0" w:space="0" w:color="auto"/>
        <w:bottom w:val="none" w:sz="0" w:space="0" w:color="auto"/>
        <w:right w:val="none" w:sz="0" w:space="0" w:color="auto"/>
      </w:divBdr>
    </w:div>
    <w:div w:id="2066176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3.wmf"/><Relationship Id="rId299" Type="http://schemas.openxmlformats.org/officeDocument/2006/relationships/image" Target="media/image139.wmf"/><Relationship Id="rId21" Type="http://schemas.openxmlformats.org/officeDocument/2006/relationships/oleObject" Target="embeddings/oleObject7.bin"/><Relationship Id="rId63" Type="http://schemas.openxmlformats.org/officeDocument/2006/relationships/image" Target="media/image27.wmf"/><Relationship Id="rId159" Type="http://schemas.openxmlformats.org/officeDocument/2006/relationships/oleObject" Target="embeddings/oleObject79.bin"/><Relationship Id="rId324" Type="http://schemas.openxmlformats.org/officeDocument/2006/relationships/oleObject" Target="embeddings/oleObject166.bin"/><Relationship Id="rId366" Type="http://schemas.openxmlformats.org/officeDocument/2006/relationships/image" Target="media/image170.png"/><Relationship Id="rId170" Type="http://schemas.openxmlformats.org/officeDocument/2006/relationships/image" Target="media/image79.wmf"/><Relationship Id="rId226" Type="http://schemas.openxmlformats.org/officeDocument/2006/relationships/oleObject" Target="embeddings/oleObject115.bin"/><Relationship Id="rId268" Type="http://schemas.openxmlformats.org/officeDocument/2006/relationships/image" Target="media/image125.wmf"/><Relationship Id="rId32" Type="http://schemas.openxmlformats.org/officeDocument/2006/relationships/image" Target="media/image12.wmf"/><Relationship Id="rId74" Type="http://schemas.openxmlformats.org/officeDocument/2006/relationships/oleObject" Target="embeddings/oleObject35.bin"/><Relationship Id="rId128" Type="http://schemas.openxmlformats.org/officeDocument/2006/relationships/image" Target="media/image58.wmf"/><Relationship Id="rId335" Type="http://schemas.openxmlformats.org/officeDocument/2006/relationships/oleObject" Target="embeddings/oleObject172.bin"/><Relationship Id="rId5" Type="http://schemas.openxmlformats.org/officeDocument/2006/relationships/webSettings" Target="webSettings.xml"/><Relationship Id="rId181" Type="http://schemas.openxmlformats.org/officeDocument/2006/relationships/oleObject" Target="embeddings/oleObject90.bin"/><Relationship Id="rId237" Type="http://schemas.openxmlformats.org/officeDocument/2006/relationships/image" Target="media/image110.wmf"/><Relationship Id="rId279" Type="http://schemas.openxmlformats.org/officeDocument/2006/relationships/oleObject" Target="embeddings/oleObject142.bin"/><Relationship Id="rId43" Type="http://schemas.openxmlformats.org/officeDocument/2006/relationships/oleObject" Target="embeddings/oleObject19.bin"/><Relationship Id="rId139" Type="http://schemas.openxmlformats.org/officeDocument/2006/relationships/oleObject" Target="embeddings/oleObject69.bin"/><Relationship Id="rId290" Type="http://schemas.openxmlformats.org/officeDocument/2006/relationships/oleObject" Target="embeddings/oleObject148.bin"/><Relationship Id="rId304" Type="http://schemas.openxmlformats.org/officeDocument/2006/relationships/oleObject" Target="embeddings/oleObject156.bin"/><Relationship Id="rId346" Type="http://schemas.openxmlformats.org/officeDocument/2006/relationships/image" Target="media/image162.wmf"/><Relationship Id="rId85" Type="http://schemas.openxmlformats.org/officeDocument/2006/relationships/image" Target="media/image38.wmf"/><Relationship Id="rId150" Type="http://schemas.openxmlformats.org/officeDocument/2006/relationships/image" Target="media/image69.wmf"/><Relationship Id="rId192" Type="http://schemas.openxmlformats.org/officeDocument/2006/relationships/image" Target="media/image90.wmf"/><Relationship Id="rId206" Type="http://schemas.openxmlformats.org/officeDocument/2006/relationships/image" Target="media/image96.wmf"/><Relationship Id="rId248" Type="http://schemas.openxmlformats.org/officeDocument/2006/relationships/oleObject" Target="embeddings/oleObject126.bin"/><Relationship Id="rId12" Type="http://schemas.openxmlformats.org/officeDocument/2006/relationships/image" Target="media/image3.wmf"/><Relationship Id="rId108" Type="http://schemas.openxmlformats.org/officeDocument/2006/relationships/oleObject" Target="embeddings/oleObject53.bin"/><Relationship Id="rId315" Type="http://schemas.openxmlformats.org/officeDocument/2006/relationships/image" Target="media/image147.wmf"/><Relationship Id="rId357" Type="http://schemas.openxmlformats.org/officeDocument/2006/relationships/image" Target="media/image167.wmf"/><Relationship Id="rId54" Type="http://schemas.openxmlformats.org/officeDocument/2006/relationships/oleObject" Target="embeddings/oleObject25.bin"/><Relationship Id="rId96" Type="http://schemas.openxmlformats.org/officeDocument/2006/relationships/image" Target="media/image43.wmf"/><Relationship Id="rId161" Type="http://schemas.openxmlformats.org/officeDocument/2006/relationships/oleObject" Target="embeddings/oleObject80.bin"/><Relationship Id="rId217" Type="http://schemas.openxmlformats.org/officeDocument/2006/relationships/image" Target="media/image101.wmf"/><Relationship Id="rId259" Type="http://schemas.openxmlformats.org/officeDocument/2006/relationships/oleObject" Target="embeddings/oleObject132.bin"/><Relationship Id="rId23" Type="http://schemas.openxmlformats.org/officeDocument/2006/relationships/oleObject" Target="embeddings/oleObject8.bin"/><Relationship Id="rId119" Type="http://schemas.openxmlformats.org/officeDocument/2006/relationships/image" Target="media/image54.wmf"/><Relationship Id="rId270" Type="http://schemas.openxmlformats.org/officeDocument/2006/relationships/image" Target="media/image126.wmf"/><Relationship Id="rId326" Type="http://schemas.openxmlformats.org/officeDocument/2006/relationships/oleObject" Target="embeddings/oleObject167.bin"/><Relationship Id="rId65" Type="http://schemas.openxmlformats.org/officeDocument/2006/relationships/image" Target="media/image28.wmf"/><Relationship Id="rId130" Type="http://schemas.openxmlformats.org/officeDocument/2006/relationships/image" Target="media/image59.wmf"/><Relationship Id="rId368" Type="http://schemas.openxmlformats.org/officeDocument/2006/relationships/image" Target="media/image172.png"/><Relationship Id="rId172" Type="http://schemas.openxmlformats.org/officeDocument/2006/relationships/image" Target="media/image80.wmf"/><Relationship Id="rId228" Type="http://schemas.openxmlformats.org/officeDocument/2006/relationships/oleObject" Target="embeddings/oleObject116.bin"/><Relationship Id="rId281" Type="http://schemas.openxmlformats.org/officeDocument/2006/relationships/oleObject" Target="embeddings/oleObject143.bin"/><Relationship Id="rId337" Type="http://schemas.openxmlformats.org/officeDocument/2006/relationships/oleObject" Target="embeddings/oleObject173.bin"/><Relationship Id="rId34" Type="http://schemas.openxmlformats.org/officeDocument/2006/relationships/image" Target="media/image13.wmf"/><Relationship Id="rId76" Type="http://schemas.openxmlformats.org/officeDocument/2006/relationships/oleObject" Target="embeddings/oleObject36.bin"/><Relationship Id="rId141" Type="http://schemas.openxmlformats.org/officeDocument/2006/relationships/oleObject" Target="embeddings/oleObject70.bin"/><Relationship Id="rId7" Type="http://schemas.openxmlformats.org/officeDocument/2006/relationships/endnotes" Target="endnotes.xml"/><Relationship Id="rId183" Type="http://schemas.openxmlformats.org/officeDocument/2006/relationships/oleObject" Target="embeddings/oleObject91.bin"/><Relationship Id="rId239" Type="http://schemas.openxmlformats.org/officeDocument/2006/relationships/image" Target="media/image111.wmf"/><Relationship Id="rId250" Type="http://schemas.openxmlformats.org/officeDocument/2006/relationships/oleObject" Target="embeddings/oleObject127.bin"/><Relationship Id="rId292" Type="http://schemas.openxmlformats.org/officeDocument/2006/relationships/image" Target="media/image136.wmf"/><Relationship Id="rId306" Type="http://schemas.openxmlformats.org/officeDocument/2006/relationships/oleObject" Target="embeddings/oleObject157.bin"/><Relationship Id="rId45" Type="http://schemas.openxmlformats.org/officeDocument/2006/relationships/oleObject" Target="embeddings/oleObject20.bin"/><Relationship Id="rId87" Type="http://schemas.openxmlformats.org/officeDocument/2006/relationships/oleObject" Target="embeddings/oleObject42.bin"/><Relationship Id="rId110" Type="http://schemas.openxmlformats.org/officeDocument/2006/relationships/oleObject" Target="embeddings/oleObject54.bin"/><Relationship Id="rId348" Type="http://schemas.openxmlformats.org/officeDocument/2006/relationships/oleObject" Target="embeddings/oleObject179.bin"/><Relationship Id="rId152" Type="http://schemas.openxmlformats.org/officeDocument/2006/relationships/image" Target="media/image70.wmf"/><Relationship Id="rId194" Type="http://schemas.openxmlformats.org/officeDocument/2006/relationships/image" Target="media/image91.wmf"/><Relationship Id="rId208" Type="http://schemas.openxmlformats.org/officeDocument/2006/relationships/image" Target="media/image97.wmf"/><Relationship Id="rId261" Type="http://schemas.openxmlformats.org/officeDocument/2006/relationships/oleObject" Target="embeddings/oleObject133.bin"/><Relationship Id="rId14" Type="http://schemas.openxmlformats.org/officeDocument/2006/relationships/image" Target="media/image4.wmf"/><Relationship Id="rId56" Type="http://schemas.openxmlformats.org/officeDocument/2006/relationships/oleObject" Target="embeddings/oleObject26.bin"/><Relationship Id="rId317" Type="http://schemas.openxmlformats.org/officeDocument/2006/relationships/image" Target="media/image148.wmf"/><Relationship Id="rId359" Type="http://schemas.openxmlformats.org/officeDocument/2006/relationships/image" Target="media/image168.wmf"/><Relationship Id="rId98" Type="http://schemas.openxmlformats.org/officeDocument/2006/relationships/image" Target="media/image44.wmf"/><Relationship Id="rId121" Type="http://schemas.openxmlformats.org/officeDocument/2006/relationships/oleObject" Target="embeddings/oleObject60.bin"/><Relationship Id="rId163" Type="http://schemas.openxmlformats.org/officeDocument/2006/relationships/oleObject" Target="embeddings/oleObject81.bin"/><Relationship Id="rId219" Type="http://schemas.openxmlformats.org/officeDocument/2006/relationships/image" Target="media/image102.wmf"/><Relationship Id="rId370" Type="http://schemas.openxmlformats.org/officeDocument/2006/relationships/fontTable" Target="fontTable.xml"/><Relationship Id="rId230" Type="http://schemas.openxmlformats.org/officeDocument/2006/relationships/oleObject" Target="embeddings/oleObject117.bin"/><Relationship Id="rId25" Type="http://schemas.openxmlformats.org/officeDocument/2006/relationships/image" Target="media/image9.wmf"/><Relationship Id="rId67" Type="http://schemas.openxmlformats.org/officeDocument/2006/relationships/image" Target="media/image29.wmf"/><Relationship Id="rId272" Type="http://schemas.openxmlformats.org/officeDocument/2006/relationships/image" Target="media/image127.wmf"/><Relationship Id="rId328" Type="http://schemas.openxmlformats.org/officeDocument/2006/relationships/oleObject" Target="embeddings/oleObject168.bin"/><Relationship Id="rId132" Type="http://schemas.openxmlformats.org/officeDocument/2006/relationships/image" Target="media/image60.wmf"/><Relationship Id="rId174" Type="http://schemas.openxmlformats.org/officeDocument/2006/relationships/image" Target="media/image81.wmf"/><Relationship Id="rId241" Type="http://schemas.openxmlformats.org/officeDocument/2006/relationships/image" Target="media/image112.wmf"/><Relationship Id="rId15" Type="http://schemas.openxmlformats.org/officeDocument/2006/relationships/oleObject" Target="embeddings/oleObject4.bin"/><Relationship Id="rId36" Type="http://schemas.openxmlformats.org/officeDocument/2006/relationships/image" Target="media/image14.wmf"/><Relationship Id="rId57" Type="http://schemas.openxmlformats.org/officeDocument/2006/relationships/image" Target="media/image24.wmf"/><Relationship Id="rId262" Type="http://schemas.openxmlformats.org/officeDocument/2006/relationships/image" Target="media/image122.wmf"/><Relationship Id="rId283" Type="http://schemas.openxmlformats.org/officeDocument/2006/relationships/image" Target="media/image132.wmf"/><Relationship Id="rId318" Type="http://schemas.openxmlformats.org/officeDocument/2006/relationships/oleObject" Target="embeddings/oleObject163.bin"/><Relationship Id="rId339" Type="http://schemas.openxmlformats.org/officeDocument/2006/relationships/oleObject" Target="embeddings/oleObject174.bin"/><Relationship Id="rId78" Type="http://schemas.openxmlformats.org/officeDocument/2006/relationships/oleObject" Target="embeddings/oleObject37.bin"/><Relationship Id="rId99" Type="http://schemas.openxmlformats.org/officeDocument/2006/relationships/oleObject" Target="embeddings/oleObject48.bin"/><Relationship Id="rId101" Type="http://schemas.openxmlformats.org/officeDocument/2006/relationships/image" Target="media/image45.wmf"/><Relationship Id="rId122" Type="http://schemas.openxmlformats.org/officeDocument/2006/relationships/image" Target="media/image55.wmf"/><Relationship Id="rId143" Type="http://schemas.openxmlformats.org/officeDocument/2006/relationships/oleObject" Target="embeddings/oleObject71.bin"/><Relationship Id="rId164" Type="http://schemas.openxmlformats.org/officeDocument/2006/relationships/image" Target="media/image76.wmf"/><Relationship Id="rId185" Type="http://schemas.openxmlformats.org/officeDocument/2006/relationships/oleObject" Target="embeddings/oleObject92.bin"/><Relationship Id="rId350" Type="http://schemas.openxmlformats.org/officeDocument/2006/relationships/oleObject" Target="embeddings/oleObject180.bin"/><Relationship Id="rId371" Type="http://schemas.openxmlformats.org/officeDocument/2006/relationships/theme" Target="theme/theme1.xml"/><Relationship Id="rId9" Type="http://schemas.openxmlformats.org/officeDocument/2006/relationships/oleObject" Target="embeddings/oleObject1.bin"/><Relationship Id="rId210" Type="http://schemas.openxmlformats.org/officeDocument/2006/relationships/image" Target="media/image98.wmf"/><Relationship Id="rId26" Type="http://schemas.openxmlformats.org/officeDocument/2006/relationships/oleObject" Target="embeddings/oleObject10.bin"/><Relationship Id="rId231" Type="http://schemas.openxmlformats.org/officeDocument/2006/relationships/image" Target="media/image107.wmf"/><Relationship Id="rId252" Type="http://schemas.openxmlformats.org/officeDocument/2006/relationships/oleObject" Target="embeddings/oleObject128.bin"/><Relationship Id="rId273" Type="http://schemas.openxmlformats.org/officeDocument/2006/relationships/oleObject" Target="embeddings/oleObject139.bin"/><Relationship Id="rId294" Type="http://schemas.openxmlformats.org/officeDocument/2006/relationships/image" Target="media/image137.wmf"/><Relationship Id="rId308" Type="http://schemas.openxmlformats.org/officeDocument/2006/relationships/oleObject" Target="embeddings/oleObject158.bin"/><Relationship Id="rId329" Type="http://schemas.openxmlformats.org/officeDocument/2006/relationships/image" Target="media/image154.wmf"/><Relationship Id="rId47" Type="http://schemas.openxmlformats.org/officeDocument/2006/relationships/image" Target="media/image19.wmf"/><Relationship Id="rId68" Type="http://schemas.openxmlformats.org/officeDocument/2006/relationships/oleObject" Target="embeddings/oleObject32.bin"/><Relationship Id="rId89" Type="http://schemas.openxmlformats.org/officeDocument/2006/relationships/oleObject" Target="embeddings/oleObject43.bin"/><Relationship Id="rId112" Type="http://schemas.openxmlformats.org/officeDocument/2006/relationships/oleObject" Target="embeddings/oleObject55.bin"/><Relationship Id="rId133" Type="http://schemas.openxmlformats.org/officeDocument/2006/relationships/oleObject" Target="embeddings/oleObject66.bin"/><Relationship Id="rId154" Type="http://schemas.openxmlformats.org/officeDocument/2006/relationships/image" Target="media/image71.wmf"/><Relationship Id="rId175" Type="http://schemas.openxmlformats.org/officeDocument/2006/relationships/oleObject" Target="embeddings/oleObject87.bin"/><Relationship Id="rId340" Type="http://schemas.openxmlformats.org/officeDocument/2006/relationships/image" Target="media/image159.wmf"/><Relationship Id="rId361" Type="http://schemas.openxmlformats.org/officeDocument/2006/relationships/image" Target="media/image169.wmf"/><Relationship Id="rId196" Type="http://schemas.openxmlformats.org/officeDocument/2006/relationships/oleObject" Target="embeddings/oleObject98.bin"/><Relationship Id="rId200" Type="http://schemas.openxmlformats.org/officeDocument/2006/relationships/oleObject" Target="embeddings/oleObject100.bin"/><Relationship Id="rId16" Type="http://schemas.openxmlformats.org/officeDocument/2006/relationships/image" Target="media/image5.wmf"/><Relationship Id="rId221" Type="http://schemas.openxmlformats.org/officeDocument/2006/relationships/image" Target="media/image103.wmf"/><Relationship Id="rId242" Type="http://schemas.openxmlformats.org/officeDocument/2006/relationships/oleObject" Target="embeddings/oleObject123.bin"/><Relationship Id="rId263" Type="http://schemas.openxmlformats.org/officeDocument/2006/relationships/oleObject" Target="embeddings/oleObject134.bin"/><Relationship Id="rId284" Type="http://schemas.openxmlformats.org/officeDocument/2006/relationships/oleObject" Target="embeddings/oleObject145.bin"/><Relationship Id="rId319" Type="http://schemas.openxmlformats.org/officeDocument/2006/relationships/image" Target="media/image149.wmf"/><Relationship Id="rId37" Type="http://schemas.openxmlformats.org/officeDocument/2006/relationships/oleObject" Target="embeddings/oleObject16.bin"/><Relationship Id="rId58" Type="http://schemas.openxmlformats.org/officeDocument/2006/relationships/oleObject" Target="embeddings/oleObject27.bin"/><Relationship Id="rId79" Type="http://schemas.openxmlformats.org/officeDocument/2006/relationships/image" Target="media/image35.wmf"/><Relationship Id="rId102" Type="http://schemas.openxmlformats.org/officeDocument/2006/relationships/oleObject" Target="embeddings/oleObject50.bin"/><Relationship Id="rId123" Type="http://schemas.openxmlformats.org/officeDocument/2006/relationships/oleObject" Target="embeddings/oleObject61.bin"/><Relationship Id="rId144" Type="http://schemas.openxmlformats.org/officeDocument/2006/relationships/image" Target="media/image66.wmf"/><Relationship Id="rId330" Type="http://schemas.openxmlformats.org/officeDocument/2006/relationships/oleObject" Target="embeddings/oleObject169.bin"/><Relationship Id="rId90" Type="http://schemas.openxmlformats.org/officeDocument/2006/relationships/image" Target="media/image40.wmf"/><Relationship Id="rId165" Type="http://schemas.openxmlformats.org/officeDocument/2006/relationships/oleObject" Target="embeddings/oleObject82.bin"/><Relationship Id="rId186" Type="http://schemas.openxmlformats.org/officeDocument/2006/relationships/image" Target="media/image87.wmf"/><Relationship Id="rId351" Type="http://schemas.openxmlformats.org/officeDocument/2006/relationships/image" Target="media/image164.wmf"/><Relationship Id="rId211" Type="http://schemas.openxmlformats.org/officeDocument/2006/relationships/oleObject" Target="embeddings/oleObject106.bin"/><Relationship Id="rId232" Type="http://schemas.openxmlformats.org/officeDocument/2006/relationships/oleObject" Target="embeddings/oleObject118.bin"/><Relationship Id="rId253" Type="http://schemas.openxmlformats.org/officeDocument/2006/relationships/oleObject" Target="embeddings/oleObject129.bin"/><Relationship Id="rId274" Type="http://schemas.openxmlformats.org/officeDocument/2006/relationships/image" Target="media/image128.wmf"/><Relationship Id="rId295" Type="http://schemas.openxmlformats.org/officeDocument/2006/relationships/oleObject" Target="embeddings/oleObject151.bin"/><Relationship Id="rId309" Type="http://schemas.openxmlformats.org/officeDocument/2006/relationships/image" Target="media/image144.wmf"/><Relationship Id="rId27" Type="http://schemas.openxmlformats.org/officeDocument/2006/relationships/oleObject" Target="embeddings/oleObject11.bin"/><Relationship Id="rId48" Type="http://schemas.openxmlformats.org/officeDocument/2006/relationships/oleObject" Target="embeddings/oleObject22.bin"/><Relationship Id="rId69" Type="http://schemas.openxmlformats.org/officeDocument/2006/relationships/image" Target="media/image30.wmf"/><Relationship Id="rId113" Type="http://schemas.openxmlformats.org/officeDocument/2006/relationships/image" Target="media/image51.wmf"/><Relationship Id="rId134" Type="http://schemas.openxmlformats.org/officeDocument/2006/relationships/image" Target="media/image61.wmf"/><Relationship Id="rId320" Type="http://schemas.openxmlformats.org/officeDocument/2006/relationships/oleObject" Target="embeddings/oleObject164.bin"/><Relationship Id="rId80" Type="http://schemas.openxmlformats.org/officeDocument/2006/relationships/oleObject" Target="embeddings/oleObject38.bin"/><Relationship Id="rId155" Type="http://schemas.openxmlformats.org/officeDocument/2006/relationships/oleObject" Target="embeddings/oleObject77.bin"/><Relationship Id="rId176" Type="http://schemas.openxmlformats.org/officeDocument/2006/relationships/image" Target="media/image82.wmf"/><Relationship Id="rId197" Type="http://schemas.openxmlformats.org/officeDocument/2006/relationships/image" Target="media/image92.wmf"/><Relationship Id="rId341" Type="http://schemas.openxmlformats.org/officeDocument/2006/relationships/oleObject" Target="embeddings/oleObject175.bin"/><Relationship Id="rId362" Type="http://schemas.openxmlformats.org/officeDocument/2006/relationships/oleObject" Target="embeddings/oleObject186.bin"/><Relationship Id="rId201" Type="http://schemas.openxmlformats.org/officeDocument/2006/relationships/image" Target="media/image94.wmf"/><Relationship Id="rId222" Type="http://schemas.openxmlformats.org/officeDocument/2006/relationships/oleObject" Target="embeddings/oleObject112.bin"/><Relationship Id="rId243" Type="http://schemas.openxmlformats.org/officeDocument/2006/relationships/image" Target="media/image113.wmf"/><Relationship Id="rId264" Type="http://schemas.openxmlformats.org/officeDocument/2006/relationships/image" Target="media/image123.wmf"/><Relationship Id="rId285" Type="http://schemas.openxmlformats.org/officeDocument/2006/relationships/image" Target="media/image133.wmf"/><Relationship Id="rId17" Type="http://schemas.openxmlformats.org/officeDocument/2006/relationships/oleObject" Target="embeddings/oleObject5.bin"/><Relationship Id="rId38" Type="http://schemas.openxmlformats.org/officeDocument/2006/relationships/image" Target="media/image15.wmf"/><Relationship Id="rId59" Type="http://schemas.openxmlformats.org/officeDocument/2006/relationships/image" Target="media/image25.wmf"/><Relationship Id="rId103" Type="http://schemas.openxmlformats.org/officeDocument/2006/relationships/image" Target="media/image46.wmf"/><Relationship Id="rId124" Type="http://schemas.openxmlformats.org/officeDocument/2006/relationships/image" Target="media/image56.wmf"/><Relationship Id="rId310" Type="http://schemas.openxmlformats.org/officeDocument/2006/relationships/oleObject" Target="embeddings/oleObject159.bin"/><Relationship Id="rId70" Type="http://schemas.openxmlformats.org/officeDocument/2006/relationships/oleObject" Target="embeddings/oleObject33.bin"/><Relationship Id="rId91" Type="http://schemas.openxmlformats.org/officeDocument/2006/relationships/oleObject" Target="embeddings/oleObject44.bin"/><Relationship Id="rId145" Type="http://schemas.openxmlformats.org/officeDocument/2006/relationships/oleObject" Target="embeddings/oleObject72.bin"/><Relationship Id="rId166" Type="http://schemas.openxmlformats.org/officeDocument/2006/relationships/image" Target="media/image77.wmf"/><Relationship Id="rId187" Type="http://schemas.openxmlformats.org/officeDocument/2006/relationships/oleObject" Target="embeddings/oleObject93.bin"/><Relationship Id="rId331" Type="http://schemas.openxmlformats.org/officeDocument/2006/relationships/oleObject" Target="embeddings/oleObject170.bin"/><Relationship Id="rId352" Type="http://schemas.openxmlformats.org/officeDocument/2006/relationships/oleObject" Target="embeddings/oleObject181.bin"/><Relationship Id="rId1" Type="http://schemas.openxmlformats.org/officeDocument/2006/relationships/customXml" Target="../customXml/item1.xml"/><Relationship Id="rId212" Type="http://schemas.openxmlformats.org/officeDocument/2006/relationships/oleObject" Target="embeddings/oleObject107.bin"/><Relationship Id="rId233" Type="http://schemas.openxmlformats.org/officeDocument/2006/relationships/image" Target="media/image108.wmf"/><Relationship Id="rId254" Type="http://schemas.openxmlformats.org/officeDocument/2006/relationships/image" Target="media/image118.wmf"/><Relationship Id="rId28" Type="http://schemas.openxmlformats.org/officeDocument/2006/relationships/image" Target="media/image10.wmf"/><Relationship Id="rId49" Type="http://schemas.openxmlformats.org/officeDocument/2006/relationships/image" Target="media/image20.wmf"/><Relationship Id="rId114" Type="http://schemas.openxmlformats.org/officeDocument/2006/relationships/oleObject" Target="embeddings/oleObject56.bin"/><Relationship Id="rId275" Type="http://schemas.openxmlformats.org/officeDocument/2006/relationships/oleObject" Target="embeddings/oleObject140.bin"/><Relationship Id="rId296" Type="http://schemas.openxmlformats.org/officeDocument/2006/relationships/oleObject" Target="embeddings/oleObject152.bin"/><Relationship Id="rId300" Type="http://schemas.openxmlformats.org/officeDocument/2006/relationships/oleObject" Target="embeddings/oleObject154.bin"/><Relationship Id="rId60" Type="http://schemas.openxmlformats.org/officeDocument/2006/relationships/oleObject" Target="embeddings/oleObject28.bin"/><Relationship Id="rId81" Type="http://schemas.openxmlformats.org/officeDocument/2006/relationships/image" Target="media/image36.wmf"/><Relationship Id="rId135" Type="http://schemas.openxmlformats.org/officeDocument/2006/relationships/oleObject" Target="embeddings/oleObject67.bin"/><Relationship Id="rId156" Type="http://schemas.openxmlformats.org/officeDocument/2006/relationships/image" Target="media/image72.wmf"/><Relationship Id="rId177" Type="http://schemas.openxmlformats.org/officeDocument/2006/relationships/oleObject" Target="embeddings/oleObject88.bin"/><Relationship Id="rId198" Type="http://schemas.openxmlformats.org/officeDocument/2006/relationships/oleObject" Target="embeddings/oleObject99.bin"/><Relationship Id="rId321" Type="http://schemas.openxmlformats.org/officeDocument/2006/relationships/image" Target="media/image150.wmf"/><Relationship Id="rId342" Type="http://schemas.openxmlformats.org/officeDocument/2006/relationships/image" Target="media/image160.wmf"/><Relationship Id="rId363" Type="http://schemas.openxmlformats.org/officeDocument/2006/relationships/footer" Target="footer1.xml"/><Relationship Id="rId202" Type="http://schemas.openxmlformats.org/officeDocument/2006/relationships/oleObject" Target="embeddings/oleObject101.bin"/><Relationship Id="rId223" Type="http://schemas.openxmlformats.org/officeDocument/2006/relationships/image" Target="media/image104.wmf"/><Relationship Id="rId244" Type="http://schemas.openxmlformats.org/officeDocument/2006/relationships/oleObject" Target="embeddings/oleObject124.bin"/><Relationship Id="rId18" Type="http://schemas.openxmlformats.org/officeDocument/2006/relationships/image" Target="media/image6.wmf"/><Relationship Id="rId39" Type="http://schemas.openxmlformats.org/officeDocument/2006/relationships/oleObject" Target="embeddings/oleObject17.bin"/><Relationship Id="rId265" Type="http://schemas.openxmlformats.org/officeDocument/2006/relationships/oleObject" Target="embeddings/oleObject135.bin"/><Relationship Id="rId286" Type="http://schemas.openxmlformats.org/officeDocument/2006/relationships/oleObject" Target="embeddings/oleObject146.bin"/><Relationship Id="rId50" Type="http://schemas.openxmlformats.org/officeDocument/2006/relationships/oleObject" Target="embeddings/oleObject23.bin"/><Relationship Id="rId104" Type="http://schemas.openxmlformats.org/officeDocument/2006/relationships/oleObject" Target="embeddings/oleObject51.bin"/><Relationship Id="rId125" Type="http://schemas.openxmlformats.org/officeDocument/2006/relationships/oleObject" Target="embeddings/oleObject62.bin"/><Relationship Id="rId146" Type="http://schemas.openxmlformats.org/officeDocument/2006/relationships/image" Target="media/image67.wmf"/><Relationship Id="rId167" Type="http://schemas.openxmlformats.org/officeDocument/2006/relationships/oleObject" Target="embeddings/oleObject83.bin"/><Relationship Id="rId188" Type="http://schemas.openxmlformats.org/officeDocument/2006/relationships/image" Target="media/image88.wmf"/><Relationship Id="rId311" Type="http://schemas.openxmlformats.org/officeDocument/2006/relationships/image" Target="media/image145.wmf"/><Relationship Id="rId332" Type="http://schemas.openxmlformats.org/officeDocument/2006/relationships/image" Target="media/image155.wmf"/><Relationship Id="rId353" Type="http://schemas.openxmlformats.org/officeDocument/2006/relationships/image" Target="media/image165.wmf"/><Relationship Id="rId71" Type="http://schemas.openxmlformats.org/officeDocument/2006/relationships/image" Target="media/image31.wmf"/><Relationship Id="rId92" Type="http://schemas.openxmlformats.org/officeDocument/2006/relationships/image" Target="media/image41.wmf"/><Relationship Id="rId213" Type="http://schemas.openxmlformats.org/officeDocument/2006/relationships/image" Target="media/image99.wmf"/><Relationship Id="rId234" Type="http://schemas.openxmlformats.org/officeDocument/2006/relationships/oleObject" Target="embeddings/oleObject119.bin"/><Relationship Id="rId2" Type="http://schemas.openxmlformats.org/officeDocument/2006/relationships/numbering" Target="numbering.xml"/><Relationship Id="rId29" Type="http://schemas.openxmlformats.org/officeDocument/2006/relationships/oleObject" Target="embeddings/oleObject12.bin"/><Relationship Id="rId255" Type="http://schemas.openxmlformats.org/officeDocument/2006/relationships/oleObject" Target="embeddings/oleObject130.bin"/><Relationship Id="rId276" Type="http://schemas.openxmlformats.org/officeDocument/2006/relationships/image" Target="media/image129.wmf"/><Relationship Id="rId297" Type="http://schemas.openxmlformats.org/officeDocument/2006/relationships/image" Target="media/image138.wmf"/><Relationship Id="rId40" Type="http://schemas.openxmlformats.org/officeDocument/2006/relationships/image" Target="media/image16.wmf"/><Relationship Id="rId115" Type="http://schemas.openxmlformats.org/officeDocument/2006/relationships/image" Target="media/image52.wmf"/><Relationship Id="rId136" Type="http://schemas.openxmlformats.org/officeDocument/2006/relationships/image" Target="media/image62.wmf"/><Relationship Id="rId157" Type="http://schemas.openxmlformats.org/officeDocument/2006/relationships/oleObject" Target="embeddings/oleObject78.bin"/><Relationship Id="rId178" Type="http://schemas.openxmlformats.org/officeDocument/2006/relationships/image" Target="media/image83.wmf"/><Relationship Id="rId301" Type="http://schemas.openxmlformats.org/officeDocument/2006/relationships/image" Target="media/image140.wmf"/><Relationship Id="rId322" Type="http://schemas.openxmlformats.org/officeDocument/2006/relationships/oleObject" Target="embeddings/oleObject165.bin"/><Relationship Id="rId343" Type="http://schemas.openxmlformats.org/officeDocument/2006/relationships/oleObject" Target="embeddings/oleObject176.bin"/><Relationship Id="rId364" Type="http://schemas.openxmlformats.org/officeDocument/2006/relationships/chart" Target="charts/chart1.xml"/><Relationship Id="rId61" Type="http://schemas.openxmlformats.org/officeDocument/2006/relationships/image" Target="media/image26.wmf"/><Relationship Id="rId82" Type="http://schemas.openxmlformats.org/officeDocument/2006/relationships/oleObject" Target="embeddings/oleObject39.bin"/><Relationship Id="rId199" Type="http://schemas.openxmlformats.org/officeDocument/2006/relationships/image" Target="media/image93.wmf"/><Relationship Id="rId203" Type="http://schemas.openxmlformats.org/officeDocument/2006/relationships/oleObject" Target="embeddings/oleObject102.bin"/><Relationship Id="rId19" Type="http://schemas.openxmlformats.org/officeDocument/2006/relationships/oleObject" Target="embeddings/oleObject6.bin"/><Relationship Id="rId224" Type="http://schemas.openxmlformats.org/officeDocument/2006/relationships/oleObject" Target="embeddings/oleObject113.bin"/><Relationship Id="rId245" Type="http://schemas.openxmlformats.org/officeDocument/2006/relationships/image" Target="media/image114.wmf"/><Relationship Id="rId266" Type="http://schemas.openxmlformats.org/officeDocument/2006/relationships/image" Target="media/image124.wmf"/><Relationship Id="rId287" Type="http://schemas.openxmlformats.org/officeDocument/2006/relationships/image" Target="media/image134.wmf"/><Relationship Id="rId30" Type="http://schemas.openxmlformats.org/officeDocument/2006/relationships/image" Target="media/image11.wmf"/><Relationship Id="rId105" Type="http://schemas.openxmlformats.org/officeDocument/2006/relationships/image" Target="media/image47.wmf"/><Relationship Id="rId126" Type="http://schemas.openxmlformats.org/officeDocument/2006/relationships/image" Target="media/image57.wmf"/><Relationship Id="rId147" Type="http://schemas.openxmlformats.org/officeDocument/2006/relationships/oleObject" Target="embeddings/oleObject73.bin"/><Relationship Id="rId168" Type="http://schemas.openxmlformats.org/officeDocument/2006/relationships/image" Target="media/image78.wmf"/><Relationship Id="rId312" Type="http://schemas.openxmlformats.org/officeDocument/2006/relationships/oleObject" Target="embeddings/oleObject160.bin"/><Relationship Id="rId333" Type="http://schemas.openxmlformats.org/officeDocument/2006/relationships/oleObject" Target="embeddings/oleObject171.bin"/><Relationship Id="rId354" Type="http://schemas.openxmlformats.org/officeDocument/2006/relationships/oleObject" Target="embeddings/oleObject182.bin"/><Relationship Id="rId51" Type="http://schemas.openxmlformats.org/officeDocument/2006/relationships/image" Target="media/image21.wmf"/><Relationship Id="rId72" Type="http://schemas.openxmlformats.org/officeDocument/2006/relationships/oleObject" Target="embeddings/oleObject34.bin"/><Relationship Id="rId93" Type="http://schemas.openxmlformats.org/officeDocument/2006/relationships/oleObject" Target="embeddings/oleObject45.bin"/><Relationship Id="rId189" Type="http://schemas.openxmlformats.org/officeDocument/2006/relationships/oleObject" Target="embeddings/oleObject94.bin"/><Relationship Id="rId3" Type="http://schemas.openxmlformats.org/officeDocument/2006/relationships/styles" Target="styles.xml"/><Relationship Id="rId214" Type="http://schemas.openxmlformats.org/officeDocument/2006/relationships/oleObject" Target="embeddings/oleObject108.bin"/><Relationship Id="rId235" Type="http://schemas.openxmlformats.org/officeDocument/2006/relationships/image" Target="media/image109.wmf"/><Relationship Id="rId256" Type="http://schemas.openxmlformats.org/officeDocument/2006/relationships/image" Target="media/image119.wmf"/><Relationship Id="rId277" Type="http://schemas.openxmlformats.org/officeDocument/2006/relationships/oleObject" Target="embeddings/oleObject141.bin"/><Relationship Id="rId298" Type="http://schemas.openxmlformats.org/officeDocument/2006/relationships/oleObject" Target="embeddings/oleObject153.bin"/><Relationship Id="rId116" Type="http://schemas.openxmlformats.org/officeDocument/2006/relationships/oleObject" Target="embeddings/oleObject57.bin"/><Relationship Id="rId137" Type="http://schemas.openxmlformats.org/officeDocument/2006/relationships/oleObject" Target="embeddings/oleObject68.bin"/><Relationship Id="rId158" Type="http://schemas.openxmlformats.org/officeDocument/2006/relationships/image" Target="media/image73.wmf"/><Relationship Id="rId302" Type="http://schemas.openxmlformats.org/officeDocument/2006/relationships/oleObject" Target="embeddings/oleObject155.bin"/><Relationship Id="rId323" Type="http://schemas.openxmlformats.org/officeDocument/2006/relationships/image" Target="media/image151.wmf"/><Relationship Id="rId344" Type="http://schemas.openxmlformats.org/officeDocument/2006/relationships/image" Target="media/image161.wmf"/><Relationship Id="rId20" Type="http://schemas.openxmlformats.org/officeDocument/2006/relationships/image" Target="media/image7.wmf"/><Relationship Id="rId41" Type="http://schemas.openxmlformats.org/officeDocument/2006/relationships/oleObject" Target="embeddings/oleObject18.bin"/><Relationship Id="rId62" Type="http://schemas.openxmlformats.org/officeDocument/2006/relationships/oleObject" Target="embeddings/oleObject29.bin"/><Relationship Id="rId83" Type="http://schemas.openxmlformats.org/officeDocument/2006/relationships/image" Target="media/image37.wmf"/><Relationship Id="rId179" Type="http://schemas.openxmlformats.org/officeDocument/2006/relationships/oleObject" Target="embeddings/oleObject89.bin"/><Relationship Id="rId365" Type="http://schemas.openxmlformats.org/officeDocument/2006/relationships/chart" Target="charts/chart2.xml"/><Relationship Id="rId190" Type="http://schemas.openxmlformats.org/officeDocument/2006/relationships/image" Target="media/image89.wmf"/><Relationship Id="rId204" Type="http://schemas.openxmlformats.org/officeDocument/2006/relationships/image" Target="media/image95.wmf"/><Relationship Id="rId225" Type="http://schemas.openxmlformats.org/officeDocument/2006/relationships/oleObject" Target="embeddings/oleObject114.bin"/><Relationship Id="rId246" Type="http://schemas.openxmlformats.org/officeDocument/2006/relationships/oleObject" Target="embeddings/oleObject125.bin"/><Relationship Id="rId267" Type="http://schemas.openxmlformats.org/officeDocument/2006/relationships/oleObject" Target="embeddings/oleObject136.bin"/><Relationship Id="rId288" Type="http://schemas.openxmlformats.org/officeDocument/2006/relationships/oleObject" Target="embeddings/oleObject147.bin"/><Relationship Id="rId106" Type="http://schemas.openxmlformats.org/officeDocument/2006/relationships/oleObject" Target="embeddings/oleObject52.bin"/><Relationship Id="rId127" Type="http://schemas.openxmlformats.org/officeDocument/2006/relationships/oleObject" Target="embeddings/oleObject63.bin"/><Relationship Id="rId313" Type="http://schemas.openxmlformats.org/officeDocument/2006/relationships/image" Target="media/image146.wmf"/><Relationship Id="rId10" Type="http://schemas.openxmlformats.org/officeDocument/2006/relationships/image" Target="media/image2.wmf"/><Relationship Id="rId31" Type="http://schemas.openxmlformats.org/officeDocument/2006/relationships/oleObject" Target="embeddings/oleObject13.bin"/><Relationship Id="rId52" Type="http://schemas.openxmlformats.org/officeDocument/2006/relationships/oleObject" Target="embeddings/oleObject24.bin"/><Relationship Id="rId73" Type="http://schemas.openxmlformats.org/officeDocument/2006/relationships/image" Target="media/image32.wmf"/><Relationship Id="rId94" Type="http://schemas.openxmlformats.org/officeDocument/2006/relationships/image" Target="media/image42.wmf"/><Relationship Id="rId148" Type="http://schemas.openxmlformats.org/officeDocument/2006/relationships/image" Target="media/image68.wmf"/><Relationship Id="rId169" Type="http://schemas.openxmlformats.org/officeDocument/2006/relationships/oleObject" Target="embeddings/oleObject84.bin"/><Relationship Id="rId334" Type="http://schemas.openxmlformats.org/officeDocument/2006/relationships/image" Target="media/image156.wmf"/><Relationship Id="rId355" Type="http://schemas.openxmlformats.org/officeDocument/2006/relationships/image" Target="media/image166.wmf"/><Relationship Id="rId4" Type="http://schemas.openxmlformats.org/officeDocument/2006/relationships/settings" Target="settings.xml"/><Relationship Id="rId180" Type="http://schemas.openxmlformats.org/officeDocument/2006/relationships/image" Target="media/image84.wmf"/><Relationship Id="rId215" Type="http://schemas.openxmlformats.org/officeDocument/2006/relationships/image" Target="media/image100.wmf"/><Relationship Id="rId236" Type="http://schemas.openxmlformats.org/officeDocument/2006/relationships/oleObject" Target="embeddings/oleObject120.bin"/><Relationship Id="rId257" Type="http://schemas.openxmlformats.org/officeDocument/2006/relationships/oleObject" Target="embeddings/oleObject131.bin"/><Relationship Id="rId278" Type="http://schemas.openxmlformats.org/officeDocument/2006/relationships/image" Target="media/image130.wmf"/><Relationship Id="rId303" Type="http://schemas.openxmlformats.org/officeDocument/2006/relationships/image" Target="media/image141.wmf"/><Relationship Id="rId42" Type="http://schemas.openxmlformats.org/officeDocument/2006/relationships/image" Target="media/image17.wmf"/><Relationship Id="rId84" Type="http://schemas.openxmlformats.org/officeDocument/2006/relationships/oleObject" Target="embeddings/oleObject40.bin"/><Relationship Id="rId138" Type="http://schemas.openxmlformats.org/officeDocument/2006/relationships/image" Target="media/image63.wmf"/><Relationship Id="rId345" Type="http://schemas.openxmlformats.org/officeDocument/2006/relationships/oleObject" Target="embeddings/oleObject177.bin"/><Relationship Id="rId191" Type="http://schemas.openxmlformats.org/officeDocument/2006/relationships/oleObject" Target="embeddings/oleObject95.bin"/><Relationship Id="rId205" Type="http://schemas.openxmlformats.org/officeDocument/2006/relationships/oleObject" Target="embeddings/oleObject103.bin"/><Relationship Id="rId247" Type="http://schemas.openxmlformats.org/officeDocument/2006/relationships/image" Target="media/image115.wmf"/><Relationship Id="rId107" Type="http://schemas.openxmlformats.org/officeDocument/2006/relationships/image" Target="media/image48.wmf"/><Relationship Id="rId289" Type="http://schemas.openxmlformats.org/officeDocument/2006/relationships/image" Target="media/image135.wmf"/><Relationship Id="rId11" Type="http://schemas.openxmlformats.org/officeDocument/2006/relationships/oleObject" Target="embeddings/oleObject2.bin"/><Relationship Id="rId53" Type="http://schemas.openxmlformats.org/officeDocument/2006/relationships/image" Target="media/image22.wmf"/><Relationship Id="rId149" Type="http://schemas.openxmlformats.org/officeDocument/2006/relationships/oleObject" Target="embeddings/oleObject74.bin"/><Relationship Id="rId314" Type="http://schemas.openxmlformats.org/officeDocument/2006/relationships/oleObject" Target="embeddings/oleObject161.bin"/><Relationship Id="rId356" Type="http://schemas.openxmlformats.org/officeDocument/2006/relationships/oleObject" Target="embeddings/oleObject183.bin"/><Relationship Id="rId95" Type="http://schemas.openxmlformats.org/officeDocument/2006/relationships/oleObject" Target="embeddings/oleObject46.bin"/><Relationship Id="rId160" Type="http://schemas.openxmlformats.org/officeDocument/2006/relationships/image" Target="media/image74.wmf"/><Relationship Id="rId216" Type="http://schemas.openxmlformats.org/officeDocument/2006/relationships/oleObject" Target="embeddings/oleObject109.bin"/><Relationship Id="rId258" Type="http://schemas.openxmlformats.org/officeDocument/2006/relationships/image" Target="media/image120.wmf"/><Relationship Id="rId22" Type="http://schemas.openxmlformats.org/officeDocument/2006/relationships/image" Target="media/image8.wmf"/><Relationship Id="rId64" Type="http://schemas.openxmlformats.org/officeDocument/2006/relationships/oleObject" Target="embeddings/oleObject30.bin"/><Relationship Id="rId118" Type="http://schemas.openxmlformats.org/officeDocument/2006/relationships/oleObject" Target="embeddings/oleObject58.bin"/><Relationship Id="rId325" Type="http://schemas.openxmlformats.org/officeDocument/2006/relationships/image" Target="media/image152.wmf"/><Relationship Id="rId367" Type="http://schemas.openxmlformats.org/officeDocument/2006/relationships/image" Target="media/image171.png"/><Relationship Id="rId171" Type="http://schemas.openxmlformats.org/officeDocument/2006/relationships/oleObject" Target="embeddings/oleObject85.bin"/><Relationship Id="rId227" Type="http://schemas.openxmlformats.org/officeDocument/2006/relationships/image" Target="media/image105.wmf"/><Relationship Id="rId269" Type="http://schemas.openxmlformats.org/officeDocument/2006/relationships/oleObject" Target="embeddings/oleObject137.bin"/><Relationship Id="rId33" Type="http://schemas.openxmlformats.org/officeDocument/2006/relationships/oleObject" Target="embeddings/oleObject14.bin"/><Relationship Id="rId129" Type="http://schemas.openxmlformats.org/officeDocument/2006/relationships/oleObject" Target="embeddings/oleObject64.bin"/><Relationship Id="rId280" Type="http://schemas.openxmlformats.org/officeDocument/2006/relationships/image" Target="media/image131.wmf"/><Relationship Id="rId336" Type="http://schemas.openxmlformats.org/officeDocument/2006/relationships/image" Target="media/image157.wmf"/><Relationship Id="rId75" Type="http://schemas.openxmlformats.org/officeDocument/2006/relationships/image" Target="media/image33.wmf"/><Relationship Id="rId140" Type="http://schemas.openxmlformats.org/officeDocument/2006/relationships/image" Target="media/image64.wmf"/><Relationship Id="rId182" Type="http://schemas.openxmlformats.org/officeDocument/2006/relationships/image" Target="media/image85.wmf"/><Relationship Id="rId6" Type="http://schemas.openxmlformats.org/officeDocument/2006/relationships/footnotes" Target="footnotes.xml"/><Relationship Id="rId238" Type="http://schemas.openxmlformats.org/officeDocument/2006/relationships/oleObject" Target="embeddings/oleObject121.bin"/><Relationship Id="rId291" Type="http://schemas.openxmlformats.org/officeDocument/2006/relationships/oleObject" Target="embeddings/oleObject149.bin"/><Relationship Id="rId305" Type="http://schemas.openxmlformats.org/officeDocument/2006/relationships/image" Target="media/image142.wmf"/><Relationship Id="rId347" Type="http://schemas.openxmlformats.org/officeDocument/2006/relationships/oleObject" Target="embeddings/oleObject178.bin"/><Relationship Id="rId44" Type="http://schemas.openxmlformats.org/officeDocument/2006/relationships/image" Target="media/image18.wmf"/><Relationship Id="rId86" Type="http://schemas.openxmlformats.org/officeDocument/2006/relationships/oleObject" Target="embeddings/oleObject41.bin"/><Relationship Id="rId151" Type="http://schemas.openxmlformats.org/officeDocument/2006/relationships/oleObject" Target="embeddings/oleObject75.bin"/><Relationship Id="rId193" Type="http://schemas.openxmlformats.org/officeDocument/2006/relationships/oleObject" Target="embeddings/oleObject96.bin"/><Relationship Id="rId207" Type="http://schemas.openxmlformats.org/officeDocument/2006/relationships/oleObject" Target="embeddings/oleObject104.bin"/><Relationship Id="rId249" Type="http://schemas.openxmlformats.org/officeDocument/2006/relationships/image" Target="media/image116.wmf"/><Relationship Id="rId13" Type="http://schemas.openxmlformats.org/officeDocument/2006/relationships/oleObject" Target="embeddings/oleObject3.bin"/><Relationship Id="rId109" Type="http://schemas.openxmlformats.org/officeDocument/2006/relationships/image" Target="media/image49.wmf"/><Relationship Id="rId260" Type="http://schemas.openxmlformats.org/officeDocument/2006/relationships/image" Target="media/image121.wmf"/><Relationship Id="rId316" Type="http://schemas.openxmlformats.org/officeDocument/2006/relationships/oleObject" Target="embeddings/oleObject162.bin"/><Relationship Id="rId55" Type="http://schemas.openxmlformats.org/officeDocument/2006/relationships/image" Target="media/image23.wmf"/><Relationship Id="rId97" Type="http://schemas.openxmlformats.org/officeDocument/2006/relationships/oleObject" Target="embeddings/oleObject47.bin"/><Relationship Id="rId120" Type="http://schemas.openxmlformats.org/officeDocument/2006/relationships/oleObject" Target="embeddings/oleObject59.bin"/><Relationship Id="rId358" Type="http://schemas.openxmlformats.org/officeDocument/2006/relationships/oleObject" Target="embeddings/oleObject184.bin"/><Relationship Id="rId162" Type="http://schemas.openxmlformats.org/officeDocument/2006/relationships/image" Target="media/image75.wmf"/><Relationship Id="rId218" Type="http://schemas.openxmlformats.org/officeDocument/2006/relationships/oleObject" Target="embeddings/oleObject110.bin"/><Relationship Id="rId271" Type="http://schemas.openxmlformats.org/officeDocument/2006/relationships/oleObject" Target="embeddings/oleObject138.bin"/><Relationship Id="rId24" Type="http://schemas.openxmlformats.org/officeDocument/2006/relationships/oleObject" Target="embeddings/oleObject9.bin"/><Relationship Id="rId66" Type="http://schemas.openxmlformats.org/officeDocument/2006/relationships/oleObject" Target="embeddings/oleObject31.bin"/><Relationship Id="rId131" Type="http://schemas.openxmlformats.org/officeDocument/2006/relationships/oleObject" Target="embeddings/oleObject65.bin"/><Relationship Id="rId327" Type="http://schemas.openxmlformats.org/officeDocument/2006/relationships/image" Target="media/image153.wmf"/><Relationship Id="rId369" Type="http://schemas.openxmlformats.org/officeDocument/2006/relationships/image" Target="media/image173.png"/><Relationship Id="rId173" Type="http://schemas.openxmlformats.org/officeDocument/2006/relationships/oleObject" Target="embeddings/oleObject86.bin"/><Relationship Id="rId229" Type="http://schemas.openxmlformats.org/officeDocument/2006/relationships/image" Target="media/image106.wmf"/><Relationship Id="rId240" Type="http://schemas.openxmlformats.org/officeDocument/2006/relationships/oleObject" Target="embeddings/oleObject122.bin"/><Relationship Id="rId35" Type="http://schemas.openxmlformats.org/officeDocument/2006/relationships/oleObject" Target="embeddings/oleObject15.bin"/><Relationship Id="rId77" Type="http://schemas.openxmlformats.org/officeDocument/2006/relationships/image" Target="media/image34.wmf"/><Relationship Id="rId100" Type="http://schemas.openxmlformats.org/officeDocument/2006/relationships/oleObject" Target="embeddings/oleObject49.bin"/><Relationship Id="rId282" Type="http://schemas.openxmlformats.org/officeDocument/2006/relationships/oleObject" Target="embeddings/oleObject144.bin"/><Relationship Id="rId338" Type="http://schemas.openxmlformats.org/officeDocument/2006/relationships/image" Target="media/image158.wmf"/><Relationship Id="rId8" Type="http://schemas.openxmlformats.org/officeDocument/2006/relationships/image" Target="media/image1.wmf"/><Relationship Id="rId142" Type="http://schemas.openxmlformats.org/officeDocument/2006/relationships/image" Target="media/image65.wmf"/><Relationship Id="rId184" Type="http://schemas.openxmlformats.org/officeDocument/2006/relationships/image" Target="media/image86.wmf"/><Relationship Id="rId251" Type="http://schemas.openxmlformats.org/officeDocument/2006/relationships/image" Target="media/image117.wmf"/><Relationship Id="rId46" Type="http://schemas.openxmlformats.org/officeDocument/2006/relationships/oleObject" Target="embeddings/oleObject21.bin"/><Relationship Id="rId293" Type="http://schemas.openxmlformats.org/officeDocument/2006/relationships/oleObject" Target="embeddings/oleObject150.bin"/><Relationship Id="rId307" Type="http://schemas.openxmlformats.org/officeDocument/2006/relationships/image" Target="media/image143.wmf"/><Relationship Id="rId349" Type="http://schemas.openxmlformats.org/officeDocument/2006/relationships/image" Target="media/image163.wmf"/><Relationship Id="rId88" Type="http://schemas.openxmlformats.org/officeDocument/2006/relationships/image" Target="media/image39.wmf"/><Relationship Id="rId111" Type="http://schemas.openxmlformats.org/officeDocument/2006/relationships/image" Target="media/image50.wmf"/><Relationship Id="rId153" Type="http://schemas.openxmlformats.org/officeDocument/2006/relationships/oleObject" Target="embeddings/oleObject76.bin"/><Relationship Id="rId195" Type="http://schemas.openxmlformats.org/officeDocument/2006/relationships/oleObject" Target="embeddings/oleObject97.bin"/><Relationship Id="rId209" Type="http://schemas.openxmlformats.org/officeDocument/2006/relationships/oleObject" Target="embeddings/oleObject105.bin"/><Relationship Id="rId360" Type="http://schemas.openxmlformats.org/officeDocument/2006/relationships/oleObject" Target="embeddings/oleObject185.bin"/><Relationship Id="rId220" Type="http://schemas.openxmlformats.org/officeDocument/2006/relationships/oleObject" Target="embeddings/oleObject111.bin"/></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5" Type="http://schemas.openxmlformats.org/officeDocument/2006/relationships/chartUserShapes" Target="../drawings/drawing1.xml"/><Relationship Id="rId4" Type="http://schemas.openxmlformats.org/officeDocument/2006/relationships/oleObject" Target="https://d.docs.live.net/9d3fb6f3feb8881a/Desktop/Research/Electric%20Vehicles/Descriptive%20Statistics/EV%20Descriptive%20Statistics.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5" Type="http://schemas.openxmlformats.org/officeDocument/2006/relationships/chartUserShapes" Target="../drawings/drawing2.xml"/><Relationship Id="rId4" Type="http://schemas.openxmlformats.org/officeDocument/2006/relationships/oleObject" Target="https://d.docs.live.net/9d3fb6f3feb8881a/Desktop/Research/Electric%20Vehicles/Descriptive%20Statistics/EV%20Descriptive%20Statistic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344630295756004"/>
          <c:y val="0.14361961339428678"/>
          <c:w val="0.3987848367487058"/>
          <c:h val="0.74175268174893239"/>
        </c:manualLayout>
      </c:layout>
      <c:barChart>
        <c:barDir val="bar"/>
        <c:grouping val="percentStacked"/>
        <c:varyColors val="0"/>
        <c:ser>
          <c:idx val="5"/>
          <c:order val="0"/>
          <c:tx>
            <c:strRef>
              <c:f>'Attitudes (2)'!$AA$4</c:f>
              <c:strCache>
                <c:ptCount val="1"/>
                <c:pt idx="0">
                  <c:v>Much Worse</c:v>
                </c:pt>
              </c:strCache>
            </c:strRef>
          </c:tx>
          <c:spPr>
            <a:solidFill>
              <a:schemeClr val="accent1"/>
            </a:solidFill>
            <a:ln>
              <a:noFill/>
            </a:ln>
            <a:effectLst/>
          </c:spPr>
          <c:invertIfNegative val="0"/>
          <c:cat>
            <c:multiLvlStrRef>
              <c:f>'Attitudes (2)'!$T$11:$U$16</c:f>
              <c:multiLvlStrCache>
                <c:ptCount val="6"/>
                <c:lvl>
                  <c:pt idx="0">
                    <c:v>Return on investment </c:v>
                  </c:pt>
                  <c:pt idx="1">
                    <c:v>Maintenance requirements </c:v>
                  </c:pt>
                  <c:pt idx="2">
                    <c:v>Operating cost </c:v>
                  </c:pt>
                  <c:pt idx="3">
                    <c:v>Driving range before needing to refuel </c:v>
                  </c:pt>
                  <c:pt idx="4">
                    <c:v>Convenience of refueling/charging </c:v>
                  </c:pt>
                  <c:pt idx="5">
                    <c:v>                                      Are good for long-distance trips</c:v>
                  </c:pt>
                </c:lvl>
                <c:lvl>
                  <c:pt idx="0">
                    <c:v>CMP</c:v>
                  </c:pt>
                  <c:pt idx="3">
                    <c:v>BRP</c:v>
                  </c:pt>
                </c:lvl>
              </c:multiLvlStrCache>
            </c:multiLvlStrRef>
          </c:cat>
          <c:val>
            <c:numRef>
              <c:f>'Attitudes (2)'!$AA$11:$AA$16</c:f>
              <c:numCache>
                <c:formatCode>General</c:formatCode>
                <c:ptCount val="6"/>
                <c:pt idx="0">
                  <c:v>128.21189567926777</c:v>
                </c:pt>
                <c:pt idx="1">
                  <c:v>123.31303808063832</c:v>
                </c:pt>
                <c:pt idx="2">
                  <c:v>102.99255153921217</c:v>
                </c:pt>
                <c:pt idx="3">
                  <c:v>299.23602235075185</c:v>
                </c:pt>
                <c:pt idx="4">
                  <c:v>311.21259099897412</c:v>
                </c:pt>
                <c:pt idx="5">
                  <c:v>392.43219544630841</c:v>
                </c:pt>
              </c:numCache>
            </c:numRef>
          </c:val>
          <c:extLst>
            <c:ext xmlns:c16="http://schemas.microsoft.com/office/drawing/2014/chart" uri="{C3380CC4-5D6E-409C-BE32-E72D297353CC}">
              <c16:uniqueId val="{00000000-6714-4F11-817B-84F2165503D6}"/>
            </c:ext>
          </c:extLst>
        </c:ser>
        <c:ser>
          <c:idx val="6"/>
          <c:order val="1"/>
          <c:tx>
            <c:strRef>
              <c:f>'Attitudes (2)'!$AB$4</c:f>
              <c:strCache>
                <c:ptCount val="1"/>
                <c:pt idx="0">
                  <c:v>Somewhat worse</c:v>
                </c:pt>
              </c:strCache>
            </c:strRef>
          </c:tx>
          <c:spPr>
            <a:solidFill>
              <a:schemeClr val="accent2"/>
            </a:solidFill>
            <a:ln>
              <a:noFill/>
            </a:ln>
            <a:effectLst/>
          </c:spPr>
          <c:invertIfNegative val="0"/>
          <c:cat>
            <c:multiLvlStrRef>
              <c:f>'Attitudes (2)'!$T$11:$U$16</c:f>
              <c:multiLvlStrCache>
                <c:ptCount val="6"/>
                <c:lvl>
                  <c:pt idx="0">
                    <c:v>Return on investment </c:v>
                  </c:pt>
                  <c:pt idx="1">
                    <c:v>Maintenance requirements </c:v>
                  </c:pt>
                  <c:pt idx="2">
                    <c:v>Operating cost </c:v>
                  </c:pt>
                  <c:pt idx="3">
                    <c:v>Driving range before needing to refuel </c:v>
                  </c:pt>
                  <c:pt idx="4">
                    <c:v>Convenience of refueling/charging </c:v>
                  </c:pt>
                  <c:pt idx="5">
                    <c:v>                                      Are good for long-distance trips</c:v>
                  </c:pt>
                </c:lvl>
                <c:lvl>
                  <c:pt idx="0">
                    <c:v>CMP</c:v>
                  </c:pt>
                  <c:pt idx="3">
                    <c:v>BRP</c:v>
                  </c:pt>
                </c:lvl>
              </c:multiLvlStrCache>
            </c:multiLvlStrRef>
          </c:cat>
          <c:val>
            <c:numRef>
              <c:f>'Attitudes (2)'!$AB$11:$AB$16</c:f>
              <c:numCache>
                <c:formatCode>General</c:formatCode>
                <c:ptCount val="6"/>
                <c:pt idx="0">
                  <c:v>190.1120051259617</c:v>
                </c:pt>
                <c:pt idx="1">
                  <c:v>124.84616379665682</c:v>
                </c:pt>
                <c:pt idx="2">
                  <c:v>104.85318489647359</c:v>
                </c:pt>
                <c:pt idx="3">
                  <c:v>275.84038744664241</c:v>
                </c:pt>
                <c:pt idx="4">
                  <c:v>271.20977094038437</c:v>
                </c:pt>
                <c:pt idx="5">
                  <c:v>305.99819553340006</c:v>
                </c:pt>
              </c:numCache>
            </c:numRef>
          </c:val>
          <c:extLst>
            <c:ext xmlns:c16="http://schemas.microsoft.com/office/drawing/2014/chart" uri="{C3380CC4-5D6E-409C-BE32-E72D297353CC}">
              <c16:uniqueId val="{00000001-6714-4F11-817B-84F2165503D6}"/>
            </c:ext>
          </c:extLst>
        </c:ser>
        <c:ser>
          <c:idx val="7"/>
          <c:order val="2"/>
          <c:tx>
            <c:strRef>
              <c:f>'Attitudes (2)'!$AC$4</c:f>
              <c:strCache>
                <c:ptCount val="1"/>
                <c:pt idx="0">
                  <c:v>About the same</c:v>
                </c:pt>
              </c:strCache>
            </c:strRef>
          </c:tx>
          <c:spPr>
            <a:solidFill>
              <a:schemeClr val="accent3"/>
            </a:solidFill>
            <a:ln>
              <a:noFill/>
            </a:ln>
            <a:effectLst/>
          </c:spPr>
          <c:invertIfNegative val="0"/>
          <c:cat>
            <c:multiLvlStrRef>
              <c:f>'Attitudes (2)'!$T$11:$U$16</c:f>
              <c:multiLvlStrCache>
                <c:ptCount val="6"/>
                <c:lvl>
                  <c:pt idx="0">
                    <c:v>Return on investment </c:v>
                  </c:pt>
                  <c:pt idx="1">
                    <c:v>Maintenance requirements </c:v>
                  </c:pt>
                  <c:pt idx="2">
                    <c:v>Operating cost </c:v>
                  </c:pt>
                  <c:pt idx="3">
                    <c:v>Driving range before needing to refuel </c:v>
                  </c:pt>
                  <c:pt idx="4">
                    <c:v>Convenience of refueling/charging </c:v>
                  </c:pt>
                  <c:pt idx="5">
                    <c:v>                                      Are good for long-distance trips</c:v>
                  </c:pt>
                </c:lvl>
                <c:lvl>
                  <c:pt idx="0">
                    <c:v>CMP</c:v>
                  </c:pt>
                  <c:pt idx="3">
                    <c:v>BRP</c:v>
                  </c:pt>
                </c:lvl>
              </c:multiLvlStrCache>
            </c:multiLvlStrRef>
          </c:cat>
          <c:val>
            <c:numRef>
              <c:f>'Attitudes (2)'!$AC$11:$AC$16</c:f>
              <c:numCache>
                <c:formatCode>General</c:formatCode>
                <c:ptCount val="6"/>
                <c:pt idx="0">
                  <c:v>505.72470247296411</c:v>
                </c:pt>
                <c:pt idx="1">
                  <c:v>507.21442838167212</c:v>
                </c:pt>
                <c:pt idx="2">
                  <c:v>438.59712139846431</c:v>
                </c:pt>
                <c:pt idx="3">
                  <c:v>347.32930766153981</c:v>
                </c:pt>
                <c:pt idx="4">
                  <c:v>318.26786967708244</c:v>
                </c:pt>
                <c:pt idx="5">
                  <c:v>268.10700673841802</c:v>
                </c:pt>
              </c:numCache>
            </c:numRef>
          </c:val>
          <c:extLst>
            <c:ext xmlns:c16="http://schemas.microsoft.com/office/drawing/2014/chart" uri="{C3380CC4-5D6E-409C-BE32-E72D297353CC}">
              <c16:uniqueId val="{00000002-6714-4F11-817B-84F2165503D6}"/>
            </c:ext>
          </c:extLst>
        </c:ser>
        <c:ser>
          <c:idx val="8"/>
          <c:order val="3"/>
          <c:tx>
            <c:strRef>
              <c:f>'Attitudes (2)'!$AD$4</c:f>
              <c:strCache>
                <c:ptCount val="1"/>
                <c:pt idx="0">
                  <c:v>Somewhat better</c:v>
                </c:pt>
              </c:strCache>
            </c:strRef>
          </c:tx>
          <c:spPr>
            <a:solidFill>
              <a:schemeClr val="accent4"/>
            </a:solidFill>
            <a:ln>
              <a:noFill/>
            </a:ln>
            <a:effectLst/>
          </c:spPr>
          <c:invertIfNegative val="0"/>
          <c:cat>
            <c:multiLvlStrRef>
              <c:f>'Attitudes (2)'!$T$11:$U$16</c:f>
              <c:multiLvlStrCache>
                <c:ptCount val="6"/>
                <c:lvl>
                  <c:pt idx="0">
                    <c:v>Return on investment </c:v>
                  </c:pt>
                  <c:pt idx="1">
                    <c:v>Maintenance requirements </c:v>
                  </c:pt>
                  <c:pt idx="2">
                    <c:v>Operating cost </c:v>
                  </c:pt>
                  <c:pt idx="3">
                    <c:v>Driving range before needing to refuel </c:v>
                  </c:pt>
                  <c:pt idx="4">
                    <c:v>Convenience of refueling/charging </c:v>
                  </c:pt>
                  <c:pt idx="5">
                    <c:v>                                      Are good for long-distance trips</c:v>
                  </c:pt>
                </c:lvl>
                <c:lvl>
                  <c:pt idx="0">
                    <c:v>CMP</c:v>
                  </c:pt>
                  <c:pt idx="3">
                    <c:v>BRP</c:v>
                  </c:pt>
                </c:lvl>
              </c:multiLvlStrCache>
            </c:multiLvlStrRef>
          </c:cat>
          <c:val>
            <c:numRef>
              <c:f>'Attitudes (2)'!$AD$11:$AD$16</c:f>
              <c:numCache>
                <c:formatCode>General</c:formatCode>
                <c:ptCount val="6"/>
                <c:pt idx="0">
                  <c:v>169.37529434933373</c:v>
                </c:pt>
                <c:pt idx="1">
                  <c:v>170.64719806742343</c:v>
                </c:pt>
                <c:pt idx="2">
                  <c:v>263.24889526937676</c:v>
                </c:pt>
                <c:pt idx="3">
                  <c:v>92.650887799101071</c:v>
                </c:pt>
                <c:pt idx="4">
                  <c:v>108.19968785558198</c:v>
                </c:pt>
                <c:pt idx="5">
                  <c:v>88.77450797603386</c:v>
                </c:pt>
              </c:numCache>
            </c:numRef>
          </c:val>
          <c:extLst>
            <c:ext xmlns:c16="http://schemas.microsoft.com/office/drawing/2014/chart" uri="{C3380CC4-5D6E-409C-BE32-E72D297353CC}">
              <c16:uniqueId val="{00000003-6714-4F11-817B-84F2165503D6}"/>
            </c:ext>
          </c:extLst>
        </c:ser>
        <c:ser>
          <c:idx val="9"/>
          <c:order val="4"/>
          <c:tx>
            <c:strRef>
              <c:f>'Attitudes (2)'!$AE$4</c:f>
              <c:strCache>
                <c:ptCount val="1"/>
                <c:pt idx="0">
                  <c:v>Much better </c:v>
                </c:pt>
              </c:strCache>
            </c:strRef>
          </c:tx>
          <c:spPr>
            <a:solidFill>
              <a:schemeClr val="accent5"/>
            </a:solidFill>
            <a:ln>
              <a:noFill/>
            </a:ln>
            <a:effectLst/>
          </c:spPr>
          <c:invertIfNegative val="0"/>
          <c:cat>
            <c:multiLvlStrRef>
              <c:f>'Attitudes (2)'!$T$11:$U$16</c:f>
              <c:multiLvlStrCache>
                <c:ptCount val="6"/>
                <c:lvl>
                  <c:pt idx="0">
                    <c:v>Return on investment </c:v>
                  </c:pt>
                  <c:pt idx="1">
                    <c:v>Maintenance requirements </c:v>
                  </c:pt>
                  <c:pt idx="2">
                    <c:v>Operating cost </c:v>
                  </c:pt>
                  <c:pt idx="3">
                    <c:v>Driving range before needing to refuel </c:v>
                  </c:pt>
                  <c:pt idx="4">
                    <c:v>Convenience of refueling/charging </c:v>
                  </c:pt>
                  <c:pt idx="5">
                    <c:v>                                      Are good for long-distance trips</c:v>
                  </c:pt>
                </c:lvl>
                <c:lvl>
                  <c:pt idx="0">
                    <c:v>CMP</c:v>
                  </c:pt>
                  <c:pt idx="3">
                    <c:v>BRP</c:v>
                  </c:pt>
                </c:lvl>
              </c:multiLvlStrCache>
            </c:multiLvlStrRef>
          </c:cat>
          <c:val>
            <c:numRef>
              <c:f>'Attitudes (2)'!$AE$11:$AE$16</c:f>
              <c:numCache>
                <c:formatCode>General</c:formatCode>
                <c:ptCount val="6"/>
                <c:pt idx="0">
                  <c:v>109.57610237247478</c:v>
                </c:pt>
                <c:pt idx="1">
                  <c:v>176.97917167360998</c:v>
                </c:pt>
                <c:pt idx="2">
                  <c:v>193.30824689647443</c:v>
                </c:pt>
                <c:pt idx="3">
                  <c:v>87.943394741967282</c:v>
                </c:pt>
                <c:pt idx="4">
                  <c:v>94.110080527979889</c:v>
                </c:pt>
                <c:pt idx="5">
                  <c:v>47.68809430584227</c:v>
                </c:pt>
              </c:numCache>
            </c:numRef>
          </c:val>
          <c:extLst>
            <c:ext xmlns:c16="http://schemas.microsoft.com/office/drawing/2014/chart" uri="{C3380CC4-5D6E-409C-BE32-E72D297353CC}">
              <c16:uniqueId val="{00000004-6714-4F11-817B-84F2165503D6}"/>
            </c:ext>
          </c:extLst>
        </c:ser>
        <c:dLbls>
          <c:showLegendKey val="0"/>
          <c:showVal val="0"/>
          <c:showCatName val="0"/>
          <c:showSerName val="0"/>
          <c:showPercent val="0"/>
          <c:showBubbleSize val="0"/>
        </c:dLbls>
        <c:gapWidth val="150"/>
        <c:overlap val="100"/>
        <c:axId val="395781663"/>
        <c:axId val="395805183"/>
      </c:barChart>
      <c:catAx>
        <c:axId val="395781663"/>
        <c:scaling>
          <c:orientation val="maxMin"/>
        </c:scaling>
        <c:delete val="0"/>
        <c:axPos val="l"/>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5805183"/>
        <c:crosses val="autoZero"/>
        <c:auto val="1"/>
        <c:lblAlgn val="ctr"/>
        <c:lblOffset val="100"/>
        <c:noMultiLvlLbl val="0"/>
      </c:catAx>
      <c:valAx>
        <c:axId val="395805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5781663"/>
        <c:crosses val="max"/>
        <c:crossBetween val="between"/>
        <c:majorUnit val="0.25"/>
      </c:valAx>
      <c:spPr>
        <a:noFill/>
        <a:ln>
          <a:noFill/>
        </a:ln>
        <a:effectLst/>
      </c:spPr>
    </c:plotArea>
    <c:legend>
      <c:legendPos val="b"/>
      <c:layout>
        <c:manualLayout>
          <c:xMode val="edge"/>
          <c:yMode val="edge"/>
          <c:x val="5.2043614574622879E-2"/>
          <c:y val="0.94157944784692205"/>
          <c:w val="0.89999989908120159"/>
          <c:h val="5.754640679856661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663340054775744"/>
          <c:y val="0.10521548940823229"/>
          <c:w val="0.38759351099461581"/>
          <c:h val="0.76092848426472104"/>
        </c:manualLayout>
      </c:layout>
      <c:barChart>
        <c:barDir val="bar"/>
        <c:grouping val="percentStacked"/>
        <c:varyColors val="0"/>
        <c:ser>
          <c:idx val="0"/>
          <c:order val="0"/>
          <c:tx>
            <c:strRef>
              <c:f>'Attitudes (2)'!$V$4</c:f>
              <c:strCache>
                <c:ptCount val="1"/>
                <c:pt idx="0">
                  <c:v>Strongly disagree</c:v>
                </c:pt>
              </c:strCache>
            </c:strRef>
          </c:tx>
          <c:spPr>
            <a:solidFill>
              <a:schemeClr val="accent1"/>
            </a:solidFill>
            <a:ln>
              <a:noFill/>
            </a:ln>
            <a:effectLst/>
          </c:spPr>
          <c:invertIfNegative val="0"/>
          <c:cat>
            <c:multiLvlStrRef>
              <c:f>'Attitudes (2)'!$T$5:$U$10</c:f>
              <c:multiLvlStrCache>
                <c:ptCount val="6"/>
                <c:lvl>
                  <c:pt idx="0">
                    <c:v>I feel a personal obligation to do my part to move the country toward a renewable energy future </c:v>
                  </c:pt>
                  <c:pt idx="1">
                    <c:v>I feel a personal obligation to do my part to address climate change</c:v>
                  </c:pt>
                  <c:pt idx="2">
                    <c:v>I feel guilty when I waste energy</c:v>
                  </c:pt>
                  <c:pt idx="3">
                    <c:v>For me, vehicles have practical purposes only</c:v>
                  </c:pt>
                  <c:pt idx="4">
                    <c:v>A vehicle provides status and prestige</c:v>
                  </c:pt>
                  <c:pt idx="5">
                    <c:v>The functional quality of a vehicle is more important than its make</c:v>
                  </c:pt>
                </c:lvl>
                <c:lvl>
                  <c:pt idx="0">
                    <c:v>GLP</c:v>
                  </c:pt>
                  <c:pt idx="3">
                    <c:v>VFP</c:v>
                  </c:pt>
                </c:lvl>
              </c:multiLvlStrCache>
            </c:multiLvlStrRef>
          </c:cat>
          <c:val>
            <c:numRef>
              <c:f>'Attitudes (2)'!$V$5:$V$10</c:f>
              <c:numCache>
                <c:formatCode>General</c:formatCode>
                <c:ptCount val="6"/>
                <c:pt idx="0">
                  <c:v>232.98948170942359</c:v>
                </c:pt>
                <c:pt idx="1">
                  <c:v>237.89653015675316</c:v>
                </c:pt>
                <c:pt idx="2">
                  <c:v>124.99763013309159</c:v>
                </c:pt>
                <c:pt idx="3">
                  <c:v>57.354942237353988</c:v>
                </c:pt>
                <c:pt idx="4">
                  <c:v>199.43923919162285</c:v>
                </c:pt>
                <c:pt idx="5">
                  <c:v>22.516823233176648</c:v>
                </c:pt>
              </c:numCache>
            </c:numRef>
          </c:val>
          <c:extLst>
            <c:ext xmlns:c16="http://schemas.microsoft.com/office/drawing/2014/chart" uri="{C3380CC4-5D6E-409C-BE32-E72D297353CC}">
              <c16:uniqueId val="{00000000-42B8-4E69-8DC4-1F1AD9E64E3D}"/>
            </c:ext>
          </c:extLst>
        </c:ser>
        <c:ser>
          <c:idx val="1"/>
          <c:order val="1"/>
          <c:tx>
            <c:strRef>
              <c:f>'Attitudes (2)'!$W$4</c:f>
              <c:strCache>
                <c:ptCount val="1"/>
                <c:pt idx="0">
                  <c:v>Somewhat disagree</c:v>
                </c:pt>
              </c:strCache>
            </c:strRef>
          </c:tx>
          <c:spPr>
            <a:solidFill>
              <a:schemeClr val="accent2"/>
            </a:solidFill>
            <a:ln>
              <a:noFill/>
            </a:ln>
            <a:effectLst/>
          </c:spPr>
          <c:invertIfNegative val="0"/>
          <c:cat>
            <c:multiLvlStrRef>
              <c:f>'Attitudes (2)'!$T$5:$U$10</c:f>
              <c:multiLvlStrCache>
                <c:ptCount val="6"/>
                <c:lvl>
                  <c:pt idx="0">
                    <c:v>I feel a personal obligation to do my part to move the country toward a renewable energy future </c:v>
                  </c:pt>
                  <c:pt idx="1">
                    <c:v>I feel a personal obligation to do my part to address climate change</c:v>
                  </c:pt>
                  <c:pt idx="2">
                    <c:v>I feel guilty when I waste energy</c:v>
                  </c:pt>
                  <c:pt idx="3">
                    <c:v>For me, vehicles have practical purposes only</c:v>
                  </c:pt>
                  <c:pt idx="4">
                    <c:v>A vehicle provides status and prestige</c:v>
                  </c:pt>
                  <c:pt idx="5">
                    <c:v>The functional quality of a vehicle is more important than its make</c:v>
                  </c:pt>
                </c:lvl>
                <c:lvl>
                  <c:pt idx="0">
                    <c:v>GLP</c:v>
                  </c:pt>
                  <c:pt idx="3">
                    <c:v>VFP</c:v>
                  </c:pt>
                </c:lvl>
              </c:multiLvlStrCache>
            </c:multiLvlStrRef>
          </c:cat>
          <c:val>
            <c:numRef>
              <c:f>'Attitudes (2)'!$W$5:$W$10</c:f>
              <c:numCache>
                <c:formatCode>General</c:formatCode>
                <c:ptCount val="6"/>
                <c:pt idx="0">
                  <c:v>208.72306088730977</c:v>
                </c:pt>
                <c:pt idx="1">
                  <c:v>184.30860269786649</c:v>
                </c:pt>
                <c:pt idx="2">
                  <c:v>176.73524896075389</c:v>
                </c:pt>
                <c:pt idx="3">
                  <c:v>182.39303248902533</c:v>
                </c:pt>
                <c:pt idx="4">
                  <c:v>183.37211772409705</c:v>
                </c:pt>
                <c:pt idx="5">
                  <c:v>120.37421138114539</c:v>
                </c:pt>
              </c:numCache>
            </c:numRef>
          </c:val>
          <c:extLst>
            <c:ext xmlns:c16="http://schemas.microsoft.com/office/drawing/2014/chart" uri="{C3380CC4-5D6E-409C-BE32-E72D297353CC}">
              <c16:uniqueId val="{00000001-42B8-4E69-8DC4-1F1AD9E64E3D}"/>
            </c:ext>
          </c:extLst>
        </c:ser>
        <c:ser>
          <c:idx val="2"/>
          <c:order val="2"/>
          <c:tx>
            <c:strRef>
              <c:f>'Attitudes (2)'!$X$4</c:f>
              <c:strCache>
                <c:ptCount val="1"/>
                <c:pt idx="0">
                  <c:v>Neither agree nor disagree</c:v>
                </c:pt>
              </c:strCache>
            </c:strRef>
          </c:tx>
          <c:spPr>
            <a:solidFill>
              <a:schemeClr val="accent3"/>
            </a:solidFill>
            <a:ln>
              <a:noFill/>
            </a:ln>
            <a:effectLst/>
          </c:spPr>
          <c:invertIfNegative val="0"/>
          <c:cat>
            <c:multiLvlStrRef>
              <c:f>'Attitudes (2)'!$T$5:$U$10</c:f>
              <c:multiLvlStrCache>
                <c:ptCount val="6"/>
                <c:lvl>
                  <c:pt idx="0">
                    <c:v>I feel a personal obligation to do my part to move the country toward a renewable energy future </c:v>
                  </c:pt>
                  <c:pt idx="1">
                    <c:v>I feel a personal obligation to do my part to address climate change</c:v>
                  </c:pt>
                  <c:pt idx="2">
                    <c:v>I feel guilty when I waste energy</c:v>
                  </c:pt>
                  <c:pt idx="3">
                    <c:v>For me, vehicles have practical purposes only</c:v>
                  </c:pt>
                  <c:pt idx="4">
                    <c:v>A vehicle provides status and prestige</c:v>
                  </c:pt>
                  <c:pt idx="5">
                    <c:v>The functional quality of a vehicle is more important than its make</c:v>
                  </c:pt>
                </c:lvl>
                <c:lvl>
                  <c:pt idx="0">
                    <c:v>GLP</c:v>
                  </c:pt>
                  <c:pt idx="3">
                    <c:v>VFP</c:v>
                  </c:pt>
                </c:lvl>
              </c:multiLvlStrCache>
            </c:multiLvlStrRef>
          </c:cat>
          <c:val>
            <c:numRef>
              <c:f>'Attitudes (2)'!$X$5:$X$10</c:f>
              <c:numCache>
                <c:formatCode>General</c:formatCode>
                <c:ptCount val="6"/>
                <c:pt idx="0">
                  <c:v>353.49166617253314</c:v>
                </c:pt>
                <c:pt idx="1">
                  <c:v>348.39192369692444</c:v>
                </c:pt>
                <c:pt idx="2">
                  <c:v>406.49120522918889</c:v>
                </c:pt>
                <c:pt idx="3">
                  <c:v>240.8824576601649</c:v>
                </c:pt>
                <c:pt idx="4">
                  <c:v>396.25682203629407</c:v>
                </c:pt>
                <c:pt idx="5">
                  <c:v>216.9963919889438</c:v>
                </c:pt>
              </c:numCache>
            </c:numRef>
          </c:val>
          <c:extLst>
            <c:ext xmlns:c16="http://schemas.microsoft.com/office/drawing/2014/chart" uri="{C3380CC4-5D6E-409C-BE32-E72D297353CC}">
              <c16:uniqueId val="{00000002-42B8-4E69-8DC4-1F1AD9E64E3D}"/>
            </c:ext>
          </c:extLst>
        </c:ser>
        <c:ser>
          <c:idx val="3"/>
          <c:order val="3"/>
          <c:tx>
            <c:strRef>
              <c:f>'Attitudes (2)'!$Y$4</c:f>
              <c:strCache>
                <c:ptCount val="1"/>
                <c:pt idx="0">
                  <c:v>Somewhat agree</c:v>
                </c:pt>
              </c:strCache>
            </c:strRef>
          </c:tx>
          <c:spPr>
            <a:solidFill>
              <a:schemeClr val="accent4"/>
            </a:solidFill>
            <a:ln>
              <a:noFill/>
            </a:ln>
            <a:effectLst/>
          </c:spPr>
          <c:invertIfNegative val="0"/>
          <c:cat>
            <c:multiLvlStrRef>
              <c:f>'Attitudes (2)'!$T$5:$U$10</c:f>
              <c:multiLvlStrCache>
                <c:ptCount val="6"/>
                <c:lvl>
                  <c:pt idx="0">
                    <c:v>I feel a personal obligation to do my part to move the country toward a renewable energy future </c:v>
                  </c:pt>
                  <c:pt idx="1">
                    <c:v>I feel a personal obligation to do my part to address climate change</c:v>
                  </c:pt>
                  <c:pt idx="2">
                    <c:v>I feel guilty when I waste energy</c:v>
                  </c:pt>
                  <c:pt idx="3">
                    <c:v>For me, vehicles have practical purposes only</c:v>
                  </c:pt>
                  <c:pt idx="4">
                    <c:v>A vehicle provides status and prestige</c:v>
                  </c:pt>
                  <c:pt idx="5">
                    <c:v>The functional quality of a vehicle is more important than its make</c:v>
                  </c:pt>
                </c:lvl>
                <c:lvl>
                  <c:pt idx="0">
                    <c:v>GLP</c:v>
                  </c:pt>
                  <c:pt idx="3">
                    <c:v>VFP</c:v>
                  </c:pt>
                </c:lvl>
              </c:multiLvlStrCache>
            </c:multiLvlStrRef>
          </c:cat>
          <c:val>
            <c:numRef>
              <c:f>'Attitudes (2)'!$Y$5:$Y$10</c:f>
              <c:numCache>
                <c:formatCode>General</c:formatCode>
                <c:ptCount val="6"/>
                <c:pt idx="0">
                  <c:v>195.09156612828573</c:v>
                </c:pt>
                <c:pt idx="1">
                  <c:v>179.16241621675778</c:v>
                </c:pt>
                <c:pt idx="2">
                  <c:v>244.50836951766243</c:v>
                </c:pt>
                <c:pt idx="3">
                  <c:v>360.27023603751991</c:v>
                </c:pt>
                <c:pt idx="4">
                  <c:v>260.27230181988631</c:v>
                </c:pt>
                <c:pt idx="5">
                  <c:v>375.47566413346937</c:v>
                </c:pt>
              </c:numCache>
            </c:numRef>
          </c:val>
          <c:extLst>
            <c:ext xmlns:c16="http://schemas.microsoft.com/office/drawing/2014/chart" uri="{C3380CC4-5D6E-409C-BE32-E72D297353CC}">
              <c16:uniqueId val="{00000003-42B8-4E69-8DC4-1F1AD9E64E3D}"/>
            </c:ext>
          </c:extLst>
        </c:ser>
        <c:ser>
          <c:idx val="4"/>
          <c:order val="4"/>
          <c:tx>
            <c:strRef>
              <c:f>'Attitudes (2)'!$Z$4</c:f>
              <c:strCache>
                <c:ptCount val="1"/>
                <c:pt idx="0">
                  <c:v>Strongly agree</c:v>
                </c:pt>
              </c:strCache>
            </c:strRef>
          </c:tx>
          <c:spPr>
            <a:solidFill>
              <a:schemeClr val="accent5"/>
            </a:solidFill>
            <a:ln>
              <a:noFill/>
            </a:ln>
            <a:effectLst/>
          </c:spPr>
          <c:invertIfNegative val="0"/>
          <c:cat>
            <c:multiLvlStrRef>
              <c:f>'Attitudes (2)'!$T$5:$U$10</c:f>
              <c:multiLvlStrCache>
                <c:ptCount val="6"/>
                <c:lvl>
                  <c:pt idx="0">
                    <c:v>I feel a personal obligation to do my part to move the country toward a renewable energy future </c:v>
                  </c:pt>
                  <c:pt idx="1">
                    <c:v>I feel a personal obligation to do my part to address climate change</c:v>
                  </c:pt>
                  <c:pt idx="2">
                    <c:v>I feel guilty when I waste energy</c:v>
                  </c:pt>
                  <c:pt idx="3">
                    <c:v>For me, vehicles have practical purposes only</c:v>
                  </c:pt>
                  <c:pt idx="4">
                    <c:v>A vehicle provides status and prestige</c:v>
                  </c:pt>
                  <c:pt idx="5">
                    <c:v>The functional quality of a vehicle is more important than its make</c:v>
                  </c:pt>
                </c:lvl>
                <c:lvl>
                  <c:pt idx="0">
                    <c:v>GLP</c:v>
                  </c:pt>
                  <c:pt idx="3">
                    <c:v>VFP</c:v>
                  </c:pt>
                </c:lvl>
              </c:multiLvlStrCache>
            </c:multiLvlStrRef>
          </c:cat>
          <c:val>
            <c:numRef>
              <c:f>'Attitudes (2)'!$Z$5:$Z$10</c:f>
              <c:numCache>
                <c:formatCode>General</c:formatCode>
                <c:ptCount val="6"/>
                <c:pt idx="0">
                  <c:v>112.70422510245112</c:v>
                </c:pt>
                <c:pt idx="1">
                  <c:v>153.24052723170081</c:v>
                </c:pt>
                <c:pt idx="2">
                  <c:v>150.26754615930534</c:v>
                </c:pt>
                <c:pt idx="3">
                  <c:v>262.09933157593883</c:v>
                </c:pt>
                <c:pt idx="4">
                  <c:v>63.659519228102198</c:v>
                </c:pt>
                <c:pt idx="5">
                  <c:v>367.63690926326882</c:v>
                </c:pt>
              </c:numCache>
            </c:numRef>
          </c:val>
          <c:extLst>
            <c:ext xmlns:c16="http://schemas.microsoft.com/office/drawing/2014/chart" uri="{C3380CC4-5D6E-409C-BE32-E72D297353CC}">
              <c16:uniqueId val="{00000004-42B8-4E69-8DC4-1F1AD9E64E3D}"/>
            </c:ext>
          </c:extLst>
        </c:ser>
        <c:dLbls>
          <c:showLegendKey val="0"/>
          <c:showVal val="0"/>
          <c:showCatName val="0"/>
          <c:showSerName val="0"/>
          <c:showPercent val="0"/>
          <c:showBubbleSize val="0"/>
        </c:dLbls>
        <c:gapWidth val="150"/>
        <c:overlap val="100"/>
        <c:axId val="395781663"/>
        <c:axId val="395805183"/>
      </c:barChart>
      <c:catAx>
        <c:axId val="395781663"/>
        <c:scaling>
          <c:orientation val="maxMin"/>
        </c:scaling>
        <c:delete val="0"/>
        <c:axPos val="l"/>
        <c:numFmt formatCode="General" sourceLinked="1"/>
        <c:majorTickMark val="none"/>
        <c:minorTickMark val="none"/>
        <c:tickLblPos val="nextTo"/>
        <c:spPr>
          <a:noFill/>
          <a:ln w="9525" cap="flat" cmpd="sng" algn="ctr">
            <a:solidFill>
              <a:schemeClr val="bg2">
                <a:lumMod val="50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5805183"/>
        <c:crosses val="autoZero"/>
        <c:auto val="1"/>
        <c:lblAlgn val="ctr"/>
        <c:lblOffset val="100"/>
        <c:noMultiLvlLbl val="0"/>
      </c:catAx>
      <c:valAx>
        <c:axId val="39580518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395781663"/>
        <c:crosses val="max"/>
        <c:crossBetween val="between"/>
        <c:majorUnit val="0.25"/>
      </c:valAx>
      <c:spPr>
        <a:noFill/>
        <a:ln>
          <a:noFill/>
        </a:ln>
        <a:effectLst/>
      </c:spPr>
    </c:plotArea>
    <c:legend>
      <c:legendPos val="b"/>
      <c:layout>
        <c:manualLayout>
          <c:xMode val="edge"/>
          <c:yMode val="edge"/>
          <c:x val="2.6379908312142635E-2"/>
          <c:y val="0.92840023329225418"/>
          <c:w val="0.94960668538078707"/>
          <c:h val="5.8259777384989206E-2"/>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sz="1000">
          <a:solidFill>
            <a:sysClr val="windowText" lastClr="000000"/>
          </a:solidFill>
          <a:latin typeface="Times New Roman" panose="02020603050405020304" pitchFamily="18" charset="0"/>
          <a:cs typeface="Times New Roman" panose="02020603050405020304" pitchFamily="18" charset="0"/>
        </a:defRPr>
      </a:pPr>
      <a:endParaRPr lang="en-US"/>
    </a:p>
  </c:txPr>
  <c:externalData r:id="rId4">
    <c:autoUpdate val="0"/>
  </c:externalData>
  <c:userShapes r:id="rId5"/>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0.06915</cdr:x>
      <cdr:y>0.01543</cdr:y>
    </cdr:from>
    <cdr:to>
      <cdr:x>0.8646</cdr:x>
      <cdr:y>0.07253</cdr:y>
    </cdr:to>
    <cdr:sp macro="" textlink="">
      <cdr:nvSpPr>
        <cdr:cNvPr id="2" name="TextBox 1">
          <a:extLst xmlns:a="http://schemas.openxmlformats.org/drawingml/2006/main">
            <a:ext uri="{FF2B5EF4-FFF2-40B4-BE49-F238E27FC236}">
              <a16:creationId xmlns:a16="http://schemas.microsoft.com/office/drawing/2014/main" id="{880A56FE-CEAB-83C0-9970-938EC36E4358}"/>
            </a:ext>
          </a:extLst>
        </cdr:cNvPr>
        <cdr:cNvSpPr txBox="1"/>
      </cdr:nvSpPr>
      <cdr:spPr>
        <a:xfrm xmlns:a="http://schemas.openxmlformats.org/drawingml/2006/main">
          <a:off x="648607" y="90715"/>
          <a:ext cx="7461250" cy="335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0.00239</cdr:x>
      <cdr:y>0.02338</cdr:y>
    </cdr:from>
    <cdr:to>
      <cdr:x>0.92473</cdr:x>
      <cdr:y>0.15756</cdr:y>
    </cdr:to>
    <cdr:sp macro="" textlink="">
      <cdr:nvSpPr>
        <cdr:cNvPr id="3" name="TextBox 2">
          <a:extLst xmlns:a="http://schemas.openxmlformats.org/drawingml/2006/main">
            <a:ext uri="{FF2B5EF4-FFF2-40B4-BE49-F238E27FC236}">
              <a16:creationId xmlns:a16="http://schemas.microsoft.com/office/drawing/2014/main" id="{36BE055F-63A7-F3B3-AF82-5CEB396D3842}"/>
            </a:ext>
          </a:extLst>
        </cdr:cNvPr>
        <cdr:cNvSpPr txBox="1"/>
      </cdr:nvSpPr>
      <cdr:spPr>
        <a:xfrm xmlns:a="http://schemas.openxmlformats.org/drawingml/2006/main">
          <a:off x="14169" y="89664"/>
          <a:ext cx="5478692" cy="514624"/>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Thinking about battery electric vehicles compared to gasoline-powered vehicles, how would you rate battery electric vehicles on each of the following? </a:t>
          </a:r>
        </a:p>
      </cdr:txBody>
    </cdr:sp>
  </cdr:relSizeAnchor>
</c:userShapes>
</file>

<file path=word/drawings/drawing2.xml><?xml version="1.0" encoding="utf-8"?>
<c:userShapes xmlns:c="http://schemas.openxmlformats.org/drawingml/2006/chart">
  <cdr:relSizeAnchor xmlns:cdr="http://schemas.openxmlformats.org/drawingml/2006/chartDrawing">
    <cdr:from>
      <cdr:x>0.06915</cdr:x>
      <cdr:y>0.01543</cdr:y>
    </cdr:from>
    <cdr:to>
      <cdr:x>0.8646</cdr:x>
      <cdr:y>0.07253</cdr:y>
    </cdr:to>
    <cdr:sp macro="" textlink="">
      <cdr:nvSpPr>
        <cdr:cNvPr id="2" name="TextBox 1">
          <a:extLst xmlns:a="http://schemas.openxmlformats.org/drawingml/2006/main">
            <a:ext uri="{FF2B5EF4-FFF2-40B4-BE49-F238E27FC236}">
              <a16:creationId xmlns:a16="http://schemas.microsoft.com/office/drawing/2014/main" id="{880A56FE-CEAB-83C0-9970-938EC36E4358}"/>
            </a:ext>
          </a:extLst>
        </cdr:cNvPr>
        <cdr:cNvSpPr txBox="1"/>
      </cdr:nvSpPr>
      <cdr:spPr>
        <a:xfrm xmlns:a="http://schemas.openxmlformats.org/drawingml/2006/main">
          <a:off x="648607" y="90715"/>
          <a:ext cx="7461250" cy="33564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dr:relSizeAnchor xmlns:cdr="http://schemas.openxmlformats.org/drawingml/2006/chartDrawing">
    <cdr:from>
      <cdr:x>0.01571</cdr:x>
      <cdr:y>0.01567</cdr:y>
    </cdr:from>
    <cdr:to>
      <cdr:x>0.74085</cdr:x>
      <cdr:y>0.08153</cdr:y>
    </cdr:to>
    <cdr:sp macro="" textlink="">
      <cdr:nvSpPr>
        <cdr:cNvPr id="5" name="TextBox 4">
          <a:extLst xmlns:a="http://schemas.openxmlformats.org/drawingml/2006/main">
            <a:ext uri="{FF2B5EF4-FFF2-40B4-BE49-F238E27FC236}">
              <a16:creationId xmlns:a16="http://schemas.microsoft.com/office/drawing/2014/main" id="{D05D5C57-52C1-9E8D-871E-015A3BE645AA}"/>
            </a:ext>
          </a:extLst>
        </cdr:cNvPr>
        <cdr:cNvSpPr txBox="1"/>
      </cdr:nvSpPr>
      <cdr:spPr>
        <a:xfrm xmlns:a="http://schemas.openxmlformats.org/drawingml/2006/main">
          <a:off x="93346" y="56030"/>
          <a:ext cx="4308675" cy="2354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latin typeface="Times New Roman" panose="02020603050405020304" pitchFamily="18" charset="0"/>
              <a:cs typeface="Times New Roman" panose="02020603050405020304" pitchFamily="18" charset="0"/>
            </a:rPr>
            <a:t>To what extent do you agree or disagree with the following?</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A13C31-7ED7-4F2D-A312-C1186B3B0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49</Pages>
  <Words>102138</Words>
  <Characters>582189</Characters>
  <Application>Microsoft Office Word</Application>
  <DocSecurity>0</DocSecurity>
  <Lines>4851</Lines>
  <Paragraphs>1365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682962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Robbennolt, Dale Andrew</dc:creator>
  <cp:keywords/>
  <dc:description/>
  <cp:lastModifiedBy>Macias, Lisa J</cp:lastModifiedBy>
  <cp:revision>2</cp:revision>
  <cp:lastPrinted>2025-02-05T15:12:00Z</cp:lastPrinted>
  <dcterms:created xsi:type="dcterms:W3CDTF">2025-06-11T23:34:00Z</dcterms:created>
  <dcterms:modified xsi:type="dcterms:W3CDTF">2025-06-11T23:34:00Z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id="1A10L2vy"/&gt;&lt;style id="http://www.zotero.org/styles/transportation-research-part-b" hasBibliography="1" bibliographyStyleHasBeenSet="1"/&gt;&lt;prefs&gt;&lt;pref name="fieldType" value="Field"/&gt;&lt;pref name="do</vt:lpwstr>
  </property>
  <property fmtid="{D5CDD505-2E9C-101B-9397-08002B2CF9AE}" pid="3" name="ZOTERO_PREF_2">
    <vt:lpwstr>ntAskDelayCitationUpdates" value="true"/&gt;&lt;/prefs&gt;&lt;/data&gt;</vt:lpwstr>
  </property>
  <property fmtid="{D5CDD505-2E9C-101B-9397-08002B2CF9AE}" pid="4" name="MTWinEqns">
    <vt:bool>true</vt:bool>
  </property>
  <property fmtid="{D5CDD505-2E9C-101B-9397-08002B2CF9AE}" pid="5" name="MTEquationNumber2">
    <vt:lpwstr>(#E1)</vt:lpwstr>
  </property>
  <property fmtid="{D5CDD505-2E9C-101B-9397-08002B2CF9AE}" pid="6" name="MTEquationSection">
    <vt:lpwstr>1</vt:lpwstr>
  </property>
</Properties>
</file>