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F2311" w14:textId="220AB6E3" w:rsidR="00176E20" w:rsidRPr="00AC36D6" w:rsidRDefault="00184D12" w:rsidP="00087876">
      <w:pPr>
        <w:spacing w:after="0" w:line="360" w:lineRule="auto"/>
        <w:rPr>
          <w:b/>
          <w:color w:val="000000" w:themeColor="text1"/>
          <w:szCs w:val="18"/>
        </w:rPr>
      </w:pPr>
      <w:bookmarkStart w:id="0" w:name="_Hlk62651144"/>
      <w:r w:rsidRPr="00AC36D6">
        <w:rPr>
          <w:b/>
          <w:color w:val="000000" w:themeColor="text1"/>
          <w:szCs w:val="18"/>
        </w:rPr>
        <w:t>A Flexible Multiple Discrete-</w:t>
      </w:r>
      <w:r w:rsidR="008C1028" w:rsidRPr="00AC36D6">
        <w:rPr>
          <w:b/>
          <w:color w:val="000000" w:themeColor="text1"/>
          <w:szCs w:val="18"/>
        </w:rPr>
        <w:t>Continuous</w:t>
      </w:r>
      <w:r w:rsidRPr="00AC36D6">
        <w:rPr>
          <w:b/>
          <w:color w:val="000000" w:themeColor="text1"/>
          <w:szCs w:val="18"/>
        </w:rPr>
        <w:t xml:space="preserve"> Probit (MDCP) Model</w:t>
      </w:r>
      <w:r w:rsidR="0002325C" w:rsidRPr="00AC36D6">
        <w:rPr>
          <w:b/>
          <w:color w:val="000000" w:themeColor="text1"/>
          <w:szCs w:val="18"/>
        </w:rPr>
        <w:t>: Application to Analy</w:t>
      </w:r>
      <w:r w:rsidR="00215327" w:rsidRPr="00AC36D6">
        <w:rPr>
          <w:b/>
          <w:color w:val="000000" w:themeColor="text1"/>
          <w:szCs w:val="18"/>
        </w:rPr>
        <w:t xml:space="preserve">sis of </w:t>
      </w:r>
      <w:r w:rsidR="0002325C" w:rsidRPr="00AC36D6">
        <w:rPr>
          <w:b/>
          <w:color w:val="000000" w:themeColor="text1"/>
          <w:szCs w:val="18"/>
        </w:rPr>
        <w:t>Expenditure Patterns of Domestic Tourists in India</w:t>
      </w:r>
      <w:bookmarkEnd w:id="0"/>
    </w:p>
    <w:p w14:paraId="4A25AA4F" w14:textId="77777777" w:rsidR="00774588" w:rsidRPr="00AC36D6" w:rsidRDefault="00774588" w:rsidP="00087876">
      <w:pPr>
        <w:spacing w:after="0" w:line="360" w:lineRule="auto"/>
        <w:rPr>
          <w:b/>
          <w:color w:val="000000" w:themeColor="text1"/>
          <w:szCs w:val="18"/>
        </w:rPr>
      </w:pPr>
    </w:p>
    <w:p w14:paraId="4AA3413D" w14:textId="2E4D989B" w:rsidR="006F6064" w:rsidRPr="00AC36D6" w:rsidRDefault="00184D12" w:rsidP="00087876">
      <w:pPr>
        <w:spacing w:after="0" w:line="360" w:lineRule="auto"/>
        <w:rPr>
          <w:b/>
        </w:rPr>
      </w:pPr>
      <w:r w:rsidRPr="00AC36D6">
        <w:rPr>
          <w:b/>
        </w:rPr>
        <w:t>Shobhit Saxena</w:t>
      </w:r>
    </w:p>
    <w:p w14:paraId="71E43777" w14:textId="48A8EA41" w:rsidR="00184D12" w:rsidRPr="00AC36D6" w:rsidRDefault="008B6D61" w:rsidP="00087876">
      <w:pPr>
        <w:spacing w:after="0" w:line="360" w:lineRule="auto"/>
        <w:rPr>
          <w:bCs/>
        </w:rPr>
      </w:pPr>
      <w:r w:rsidRPr="00AC36D6">
        <w:rPr>
          <w:bCs/>
        </w:rPr>
        <w:t>Research Scholar</w:t>
      </w:r>
    </w:p>
    <w:p w14:paraId="740AAE07" w14:textId="3F74C95F" w:rsidR="006F6064" w:rsidRPr="00AC36D6" w:rsidRDefault="006F6064" w:rsidP="00087876">
      <w:pPr>
        <w:spacing w:after="0" w:line="360" w:lineRule="auto"/>
      </w:pPr>
      <w:r w:rsidRPr="00AC36D6">
        <w:t xml:space="preserve">Department of </w:t>
      </w:r>
      <w:r w:rsidR="00184D12" w:rsidRPr="00AC36D6">
        <w:t>Civil Engineering</w:t>
      </w:r>
    </w:p>
    <w:p w14:paraId="58C33FD2" w14:textId="1EE98206" w:rsidR="006F6064" w:rsidRPr="00AC36D6" w:rsidRDefault="00184D12" w:rsidP="00087876">
      <w:pPr>
        <w:spacing w:after="0" w:line="360" w:lineRule="auto"/>
      </w:pPr>
      <w:r w:rsidRPr="00AC36D6">
        <w:t>Indian Institute of Science</w:t>
      </w:r>
      <w:r w:rsidR="006F6064" w:rsidRPr="00AC36D6">
        <w:t>,</w:t>
      </w:r>
      <w:r w:rsidRPr="00AC36D6">
        <w:t xml:space="preserve"> Bengaluru, Karn</w:t>
      </w:r>
      <w:r w:rsidR="008C1028" w:rsidRPr="00AC36D6">
        <w:t>a</w:t>
      </w:r>
      <w:r w:rsidRPr="00AC36D6">
        <w:t>taka, India, 560012</w:t>
      </w:r>
    </w:p>
    <w:p w14:paraId="5574501A" w14:textId="7CF98D7A" w:rsidR="006F6064" w:rsidRPr="00AC36D6" w:rsidRDefault="006F6064" w:rsidP="00087876">
      <w:pPr>
        <w:spacing w:after="0" w:line="360" w:lineRule="auto"/>
      </w:pPr>
      <w:r w:rsidRPr="00AC36D6">
        <w:t xml:space="preserve">Email: </w:t>
      </w:r>
      <w:hyperlink r:id="rId9" w:history="1">
        <w:r w:rsidR="00184D12" w:rsidRPr="00AC36D6">
          <w:rPr>
            <w:rStyle w:val="Hyperlink"/>
          </w:rPr>
          <w:t>shobhits@iisc.ac.in</w:t>
        </w:r>
      </w:hyperlink>
    </w:p>
    <w:p w14:paraId="70BC0E2E" w14:textId="0E5C0615" w:rsidR="00184D12" w:rsidRPr="00AC36D6" w:rsidRDefault="00184D12" w:rsidP="00087876">
      <w:pPr>
        <w:spacing w:after="0" w:line="360" w:lineRule="auto"/>
      </w:pPr>
    </w:p>
    <w:p w14:paraId="27B85C49" w14:textId="18DEDC32" w:rsidR="00184D12" w:rsidRPr="00AC36D6" w:rsidRDefault="00184D12" w:rsidP="00087876">
      <w:pPr>
        <w:spacing w:after="0" w:line="360" w:lineRule="auto"/>
        <w:rPr>
          <w:b/>
          <w:lang w:val="en-IN"/>
        </w:rPr>
      </w:pPr>
      <w:r w:rsidRPr="00AC36D6">
        <w:rPr>
          <w:b/>
          <w:lang w:val="en-IN"/>
        </w:rPr>
        <w:t>Abdul R</w:t>
      </w:r>
      <w:r w:rsidR="00943073" w:rsidRPr="00AC36D6">
        <w:rPr>
          <w:b/>
          <w:lang w:val="en-IN"/>
        </w:rPr>
        <w:t>awoof</w:t>
      </w:r>
      <w:r w:rsidRPr="00AC36D6">
        <w:rPr>
          <w:b/>
          <w:lang w:val="en-IN"/>
        </w:rPr>
        <w:t xml:space="preserve"> Pinjari</w:t>
      </w:r>
      <w:r w:rsidR="009848C9" w:rsidRPr="00AC36D6">
        <w:rPr>
          <w:b/>
          <w:lang w:val="en-IN"/>
        </w:rPr>
        <w:t xml:space="preserve"> (Corresponding author)</w:t>
      </w:r>
    </w:p>
    <w:p w14:paraId="66B930D0" w14:textId="77777777" w:rsidR="00184D12" w:rsidRPr="00AC36D6" w:rsidRDefault="00184D12" w:rsidP="00087876">
      <w:pPr>
        <w:spacing w:after="0" w:line="360" w:lineRule="auto"/>
        <w:rPr>
          <w:lang w:val="en-IN"/>
        </w:rPr>
      </w:pPr>
      <w:r w:rsidRPr="00AC36D6">
        <w:rPr>
          <w:lang w:val="en-IN"/>
        </w:rPr>
        <w:t>Associate Professor</w:t>
      </w:r>
    </w:p>
    <w:p w14:paraId="699282A9" w14:textId="77777777" w:rsidR="00184D12" w:rsidRPr="00AC36D6" w:rsidRDefault="00184D12" w:rsidP="00087876">
      <w:pPr>
        <w:spacing w:after="0" w:line="360" w:lineRule="auto"/>
        <w:rPr>
          <w:lang w:val="en-IN"/>
        </w:rPr>
      </w:pPr>
      <w:r w:rsidRPr="00AC36D6">
        <w:rPr>
          <w:lang w:val="en-IN"/>
        </w:rPr>
        <w:t>Department of Civil Engineering</w:t>
      </w:r>
    </w:p>
    <w:p w14:paraId="34AB8B33" w14:textId="77777777" w:rsidR="00184D12" w:rsidRPr="00AC36D6" w:rsidRDefault="00184D12" w:rsidP="00087876">
      <w:pPr>
        <w:spacing w:after="0" w:line="360" w:lineRule="auto"/>
        <w:rPr>
          <w:lang w:val="en-IN"/>
        </w:rPr>
      </w:pPr>
      <w:r w:rsidRPr="00AC36D6">
        <w:rPr>
          <w:lang w:val="en-IN"/>
        </w:rPr>
        <w:t>Centre for Infrastructure, Sustainable Transportation, and Urban Planning (C</w:t>
      </w:r>
      <w:r w:rsidRPr="00AC36D6">
        <w:rPr>
          <w:i/>
          <w:lang w:val="en-IN"/>
        </w:rPr>
        <w:t>i</w:t>
      </w:r>
      <w:r w:rsidRPr="00AC36D6">
        <w:rPr>
          <w:lang w:val="en-IN"/>
        </w:rPr>
        <w:t>STUP)</w:t>
      </w:r>
    </w:p>
    <w:p w14:paraId="3407FC65" w14:textId="77777777" w:rsidR="00184D12" w:rsidRPr="00AC36D6" w:rsidRDefault="00184D12" w:rsidP="00087876">
      <w:pPr>
        <w:spacing w:after="0" w:line="360" w:lineRule="auto"/>
        <w:rPr>
          <w:lang w:val="en-IN"/>
        </w:rPr>
      </w:pPr>
      <w:r w:rsidRPr="00AC36D6">
        <w:rPr>
          <w:lang w:val="en-IN"/>
        </w:rPr>
        <w:t>Indian Institute of Science (IISc)</w:t>
      </w:r>
    </w:p>
    <w:p w14:paraId="316A7281" w14:textId="075122CA" w:rsidR="00184D12" w:rsidRPr="00AC36D6" w:rsidRDefault="00602F78" w:rsidP="00087876">
      <w:pPr>
        <w:spacing w:after="0" w:line="360" w:lineRule="auto"/>
        <w:rPr>
          <w:lang w:val="en-IN"/>
        </w:rPr>
      </w:pPr>
      <w:r w:rsidRPr="00AC36D6">
        <w:rPr>
          <w:lang w:val="en-IN"/>
        </w:rPr>
        <w:t>Bengaluru</w:t>
      </w:r>
      <w:r w:rsidR="00184D12" w:rsidRPr="00AC36D6">
        <w:rPr>
          <w:lang w:val="en-IN"/>
        </w:rPr>
        <w:t xml:space="preserve"> 560012, India</w:t>
      </w:r>
    </w:p>
    <w:p w14:paraId="5BB78119" w14:textId="77777777" w:rsidR="00184D12" w:rsidRPr="00AC36D6" w:rsidRDefault="00184D12" w:rsidP="00087876">
      <w:pPr>
        <w:spacing w:after="0" w:line="360" w:lineRule="auto"/>
        <w:rPr>
          <w:lang w:val="en-IN"/>
        </w:rPr>
      </w:pPr>
      <w:r w:rsidRPr="00AC36D6">
        <w:rPr>
          <w:lang w:val="en-IN"/>
        </w:rPr>
        <w:t>Tel: +91-80-2293-2043</w:t>
      </w:r>
    </w:p>
    <w:p w14:paraId="29E08BCD" w14:textId="77777777" w:rsidR="00184D12" w:rsidRPr="00AC36D6" w:rsidRDefault="00184D12" w:rsidP="00087876">
      <w:pPr>
        <w:spacing w:after="0" w:line="360" w:lineRule="auto"/>
        <w:rPr>
          <w:u w:val="single"/>
          <w:lang w:val="en-IN"/>
        </w:rPr>
      </w:pPr>
      <w:r w:rsidRPr="00AC36D6">
        <w:rPr>
          <w:lang w:val="en-IN"/>
        </w:rPr>
        <w:t xml:space="preserve">Email: </w:t>
      </w:r>
      <w:hyperlink r:id="rId10" w:history="1">
        <w:r w:rsidRPr="00AC36D6">
          <w:rPr>
            <w:rStyle w:val="Hyperlink"/>
            <w:lang w:val="en-IN"/>
          </w:rPr>
          <w:t>abdul@iisc.ac.in</w:t>
        </w:r>
      </w:hyperlink>
    </w:p>
    <w:p w14:paraId="5E5BE6A6" w14:textId="77777777" w:rsidR="007E7B01" w:rsidRPr="00AC36D6" w:rsidRDefault="007E7B01" w:rsidP="00087876">
      <w:pPr>
        <w:spacing w:after="0" w:line="360" w:lineRule="auto"/>
      </w:pPr>
    </w:p>
    <w:p w14:paraId="06AC53FC" w14:textId="77777777" w:rsidR="007E7B01" w:rsidRPr="00AC36D6" w:rsidRDefault="007E7B01" w:rsidP="00087876">
      <w:pPr>
        <w:spacing w:after="0" w:line="360" w:lineRule="auto"/>
        <w:rPr>
          <w:b/>
          <w:color w:val="000000" w:themeColor="text1"/>
        </w:rPr>
      </w:pPr>
      <w:r w:rsidRPr="00AC36D6">
        <w:rPr>
          <w:b/>
          <w:color w:val="000000" w:themeColor="text1"/>
        </w:rPr>
        <w:t>Chandra R. Bhat</w:t>
      </w:r>
    </w:p>
    <w:p w14:paraId="1C1EB0AF" w14:textId="77777777" w:rsidR="007E7B01" w:rsidRPr="00AC36D6" w:rsidRDefault="007E7B01" w:rsidP="00087876">
      <w:pPr>
        <w:spacing w:after="0" w:line="360" w:lineRule="auto"/>
      </w:pPr>
      <w:r w:rsidRPr="00AC36D6">
        <w:t>Department of Civil, Architectural and Environmental Engineering</w:t>
      </w:r>
    </w:p>
    <w:p w14:paraId="606CDDA6" w14:textId="77777777" w:rsidR="007E7B01" w:rsidRPr="00AC36D6" w:rsidRDefault="007E7B01" w:rsidP="00087876">
      <w:pPr>
        <w:spacing w:after="0" w:line="360" w:lineRule="auto"/>
      </w:pPr>
      <w:r w:rsidRPr="00AC36D6">
        <w:t>The University of Texas at Austin</w:t>
      </w:r>
    </w:p>
    <w:p w14:paraId="4B800C5C" w14:textId="77777777" w:rsidR="007E7B01" w:rsidRPr="00AC36D6" w:rsidRDefault="007E7B01" w:rsidP="00087876">
      <w:pPr>
        <w:spacing w:after="0" w:line="360" w:lineRule="auto"/>
      </w:pPr>
      <w:r w:rsidRPr="00AC36D6">
        <w:t>301 E. Dean Keeton St. Stop C1761, Austin TX 78712</w:t>
      </w:r>
    </w:p>
    <w:p w14:paraId="4D3D445F" w14:textId="52355545" w:rsidR="009848C9" w:rsidRPr="00AC36D6" w:rsidRDefault="007E7B01" w:rsidP="00087876">
      <w:pPr>
        <w:spacing w:after="0" w:line="360" w:lineRule="auto"/>
      </w:pPr>
      <w:r w:rsidRPr="00AC36D6">
        <w:t xml:space="preserve">Email: </w:t>
      </w:r>
      <w:hyperlink r:id="rId11" w:history="1">
        <w:r w:rsidR="00E863CB" w:rsidRPr="00AC36D6">
          <w:rPr>
            <w:rStyle w:val="Hyperlink"/>
          </w:rPr>
          <w:t>bhat@mail.utexas.edu</w:t>
        </w:r>
      </w:hyperlink>
      <w:r w:rsidR="00E863CB" w:rsidRPr="00AC36D6">
        <w:t xml:space="preserve"> </w:t>
      </w:r>
    </w:p>
    <w:p w14:paraId="73102D65" w14:textId="23093300" w:rsidR="006F6064" w:rsidRPr="00AC36D6" w:rsidRDefault="006F6064" w:rsidP="00087876">
      <w:pPr>
        <w:spacing w:after="0" w:line="360" w:lineRule="auto"/>
      </w:pPr>
    </w:p>
    <w:p w14:paraId="63330A16" w14:textId="43B057A0" w:rsidR="00184D12" w:rsidRPr="00AC36D6" w:rsidRDefault="00184D12" w:rsidP="00087876">
      <w:pPr>
        <w:spacing w:after="0" w:line="360" w:lineRule="auto"/>
        <w:rPr>
          <w:b/>
        </w:rPr>
      </w:pPr>
      <w:r w:rsidRPr="00AC36D6">
        <w:rPr>
          <w:b/>
        </w:rPr>
        <w:t>Aupal Mondal</w:t>
      </w:r>
    </w:p>
    <w:p w14:paraId="7A8892BB" w14:textId="4B2B6B40" w:rsidR="006F6064" w:rsidRPr="00AC36D6" w:rsidRDefault="00184D12" w:rsidP="00087876">
      <w:pPr>
        <w:spacing w:after="0" w:line="360" w:lineRule="auto"/>
      </w:pPr>
      <w:r w:rsidRPr="00AC36D6">
        <w:t>Ph</w:t>
      </w:r>
      <w:r w:rsidR="00E863CB" w:rsidRPr="00AC36D6">
        <w:t>.</w:t>
      </w:r>
      <w:r w:rsidRPr="00AC36D6">
        <w:t>D</w:t>
      </w:r>
      <w:r w:rsidR="00E863CB" w:rsidRPr="00AC36D6">
        <w:t>.</w:t>
      </w:r>
      <w:r w:rsidRPr="00AC36D6">
        <w:t xml:space="preserve"> Student</w:t>
      </w:r>
    </w:p>
    <w:p w14:paraId="6471FE14" w14:textId="1F67CD18" w:rsidR="006F6064" w:rsidRPr="00AC36D6" w:rsidRDefault="00184D12" w:rsidP="00087876">
      <w:pPr>
        <w:spacing w:after="0" w:line="360" w:lineRule="auto"/>
      </w:pPr>
      <w:r w:rsidRPr="00AC36D6">
        <w:t>Department of Civil, Architectural and Environmental Engineering</w:t>
      </w:r>
    </w:p>
    <w:p w14:paraId="6C33D11B" w14:textId="18FBA573" w:rsidR="00184D12" w:rsidRPr="00AC36D6" w:rsidRDefault="00184D12" w:rsidP="00087876">
      <w:pPr>
        <w:spacing w:after="0" w:line="360" w:lineRule="auto"/>
      </w:pPr>
      <w:r w:rsidRPr="00AC36D6">
        <w:t xml:space="preserve">University of Texas at Austin, Austin, Texas, USA, 78712. </w:t>
      </w:r>
    </w:p>
    <w:p w14:paraId="64D13975" w14:textId="73DE2D1F" w:rsidR="00D66750" w:rsidRPr="00AC36D6" w:rsidRDefault="006F6064" w:rsidP="00087876">
      <w:pPr>
        <w:spacing w:after="0" w:line="360" w:lineRule="auto"/>
      </w:pPr>
      <w:r w:rsidRPr="00AC36D6">
        <w:t xml:space="preserve">Email: </w:t>
      </w:r>
      <w:hyperlink r:id="rId12" w:history="1">
        <w:r w:rsidR="006C05AB" w:rsidRPr="00AC36D6">
          <w:rPr>
            <w:rStyle w:val="Hyperlink"/>
          </w:rPr>
          <w:t>aupal.mondal@utexas.edu</w:t>
        </w:r>
      </w:hyperlink>
    </w:p>
    <w:p w14:paraId="704EB09F" w14:textId="77777777" w:rsidR="00176E20" w:rsidRPr="00AC36D6" w:rsidRDefault="00176E20" w:rsidP="00DE7BE7">
      <w:pPr>
        <w:spacing w:after="0" w:line="240" w:lineRule="auto"/>
        <w:rPr>
          <w:color w:val="000000" w:themeColor="text1"/>
          <w:sz w:val="18"/>
          <w:szCs w:val="18"/>
        </w:rPr>
      </w:pPr>
    </w:p>
    <w:p w14:paraId="37E6EF89" w14:textId="2F076FA0" w:rsidR="00176E20" w:rsidRPr="00AC36D6" w:rsidRDefault="00176E20" w:rsidP="00EA6ABD">
      <w:pPr>
        <w:spacing w:after="0" w:line="240" w:lineRule="auto"/>
        <w:rPr>
          <w:b/>
          <w:color w:val="000000" w:themeColor="text1"/>
        </w:rPr>
      </w:pPr>
    </w:p>
    <w:p w14:paraId="4B521F19" w14:textId="19D762F1" w:rsidR="00EA6ABD" w:rsidRPr="00AC36D6" w:rsidRDefault="00FD4227" w:rsidP="00EA6ABD">
      <w:pPr>
        <w:spacing w:after="0" w:line="240" w:lineRule="auto"/>
        <w:jc w:val="center"/>
        <w:rPr>
          <w:bCs/>
          <w:i/>
          <w:iCs/>
          <w:color w:val="000000" w:themeColor="text1"/>
        </w:rPr>
      </w:pPr>
      <w:r>
        <w:rPr>
          <w:bCs/>
          <w:i/>
          <w:iCs/>
          <w:color w:val="000000" w:themeColor="text1"/>
        </w:rPr>
        <w:t>September 2022</w:t>
      </w:r>
    </w:p>
    <w:p w14:paraId="28AA3FC9" w14:textId="77777777" w:rsidR="00511271" w:rsidRPr="00AC36D6" w:rsidRDefault="001B0EDB" w:rsidP="00087876">
      <w:pPr>
        <w:spacing w:after="0" w:line="360" w:lineRule="auto"/>
        <w:rPr>
          <w:b/>
          <w:color w:val="000000" w:themeColor="text1"/>
        </w:rPr>
      </w:pPr>
      <w:r w:rsidRPr="00AC36D6">
        <w:rPr>
          <w:b/>
          <w:color w:val="000000" w:themeColor="text1"/>
        </w:rPr>
        <w:lastRenderedPageBreak/>
        <w:t>ABSTR</w:t>
      </w:r>
      <w:r w:rsidR="003F7D46" w:rsidRPr="00AC36D6">
        <w:rPr>
          <w:b/>
          <w:color w:val="000000" w:themeColor="text1"/>
        </w:rPr>
        <w:t>A</w:t>
      </w:r>
      <w:r w:rsidRPr="00AC36D6">
        <w:rPr>
          <w:b/>
          <w:color w:val="000000" w:themeColor="text1"/>
        </w:rPr>
        <w:t>CT</w:t>
      </w:r>
    </w:p>
    <w:p w14:paraId="7B5C34AD" w14:textId="69961233" w:rsidR="00D27346" w:rsidRPr="00AC36D6" w:rsidRDefault="00E91A8E" w:rsidP="00644394">
      <w:pPr>
        <w:spacing w:after="0" w:line="360" w:lineRule="auto"/>
        <w:jc w:val="both"/>
        <w:rPr>
          <w:rFonts w:eastAsia="Times New Roman" w:cs="Arial"/>
          <w:bCs/>
          <w:color w:val="000000"/>
          <w:kern w:val="32"/>
          <w:szCs w:val="32"/>
          <w:lang w:val="en-GB"/>
        </w:rPr>
      </w:pPr>
      <w:r w:rsidRPr="00AC36D6">
        <w:t xml:space="preserve">Traditional multiple discrete-continuous (MDC) </w:t>
      </w:r>
      <w:r w:rsidR="00E54AB6" w:rsidRPr="00AC36D6">
        <w:t xml:space="preserve">choice </w:t>
      </w:r>
      <w:r w:rsidRPr="00AC36D6">
        <w:t xml:space="preserve">models </w:t>
      </w:r>
      <w:r w:rsidR="00115F29" w:rsidRPr="00AC36D6">
        <w:t xml:space="preserve">impose </w:t>
      </w:r>
      <w:r w:rsidRPr="00AC36D6">
        <w:t xml:space="preserve">tight linkages between </w:t>
      </w:r>
      <w:r w:rsidR="00115F29" w:rsidRPr="00AC36D6">
        <w:t xml:space="preserve">consumers’ </w:t>
      </w:r>
      <w:r w:rsidRPr="00AC36D6">
        <w:t xml:space="preserve">discrete </w:t>
      </w:r>
      <w:r w:rsidR="00BB5EEF" w:rsidRPr="00AC36D6">
        <w:t xml:space="preserve">choice </w:t>
      </w:r>
      <w:r w:rsidRPr="00AC36D6">
        <w:t xml:space="preserve">and the continuous </w:t>
      </w:r>
      <w:r w:rsidR="00BB5EEF" w:rsidRPr="00AC36D6">
        <w:t xml:space="preserve">consumption </w:t>
      </w:r>
      <w:r w:rsidRPr="00AC36D6">
        <w:t>decisions</w:t>
      </w:r>
      <w:r w:rsidR="00BB5EEF" w:rsidRPr="00AC36D6">
        <w:t xml:space="preserve"> due to the use of a single utility </w:t>
      </w:r>
      <w:r w:rsidR="00C54E5D" w:rsidRPr="00AC36D6">
        <w:t>parameter</w:t>
      </w:r>
      <w:r w:rsidR="00BB5EEF" w:rsidRPr="00AC36D6">
        <w:t xml:space="preserve"> driving both </w:t>
      </w:r>
      <w:r w:rsidR="00954230" w:rsidRPr="00AC36D6">
        <w:t>the decision to choose and the extent of choice</w:t>
      </w:r>
      <w:r w:rsidRPr="00AC36D6">
        <w:t xml:space="preserve">. </w:t>
      </w:r>
      <w:r w:rsidR="00954230" w:rsidRPr="00AC36D6">
        <w:t>R</w:t>
      </w:r>
      <w:r w:rsidRPr="00AC36D6">
        <w:t xml:space="preserve">ecently, Bhat (2018) </w:t>
      </w:r>
      <w:r w:rsidR="007C1FAE" w:rsidRPr="00AC36D6">
        <w:t xml:space="preserve">proposed a </w:t>
      </w:r>
      <w:r w:rsidRPr="00AC36D6">
        <w:t xml:space="preserve">flexible MDCEV model </w:t>
      </w:r>
      <w:r w:rsidR="007C1FAE" w:rsidRPr="00AC36D6">
        <w:t>that employs a utility function</w:t>
      </w:r>
      <w:r w:rsidR="006D1B81" w:rsidRPr="00AC36D6">
        <w:t xml:space="preserve"> with </w:t>
      </w:r>
      <w:r w:rsidRPr="00AC36D6">
        <w:t xml:space="preserve">separate </w:t>
      </w:r>
      <w:r w:rsidR="00954230" w:rsidRPr="00AC36D6">
        <w:t xml:space="preserve">parameters </w:t>
      </w:r>
      <w:r w:rsidR="003339EB" w:rsidRPr="00AC36D6">
        <w:t xml:space="preserve">to determine the </w:t>
      </w:r>
      <w:r w:rsidRPr="00AC36D6">
        <w:t xml:space="preserve">discrete </w:t>
      </w:r>
      <w:r w:rsidR="003339EB" w:rsidRPr="00AC36D6">
        <w:t xml:space="preserve">choice </w:t>
      </w:r>
      <w:r w:rsidRPr="00AC36D6">
        <w:t xml:space="preserve">and continuous </w:t>
      </w:r>
      <w:r w:rsidR="003339EB" w:rsidRPr="00AC36D6">
        <w:t>consumption values</w:t>
      </w:r>
      <w:r w:rsidRPr="00AC36D6">
        <w:t xml:space="preserve">. However, </w:t>
      </w:r>
      <w:r w:rsidR="00265680" w:rsidRPr="00AC36D6">
        <w:t xml:space="preserve">the flexible MDCEV model </w:t>
      </w:r>
      <w:r w:rsidR="008524BE" w:rsidRPr="00AC36D6">
        <w:t xml:space="preserve">assumes an independent and identically distributed (IID) error </w:t>
      </w:r>
      <w:r w:rsidR="003E0E2F" w:rsidRPr="00AC36D6">
        <w:t>structure</w:t>
      </w:r>
      <w:r w:rsidR="00265680" w:rsidRPr="00AC36D6">
        <w:t xml:space="preserve"> across the discrete and continuous baseline utilities.</w:t>
      </w:r>
      <w:r w:rsidR="00E54AB6" w:rsidRPr="00AC36D6">
        <w:t xml:space="preserve"> </w:t>
      </w:r>
      <w:r w:rsidR="00265680" w:rsidRPr="00AC36D6">
        <w:t xml:space="preserve">In this paper, we formulate </w:t>
      </w:r>
      <w:r w:rsidR="001C2A74" w:rsidRPr="00AC36D6">
        <w:t>a</w:t>
      </w:r>
      <w:r w:rsidR="00265680" w:rsidRPr="00AC36D6">
        <w:t xml:space="preserve"> flexible </w:t>
      </w:r>
      <w:r w:rsidR="00D27346" w:rsidRPr="00AC36D6">
        <w:t xml:space="preserve">non-IID </w:t>
      </w:r>
      <w:r w:rsidR="000F5DE6" w:rsidRPr="00AC36D6">
        <w:t>multiple discrete-continuous probit (</w:t>
      </w:r>
      <w:r w:rsidR="00265680" w:rsidRPr="00AC36D6">
        <w:t>MDC</w:t>
      </w:r>
      <w:r w:rsidR="000F5DE6" w:rsidRPr="00AC36D6">
        <w:t>P)</w:t>
      </w:r>
      <w:r w:rsidR="00265680" w:rsidRPr="00AC36D6">
        <w:t xml:space="preserve"> model </w:t>
      </w:r>
      <w:r w:rsidR="000F5DE6" w:rsidRPr="00AC36D6">
        <w:t xml:space="preserve">that employs a </w:t>
      </w:r>
      <w:r w:rsidR="00335A05" w:rsidRPr="00AC36D6">
        <w:t>multivariate</w:t>
      </w:r>
      <w:r w:rsidR="000F5DE6" w:rsidRPr="00AC36D6">
        <w:t xml:space="preserve"> normal </w:t>
      </w:r>
      <w:r w:rsidR="00335A05" w:rsidRPr="00AC36D6">
        <w:t>stochastic distribution to</w:t>
      </w:r>
      <w:r w:rsidR="00265680" w:rsidRPr="00AC36D6">
        <w:t xml:space="preserve"> allow for a more general variance-covariance structure.</w:t>
      </w:r>
      <w:r w:rsidR="005F3B21" w:rsidRPr="00AC36D6">
        <w:t xml:space="preserve"> </w:t>
      </w:r>
      <w:r w:rsidR="00AF6B1C" w:rsidRPr="00AC36D6">
        <w:t>In doing so</w:t>
      </w:r>
      <w:r w:rsidR="00265680" w:rsidRPr="00AC36D6">
        <w:t xml:space="preserve">, we revisit </w:t>
      </w:r>
      <w:r w:rsidR="000E15F0" w:rsidRPr="00AC36D6">
        <w:t xml:space="preserve">Bhat’s (2018) </w:t>
      </w:r>
      <w:r w:rsidR="00265680" w:rsidRPr="00AC36D6">
        <w:t xml:space="preserve">flexible </w:t>
      </w:r>
      <w:r w:rsidR="00926E24" w:rsidRPr="00AC36D6">
        <w:t xml:space="preserve">utility </w:t>
      </w:r>
      <w:r w:rsidR="000E15F0" w:rsidRPr="00AC36D6">
        <w:t xml:space="preserve">functional </w:t>
      </w:r>
      <w:r w:rsidR="00926E24" w:rsidRPr="00AC36D6">
        <w:t xml:space="preserve">form and highlight that </w:t>
      </w:r>
      <w:r w:rsidR="000E15F0" w:rsidRPr="00AC36D6">
        <w:t xml:space="preserve">the stochastic conditions </w:t>
      </w:r>
      <w:r w:rsidR="00C50D8D" w:rsidRPr="00AC36D6">
        <w:t xml:space="preserve">he </w:t>
      </w:r>
      <w:r w:rsidR="000E15F0" w:rsidRPr="00AC36D6">
        <w:t>used to d</w:t>
      </w:r>
      <w:r w:rsidR="00DC4080" w:rsidRPr="00AC36D6">
        <w:t>e</w:t>
      </w:r>
      <w:r w:rsidR="000E15F0" w:rsidRPr="00AC36D6">
        <w:t>rive the likelihood function are not always consistent with utility maximization</w:t>
      </w:r>
      <w:r w:rsidR="003022FB" w:rsidRPr="00AC36D6">
        <w:t xml:space="preserve">. We offer an </w:t>
      </w:r>
      <w:r w:rsidR="00237E45" w:rsidRPr="00AC36D6">
        <w:t xml:space="preserve">alternate interpretation </w:t>
      </w:r>
      <w:r w:rsidR="001F57F7" w:rsidRPr="00AC36D6">
        <w:t>of</w:t>
      </w:r>
      <w:r w:rsidR="00237E45" w:rsidRPr="00AC36D6">
        <w:t xml:space="preserve"> the model as </w:t>
      </w:r>
      <w:r w:rsidR="0089213B" w:rsidRPr="00AC36D6">
        <w:t xml:space="preserve">representing </w:t>
      </w:r>
      <w:r w:rsidR="00237E45" w:rsidRPr="00AC36D6">
        <w:t xml:space="preserve">a </w:t>
      </w:r>
      <w:r w:rsidR="0089213B" w:rsidRPr="00AC36D6">
        <w:t>two-step decision</w:t>
      </w:r>
      <w:r w:rsidR="006765EE" w:rsidRPr="00AC36D6">
        <w:t>-</w:t>
      </w:r>
      <w:r w:rsidR="0089213B" w:rsidRPr="00AC36D6">
        <w:t>making process, where the consumers first decide which goods to ch</w:t>
      </w:r>
      <w:r w:rsidR="004C6F66" w:rsidRPr="00AC36D6">
        <w:t>o</w:t>
      </w:r>
      <w:r w:rsidR="0089213B" w:rsidRPr="00AC36D6">
        <w:t>ose and then</w:t>
      </w:r>
      <w:r w:rsidR="004C6F66" w:rsidRPr="00AC36D6">
        <w:t xml:space="preserve"> decide the extent of allocation to each good.</w:t>
      </w:r>
      <w:r w:rsidR="0089213B" w:rsidRPr="00AC36D6">
        <w:t xml:space="preserve"> </w:t>
      </w:r>
      <w:r w:rsidR="00265680" w:rsidRPr="00AC36D6">
        <w:t>We demonstrate an application of the proposed</w:t>
      </w:r>
      <w:r w:rsidR="003C3639" w:rsidRPr="00AC36D6">
        <w:t xml:space="preserve"> flexible MDCP</w:t>
      </w:r>
      <w:r w:rsidR="00265680" w:rsidRPr="00AC36D6">
        <w:t xml:space="preserve"> model to analy</w:t>
      </w:r>
      <w:r w:rsidR="00B3003A" w:rsidRPr="00AC36D6">
        <w:t>z</w:t>
      </w:r>
      <w:r w:rsidR="00265680" w:rsidRPr="00AC36D6">
        <w:t xml:space="preserve">e </w:t>
      </w:r>
      <w:r w:rsidR="004C6F66" w:rsidRPr="00AC36D6">
        <w:t>household</w:t>
      </w:r>
      <w:r w:rsidR="007C0279" w:rsidRPr="00AC36D6">
        <w:t>s’</w:t>
      </w:r>
      <w:r w:rsidR="004C6F66" w:rsidRPr="00AC36D6">
        <w:t xml:space="preserve"> </w:t>
      </w:r>
      <w:r w:rsidR="00265680" w:rsidRPr="00AC36D6">
        <w:t xml:space="preserve">expenditure patterns </w:t>
      </w:r>
      <w:r w:rsidR="007C0279" w:rsidRPr="00AC36D6">
        <w:t xml:space="preserve">on their </w:t>
      </w:r>
      <w:r w:rsidR="00265680" w:rsidRPr="00AC36D6">
        <w:t xml:space="preserve">domestic tourism </w:t>
      </w:r>
      <w:r w:rsidR="007C0279" w:rsidRPr="00AC36D6">
        <w:t xml:space="preserve">trips </w:t>
      </w:r>
      <w:r w:rsidR="00265680" w:rsidRPr="00AC36D6">
        <w:t xml:space="preserve">in India. </w:t>
      </w:r>
      <w:r w:rsidR="00D27346" w:rsidRPr="00AC36D6">
        <w:rPr>
          <w:rFonts w:eastAsia="Times New Roman" w:cs="Arial"/>
          <w:bCs/>
          <w:color w:val="000000"/>
          <w:kern w:val="32"/>
          <w:szCs w:val="32"/>
          <w:lang w:val="en-GB"/>
        </w:rPr>
        <w:t xml:space="preserve">Our results indicate that, if the analyst is willing to compromise on the strict utility-maximizing aspect of behavior, while also enriching the behavioral dimension through the relaxation of the tie between the discrete and continuous consumption decisions, the </w:t>
      </w:r>
      <w:r w:rsidR="003E6AF6">
        <w:rPr>
          <w:rFonts w:eastAsia="Times New Roman" w:cs="Arial"/>
          <w:bCs/>
          <w:color w:val="000000"/>
          <w:kern w:val="32"/>
          <w:szCs w:val="32"/>
          <w:lang w:val="en-GB"/>
        </w:rPr>
        <w:t>preferred</w:t>
      </w:r>
      <w:r w:rsidR="00D27346" w:rsidRPr="00AC36D6">
        <w:rPr>
          <w:rFonts w:eastAsia="Times New Roman" w:cs="Arial"/>
          <w:bCs/>
          <w:color w:val="000000"/>
          <w:kern w:val="32"/>
          <w:szCs w:val="32"/>
          <w:lang w:val="en-GB"/>
        </w:rPr>
        <w:t xml:space="preserve"> model would be the flexible non-IID MDCP model. On the other hand, if the analyst wants the model to be strictly grounded on utility-maximizing behavior (which may also have benefits by way of welfare measure computations), </w:t>
      </w:r>
      <w:r w:rsidR="004479C8" w:rsidRPr="00AC36D6">
        <w:rPr>
          <w:rFonts w:eastAsia="Times New Roman" w:cs="Arial"/>
          <w:bCs/>
          <w:color w:val="000000"/>
          <w:kern w:val="32"/>
          <w:szCs w:val="32"/>
          <w:lang w:val="en-GB"/>
        </w:rPr>
        <w:t>and is</w:t>
      </w:r>
      <w:r w:rsidR="00D27346" w:rsidRPr="00AC36D6">
        <w:rPr>
          <w:rFonts w:eastAsia="Times New Roman" w:cs="Arial"/>
          <w:bCs/>
          <w:color w:val="000000"/>
          <w:kern w:val="32"/>
          <w:szCs w:val="32"/>
          <w:lang w:val="en-GB"/>
        </w:rPr>
        <w:t xml:space="preserve"> willing to </w:t>
      </w:r>
      <w:r w:rsidR="00E57ED4" w:rsidRPr="00AC36D6">
        <w:rPr>
          <w:rFonts w:eastAsia="Times New Roman" w:cs="Arial"/>
          <w:bCs/>
          <w:color w:val="000000"/>
          <w:kern w:val="32"/>
          <w:szCs w:val="32"/>
          <w:lang w:val="en-GB"/>
        </w:rPr>
        <w:t>assume a</w:t>
      </w:r>
      <w:r w:rsidR="00D27346" w:rsidRPr="00AC36D6">
        <w:rPr>
          <w:rFonts w:eastAsia="Times New Roman" w:cs="Arial"/>
          <w:bCs/>
          <w:color w:val="000000"/>
          <w:kern w:val="32"/>
          <w:szCs w:val="32"/>
          <w:lang w:val="en-GB"/>
        </w:rPr>
        <w:t xml:space="preserve"> very tight tie between the discrete and continuous consumption decision processes, the </w:t>
      </w:r>
      <w:r w:rsidR="003E6AF6">
        <w:rPr>
          <w:rFonts w:eastAsia="Times New Roman" w:cs="Arial"/>
          <w:bCs/>
          <w:color w:val="000000"/>
          <w:kern w:val="32"/>
          <w:szCs w:val="32"/>
          <w:lang w:val="en-GB"/>
        </w:rPr>
        <w:t>preferred model</w:t>
      </w:r>
      <w:r w:rsidR="00D27346" w:rsidRPr="00AC36D6">
        <w:rPr>
          <w:rFonts w:eastAsia="Times New Roman" w:cs="Arial"/>
          <w:bCs/>
          <w:color w:val="000000"/>
          <w:kern w:val="32"/>
          <w:szCs w:val="32"/>
          <w:lang w:val="en-GB"/>
        </w:rPr>
        <w:t xml:space="preserve"> would be the non-IID traditional MDCP model</w:t>
      </w:r>
      <w:r w:rsidR="005969DA" w:rsidRPr="00AC36D6">
        <w:rPr>
          <w:rFonts w:eastAsia="Times New Roman" w:cs="Arial"/>
          <w:bCs/>
          <w:color w:val="000000"/>
          <w:kern w:val="32"/>
          <w:szCs w:val="32"/>
          <w:lang w:val="en-GB"/>
        </w:rPr>
        <w:t xml:space="preserve">. </w:t>
      </w:r>
    </w:p>
    <w:p w14:paraId="55BF30AF" w14:textId="7D09C875" w:rsidR="00265680" w:rsidRPr="00AC36D6" w:rsidRDefault="00265680" w:rsidP="00093009">
      <w:pPr>
        <w:spacing w:after="0" w:line="360" w:lineRule="auto"/>
        <w:jc w:val="both"/>
      </w:pPr>
    </w:p>
    <w:p w14:paraId="6178BE47" w14:textId="77777777" w:rsidR="008E2DEF" w:rsidRPr="00AC36D6" w:rsidRDefault="008E2DEF" w:rsidP="00087876">
      <w:pPr>
        <w:spacing w:after="0" w:line="360" w:lineRule="auto"/>
        <w:rPr>
          <w:b/>
          <w:bCs/>
        </w:rPr>
      </w:pPr>
    </w:p>
    <w:p w14:paraId="3FACFC0E" w14:textId="35978B37" w:rsidR="007E36D0" w:rsidRPr="00AC36D6" w:rsidRDefault="00C86856" w:rsidP="00087876">
      <w:pPr>
        <w:spacing w:after="0" w:line="360" w:lineRule="auto"/>
        <w:sectPr w:rsidR="007E36D0" w:rsidRPr="00AC36D6" w:rsidSect="00C72742">
          <w:headerReference w:type="default" r:id="rId13"/>
          <w:footerReference w:type="default" r:id="rId14"/>
          <w:pgSz w:w="12240" w:h="15840"/>
          <w:pgMar w:top="1440" w:right="1440" w:bottom="1440" w:left="1440" w:header="720" w:footer="720" w:gutter="0"/>
          <w:pgNumType w:start="1"/>
          <w:cols w:space="720"/>
          <w:titlePg/>
          <w:docGrid w:linePitch="360"/>
        </w:sectPr>
      </w:pPr>
      <w:r w:rsidRPr="00AC36D6">
        <w:rPr>
          <w:b/>
          <w:bCs/>
        </w:rPr>
        <w:t xml:space="preserve">Keywords: </w:t>
      </w:r>
      <w:r w:rsidR="005F3B21" w:rsidRPr="00AC36D6">
        <w:t>multiple discrete-contin</w:t>
      </w:r>
      <w:r w:rsidR="00E65C8C" w:rsidRPr="00AC36D6">
        <w:t>uou</w:t>
      </w:r>
      <w:r w:rsidR="005F3B21" w:rsidRPr="00AC36D6">
        <w:t>s choice</w:t>
      </w:r>
      <w:r w:rsidR="000B3768" w:rsidRPr="00AC36D6">
        <w:t xml:space="preserve"> models</w:t>
      </w:r>
      <w:r w:rsidRPr="00AC36D6">
        <w:t>,</w:t>
      </w:r>
      <w:r w:rsidR="005F3B21" w:rsidRPr="00AC36D6">
        <w:t xml:space="preserve"> </w:t>
      </w:r>
      <w:r w:rsidR="000B3768" w:rsidRPr="00AC36D6">
        <w:t xml:space="preserve">flexible utility functions, </w:t>
      </w:r>
      <w:r w:rsidR="005F3B21" w:rsidRPr="00AC36D6">
        <w:t xml:space="preserve">probit kernel, </w:t>
      </w:r>
      <w:r w:rsidR="008B6D61" w:rsidRPr="00AC36D6">
        <w:t>domestic tourism in</w:t>
      </w:r>
      <w:r w:rsidR="001E064A" w:rsidRPr="00AC36D6">
        <w:t xml:space="preserve"> India</w:t>
      </w:r>
      <w:r w:rsidR="00186FF1" w:rsidRPr="00AC36D6">
        <w:t>, tourists</w:t>
      </w:r>
      <w:r w:rsidR="005D6EA2" w:rsidRPr="00AC36D6">
        <w:t>’</w:t>
      </w:r>
      <w:r w:rsidR="00186FF1" w:rsidRPr="00AC36D6">
        <w:t xml:space="preserve"> expenditu</w:t>
      </w:r>
      <w:r w:rsidR="00D27346" w:rsidRPr="00AC36D6">
        <w:t>re</w:t>
      </w:r>
      <w:r w:rsidR="005D6EA2" w:rsidRPr="00AC36D6">
        <w:t>s</w:t>
      </w:r>
    </w:p>
    <w:p w14:paraId="27A98AA0" w14:textId="2B4C847C" w:rsidR="007A2A95" w:rsidRPr="00AC36D6" w:rsidRDefault="00695E4C" w:rsidP="00F84922">
      <w:pPr>
        <w:pStyle w:val="ListParagraph"/>
        <w:numPr>
          <w:ilvl w:val="0"/>
          <w:numId w:val="19"/>
        </w:numPr>
        <w:spacing w:after="0" w:line="360" w:lineRule="auto"/>
        <w:ind w:left="567" w:hanging="567"/>
        <w:rPr>
          <w:b/>
          <w:color w:val="000000" w:themeColor="text1"/>
        </w:rPr>
      </w:pPr>
      <w:r>
        <w:rPr>
          <w:b/>
          <w:color w:val="000000" w:themeColor="text1"/>
        </w:rPr>
        <w:lastRenderedPageBreak/>
        <w:t>INTRODUCTION</w:t>
      </w:r>
    </w:p>
    <w:p w14:paraId="6D61FF41" w14:textId="7217FD47" w:rsidR="006C05AB" w:rsidRPr="00AC36D6" w:rsidRDefault="006C05AB" w:rsidP="00087876">
      <w:pPr>
        <w:spacing w:after="0" w:line="360" w:lineRule="auto"/>
        <w:jc w:val="both"/>
      </w:pPr>
      <w:r w:rsidRPr="00AC36D6">
        <w:t xml:space="preserve">Choice situations characterized by the choice of </w:t>
      </w:r>
      <w:bookmarkStart w:id="1" w:name="_Hlk115038708"/>
      <w:r w:rsidRPr="00AC36D6">
        <w:t>multiple alternatives at the same time (as opposed to the choice of a single alternative) are ubiquitous in consumer decision behavior.</w:t>
      </w:r>
      <w:bookmarkEnd w:id="1"/>
      <w:r w:rsidRPr="00AC36D6">
        <w:t xml:space="preserve"> Hendel (1999) coined the term “multiple discreteness” (MD) to refer to such consumer choice situations, while Bhat (2005, 2008) proposed the term “multiple discrete-continuous” (MDC) to refer to situations where the consumer also decides on a continuous dimension (or quantity) of consumption. The consideration of MDC models to analyze consumer choice situations has </w:t>
      </w:r>
      <w:r w:rsidR="00E54AB6" w:rsidRPr="00AC36D6">
        <w:t xml:space="preserve">exploded </w:t>
      </w:r>
      <w:r w:rsidRPr="00AC36D6">
        <w:t xml:space="preserve">in recent years, with studies in environmental economics, regional science, transportation, marketing, and many other fields using a utility-maximizing approach to analyze such situations (see, for example, </w:t>
      </w:r>
      <w:r w:rsidR="00A929AC" w:rsidRPr="00AC36D6">
        <w:t>v</w:t>
      </w:r>
      <w:r w:rsidR="00851B0A" w:rsidRPr="00AC36D6">
        <w:t>on Haefen and Phaneuf, 2005</w:t>
      </w:r>
      <w:r w:rsidR="000E619E" w:rsidRPr="00AC36D6">
        <w:t xml:space="preserve">, </w:t>
      </w:r>
      <w:r w:rsidRPr="00AC36D6">
        <w:t xml:space="preserve">Wafa </w:t>
      </w:r>
      <w:r w:rsidRPr="00AC36D6">
        <w:rPr>
          <w:i/>
          <w:iCs/>
        </w:rPr>
        <w:t>et al.,</w:t>
      </w:r>
      <w:r w:rsidRPr="00AC36D6">
        <w:t xml:space="preserve"> 2015, </w:t>
      </w:r>
      <w:r w:rsidR="00851B0A" w:rsidRPr="00AC36D6">
        <w:t xml:space="preserve">Satomura </w:t>
      </w:r>
      <w:r w:rsidR="00851B0A" w:rsidRPr="00AC36D6">
        <w:rPr>
          <w:i/>
          <w:iCs/>
        </w:rPr>
        <w:t>et al.,</w:t>
      </w:r>
      <w:r w:rsidR="00851B0A" w:rsidRPr="00AC36D6">
        <w:t xml:space="preserve"> 2011</w:t>
      </w:r>
      <w:r w:rsidR="000E619E" w:rsidRPr="00AC36D6">
        <w:t>,</w:t>
      </w:r>
      <w:r w:rsidR="00851B0A" w:rsidRPr="00AC36D6">
        <w:t xml:space="preserve"> </w:t>
      </w:r>
      <w:r w:rsidRPr="00AC36D6">
        <w:t xml:space="preserve">Yonezawa and Richards, 2017, </w:t>
      </w:r>
      <w:r w:rsidR="00851B0A" w:rsidRPr="00AC36D6">
        <w:t xml:space="preserve">Sobhani </w:t>
      </w:r>
      <w:r w:rsidR="00851B0A" w:rsidRPr="00AC36D6">
        <w:rPr>
          <w:i/>
          <w:iCs/>
        </w:rPr>
        <w:t>et al.,</w:t>
      </w:r>
      <w:r w:rsidR="00851B0A" w:rsidRPr="00AC36D6">
        <w:t xml:space="preserve"> 2013</w:t>
      </w:r>
      <w:r w:rsidR="000E619E" w:rsidRPr="00AC36D6">
        <w:t>,</w:t>
      </w:r>
      <w:r w:rsidR="00851B0A" w:rsidRPr="00AC36D6">
        <w:t xml:space="preserve"> </w:t>
      </w:r>
      <w:r w:rsidRPr="00AC36D6">
        <w:t>Khan and Machemehl, 2017</w:t>
      </w:r>
      <w:r w:rsidR="000E619E" w:rsidRPr="00AC36D6">
        <w:t>,</w:t>
      </w:r>
      <w:r w:rsidR="0085608A" w:rsidRPr="00AC36D6">
        <w:t xml:space="preserve"> Calastri </w:t>
      </w:r>
      <w:r w:rsidR="0085608A" w:rsidRPr="00AC36D6">
        <w:rPr>
          <w:i/>
          <w:iCs/>
        </w:rPr>
        <w:t>et al</w:t>
      </w:r>
      <w:r w:rsidR="00F64E5E" w:rsidRPr="00AC36D6">
        <w:rPr>
          <w:i/>
          <w:iCs/>
        </w:rPr>
        <w:t>.</w:t>
      </w:r>
      <w:r w:rsidR="0085608A" w:rsidRPr="00AC36D6">
        <w:rPr>
          <w:i/>
          <w:iCs/>
        </w:rPr>
        <w:t>,</w:t>
      </w:r>
      <w:r w:rsidR="0085608A" w:rsidRPr="00AC36D6">
        <w:t xml:space="preserve"> 2017</w:t>
      </w:r>
      <w:r w:rsidR="000E619E" w:rsidRPr="00AC36D6">
        <w:t>,</w:t>
      </w:r>
      <w:r w:rsidR="0085608A" w:rsidRPr="00AC36D6">
        <w:t xml:space="preserve"> </w:t>
      </w:r>
      <w:r w:rsidR="00A108F3" w:rsidRPr="00AC36D6">
        <w:t xml:space="preserve">and </w:t>
      </w:r>
      <w:r w:rsidR="0085608A" w:rsidRPr="00AC36D6">
        <w:t xml:space="preserve">Enam </w:t>
      </w:r>
      <w:r w:rsidR="0085608A" w:rsidRPr="00AC36D6">
        <w:rPr>
          <w:i/>
          <w:iCs/>
        </w:rPr>
        <w:t>et al.,</w:t>
      </w:r>
      <w:r w:rsidR="0085608A" w:rsidRPr="00AC36D6">
        <w:t xml:space="preserve"> 2018</w:t>
      </w:r>
      <w:r w:rsidR="00E54AB6" w:rsidRPr="00AC36D6">
        <w:t>)</w:t>
      </w:r>
      <w:r w:rsidRPr="00AC36D6">
        <w:t>.</w:t>
      </w:r>
    </w:p>
    <w:p w14:paraId="638A5E0B" w14:textId="54084DAA" w:rsidR="006C05AB" w:rsidRPr="00AC36D6" w:rsidRDefault="006C05AB" w:rsidP="00087876">
      <w:pPr>
        <w:spacing w:after="0" w:line="360" w:lineRule="auto"/>
        <w:ind w:firstLine="720"/>
        <w:jc w:val="both"/>
      </w:pPr>
      <w:r w:rsidRPr="00AC36D6">
        <w:t>The basic approach in a utility</w:t>
      </w:r>
      <w:r w:rsidR="000B7A74" w:rsidRPr="00AC36D6">
        <w:t>-</w:t>
      </w:r>
      <w:r w:rsidRPr="00AC36D6">
        <w:t>maximizing framework for MDC choices utilizes a non-linear (but quasi-concave, increasing and continuously differentiable) utility structure with decreasing marginal utility (or satiation). The approach, originally proposed by Wales and Woodland (1983) (see also Hanemann, 19</w:t>
      </w:r>
      <w:r w:rsidR="00F94503" w:rsidRPr="00AC36D6">
        <w:t>84</w:t>
      </w:r>
      <w:r w:rsidRPr="00AC36D6">
        <w:t xml:space="preserve">, Kim </w:t>
      </w:r>
      <w:r w:rsidRPr="00AC36D6">
        <w:rPr>
          <w:i/>
          <w:iCs/>
        </w:rPr>
        <w:t>et al.,</w:t>
      </w:r>
      <w:r w:rsidRPr="00AC36D6">
        <w:t xml:space="preserve"> 2002; von Haefen and Phaneuf, 2003; Bhat, 2005), assumes that consumers maximize the utility obtained from the MDC consumption, subject to a budget constraint. The optimal consumption quantities (including possibly zero consumptions of some alternatives, creating the discrete </w:t>
      </w:r>
      <w:r w:rsidR="000074FF" w:rsidRPr="00AC36D6">
        <w:t xml:space="preserve">choice </w:t>
      </w:r>
      <w:r w:rsidRPr="00AC36D6">
        <w:t xml:space="preserve">dimension) are obtained by writing the first-order optimality conditions for the utility function. To simplify the analysis, it is common </w:t>
      </w:r>
      <w:r w:rsidR="000074FF" w:rsidRPr="00AC36D6">
        <w:t xml:space="preserve">practice </w:t>
      </w:r>
      <w:r w:rsidRPr="00AC36D6">
        <w:t xml:space="preserve">to consider an additively separable utility structure in which the rate of substitution between any pair of goods is dependent only on the quantities of the two goods in the pair, and independent of the quantity of other goods (see Pollak and Wales, 1992). </w:t>
      </w:r>
    </w:p>
    <w:p w14:paraId="4E46A888" w14:textId="3F298A4C" w:rsidR="006C05AB" w:rsidRPr="00AC36D6" w:rsidRDefault="006C05AB" w:rsidP="005A3CFC">
      <w:pPr>
        <w:spacing w:after="0" w:line="360" w:lineRule="auto"/>
        <w:ind w:firstLine="720"/>
        <w:jc w:val="both"/>
      </w:pPr>
      <w:r w:rsidRPr="00AC36D6">
        <w:t>Among the many general additively</w:t>
      </w:r>
      <w:r w:rsidR="002E0735" w:rsidRPr="00AC36D6">
        <w:t xml:space="preserve"> </w:t>
      </w:r>
      <w:r w:rsidRPr="00AC36D6">
        <w:t xml:space="preserve">separable utility structures, the Box-Cox utility function form proposed by Bhat (2008) subsumes </w:t>
      </w:r>
      <w:r w:rsidR="00FD4255" w:rsidRPr="00AC36D6">
        <w:t xml:space="preserve">several </w:t>
      </w:r>
      <w:r w:rsidRPr="00AC36D6">
        <w:t xml:space="preserve">other non-linear forms as special </w:t>
      </w:r>
      <w:r w:rsidR="00582AC0" w:rsidRPr="00AC36D6">
        <w:t>cases and</w:t>
      </w:r>
      <w:r w:rsidRPr="00AC36D6">
        <w:t xml:space="preserve"> allows a clear interpretation of model parameters. But, in Bhat’s (2008) formulation, as in all other MDC formulations until recently, the discrete and continuous choice decisions are tied very tightly together because the same baseline utility preference </w:t>
      </w:r>
      <w:r w:rsidR="00AF582A" w:rsidRPr="00AC36D6">
        <w:t xml:space="preserve">parameter </w:t>
      </w:r>
      <w:r w:rsidRPr="00AC36D6">
        <w:t>influences both the choice of making a positive consumption of a good (the discrete choice) as well as the starting point for satiation effects (that impact the continuous choice).</w:t>
      </w:r>
      <w:r w:rsidR="000E619E" w:rsidRPr="00AC36D6">
        <w:rPr>
          <w:rStyle w:val="FootnoteReference"/>
        </w:rPr>
        <w:t xml:space="preserve"> </w:t>
      </w:r>
      <w:r w:rsidR="000E619E" w:rsidRPr="00AC36D6">
        <w:rPr>
          <w:rStyle w:val="FootnoteReference"/>
        </w:rPr>
        <w:footnoteReference w:id="1"/>
      </w:r>
      <w:r w:rsidRPr="00AC36D6">
        <w:t xml:space="preserve"> Recently, Bhat (2018) provides at least a </w:t>
      </w:r>
      <w:r w:rsidRPr="00AC36D6">
        <w:lastRenderedPageBreak/>
        <w:t>couple of reasons why this is generally not likely to be the case, either due to (a) simply a need for variety</w:t>
      </w:r>
      <w:r w:rsidR="00F30105" w:rsidRPr="00AC36D6">
        <w:t>-</w:t>
      </w:r>
      <w:r w:rsidRPr="00AC36D6">
        <w:t>seeking that implies the consumption of certain goods, but at very low continuous quantities, or (b) a branding effect (that is, a prestige/image effect) that operates at the pure discrete level</w:t>
      </w:r>
      <w:r w:rsidR="00F84922" w:rsidRPr="00AC36D6">
        <w:t xml:space="preserve"> </w:t>
      </w:r>
      <w:r w:rsidRPr="00AC36D6">
        <w:t>but does not necessarily carry over with the same intensity to the continuous consumption decision. Besides, to the extent that these variety</w:t>
      </w:r>
      <w:r w:rsidR="00DC571A" w:rsidRPr="00AC36D6">
        <w:t>-</w:t>
      </w:r>
      <w:r w:rsidRPr="00AC36D6">
        <w:t xml:space="preserve">seeking and branding effects may vary across demographic groups, this immediately implies that demographic factors may have differential effects on the underlying preferences for the discrete and continuous choices. Bhat (2018) then proceeds to formulate a new MDC model that </w:t>
      </w:r>
      <w:r w:rsidR="00D671D4" w:rsidRPr="00AC36D6">
        <w:t xml:space="preserve">introduces separate baseline </w:t>
      </w:r>
      <w:r w:rsidR="0015313D" w:rsidRPr="00AC36D6">
        <w:t>preference</w:t>
      </w:r>
      <w:r w:rsidR="00D671D4" w:rsidRPr="00AC36D6">
        <w:t xml:space="preserve"> parameters for discrete </w:t>
      </w:r>
      <w:r w:rsidR="006E3F14" w:rsidRPr="00AC36D6">
        <w:t xml:space="preserve">and continuous dimensions of </w:t>
      </w:r>
      <w:r w:rsidR="00D671D4" w:rsidRPr="00AC36D6">
        <w:t xml:space="preserve">choice </w:t>
      </w:r>
      <w:r w:rsidR="005A3CFC" w:rsidRPr="00AC36D6">
        <w:t xml:space="preserve">– called the </w:t>
      </w:r>
      <w:r w:rsidR="005A3CFC" w:rsidRPr="00AC36D6">
        <w:rPr>
          <w:i/>
          <w:iCs/>
        </w:rPr>
        <w:t>discrete preference parameters</w:t>
      </w:r>
      <w:r w:rsidR="005A3CFC" w:rsidRPr="00AC36D6">
        <w:t xml:space="preserve"> and </w:t>
      </w:r>
      <w:r w:rsidR="005A3CFC" w:rsidRPr="00AC36D6">
        <w:rPr>
          <w:i/>
          <w:iCs/>
        </w:rPr>
        <w:t>continuous preference parameters</w:t>
      </w:r>
      <w:r w:rsidR="005A3CFC" w:rsidRPr="00AC36D6">
        <w:t xml:space="preserve"> – </w:t>
      </w:r>
      <w:r w:rsidR="006E3F14" w:rsidRPr="00AC36D6">
        <w:t>to</w:t>
      </w:r>
      <w:r w:rsidR="00D671D4" w:rsidRPr="00AC36D6">
        <w:t xml:space="preserve"> </w:t>
      </w:r>
      <w:r w:rsidRPr="00AC36D6">
        <w:t xml:space="preserve">break the tight linkage between the discrete and continuous choice dimensions. </w:t>
      </w:r>
      <w:r w:rsidR="00C47CB8" w:rsidRPr="00AC36D6">
        <w:t>I</w:t>
      </w:r>
      <w:r w:rsidRPr="00AC36D6">
        <w:t>n terms of the stochastic structures</w:t>
      </w:r>
      <w:r w:rsidR="00A16C36" w:rsidRPr="00AC36D6">
        <w:t xml:space="preserve"> for the baseline preference parameters</w:t>
      </w:r>
      <w:r w:rsidRPr="00AC36D6">
        <w:t xml:space="preserve">, </w:t>
      </w:r>
      <w:r w:rsidR="002E0735" w:rsidRPr="00AC36D6">
        <w:t xml:space="preserve">he </w:t>
      </w:r>
      <w:r w:rsidRPr="00AC36D6">
        <w:t>uses extreme-value error distribution</w:t>
      </w:r>
      <w:r w:rsidR="00C04CF9" w:rsidRPr="00AC36D6">
        <w:t>s</w:t>
      </w:r>
      <w:r w:rsidRPr="00AC36D6">
        <w:t xml:space="preserve">. More importantly, </w:t>
      </w:r>
      <w:r w:rsidR="002E0735" w:rsidRPr="00AC36D6">
        <w:t>he</w:t>
      </w:r>
      <w:r w:rsidRPr="00AC36D6">
        <w:t xml:space="preserve"> assumes independence </w:t>
      </w:r>
      <w:r w:rsidR="00A16C36" w:rsidRPr="00AC36D6">
        <w:t xml:space="preserve">and identical distribution (IID) </w:t>
      </w:r>
      <w:r w:rsidRPr="00AC36D6">
        <w:t xml:space="preserve">across the error terms of </w:t>
      </w:r>
      <w:r w:rsidR="006C7877" w:rsidRPr="00AC36D6">
        <w:t xml:space="preserve">different </w:t>
      </w:r>
      <w:r w:rsidRPr="00AC36D6">
        <w:t xml:space="preserve">alternatives in both the discrete and continuous dimensions, as well as across the error terms of the discrete and continuous dimensions of the same alternative. However, there are </w:t>
      </w:r>
      <w:r w:rsidR="002E0735" w:rsidRPr="00AC36D6">
        <w:t>several</w:t>
      </w:r>
      <w:r w:rsidRPr="00AC36D6">
        <w:t xml:space="preserve"> reasons why </w:t>
      </w:r>
      <w:r w:rsidR="006C7877" w:rsidRPr="00AC36D6">
        <w:t>the IID</w:t>
      </w:r>
      <w:r w:rsidRPr="00AC36D6">
        <w:t xml:space="preserve"> assumption may not hold. </w:t>
      </w:r>
      <w:r w:rsidR="00752A0C" w:rsidRPr="00AC36D6">
        <w:t xml:space="preserve">It is likely that the error terms of different choice alternatives are correlated due to the influence of common unobserved factors. </w:t>
      </w:r>
      <w:r w:rsidR="001600BD" w:rsidRPr="00AC36D6">
        <w:t>Also</w:t>
      </w:r>
      <w:r w:rsidRPr="00AC36D6">
        <w:t xml:space="preserve">, </w:t>
      </w:r>
      <w:r w:rsidR="00752A0C" w:rsidRPr="00AC36D6">
        <w:t>in the flexible utility structure</w:t>
      </w:r>
      <w:r w:rsidR="001600BD" w:rsidRPr="00AC36D6">
        <w:t>,</w:t>
      </w:r>
      <w:r w:rsidRPr="00AC36D6">
        <w:t xml:space="preserve"> the discrete and continuous dimensions </w:t>
      </w:r>
      <w:r w:rsidR="006E3F14" w:rsidRPr="00AC36D6">
        <w:t xml:space="preserve">of a choice alternative </w:t>
      </w:r>
      <w:r w:rsidR="00752A0C" w:rsidRPr="00AC36D6">
        <w:t xml:space="preserve">may </w:t>
      </w:r>
      <w:r w:rsidR="00A4571B" w:rsidRPr="00AC36D6">
        <w:t xml:space="preserve">be influenced by </w:t>
      </w:r>
      <w:r w:rsidR="0021797D" w:rsidRPr="00AC36D6">
        <w:t>common</w:t>
      </w:r>
      <w:r w:rsidRPr="00AC36D6">
        <w:t xml:space="preserve"> unobserved </w:t>
      </w:r>
      <w:r w:rsidR="00A4571B" w:rsidRPr="00AC36D6">
        <w:t>factors that cause correlation between the discrete and continuous preference parameters</w:t>
      </w:r>
      <w:r w:rsidRPr="00AC36D6">
        <w:t xml:space="preserve">. For example, the decision to </w:t>
      </w:r>
      <w:r w:rsidR="00C04CF9" w:rsidRPr="00AC36D6">
        <w:t>consum</w:t>
      </w:r>
      <w:r w:rsidR="00A9262E" w:rsidRPr="00AC36D6">
        <w:t>e</w:t>
      </w:r>
      <w:r w:rsidR="00C04CF9" w:rsidRPr="00AC36D6">
        <w:t xml:space="preserve"> </w:t>
      </w:r>
      <w:r w:rsidRPr="00AC36D6">
        <w:t xml:space="preserve">in </w:t>
      </w:r>
      <w:r w:rsidR="00C04CF9" w:rsidRPr="00AC36D6">
        <w:t>a</w:t>
      </w:r>
      <w:r w:rsidR="00113247" w:rsidRPr="00AC36D6">
        <w:t>n activity</w:t>
      </w:r>
      <w:r w:rsidR="00C04CF9" w:rsidRPr="00AC36D6">
        <w:t xml:space="preserve"> category</w:t>
      </w:r>
      <w:r w:rsidRPr="00AC36D6">
        <w:t>, say shopping</w:t>
      </w:r>
      <w:r w:rsidR="00D80C11" w:rsidRPr="00AC36D6">
        <w:t>,</w:t>
      </w:r>
      <w:r w:rsidRPr="00AC36D6">
        <w:t xml:space="preserve"> </w:t>
      </w:r>
      <w:r w:rsidR="00090F2B" w:rsidRPr="00AC36D6">
        <w:t>can be</w:t>
      </w:r>
      <w:r w:rsidRPr="00AC36D6">
        <w:t xml:space="preserve"> correlated with how much to </w:t>
      </w:r>
      <w:r w:rsidR="00F91C0C" w:rsidRPr="00AC36D6">
        <w:t xml:space="preserve">consume </w:t>
      </w:r>
      <w:r w:rsidRPr="00AC36D6">
        <w:t xml:space="preserve">in </w:t>
      </w:r>
      <w:r w:rsidR="00F91C0C" w:rsidRPr="00AC36D6">
        <w:t>that category</w:t>
      </w:r>
      <w:r w:rsidR="00113247" w:rsidRPr="00AC36D6">
        <w:t xml:space="preserve"> because of unobserved factors that make a person more or less likely to enjoy that activity</w:t>
      </w:r>
      <w:r w:rsidRPr="00AC36D6">
        <w:t>. However, the IID assumption miss</w:t>
      </w:r>
      <w:r w:rsidR="002E0735" w:rsidRPr="00AC36D6">
        <w:t>es</w:t>
      </w:r>
      <w:r w:rsidRPr="00AC36D6">
        <w:t xml:space="preserve"> out on capturing such correlations.</w:t>
      </w:r>
      <w:r w:rsidR="000D49FB" w:rsidRPr="00AC36D6">
        <w:t xml:space="preserve"> </w:t>
      </w:r>
      <w:r w:rsidR="00B42020" w:rsidRPr="00AC36D6">
        <w:t>Although</w:t>
      </w:r>
      <w:r w:rsidR="000D49FB" w:rsidRPr="00AC36D6">
        <w:t xml:space="preserve"> multivariate extreme value</w:t>
      </w:r>
      <w:r w:rsidR="00B519F5" w:rsidRPr="00AC36D6">
        <w:t xml:space="preserve"> (MEV)</w:t>
      </w:r>
      <w:r w:rsidR="000D49FB" w:rsidRPr="00AC36D6">
        <w:t xml:space="preserve"> distributions have been used </w:t>
      </w:r>
      <w:r w:rsidR="00B42020" w:rsidRPr="00AC36D6">
        <w:t xml:space="preserve">in the past </w:t>
      </w:r>
      <w:r w:rsidR="000D49FB" w:rsidRPr="00AC36D6">
        <w:t xml:space="preserve">for </w:t>
      </w:r>
      <w:r w:rsidR="00590685" w:rsidRPr="00AC36D6">
        <w:t>allowing a general covariance structure in</w:t>
      </w:r>
      <w:r w:rsidR="000D49FB" w:rsidRPr="00AC36D6">
        <w:t xml:space="preserve"> Bhat’s (2008) Box-Cox utility function form (Pinjari and Bhat, 2010</w:t>
      </w:r>
      <w:r w:rsidR="000E619E" w:rsidRPr="00AC36D6">
        <w:t>, and</w:t>
      </w:r>
      <w:r w:rsidR="000D49FB" w:rsidRPr="00AC36D6">
        <w:t xml:space="preserve"> Pinjari, 2011), it becomes difficult to do so in the flexible utility form</w:t>
      </w:r>
      <w:r w:rsidR="00B519F5" w:rsidRPr="00AC36D6">
        <w:t xml:space="preserve">. This is because it is not easy to derive the likelihood function for a model with MEV distributed error terms in both the discrete preference parameters and continuous preference parameters. </w:t>
      </w:r>
      <w:r w:rsidR="000D49FB" w:rsidRPr="00AC36D6">
        <w:t xml:space="preserve"> </w:t>
      </w:r>
    </w:p>
    <w:p w14:paraId="051E8129" w14:textId="536A61EB" w:rsidR="00F45404" w:rsidRPr="00AC36D6" w:rsidRDefault="006C05AB" w:rsidP="00087876">
      <w:pPr>
        <w:spacing w:after="0" w:line="360" w:lineRule="auto"/>
        <w:ind w:firstLine="720"/>
        <w:jc w:val="both"/>
      </w:pPr>
      <w:r w:rsidRPr="00AC36D6">
        <w:t xml:space="preserve">In this paper, we </w:t>
      </w:r>
      <w:r w:rsidR="00335426" w:rsidRPr="00AC36D6">
        <w:t xml:space="preserve">apply </w:t>
      </w:r>
      <w:r w:rsidRPr="00AC36D6">
        <w:t xml:space="preserve">a probit-based error kernel (rather than the extreme-value </w:t>
      </w:r>
      <w:r w:rsidR="00335426" w:rsidRPr="00AC36D6">
        <w:t>kernel</w:t>
      </w:r>
      <w:r w:rsidR="008253B4" w:rsidRPr="00AC36D6">
        <w:t>)</w:t>
      </w:r>
      <w:r w:rsidRPr="00AC36D6">
        <w:t xml:space="preserve"> </w:t>
      </w:r>
      <w:r w:rsidR="005730B3" w:rsidRPr="00AC36D6">
        <w:t xml:space="preserve">that allows non-IID stochastic structure </w:t>
      </w:r>
      <w:r w:rsidR="00FC2E15" w:rsidRPr="00AC36D6">
        <w:t>to</w:t>
      </w:r>
      <w:r w:rsidR="00FC367B" w:rsidRPr="00AC36D6">
        <w:t xml:space="preserve"> the flexible utility functional form proposed by Bhat (2018). Such a </w:t>
      </w:r>
      <w:r w:rsidR="005730B3" w:rsidRPr="00AC36D6">
        <w:t>“</w:t>
      </w:r>
      <w:r w:rsidR="00FC367B" w:rsidRPr="00AC36D6">
        <w:t>flexible MDCP</w:t>
      </w:r>
      <w:r w:rsidR="005730B3" w:rsidRPr="00AC36D6">
        <w:t>”</w:t>
      </w:r>
      <w:r w:rsidR="00FC367B" w:rsidRPr="00AC36D6">
        <w:t xml:space="preserve"> model proposed in this paper </w:t>
      </w:r>
      <w:r w:rsidRPr="00AC36D6">
        <w:t>relax</w:t>
      </w:r>
      <w:r w:rsidR="00FC367B" w:rsidRPr="00AC36D6">
        <w:t>es</w:t>
      </w:r>
      <w:r w:rsidRPr="00AC36D6">
        <w:t xml:space="preserve"> the assumptions of </w:t>
      </w:r>
      <w:r w:rsidRPr="00AC36D6">
        <w:lastRenderedPageBreak/>
        <w:t>independence</w:t>
      </w:r>
      <w:r w:rsidR="00FC367B" w:rsidRPr="00AC36D6">
        <w:t xml:space="preserve"> among the utility </w:t>
      </w:r>
      <w:r w:rsidR="00335426" w:rsidRPr="00AC36D6">
        <w:t>parameters</w:t>
      </w:r>
      <w:r w:rsidR="00A404B1" w:rsidRPr="00AC36D6">
        <w:t xml:space="preserve"> using</w:t>
      </w:r>
      <w:r w:rsidR="007841D4" w:rsidRPr="00AC36D6">
        <w:t xml:space="preserve"> </w:t>
      </w:r>
      <w:r w:rsidR="00A404B1" w:rsidRPr="00AC36D6">
        <w:t>a</w:t>
      </w:r>
      <w:r w:rsidR="007841D4" w:rsidRPr="00AC36D6">
        <w:t xml:space="preserve"> multivariate normal (MVN) error </w:t>
      </w:r>
      <w:r w:rsidR="00A404B1" w:rsidRPr="00AC36D6">
        <w:t>kernel</w:t>
      </w:r>
      <w:r w:rsidRPr="00AC36D6">
        <w:t xml:space="preserve">. In this process, we revisit Bhat’s </w:t>
      </w:r>
      <w:r w:rsidR="00FD4255" w:rsidRPr="00AC36D6">
        <w:t xml:space="preserve">(2018) </w:t>
      </w:r>
      <w:r w:rsidRPr="00AC36D6">
        <w:t xml:space="preserve">flexible utility form and </w:t>
      </w:r>
      <w:r w:rsidR="001E2E0F" w:rsidRPr="00AC36D6">
        <w:t xml:space="preserve">discuss </w:t>
      </w:r>
      <w:r w:rsidRPr="00AC36D6">
        <w:t xml:space="preserve">a </w:t>
      </w:r>
      <w:r w:rsidR="00BD72BE" w:rsidRPr="00AC36D6">
        <w:t xml:space="preserve">few </w:t>
      </w:r>
      <w:r w:rsidR="001E2E0F" w:rsidRPr="00AC36D6">
        <w:t>nuance</w:t>
      </w:r>
      <w:r w:rsidR="00D8696A" w:rsidRPr="00AC36D6">
        <w:t>s</w:t>
      </w:r>
      <w:r w:rsidR="001E2E0F" w:rsidRPr="00AC36D6">
        <w:t xml:space="preserve"> regarding the </w:t>
      </w:r>
      <w:r w:rsidR="0088414D" w:rsidRPr="00AC36D6">
        <w:t xml:space="preserve">role of the discrete preference parameters in the </w:t>
      </w:r>
      <w:r w:rsidR="001E2E0F" w:rsidRPr="00AC36D6">
        <w:t xml:space="preserve">optimality conditions associated with the utility profile. </w:t>
      </w:r>
      <w:r w:rsidR="00DD43B3" w:rsidRPr="00AC36D6">
        <w:t>Specifically</w:t>
      </w:r>
      <w:r w:rsidRPr="00AC36D6">
        <w:t>,</w:t>
      </w:r>
      <w:r w:rsidR="005E2364" w:rsidRPr="00AC36D6">
        <w:t xml:space="preserve"> </w:t>
      </w:r>
      <w:r w:rsidR="00D80C11" w:rsidRPr="00AC36D6">
        <w:t xml:space="preserve">we </w:t>
      </w:r>
      <w:r w:rsidR="002E5EC4" w:rsidRPr="00AC36D6">
        <w:t>highlight</w:t>
      </w:r>
      <w:r w:rsidR="00215A04" w:rsidRPr="00AC36D6">
        <w:t xml:space="preserve"> </w:t>
      </w:r>
      <w:r w:rsidR="000E619E" w:rsidRPr="00AC36D6">
        <w:t xml:space="preserve">the point </w:t>
      </w:r>
      <w:r w:rsidR="00215A04" w:rsidRPr="00AC36D6">
        <w:t>that</w:t>
      </w:r>
      <w:r w:rsidR="00D80C11" w:rsidRPr="00AC36D6">
        <w:t xml:space="preserve"> the discrete preference parameter</w:t>
      </w:r>
      <w:r w:rsidR="002C3B56" w:rsidRPr="00AC36D6">
        <w:t>s</w:t>
      </w:r>
      <w:r w:rsidR="00D80C11" w:rsidRPr="00AC36D6">
        <w:t xml:space="preserve"> </w:t>
      </w:r>
      <w:r w:rsidR="000E619E" w:rsidRPr="00AC36D6">
        <w:t xml:space="preserve">in his formulation </w:t>
      </w:r>
      <w:r w:rsidR="00D80C11" w:rsidRPr="00AC36D6">
        <w:t>do</w:t>
      </w:r>
      <w:r w:rsidR="002C3B56" w:rsidRPr="00AC36D6">
        <w:t xml:space="preserve"> not </w:t>
      </w:r>
      <w:r w:rsidR="0088414D" w:rsidRPr="00AC36D6">
        <w:t xml:space="preserve">appear in </w:t>
      </w:r>
      <w:r w:rsidR="002C3B56" w:rsidRPr="00AC36D6">
        <w:t xml:space="preserve">the </w:t>
      </w:r>
      <w:r w:rsidR="0088414D" w:rsidRPr="00AC36D6">
        <w:t>conditions</w:t>
      </w:r>
      <w:r w:rsidR="00D1597C" w:rsidRPr="00AC36D6">
        <w:t xml:space="preserve"> for optimal utility</w:t>
      </w:r>
      <w:r w:rsidR="002C3B56" w:rsidRPr="00AC36D6">
        <w:t xml:space="preserve">. </w:t>
      </w:r>
      <w:r w:rsidR="004A1E85" w:rsidRPr="00AC36D6">
        <w:t>That is</w:t>
      </w:r>
      <w:r w:rsidR="002B2F50" w:rsidRPr="00AC36D6">
        <w:t>,</w:t>
      </w:r>
      <w:r w:rsidR="002C3B56" w:rsidRPr="00AC36D6">
        <w:t xml:space="preserve"> </w:t>
      </w:r>
      <w:r w:rsidR="004A1E85" w:rsidRPr="00AC36D6">
        <w:t xml:space="preserve">although </w:t>
      </w:r>
      <w:r w:rsidR="00B7505F" w:rsidRPr="00AC36D6">
        <w:t xml:space="preserve">the </w:t>
      </w:r>
      <w:r w:rsidR="004A1E85" w:rsidRPr="00AC36D6">
        <w:t xml:space="preserve">introduction of </w:t>
      </w:r>
      <w:r w:rsidR="00B7505F" w:rsidRPr="00AC36D6">
        <w:t>separate parameters for</w:t>
      </w:r>
      <w:r w:rsidR="004A1E85" w:rsidRPr="00AC36D6">
        <w:t xml:space="preserve"> </w:t>
      </w:r>
      <w:r w:rsidR="00B7505F" w:rsidRPr="00AC36D6">
        <w:t xml:space="preserve">the </w:t>
      </w:r>
      <w:r w:rsidR="004A1E85" w:rsidRPr="00AC36D6">
        <w:t xml:space="preserve">discrete </w:t>
      </w:r>
      <w:r w:rsidR="00B7505F" w:rsidRPr="00AC36D6">
        <w:t>and</w:t>
      </w:r>
      <w:r w:rsidR="004A1E85" w:rsidRPr="00AC36D6">
        <w:t xml:space="preserve"> continuous </w:t>
      </w:r>
      <w:r w:rsidR="00B7505F" w:rsidRPr="00AC36D6">
        <w:t>dimensions</w:t>
      </w:r>
      <w:r w:rsidR="004A1E85" w:rsidRPr="00AC36D6">
        <w:t xml:space="preserve"> helps </w:t>
      </w:r>
      <w:r w:rsidR="00DF4B4B" w:rsidRPr="00AC36D6">
        <w:t>brea</w:t>
      </w:r>
      <w:r w:rsidR="00BD72BE" w:rsidRPr="00AC36D6">
        <w:t>k</w:t>
      </w:r>
      <w:r w:rsidR="00DF4B4B" w:rsidRPr="00AC36D6">
        <w:t xml:space="preserve"> the tight linkage between </w:t>
      </w:r>
      <w:r w:rsidR="001A4ED6" w:rsidRPr="00AC36D6">
        <w:t>the discrete and continuous preferences,</w:t>
      </w:r>
      <w:r w:rsidR="002C3B56" w:rsidRPr="00AC36D6">
        <w:t xml:space="preserve"> </w:t>
      </w:r>
      <w:r w:rsidR="004A1E85" w:rsidRPr="00AC36D6">
        <w:t>the conditions he uses on the discrete preference parameters</w:t>
      </w:r>
      <w:r w:rsidRPr="00AC36D6">
        <w:t xml:space="preserve"> </w:t>
      </w:r>
      <w:r w:rsidR="004A1E85" w:rsidRPr="00AC36D6">
        <w:t xml:space="preserve">are </w:t>
      </w:r>
      <w:r w:rsidRPr="00AC36D6">
        <w:t xml:space="preserve">not </w:t>
      </w:r>
      <w:r w:rsidR="00FC2E15" w:rsidRPr="00AC36D6">
        <w:t>always</w:t>
      </w:r>
      <w:r w:rsidR="00623A88" w:rsidRPr="00AC36D6">
        <w:t xml:space="preserve"> consistent with utility maximization</w:t>
      </w:r>
      <w:r w:rsidRPr="00AC36D6">
        <w:t>.</w:t>
      </w:r>
      <w:r w:rsidR="002B2F50" w:rsidRPr="00AC36D6">
        <w:t xml:space="preserve"> </w:t>
      </w:r>
      <w:r w:rsidR="00F2214A" w:rsidRPr="00AC36D6">
        <w:t>As a result</w:t>
      </w:r>
      <w:r w:rsidR="0089589A" w:rsidRPr="00AC36D6">
        <w:t xml:space="preserve">, </w:t>
      </w:r>
      <w:r w:rsidR="004A1E85" w:rsidRPr="00AC36D6">
        <w:t xml:space="preserve">Bhat’s (2018) </w:t>
      </w:r>
      <w:r w:rsidR="00415008" w:rsidRPr="00AC36D6">
        <w:t xml:space="preserve">approach </w:t>
      </w:r>
      <w:r w:rsidR="004A1E85" w:rsidRPr="00AC36D6">
        <w:t xml:space="preserve">can be interpreted as </w:t>
      </w:r>
      <w:r w:rsidR="00791EA3" w:rsidRPr="00AC36D6">
        <w:t xml:space="preserve">an externally imposed </w:t>
      </w:r>
      <w:r w:rsidR="004A1E85" w:rsidRPr="00AC36D6">
        <w:t xml:space="preserve">set of </w:t>
      </w:r>
      <w:r w:rsidR="005A3CFC" w:rsidRPr="00AC36D6">
        <w:t>condition</w:t>
      </w:r>
      <w:r w:rsidR="004A1E85" w:rsidRPr="00AC36D6">
        <w:t>s</w:t>
      </w:r>
      <w:r w:rsidR="005A3CFC" w:rsidRPr="00AC36D6">
        <w:t xml:space="preserve"> </w:t>
      </w:r>
      <w:r w:rsidR="004A1E85" w:rsidRPr="00AC36D6">
        <w:t xml:space="preserve">(external to utility maximization) </w:t>
      </w:r>
      <w:r w:rsidR="00791EA3" w:rsidRPr="00AC36D6">
        <w:t>on the discrete preference parameters</w:t>
      </w:r>
      <w:r w:rsidR="009F5E69" w:rsidRPr="00AC36D6">
        <w:t xml:space="preserve"> that determine whether an alternative is chosen</w:t>
      </w:r>
      <w:r w:rsidR="003A62C8" w:rsidRPr="00AC36D6">
        <w:t>.</w:t>
      </w:r>
      <w:r w:rsidR="00A9262E" w:rsidRPr="00AC36D6">
        <w:t xml:space="preserve"> Doing so helps in separating the effects of exogenous variables on the discrete decision to consume a good from the </w:t>
      </w:r>
      <w:r w:rsidR="008806D6" w:rsidRPr="00AC36D6">
        <w:t>decision of how much to consume</w:t>
      </w:r>
      <w:r w:rsidR="00790A06" w:rsidRPr="00AC36D6">
        <w:t xml:space="preserve"> that good</w:t>
      </w:r>
      <w:r w:rsidR="008806D6" w:rsidRPr="00AC36D6">
        <w:t>.</w:t>
      </w:r>
    </w:p>
    <w:p w14:paraId="07BC4FC3" w14:textId="3F8C6BA9" w:rsidR="006C05AB" w:rsidRPr="00AC36D6" w:rsidRDefault="00C92696" w:rsidP="00087876">
      <w:pPr>
        <w:spacing w:after="0" w:line="360" w:lineRule="auto"/>
        <w:ind w:firstLine="720"/>
        <w:jc w:val="both"/>
      </w:pPr>
      <w:r w:rsidRPr="00AC36D6">
        <w:t>W</w:t>
      </w:r>
      <w:r w:rsidR="002473C4" w:rsidRPr="00AC36D6">
        <w:t>e appl</w:t>
      </w:r>
      <w:r w:rsidR="000E619E" w:rsidRPr="00AC36D6">
        <w:t>y</w:t>
      </w:r>
      <w:r w:rsidR="002473C4" w:rsidRPr="00AC36D6">
        <w:t xml:space="preserve"> the flexible MDCP model </w:t>
      </w:r>
      <w:r w:rsidR="00D67996" w:rsidRPr="00AC36D6">
        <w:t>developed</w:t>
      </w:r>
      <w:r w:rsidR="002473C4" w:rsidRPr="00AC36D6">
        <w:t xml:space="preserve"> in this paper (and </w:t>
      </w:r>
      <w:r w:rsidR="008B514A" w:rsidRPr="00AC36D6">
        <w:t xml:space="preserve">its </w:t>
      </w:r>
      <w:r w:rsidR="009F3906" w:rsidRPr="00AC36D6">
        <w:t>simpler versions</w:t>
      </w:r>
      <w:r w:rsidR="002473C4" w:rsidRPr="00AC36D6">
        <w:t xml:space="preserve">), as well as the traditional MDCP model that does not </w:t>
      </w:r>
      <w:r w:rsidR="002B4E45" w:rsidRPr="00AC36D6">
        <w:t>include</w:t>
      </w:r>
      <w:r w:rsidR="002473C4" w:rsidRPr="00AC36D6">
        <w:t xml:space="preserve"> a separate set of discrete preference parameters</w:t>
      </w:r>
      <w:r w:rsidR="00424E8A" w:rsidRPr="00AC36D6">
        <w:t>,</w:t>
      </w:r>
      <w:r w:rsidR="002473C4" w:rsidRPr="00AC36D6">
        <w:t xml:space="preserve"> to an empirical analysis of tourist’s expenditure allocations on domestic recreational travel in India. The model fit statistics of the various formulations are compared (in both estimation and </w:t>
      </w:r>
      <w:r w:rsidR="009F3906" w:rsidRPr="00AC36D6">
        <w:t>holdout</w:t>
      </w:r>
      <w:r w:rsidR="002473C4" w:rsidRPr="00AC36D6">
        <w:t xml:space="preserve"> datasets) to highlight the value of: (a) separate parameters for discrete and continuous preferences (even if the formulation does not always conf</w:t>
      </w:r>
      <w:r w:rsidR="000E619E" w:rsidRPr="00AC36D6">
        <w:t>o</w:t>
      </w:r>
      <w:r w:rsidR="002473C4" w:rsidRPr="00AC36D6">
        <w:t xml:space="preserve">rm </w:t>
      </w:r>
      <w:r w:rsidR="000E619E" w:rsidRPr="00AC36D6">
        <w:t>to</w:t>
      </w:r>
      <w:r w:rsidR="002473C4" w:rsidRPr="00AC36D6">
        <w:t xml:space="preserve"> utility maximization), and (b) relaxing the IID assumption in the error kernel of the model with flexible utility functions.</w:t>
      </w:r>
      <w:r w:rsidRPr="00AC36D6">
        <w:t xml:space="preserve"> Further, the empirical analysis sheds light on the determinants of Indian households’ expenditure patterns on their recreational/tourism trips.</w:t>
      </w:r>
    </w:p>
    <w:p w14:paraId="268DCD65" w14:textId="293AD1A7" w:rsidR="00BA7557" w:rsidRPr="00AC36D6" w:rsidRDefault="006C05AB" w:rsidP="00087876">
      <w:pPr>
        <w:spacing w:after="0" w:line="360" w:lineRule="auto"/>
        <w:ind w:firstLine="720"/>
        <w:jc w:val="both"/>
      </w:pPr>
      <w:r w:rsidRPr="00AC36D6">
        <w:t>The rest of the paper is structured as follows. Section 2</w:t>
      </w:r>
      <w:r w:rsidR="009F1F5A" w:rsidRPr="00AC36D6">
        <w:t xml:space="preserve"> discusses the</w:t>
      </w:r>
      <w:r w:rsidR="00E65C8C" w:rsidRPr="00AC36D6">
        <w:t xml:space="preserve"> nuances in the</w:t>
      </w:r>
      <w:r w:rsidR="009F1F5A" w:rsidRPr="00AC36D6">
        <w:t xml:space="preserve"> formulation of the flexible MDC </w:t>
      </w:r>
      <w:r w:rsidR="00146806" w:rsidRPr="00AC36D6">
        <w:t xml:space="preserve">choice </w:t>
      </w:r>
      <w:r w:rsidR="009F1F5A" w:rsidRPr="00AC36D6">
        <w:t>model</w:t>
      </w:r>
      <w:r w:rsidR="004A67CA" w:rsidRPr="00AC36D6">
        <w:t xml:space="preserve"> and why the model </w:t>
      </w:r>
      <w:r w:rsidR="005D2AC4" w:rsidRPr="00AC36D6">
        <w:t>is</w:t>
      </w:r>
      <w:r w:rsidR="004A67CA" w:rsidRPr="00AC36D6">
        <w:t xml:space="preserve"> not </w:t>
      </w:r>
      <w:r w:rsidR="005D2AC4" w:rsidRPr="00AC36D6">
        <w:t>necessarily</w:t>
      </w:r>
      <w:r w:rsidR="004A67CA" w:rsidRPr="00AC36D6">
        <w:t xml:space="preserve"> </w:t>
      </w:r>
      <w:r w:rsidR="00CA5409" w:rsidRPr="00AC36D6">
        <w:t>consistent with utility maximization</w:t>
      </w:r>
      <w:r w:rsidR="009F1F5A" w:rsidRPr="00AC36D6">
        <w:t>.</w:t>
      </w:r>
      <w:r w:rsidR="004D784F" w:rsidRPr="00AC36D6">
        <w:t xml:space="preserve"> Further, an alternate interpretation of the flexible MDC model</w:t>
      </w:r>
      <w:r w:rsidR="00146806" w:rsidRPr="00AC36D6">
        <w:t xml:space="preserve"> </w:t>
      </w:r>
      <w:r w:rsidR="004D784F" w:rsidRPr="00AC36D6">
        <w:t>is presented.</w:t>
      </w:r>
      <w:r w:rsidR="00E65C8C" w:rsidRPr="00AC36D6">
        <w:t xml:space="preserve"> </w:t>
      </w:r>
      <w:r w:rsidR="000E12EC" w:rsidRPr="00AC36D6">
        <w:t>Subsequently</w:t>
      </w:r>
      <w:r w:rsidR="005C450E" w:rsidRPr="00AC36D6">
        <w:t>, the section presents the formulation of the flexible MDCP model</w:t>
      </w:r>
      <w:r w:rsidR="00480173" w:rsidRPr="00AC36D6">
        <w:t xml:space="preserve"> with </w:t>
      </w:r>
      <w:r w:rsidR="009972C1" w:rsidRPr="00AC36D6">
        <w:t>MVN</w:t>
      </w:r>
      <w:r w:rsidR="004C2740" w:rsidRPr="00AC36D6">
        <w:t xml:space="preserve"> </w:t>
      </w:r>
      <w:r w:rsidR="000E12EC" w:rsidRPr="00AC36D6">
        <w:t>stochastic</w:t>
      </w:r>
      <w:r w:rsidR="004C2740" w:rsidRPr="00AC36D6">
        <w:t xml:space="preserve"> distribution</w:t>
      </w:r>
      <w:r w:rsidR="005C450E" w:rsidRPr="00AC36D6">
        <w:t>.</w:t>
      </w:r>
      <w:r w:rsidRPr="00AC36D6">
        <w:t xml:space="preserve"> Section 3 illustrates an application of the</w:t>
      </w:r>
      <w:r w:rsidR="00E07F66" w:rsidRPr="00AC36D6">
        <w:t xml:space="preserve"> flexible MDCP</w:t>
      </w:r>
      <w:r w:rsidRPr="00AC36D6">
        <w:t xml:space="preserve"> model </w:t>
      </w:r>
      <w:r w:rsidR="0014627C" w:rsidRPr="00AC36D6">
        <w:t xml:space="preserve">and its variants </w:t>
      </w:r>
      <w:r w:rsidRPr="00AC36D6">
        <w:t>for analy</w:t>
      </w:r>
      <w:r w:rsidR="005C450E" w:rsidRPr="00AC36D6">
        <w:t>z</w:t>
      </w:r>
      <w:r w:rsidRPr="00AC36D6">
        <w:t xml:space="preserve">ing </w:t>
      </w:r>
      <w:r w:rsidR="00E3746D" w:rsidRPr="00AC36D6">
        <w:t xml:space="preserve">Indian households’ expenditures on their </w:t>
      </w:r>
      <w:r w:rsidRPr="00AC36D6">
        <w:t xml:space="preserve">domestic tourism </w:t>
      </w:r>
      <w:r w:rsidR="00E3746D" w:rsidRPr="00AC36D6">
        <w:t>trips</w:t>
      </w:r>
      <w:r w:rsidRPr="00AC36D6">
        <w:t>. The final section offers concluding thoughts and directions for further research.</w:t>
      </w:r>
    </w:p>
    <w:p w14:paraId="3871D47A" w14:textId="1377D0D5" w:rsidR="00CE1880" w:rsidRPr="00AC36D6" w:rsidRDefault="00CE1880">
      <w:pPr>
        <w:rPr>
          <w:b/>
          <w:color w:val="000000" w:themeColor="text1"/>
        </w:rPr>
      </w:pPr>
    </w:p>
    <w:p w14:paraId="76932735" w14:textId="0654266D" w:rsidR="00332719" w:rsidRPr="00AC36D6" w:rsidRDefault="00332719">
      <w:pPr>
        <w:rPr>
          <w:b/>
          <w:color w:val="000000" w:themeColor="text1"/>
        </w:rPr>
      </w:pPr>
    </w:p>
    <w:p w14:paraId="6552D4F9" w14:textId="35C14932" w:rsidR="00332719" w:rsidRPr="00AC36D6" w:rsidRDefault="00332719">
      <w:pPr>
        <w:rPr>
          <w:b/>
          <w:color w:val="000000" w:themeColor="text1"/>
        </w:rPr>
      </w:pPr>
    </w:p>
    <w:p w14:paraId="65BC6239" w14:textId="35E3A067" w:rsidR="008E12AF" w:rsidRPr="00AC36D6" w:rsidRDefault="00695E4C" w:rsidP="00087876">
      <w:pPr>
        <w:pStyle w:val="ListParagraph"/>
        <w:numPr>
          <w:ilvl w:val="0"/>
          <w:numId w:val="19"/>
        </w:numPr>
        <w:spacing w:after="0" w:line="360" w:lineRule="auto"/>
        <w:rPr>
          <w:b/>
          <w:color w:val="000000" w:themeColor="text1"/>
        </w:rPr>
      </w:pPr>
      <w:r>
        <w:rPr>
          <w:b/>
          <w:color w:val="000000" w:themeColor="text1"/>
        </w:rPr>
        <w:lastRenderedPageBreak/>
        <w:t>MODEL</w:t>
      </w:r>
      <w:r w:rsidR="00D456C9" w:rsidRPr="00AC36D6">
        <w:rPr>
          <w:b/>
          <w:color w:val="000000" w:themeColor="text1"/>
        </w:rPr>
        <w:t xml:space="preserve"> </w:t>
      </w:r>
      <w:r>
        <w:rPr>
          <w:b/>
          <w:color w:val="000000" w:themeColor="text1"/>
        </w:rPr>
        <w:t>FORMULATION</w:t>
      </w:r>
    </w:p>
    <w:p w14:paraId="4D76E826" w14:textId="738E12C0" w:rsidR="006C05AB" w:rsidRPr="00AC36D6" w:rsidRDefault="00836487" w:rsidP="0019263D">
      <w:pPr>
        <w:pStyle w:val="ListParagraph"/>
        <w:keepNext/>
        <w:keepLines/>
        <w:numPr>
          <w:ilvl w:val="1"/>
          <w:numId w:val="27"/>
        </w:numPr>
        <w:spacing w:before="120" w:after="0" w:line="360" w:lineRule="auto"/>
        <w:ind w:left="562" w:hanging="562"/>
        <w:contextualSpacing w:val="0"/>
        <w:jc w:val="both"/>
      </w:pPr>
      <w:r w:rsidRPr="00AC36D6">
        <w:rPr>
          <w:b/>
          <w:color w:val="000000" w:themeColor="text1"/>
        </w:rPr>
        <w:t>Revisiting</w:t>
      </w:r>
      <w:r w:rsidR="005C17BF" w:rsidRPr="00AC36D6">
        <w:rPr>
          <w:b/>
          <w:color w:val="000000" w:themeColor="text1"/>
        </w:rPr>
        <w:t xml:space="preserve"> </w:t>
      </w:r>
      <w:r w:rsidR="006C05AB" w:rsidRPr="00AC36D6">
        <w:rPr>
          <w:b/>
          <w:color w:val="000000" w:themeColor="text1"/>
        </w:rPr>
        <w:t>Bhat’s (2018) Flexible MDC Model Structure</w:t>
      </w:r>
    </w:p>
    <w:p w14:paraId="65B4C58E" w14:textId="2681EDD4" w:rsidR="006C05AB" w:rsidRPr="00AC36D6" w:rsidRDefault="006E28A5" w:rsidP="00E44516">
      <w:pPr>
        <w:spacing w:after="0" w:line="360" w:lineRule="auto"/>
        <w:jc w:val="both"/>
      </w:pPr>
      <w:r w:rsidRPr="00AC36D6">
        <w:t xml:space="preserve">Consider the case of </w:t>
      </w:r>
      <w:r w:rsidR="000D19EF" w:rsidRPr="00AC36D6">
        <w:t xml:space="preserve">an </w:t>
      </w:r>
      <w:r w:rsidRPr="00AC36D6">
        <w:t xml:space="preserve">incomplete demand with an essential, numeraire Hicksian outside good with a linear utility profile and multiple non-essential, inside goods. </w:t>
      </w:r>
      <w:r w:rsidR="000D19EF" w:rsidRPr="00AC36D6">
        <w:t xml:space="preserve">To model such a system, </w:t>
      </w:r>
      <w:r w:rsidR="006C05AB" w:rsidRPr="00AC36D6">
        <w:t>Bhat (2018)</w:t>
      </w:r>
      <w:r w:rsidR="00406AD7" w:rsidRPr="00AC36D6">
        <w:t xml:space="preserve"> propos</w:t>
      </w:r>
      <w:r w:rsidR="00864CE4" w:rsidRPr="00AC36D6">
        <w:t xml:space="preserve">es the following </w:t>
      </w:r>
      <w:r w:rsidR="006C05AB" w:rsidRPr="00AC36D6">
        <w:t xml:space="preserve">utility </w:t>
      </w:r>
      <w:r w:rsidR="00E875A8">
        <w:t>form</w:t>
      </w:r>
      <w:r w:rsidR="00864CE4" w:rsidRPr="00AC36D6">
        <w:t xml:space="preserve"> </w:t>
      </w:r>
      <w:r w:rsidR="006C05AB" w:rsidRPr="00AC36D6">
        <w:t>(</w:t>
      </w:r>
      <w:r w:rsidR="00FE317D" w:rsidRPr="00AC36D6">
        <w:t xml:space="preserve">here, we </w:t>
      </w:r>
      <w:r w:rsidR="006C05AB" w:rsidRPr="00AC36D6">
        <w:t>suppres</w:t>
      </w:r>
      <w:r w:rsidR="00A2498F" w:rsidRPr="00AC36D6">
        <w:t>s</w:t>
      </w:r>
      <w:r w:rsidR="006C05AB" w:rsidRPr="00AC36D6">
        <w:t xml:space="preserve"> the index for individuals)</w:t>
      </w:r>
      <w:r w:rsidR="00CE1880" w:rsidRPr="00AC36D6">
        <w:rPr>
          <w:rStyle w:val="FootnoteReference"/>
        </w:rPr>
        <w:t xml:space="preserve"> </w:t>
      </w:r>
      <w:r w:rsidR="00CE1880" w:rsidRPr="00AC36D6">
        <w:rPr>
          <w:rStyle w:val="FootnoteReference"/>
        </w:rPr>
        <w:footnoteReference w:id="2"/>
      </w:r>
      <w:r w:rsidR="006C05AB" w:rsidRPr="00AC36D6">
        <w:t>:</w:t>
      </w:r>
    </w:p>
    <w:p w14:paraId="630BCAED" w14:textId="381005F3" w:rsidR="006C05AB" w:rsidRPr="00AC36D6" w:rsidRDefault="0087101B" w:rsidP="00946803">
      <w:pPr>
        <w:spacing w:before="120" w:after="120" w:line="360" w:lineRule="auto"/>
        <w:ind w:firstLine="567"/>
        <w:jc w:val="both"/>
      </w:pPr>
      <w:r w:rsidRPr="00AC36D6">
        <w:rPr>
          <w:position w:val="-32"/>
        </w:rPr>
        <w:object w:dxaOrig="5539" w:dyaOrig="760" w14:anchorId="74715FDC">
          <v:shape id="_x0000_i1025" type="#_x0000_t75" style="width:276.85pt;height:38.15pt" o:ole="">
            <v:imagedata r:id="rId15" o:title=""/>
          </v:shape>
          <o:OLEObject Type="Embed" ProgID="Equation.DSMT4" ShapeID="_x0000_i1025" DrawAspect="Content" ObjectID="_1726484322" r:id="rId16"/>
        </w:object>
      </w:r>
      <w:r w:rsidR="007234DD" w:rsidRPr="00AC36D6">
        <w:tab/>
      </w:r>
      <w:r w:rsidR="007234DD" w:rsidRPr="00AC36D6">
        <w:tab/>
      </w:r>
      <w:r w:rsidR="007234DD" w:rsidRPr="00AC36D6">
        <w:tab/>
        <w:t xml:space="preserve">      </w:t>
      </w:r>
      <w:r w:rsidR="004437DE" w:rsidRPr="00AC36D6">
        <w:tab/>
      </w:r>
      <w:r w:rsidR="007234DD" w:rsidRPr="00AC36D6">
        <w:t xml:space="preserve"> (1)</w:t>
      </w:r>
    </w:p>
    <w:p w14:paraId="0E7B3E34" w14:textId="19F92AE8" w:rsidR="00A5041A" w:rsidRPr="00AC36D6" w:rsidRDefault="00864CE4" w:rsidP="00087876">
      <w:pPr>
        <w:spacing w:after="0" w:line="360" w:lineRule="auto"/>
        <w:jc w:val="both"/>
      </w:pPr>
      <w:r w:rsidRPr="00AC36D6">
        <w:t xml:space="preserve">subject to </w:t>
      </w:r>
      <w:r w:rsidR="00A5041A" w:rsidRPr="00AC36D6">
        <w:t>a linear budget constraint and non-negativity constraints on consumptions</w:t>
      </w:r>
      <w:r w:rsidR="008B6CD5" w:rsidRPr="00AC36D6">
        <w:t>,</w:t>
      </w:r>
      <w:r w:rsidR="00A5041A" w:rsidRPr="00AC36D6">
        <w:t xml:space="preserve"> as below:</w:t>
      </w:r>
    </w:p>
    <w:p w14:paraId="3EA36E7F" w14:textId="0A1FD88F" w:rsidR="00A5041A" w:rsidRPr="00AC36D6" w:rsidRDefault="004437DE" w:rsidP="00946803">
      <w:pPr>
        <w:spacing w:before="120" w:after="120" w:line="360" w:lineRule="auto"/>
        <w:ind w:firstLine="567"/>
        <w:jc w:val="both"/>
      </w:pPr>
      <w:r w:rsidRPr="00AC36D6">
        <w:rPr>
          <w:position w:val="-28"/>
        </w:rPr>
        <w:object w:dxaOrig="3500" w:dyaOrig="680" w14:anchorId="153C1FFA">
          <v:shape id="_x0000_i1026" type="#_x0000_t75" style="width:174.85pt;height:33.85pt" o:ole="">
            <v:imagedata r:id="rId17" o:title=""/>
          </v:shape>
          <o:OLEObject Type="Embed" ProgID="Equation.DSMT4" ShapeID="_x0000_i1026" DrawAspect="Content" ObjectID="_1726484323" r:id="rId18"/>
        </w:object>
      </w:r>
      <w:r w:rsidR="00A5041A" w:rsidRPr="00AC36D6">
        <w:tab/>
      </w:r>
      <w:r w:rsidR="00A5041A" w:rsidRPr="00AC36D6">
        <w:tab/>
      </w:r>
      <w:r w:rsidR="00A5041A" w:rsidRPr="00AC36D6">
        <w:tab/>
        <w:t xml:space="preserve">      </w:t>
      </w:r>
      <w:r w:rsidRPr="00AC36D6">
        <w:tab/>
      </w:r>
      <w:r w:rsidRPr="00AC36D6">
        <w:tab/>
      </w:r>
      <w:r w:rsidRPr="00AC36D6">
        <w:tab/>
      </w:r>
      <w:r w:rsidRPr="00AC36D6">
        <w:tab/>
      </w:r>
      <w:r w:rsidR="00A5041A" w:rsidRPr="00AC36D6">
        <w:t xml:space="preserve"> (</w:t>
      </w:r>
      <w:r w:rsidRPr="00AC36D6">
        <w:t>2</w:t>
      </w:r>
      <w:r w:rsidR="00A5041A" w:rsidRPr="00AC36D6">
        <w:t>)</w:t>
      </w:r>
    </w:p>
    <w:p w14:paraId="2F22BDD9" w14:textId="5B4DCDA7" w:rsidR="006764C1" w:rsidRPr="00F507E0" w:rsidRDefault="007E733C" w:rsidP="006764C1">
      <w:pPr>
        <w:spacing w:after="0" w:line="360" w:lineRule="auto"/>
        <w:jc w:val="both"/>
        <w:rPr>
          <w:rFonts w:eastAsia="Times New Roman" w:cs="Arial"/>
          <w:bCs/>
          <w:kern w:val="32"/>
        </w:rPr>
      </w:pPr>
      <w:r w:rsidRPr="00AC36D6">
        <w:rPr>
          <w:rFonts w:eastAsia="Times New Roman" w:cs="Arial"/>
          <w:bCs/>
          <w:color w:val="000000"/>
          <w:kern w:val="32"/>
          <w:position w:val="-10"/>
        </w:rPr>
        <w:object w:dxaOrig="580" w:dyaOrig="320" w14:anchorId="38A75D33">
          <v:shape id="_x0000_i1027" type="#_x0000_t75" style="width:29.15pt;height:15.85pt" o:ole="" o:preferrelative="f">
            <v:imagedata r:id="rId19" o:title=""/>
            <o:lock v:ext="edit" aspectratio="f"/>
          </v:shape>
          <o:OLEObject Type="Embed" ProgID="Equation.3" ShapeID="_x0000_i1027" DrawAspect="Content" ObjectID="_1726484324" r:id="rId20"/>
        </w:object>
      </w:r>
      <w:r w:rsidRPr="00AC36D6">
        <w:rPr>
          <w:rFonts w:eastAsia="Times New Roman"/>
          <w:bCs/>
          <w:color w:val="000000"/>
          <w:kern w:val="32"/>
        </w:rPr>
        <w:t xml:space="preserve"> </w:t>
      </w:r>
      <w:r w:rsidR="0087101B" w:rsidRPr="00AC36D6">
        <w:rPr>
          <w:rFonts w:eastAsia="Times New Roman"/>
          <w:bCs/>
          <w:color w:val="000000"/>
          <w:kern w:val="32"/>
        </w:rPr>
        <w:t xml:space="preserve">in </w:t>
      </w:r>
      <w:r w:rsidR="005035F2" w:rsidRPr="00AC36D6">
        <w:rPr>
          <w:rFonts w:eastAsia="Times New Roman"/>
          <w:bCs/>
          <w:color w:val="000000"/>
          <w:kern w:val="32"/>
        </w:rPr>
        <w:t>E</w:t>
      </w:r>
      <w:r w:rsidR="0087101B" w:rsidRPr="00AC36D6">
        <w:rPr>
          <w:rFonts w:eastAsia="Times New Roman"/>
          <w:bCs/>
          <w:color w:val="000000"/>
          <w:kern w:val="32"/>
        </w:rPr>
        <w:t xml:space="preserve">quation (1) </w:t>
      </w:r>
      <w:r w:rsidRPr="00AC36D6">
        <w:rPr>
          <w:rFonts w:eastAsia="Times New Roman"/>
          <w:bCs/>
          <w:color w:val="000000"/>
          <w:kern w:val="32"/>
        </w:rPr>
        <w:t>is quasi-concave, increasing and continuously differentiable</w:t>
      </w:r>
      <w:r w:rsidR="005035F2" w:rsidRPr="00AC36D6">
        <w:rPr>
          <w:rFonts w:eastAsia="Times New Roman"/>
          <w:bCs/>
          <w:color w:val="000000"/>
          <w:kern w:val="32"/>
        </w:rPr>
        <w:t xml:space="preserve"> utility function</w:t>
      </w:r>
      <w:r w:rsidRPr="00AC36D6">
        <w:rPr>
          <w:rFonts w:eastAsia="Times New Roman"/>
          <w:bCs/>
          <w:color w:val="000000"/>
          <w:kern w:val="32"/>
        </w:rPr>
        <w:t xml:space="preserve">, </w:t>
      </w:r>
      <w:r w:rsidR="0087101B" w:rsidRPr="00AC36D6">
        <w:rPr>
          <w:rFonts w:eastAsia="Times New Roman"/>
          <w:bCs/>
          <w:color w:val="000000"/>
          <w:kern w:val="32"/>
        </w:rPr>
        <w:t xml:space="preserve">where </w:t>
      </w:r>
      <w:r w:rsidR="0011470F" w:rsidRPr="00AC36D6">
        <w:rPr>
          <w:rFonts w:eastAsia="Times New Roman" w:cs="Arial"/>
          <w:bCs/>
          <w:color w:val="000000"/>
          <w:kern w:val="32"/>
          <w:position w:val="-6"/>
        </w:rPr>
        <w:object w:dxaOrig="220" w:dyaOrig="220" w14:anchorId="07AF2DE5">
          <v:shape id="_x0000_i1028" type="#_x0000_t75" style="width:11.15pt;height:11.15pt" o:ole="" o:preferrelative="f">
            <v:imagedata r:id="rId21" o:title=""/>
            <o:lock v:ext="edit" aspectratio="f"/>
          </v:shape>
          <o:OLEObject Type="Embed" ProgID="Equation.DSMT4" ShapeID="_x0000_i1028" DrawAspect="Content" ObjectID="_1726484325" r:id="rId22"/>
        </w:object>
      </w:r>
      <w:r w:rsidRPr="00AC36D6">
        <w:rPr>
          <w:rFonts w:eastAsia="Times New Roman" w:cs="Arial"/>
          <w:bCs/>
          <w:color w:val="000000"/>
          <w:kern w:val="32"/>
          <w:position w:val="-6"/>
        </w:rPr>
        <w:t xml:space="preserve"> </w:t>
      </w:r>
      <w:r w:rsidRPr="00AC36D6">
        <w:rPr>
          <w:rFonts w:eastAsia="Times New Roman"/>
          <w:bCs/>
          <w:color w:val="000000"/>
          <w:kern w:val="32"/>
        </w:rPr>
        <w:t xml:space="preserve">is </w:t>
      </w:r>
      <w:r w:rsidR="0066778A" w:rsidRPr="00AC36D6">
        <w:rPr>
          <w:rFonts w:eastAsia="Times New Roman"/>
          <w:bCs/>
          <w:color w:val="000000"/>
          <w:kern w:val="32"/>
        </w:rPr>
        <w:t xml:space="preserve">a </w:t>
      </w:r>
      <w:r w:rsidR="0066778A" w:rsidRPr="00AC36D6">
        <w:rPr>
          <w:rFonts w:eastAsia="Times New Roman" w:cs="Arial"/>
          <w:bCs/>
          <w:color w:val="000000"/>
          <w:kern w:val="32"/>
          <w:position w:val="-10"/>
        </w:rPr>
        <w:object w:dxaOrig="700" w:dyaOrig="320" w14:anchorId="57FA4AE9">
          <v:shape id="_x0000_i1029" type="#_x0000_t75" style="width:38.15pt;height:15.85pt" o:ole="">
            <v:imagedata r:id="rId23" o:title=""/>
          </v:shape>
          <o:OLEObject Type="Embed" ProgID="Equation.3" ShapeID="_x0000_i1029" DrawAspect="Content" ObjectID="_1726484326" r:id="rId24"/>
        </w:object>
      </w:r>
      <w:r w:rsidR="0066778A" w:rsidRPr="00AC36D6">
        <w:rPr>
          <w:rFonts w:eastAsia="Times New Roman"/>
          <w:bCs/>
          <w:color w:val="000000"/>
          <w:kern w:val="32"/>
        </w:rPr>
        <w:t xml:space="preserve"> dimension </w:t>
      </w:r>
      <w:r w:rsidR="0011470F" w:rsidRPr="00AC36D6">
        <w:rPr>
          <w:rFonts w:eastAsia="Times New Roman"/>
          <w:bCs/>
          <w:color w:val="000000"/>
          <w:kern w:val="32"/>
        </w:rPr>
        <w:t xml:space="preserve">vector of </w:t>
      </w:r>
      <w:r w:rsidRPr="00AC36D6">
        <w:rPr>
          <w:rFonts w:eastAsia="Times New Roman"/>
          <w:bCs/>
          <w:color w:val="000000"/>
          <w:kern w:val="32"/>
        </w:rPr>
        <w:t xml:space="preserve">consumption </w:t>
      </w:r>
      <w:r w:rsidR="0011470F" w:rsidRPr="00AC36D6">
        <w:rPr>
          <w:rFonts w:eastAsia="Times New Roman"/>
          <w:bCs/>
          <w:color w:val="000000"/>
          <w:kern w:val="32"/>
        </w:rPr>
        <w:t>quantities</w:t>
      </w:r>
      <w:r w:rsidRPr="00AC36D6">
        <w:rPr>
          <w:rFonts w:eastAsia="Times New Roman"/>
          <w:bCs/>
          <w:color w:val="000000"/>
          <w:kern w:val="32"/>
        </w:rPr>
        <w:t xml:space="preserve">), </w:t>
      </w:r>
      <w:r w:rsidR="00C50A87" w:rsidRPr="00AC36D6">
        <w:rPr>
          <w:rFonts w:eastAsia="Times New Roman" w:cs="Arial"/>
          <w:bCs/>
          <w:color w:val="000000"/>
          <w:kern w:val="32"/>
          <w:position w:val="-12"/>
        </w:rPr>
        <w:object w:dxaOrig="279" w:dyaOrig="360" w14:anchorId="2F914CDC">
          <v:shape id="_x0000_i1030" type="#_x0000_t75" style="width:13.7pt;height:19.3pt" o:ole="">
            <v:imagedata r:id="rId25" o:title=""/>
          </v:shape>
          <o:OLEObject Type="Embed" ProgID="Equation.DSMT4" ShapeID="_x0000_i1030" DrawAspect="Content" ObjectID="_1726484327" r:id="rId26"/>
        </w:object>
      </w:r>
      <w:r w:rsidR="00C50A87" w:rsidRPr="00AC36D6">
        <w:rPr>
          <w:rFonts w:eastAsia="Times New Roman" w:cs="Arial"/>
          <w:bCs/>
          <w:color w:val="000000"/>
          <w:kern w:val="32"/>
        </w:rPr>
        <w:t xml:space="preserve"> is the baseline marginal utility for the essential outside good, </w:t>
      </w:r>
      <w:r w:rsidRPr="00AC36D6">
        <w:rPr>
          <w:rFonts w:eastAsia="Times New Roman"/>
          <w:bCs/>
          <w:color w:val="000000"/>
          <w:kern w:val="32"/>
        </w:rPr>
        <w:t xml:space="preserve">and </w:t>
      </w:r>
      <w:r w:rsidR="0066670F" w:rsidRPr="00AC36D6">
        <w:rPr>
          <w:position w:val="-14"/>
        </w:rPr>
        <w:object w:dxaOrig="420" w:dyaOrig="380" w14:anchorId="2EEAADC0">
          <v:shape id="_x0000_i1031" type="#_x0000_t75" style="width:19.7pt;height:19.3pt" o:ole="">
            <v:imagedata r:id="rId27" o:title=""/>
          </v:shape>
          <o:OLEObject Type="Embed" ProgID="Equation.DSMT4" ShapeID="_x0000_i1031" DrawAspect="Content" ObjectID="_1726484328" r:id="rId28"/>
        </w:object>
      </w:r>
      <w:r w:rsidR="00DF6285" w:rsidRPr="00AC36D6" w:rsidDel="00DF6285">
        <w:rPr>
          <w:rFonts w:eastAsia="Times New Roman" w:cs="Arial"/>
          <w:bCs/>
          <w:color w:val="000000"/>
          <w:kern w:val="32"/>
        </w:rPr>
        <w:t xml:space="preserve"> </w:t>
      </w:r>
      <w:r w:rsidRPr="00AC36D6">
        <w:rPr>
          <w:rFonts w:eastAsia="Times New Roman" w:cs="Arial"/>
          <w:bCs/>
          <w:color w:val="000000"/>
          <w:kern w:val="32"/>
        </w:rPr>
        <w:t xml:space="preserve">, </w:t>
      </w:r>
      <w:r w:rsidR="0066670F" w:rsidRPr="00AC36D6">
        <w:rPr>
          <w:position w:val="-14"/>
        </w:rPr>
        <w:object w:dxaOrig="380" w:dyaOrig="380" w14:anchorId="3503DA9D">
          <v:shape id="_x0000_i1032" type="#_x0000_t75" style="width:19.3pt;height:19.3pt" o:ole="">
            <v:imagedata r:id="rId29" o:title=""/>
          </v:shape>
          <o:OLEObject Type="Embed" ProgID="Equation.DSMT4" ShapeID="_x0000_i1032" DrawAspect="Content" ObjectID="_1726484329" r:id="rId30"/>
        </w:object>
      </w:r>
      <w:r w:rsidRPr="00AC36D6">
        <w:rPr>
          <w:rFonts w:eastAsia="Times New Roman"/>
          <w:bCs/>
          <w:color w:val="000000"/>
          <w:kern w:val="32"/>
        </w:rPr>
        <w:t xml:space="preserve">, and </w:t>
      </w:r>
      <w:r w:rsidRPr="00AC36D6">
        <w:rPr>
          <w:rFonts w:eastAsia="Times New Roman" w:cs="Arial"/>
          <w:bCs/>
          <w:color w:val="000000"/>
          <w:kern w:val="32"/>
          <w:position w:val="-12"/>
        </w:rPr>
        <w:object w:dxaOrig="279" w:dyaOrig="360" w14:anchorId="5A342BE9">
          <v:shape id="_x0000_i1033" type="#_x0000_t75" style="width:13.7pt;height:19.3pt" o:ole="">
            <v:imagedata r:id="rId31" o:title=""/>
          </v:shape>
          <o:OLEObject Type="Embed" ProgID="Equation.3" ShapeID="_x0000_i1033" DrawAspect="Content" ObjectID="_1726484330" r:id="rId32"/>
        </w:object>
      </w:r>
      <w:r w:rsidRPr="00AC36D6">
        <w:rPr>
          <w:rFonts w:eastAsia="Times New Roman"/>
          <w:bCs/>
          <w:color w:val="000000"/>
          <w:kern w:val="32"/>
        </w:rPr>
        <w:t xml:space="preserve"> are parameters associated with </w:t>
      </w:r>
      <w:r w:rsidR="00C50A87" w:rsidRPr="00AC36D6">
        <w:rPr>
          <w:rFonts w:eastAsia="Times New Roman"/>
          <w:bCs/>
          <w:color w:val="000000"/>
          <w:kern w:val="32"/>
        </w:rPr>
        <w:t xml:space="preserve">inside </w:t>
      </w:r>
      <w:r w:rsidRPr="00AC36D6">
        <w:rPr>
          <w:rFonts w:eastAsia="Times New Roman"/>
          <w:bCs/>
          <w:color w:val="000000"/>
          <w:kern w:val="32"/>
        </w:rPr>
        <w:t>good</w:t>
      </w:r>
      <w:r w:rsidR="00C50A87" w:rsidRPr="00AC36D6">
        <w:rPr>
          <w:rFonts w:eastAsia="Times New Roman"/>
          <w:bCs/>
          <w:color w:val="000000"/>
          <w:kern w:val="32"/>
        </w:rPr>
        <w:t>s</w:t>
      </w:r>
      <w:r w:rsidRPr="00AC36D6">
        <w:rPr>
          <w:rFonts w:eastAsia="Times New Roman"/>
          <w:bCs/>
          <w:color w:val="000000"/>
          <w:kern w:val="32"/>
        </w:rPr>
        <w:t xml:space="preserve"> </w:t>
      </w:r>
      <w:r w:rsidR="00756C0E" w:rsidRPr="00AC36D6">
        <w:rPr>
          <w:rFonts w:eastAsia="Times New Roman"/>
          <w:bCs/>
          <w:iCs/>
          <w:color w:val="000000"/>
          <w:kern w:val="32"/>
        </w:rPr>
        <w:t>(</w:t>
      </w:r>
      <w:r w:rsidR="00CC16BF" w:rsidRPr="00AC36D6">
        <w:rPr>
          <w:rFonts w:eastAsia="Times New Roman"/>
          <w:bCs/>
          <w:i/>
          <w:color w:val="000000"/>
          <w:kern w:val="32"/>
        </w:rPr>
        <w:t xml:space="preserve">k </w:t>
      </w:r>
      <w:r w:rsidR="00756C0E" w:rsidRPr="00AC36D6">
        <w:rPr>
          <w:rFonts w:eastAsia="Times New Roman"/>
          <w:bCs/>
          <w:i/>
          <w:color w:val="000000"/>
          <w:kern w:val="32"/>
        </w:rPr>
        <w:t>=2,3,…K</w:t>
      </w:r>
      <w:r w:rsidR="00756C0E" w:rsidRPr="00AC36D6">
        <w:rPr>
          <w:rFonts w:eastAsia="Times New Roman"/>
          <w:bCs/>
          <w:iCs/>
          <w:color w:val="000000"/>
          <w:kern w:val="32"/>
        </w:rPr>
        <w:t>)</w:t>
      </w:r>
      <w:r w:rsidRPr="00AC36D6">
        <w:rPr>
          <w:rFonts w:eastAsia="Times New Roman"/>
          <w:bCs/>
          <w:color w:val="000000"/>
          <w:kern w:val="32"/>
        </w:rPr>
        <w:t>.</w:t>
      </w:r>
      <w:r w:rsidRPr="00AC36D6">
        <w:rPr>
          <w:rFonts w:eastAsia="Times New Roman" w:cs="Arial"/>
          <w:bCs/>
          <w:color w:val="000000"/>
          <w:kern w:val="32"/>
        </w:rPr>
        <w:t xml:space="preserve"> </w:t>
      </w:r>
      <w:r w:rsidR="0017233D" w:rsidRPr="00AC36D6">
        <w:rPr>
          <w:rFonts w:eastAsia="Times New Roman" w:cs="Arial"/>
          <w:bCs/>
          <w:color w:val="000000"/>
          <w:kern w:val="32"/>
        </w:rPr>
        <w:t xml:space="preserve">The expression for </w:t>
      </w:r>
      <w:r w:rsidR="0017233D" w:rsidRPr="00AC36D6">
        <w:rPr>
          <w:rFonts w:eastAsia="Times New Roman" w:cs="Arial"/>
          <w:bCs/>
          <w:color w:val="000000"/>
          <w:kern w:val="32"/>
          <w:position w:val="-10"/>
        </w:rPr>
        <w:object w:dxaOrig="580" w:dyaOrig="320" w14:anchorId="16D2E541">
          <v:shape id="_x0000_i1034" type="#_x0000_t75" style="width:29.15pt;height:15.85pt" o:ole="" o:preferrelative="f">
            <v:imagedata r:id="rId19" o:title=""/>
            <o:lock v:ext="edit" aspectratio="f"/>
          </v:shape>
          <o:OLEObject Type="Embed" ProgID="Equation.3" ShapeID="_x0000_i1034" DrawAspect="Content" ObjectID="_1726484331" r:id="rId33"/>
        </w:object>
      </w:r>
      <w:r w:rsidR="00C50A87" w:rsidRPr="00AC36D6">
        <w:rPr>
          <w:rFonts w:eastAsia="Times New Roman" w:cs="Arial"/>
          <w:bCs/>
          <w:color w:val="000000"/>
          <w:kern w:val="32"/>
        </w:rPr>
        <w:t xml:space="preserve"> is a valid utility function if  </w:t>
      </w:r>
      <w:r w:rsidR="00C50A87" w:rsidRPr="00AC36D6">
        <w:rPr>
          <w:rFonts w:eastAsia="Times New Roman" w:cs="Arial"/>
          <w:bCs/>
          <w:color w:val="000000"/>
          <w:kern w:val="32"/>
          <w:position w:val="-12"/>
        </w:rPr>
        <w:object w:dxaOrig="660" w:dyaOrig="360" w14:anchorId="1C1192CC">
          <v:shape id="_x0000_i1035" type="#_x0000_t75" style="width:33pt;height:19.3pt" o:ole="">
            <v:imagedata r:id="rId34" o:title=""/>
          </v:shape>
          <o:OLEObject Type="Embed" ProgID="Equation.DSMT4" ShapeID="_x0000_i1035" DrawAspect="Content" ObjectID="_1726484332" r:id="rId35"/>
        </w:object>
      </w:r>
      <w:r w:rsidR="00C50A87" w:rsidRPr="00AC36D6">
        <w:rPr>
          <w:rFonts w:eastAsia="Times New Roman" w:cs="Arial"/>
          <w:bCs/>
          <w:color w:val="000000"/>
          <w:kern w:val="32"/>
        </w:rPr>
        <w:t xml:space="preserve">, </w:t>
      </w:r>
      <w:r w:rsidR="00C50A87" w:rsidRPr="00AC36D6">
        <w:rPr>
          <w:position w:val="-12"/>
        </w:rPr>
        <w:object w:dxaOrig="740" w:dyaOrig="360" w14:anchorId="69394EAF">
          <v:shape id="_x0000_i1036" type="#_x0000_t75" style="width:36pt;height:19.3pt" o:ole="">
            <v:imagedata r:id="rId36" o:title=""/>
          </v:shape>
          <o:OLEObject Type="Embed" ProgID="Equation.DSMT4" ShapeID="_x0000_i1036" DrawAspect="Content" ObjectID="_1726484333" r:id="rId37"/>
        </w:object>
      </w:r>
      <w:r w:rsidR="00C50A87" w:rsidRPr="00AC36D6">
        <w:t xml:space="preserve">, and </w:t>
      </w:r>
      <w:r w:rsidR="00C50A87" w:rsidRPr="00AC36D6">
        <w:rPr>
          <w:rFonts w:eastAsia="Times New Roman" w:cs="Arial"/>
          <w:bCs/>
          <w:color w:val="000000"/>
          <w:kern w:val="32"/>
          <w:position w:val="-12"/>
        </w:rPr>
        <w:object w:dxaOrig="660" w:dyaOrig="360" w14:anchorId="568C80B7">
          <v:shape id="_x0000_i1037" type="#_x0000_t75" style="width:33pt;height:19.3pt" o:ole="">
            <v:imagedata r:id="rId38" o:title=""/>
          </v:shape>
          <o:OLEObject Type="Embed" ProgID="Equation.3" ShapeID="_x0000_i1037" DrawAspect="Content" ObjectID="_1726484334" r:id="rId39"/>
        </w:object>
      </w:r>
      <w:r w:rsidR="00C50A87" w:rsidRPr="00AC36D6">
        <w:rPr>
          <w:rFonts w:eastAsia="Times New Roman" w:cs="Arial"/>
          <w:bCs/>
          <w:color w:val="000000"/>
          <w:kern w:val="32"/>
        </w:rPr>
        <w:t xml:space="preserve">, for all </w:t>
      </w:r>
      <w:r w:rsidR="00C50A87" w:rsidRPr="00AC36D6">
        <w:rPr>
          <w:rFonts w:eastAsia="Times New Roman" w:cs="Arial"/>
          <w:bCs/>
          <w:i/>
          <w:color w:val="000000"/>
          <w:kern w:val="32"/>
        </w:rPr>
        <w:t>k</w:t>
      </w:r>
      <w:r w:rsidR="00C50A87" w:rsidRPr="00AC36D6">
        <w:rPr>
          <w:rFonts w:eastAsia="Times New Roman" w:cs="Arial"/>
          <w:bCs/>
          <w:color w:val="000000"/>
          <w:kern w:val="32"/>
        </w:rPr>
        <w:t xml:space="preserve">. </w:t>
      </w:r>
      <w:r w:rsidR="006D1DD0" w:rsidRPr="00AC36D6">
        <w:rPr>
          <w:rFonts w:eastAsia="Times New Roman"/>
          <w:bCs/>
          <w:color w:val="000000"/>
          <w:kern w:val="32"/>
        </w:rPr>
        <w:t xml:space="preserve">The </w:t>
      </w:r>
      <w:r w:rsidR="009B2C24" w:rsidRPr="00AC36D6">
        <w:rPr>
          <w:rFonts w:eastAsia="Times New Roman"/>
          <w:bCs/>
          <w:color w:val="000000"/>
          <w:kern w:val="32"/>
        </w:rPr>
        <w:t xml:space="preserve">equality </w:t>
      </w:r>
      <w:r w:rsidR="006D1DD0" w:rsidRPr="00AC36D6">
        <w:rPr>
          <w:rFonts w:eastAsia="Times New Roman"/>
          <w:bCs/>
          <w:color w:val="000000"/>
          <w:kern w:val="32"/>
        </w:rPr>
        <w:t xml:space="preserve">constraint in Equation (2) is the linear budget constraint, where </w:t>
      </w:r>
      <w:r w:rsidR="006D1DD0" w:rsidRPr="00AC36D6">
        <w:rPr>
          <w:rFonts w:eastAsia="Times New Roman"/>
          <w:bCs/>
          <w:i/>
          <w:color w:val="000000"/>
          <w:kern w:val="32"/>
        </w:rPr>
        <w:t>E</w:t>
      </w:r>
      <w:r w:rsidR="006D1DD0" w:rsidRPr="00AC36D6">
        <w:rPr>
          <w:rFonts w:eastAsia="Times New Roman"/>
          <w:bCs/>
          <w:color w:val="000000"/>
          <w:kern w:val="32"/>
        </w:rPr>
        <w:t xml:space="preserve"> is the total expenditure across all goods </w:t>
      </w:r>
      <w:r w:rsidR="006D1DD0" w:rsidRPr="00AC36D6">
        <w:rPr>
          <w:rFonts w:eastAsia="Times New Roman"/>
          <w:bCs/>
          <w:i/>
          <w:color w:val="000000"/>
          <w:kern w:val="32"/>
        </w:rPr>
        <w:t>k</w:t>
      </w:r>
      <w:r w:rsidR="006D1DD0" w:rsidRPr="00AC36D6">
        <w:rPr>
          <w:rFonts w:eastAsia="Times New Roman"/>
          <w:bCs/>
          <w:color w:val="000000"/>
          <w:kern w:val="32"/>
        </w:rPr>
        <w:t xml:space="preserve"> (</w:t>
      </w:r>
      <w:r w:rsidR="006D1DD0" w:rsidRPr="00AC36D6">
        <w:rPr>
          <w:rFonts w:eastAsia="Times New Roman"/>
          <w:bCs/>
          <w:i/>
          <w:color w:val="000000"/>
          <w:kern w:val="32"/>
        </w:rPr>
        <w:t xml:space="preserve">k </w:t>
      </w:r>
      <w:r w:rsidR="006D1DD0" w:rsidRPr="00AC36D6">
        <w:rPr>
          <w:rFonts w:eastAsia="Times New Roman"/>
          <w:bCs/>
          <w:color w:val="000000"/>
          <w:kern w:val="32"/>
        </w:rPr>
        <w:t xml:space="preserve">= 1, 2,…, </w:t>
      </w:r>
      <w:r w:rsidR="006D1DD0" w:rsidRPr="00AC36D6">
        <w:rPr>
          <w:rFonts w:eastAsia="Times New Roman"/>
          <w:bCs/>
          <w:i/>
          <w:color w:val="000000"/>
          <w:kern w:val="32"/>
        </w:rPr>
        <w:t>K</w:t>
      </w:r>
      <w:r w:rsidR="006D1DD0" w:rsidRPr="00AC36D6">
        <w:rPr>
          <w:rFonts w:eastAsia="Times New Roman"/>
          <w:bCs/>
          <w:color w:val="000000"/>
          <w:kern w:val="32"/>
        </w:rPr>
        <w:t xml:space="preserve">) and </w:t>
      </w:r>
      <w:r w:rsidR="006D1DD0" w:rsidRPr="00AC36D6">
        <w:rPr>
          <w:rFonts w:eastAsia="Times New Roman" w:cs="Arial"/>
          <w:bCs/>
          <w:color w:val="000000"/>
          <w:kern w:val="32"/>
          <w:position w:val="-12"/>
        </w:rPr>
        <w:object w:dxaOrig="680" w:dyaOrig="360" w14:anchorId="48404BAA">
          <v:shape id="_x0000_i1038" type="#_x0000_t75" style="width:36pt;height:19.3pt" o:ole="">
            <v:imagedata r:id="rId40" o:title=""/>
          </v:shape>
          <o:OLEObject Type="Embed" ProgID="Equation.3" ShapeID="_x0000_i1038" DrawAspect="Content" ObjectID="_1726484335" r:id="rId41"/>
        </w:object>
      </w:r>
      <w:r w:rsidR="006D1DD0" w:rsidRPr="00AC36D6">
        <w:rPr>
          <w:rFonts w:eastAsia="Times New Roman"/>
          <w:bCs/>
          <w:color w:val="000000"/>
          <w:kern w:val="32"/>
        </w:rPr>
        <w:t xml:space="preserve"> is the unit price of good </w:t>
      </w:r>
      <w:r w:rsidR="006D1DD0" w:rsidRPr="00AC36D6">
        <w:rPr>
          <w:rFonts w:eastAsia="Times New Roman"/>
          <w:bCs/>
          <w:i/>
          <w:color w:val="000000"/>
          <w:kern w:val="32"/>
        </w:rPr>
        <w:t>k</w:t>
      </w:r>
      <w:r w:rsidR="006D1DD0" w:rsidRPr="00AC36D6">
        <w:rPr>
          <w:rFonts w:eastAsia="Times New Roman"/>
          <w:bCs/>
          <w:color w:val="000000"/>
          <w:kern w:val="32"/>
        </w:rPr>
        <w:t xml:space="preserve"> (with </w:t>
      </w:r>
      <w:r w:rsidR="006D1DD0" w:rsidRPr="00AC36D6">
        <w:rPr>
          <w:rFonts w:eastAsia="Times New Roman" w:cs="Arial"/>
          <w:bCs/>
          <w:color w:val="000000"/>
          <w:kern w:val="32"/>
          <w:position w:val="-10"/>
        </w:rPr>
        <w:object w:dxaOrig="620" w:dyaOrig="340" w14:anchorId="65A3A4E1">
          <v:shape id="_x0000_i1039" type="#_x0000_t75" style="width:31.3pt;height:17.15pt" o:ole="">
            <v:imagedata r:id="rId42" o:title=""/>
          </v:shape>
          <o:OLEObject Type="Embed" ProgID="Equation.3" ShapeID="_x0000_i1039" DrawAspect="Content" ObjectID="_1726484336" r:id="rId43"/>
        </w:object>
      </w:r>
      <w:r w:rsidR="006D1DD0" w:rsidRPr="00AC36D6">
        <w:rPr>
          <w:rFonts w:eastAsia="Times New Roman" w:cs="Arial"/>
          <w:bCs/>
          <w:color w:val="000000"/>
          <w:kern w:val="32"/>
        </w:rPr>
        <w:t xml:space="preserve"> to represent the numeraire nature of the essential </w:t>
      </w:r>
      <w:r w:rsidR="00A73E4E" w:rsidRPr="00AC36D6">
        <w:rPr>
          <w:rFonts w:eastAsia="Times New Roman" w:cs="Arial"/>
          <w:bCs/>
          <w:color w:val="000000"/>
          <w:kern w:val="32"/>
        </w:rPr>
        <w:t xml:space="preserve">outside </w:t>
      </w:r>
      <w:r w:rsidR="006D1DD0" w:rsidRPr="00AC36D6">
        <w:rPr>
          <w:rFonts w:eastAsia="Times New Roman" w:cs="Arial"/>
          <w:bCs/>
          <w:color w:val="000000"/>
          <w:kern w:val="32"/>
        </w:rPr>
        <w:t xml:space="preserve">good). </w:t>
      </w:r>
      <w:r w:rsidR="00CE1880" w:rsidRPr="00F507E0">
        <w:rPr>
          <w:rFonts w:eastAsia="Times New Roman" w:cs="Arial"/>
          <w:bCs/>
          <w:kern w:val="32"/>
        </w:rPr>
        <w:t>T</w:t>
      </w:r>
      <w:r w:rsidR="004E3AA8" w:rsidRPr="00F507E0">
        <w:rPr>
          <w:rFonts w:eastAsia="Times New Roman" w:cs="Arial"/>
          <w:bCs/>
          <w:kern w:val="32"/>
        </w:rPr>
        <w:t>he total expenditure across all goods (</w:t>
      </w:r>
      <w:r w:rsidR="004E3AA8" w:rsidRPr="00F507E0">
        <w:rPr>
          <w:rFonts w:eastAsia="Times New Roman" w:cs="Arial"/>
          <w:bCs/>
          <w:i/>
          <w:iCs/>
          <w:kern w:val="32"/>
        </w:rPr>
        <w:t>i.e.,</w:t>
      </w:r>
      <w:r w:rsidR="004E3AA8" w:rsidRPr="00F507E0">
        <w:rPr>
          <w:rFonts w:eastAsia="Times New Roman" w:cs="Arial"/>
          <w:bCs/>
          <w:kern w:val="32"/>
        </w:rPr>
        <w:t xml:space="preserve"> </w:t>
      </w:r>
      <w:r w:rsidR="004E3AA8" w:rsidRPr="00F507E0">
        <w:rPr>
          <w:rFonts w:eastAsia="Times New Roman" w:cs="Arial"/>
          <w:bCs/>
          <w:i/>
          <w:iCs/>
          <w:kern w:val="32"/>
        </w:rPr>
        <w:t>E</w:t>
      </w:r>
      <w:r w:rsidR="004E3AA8" w:rsidRPr="00F507E0">
        <w:rPr>
          <w:rFonts w:eastAsia="Times New Roman" w:cs="Arial"/>
          <w:bCs/>
          <w:kern w:val="32"/>
        </w:rPr>
        <w:t xml:space="preserve">) is assumed to be large relative to the </w:t>
      </w:r>
      <w:r w:rsidR="00615CEF" w:rsidRPr="00F507E0">
        <w:rPr>
          <w:rFonts w:eastAsia="Times New Roman" w:cs="Arial"/>
          <w:bCs/>
          <w:kern w:val="32"/>
        </w:rPr>
        <w:t xml:space="preserve">total allocation to </w:t>
      </w:r>
      <w:r w:rsidR="00FC2F89" w:rsidRPr="00F507E0">
        <w:rPr>
          <w:rFonts w:eastAsia="Times New Roman"/>
          <w:bCs/>
          <w:kern w:val="32"/>
        </w:rPr>
        <w:t>all</w:t>
      </w:r>
      <w:r w:rsidR="00FC2F89" w:rsidRPr="00F507E0">
        <w:rPr>
          <w:rFonts w:eastAsia="Times New Roman" w:cs="Arial"/>
          <w:bCs/>
          <w:kern w:val="32"/>
        </w:rPr>
        <w:t xml:space="preserve"> </w:t>
      </w:r>
      <w:r w:rsidR="004E3AA8" w:rsidRPr="00F507E0">
        <w:rPr>
          <w:rFonts w:eastAsia="Times New Roman" w:cs="Arial"/>
          <w:bCs/>
          <w:kern w:val="32"/>
        </w:rPr>
        <w:t>inside goods</w:t>
      </w:r>
      <w:r w:rsidR="001A4ED6" w:rsidRPr="00F507E0">
        <w:rPr>
          <w:rFonts w:eastAsia="Times New Roman"/>
          <w:bCs/>
          <w:kern w:val="32"/>
        </w:rPr>
        <w:t>.</w:t>
      </w:r>
      <w:r w:rsidR="00EE179A" w:rsidRPr="00F507E0">
        <w:rPr>
          <w:rFonts w:eastAsia="Times New Roman"/>
          <w:bCs/>
          <w:kern w:val="32"/>
        </w:rPr>
        <w:t xml:space="preserve"> </w:t>
      </w:r>
      <w:bookmarkStart w:id="2" w:name="_Hlk115084580"/>
      <w:r w:rsidR="00D87759" w:rsidRPr="00F507E0">
        <w:rPr>
          <w:rFonts w:eastAsia="Times New Roman"/>
          <w:bCs/>
          <w:kern w:val="32"/>
        </w:rPr>
        <w:t>This assumption is due to the linear outside</w:t>
      </w:r>
      <w:r w:rsidR="00565065" w:rsidRPr="00F507E0">
        <w:rPr>
          <w:rFonts w:eastAsia="Times New Roman"/>
          <w:bCs/>
          <w:kern w:val="32"/>
        </w:rPr>
        <w:t>-</w:t>
      </w:r>
      <w:r w:rsidR="00D87759" w:rsidRPr="00F507E0">
        <w:rPr>
          <w:rFonts w:eastAsia="Times New Roman"/>
          <w:bCs/>
          <w:kern w:val="32"/>
        </w:rPr>
        <w:t xml:space="preserve">good utility profile employed in the flexible utility </w:t>
      </w:r>
      <w:r w:rsidR="00BF59AB" w:rsidRPr="00F507E0">
        <w:rPr>
          <w:rFonts w:eastAsia="Times New Roman"/>
          <w:bCs/>
          <w:kern w:val="32"/>
        </w:rPr>
        <w:t>form</w:t>
      </w:r>
      <w:r w:rsidR="00D87759" w:rsidRPr="00F507E0">
        <w:rPr>
          <w:rFonts w:eastAsia="Times New Roman"/>
          <w:bCs/>
          <w:kern w:val="32"/>
        </w:rPr>
        <w:t xml:space="preserve"> of Equation (1). Specifically, as discussed in Saxena et al. (2022), the use of </w:t>
      </w:r>
      <w:r w:rsidR="003643F6" w:rsidRPr="00F507E0">
        <w:rPr>
          <w:rFonts w:eastAsia="Times New Roman"/>
          <w:bCs/>
          <w:kern w:val="32"/>
        </w:rPr>
        <w:t>a</w:t>
      </w:r>
      <w:r w:rsidR="00D87759" w:rsidRPr="00F507E0">
        <w:rPr>
          <w:rFonts w:eastAsia="Times New Roman"/>
          <w:bCs/>
          <w:kern w:val="32"/>
        </w:rPr>
        <w:t xml:space="preserve"> linear utility profile for the outside good results in a likelihood function that does not include the outside good value or the total budget value (</w:t>
      </w:r>
      <w:r w:rsidR="00D87759" w:rsidRPr="00F507E0">
        <w:rPr>
          <w:rFonts w:eastAsia="Times New Roman"/>
          <w:bCs/>
          <w:i/>
          <w:iCs/>
          <w:kern w:val="32"/>
        </w:rPr>
        <w:t>E</w:t>
      </w:r>
      <w:r w:rsidR="00D87759" w:rsidRPr="00F507E0">
        <w:rPr>
          <w:rFonts w:eastAsia="Times New Roman"/>
          <w:bCs/>
          <w:kern w:val="32"/>
        </w:rPr>
        <w:t xml:space="preserve">). Such models can be interpreted as if the overall budget is very large relative to the total </w:t>
      </w:r>
      <w:r w:rsidR="003643F6" w:rsidRPr="00F507E0">
        <w:rPr>
          <w:rFonts w:eastAsia="Times New Roman"/>
          <w:bCs/>
          <w:kern w:val="32"/>
        </w:rPr>
        <w:t xml:space="preserve">expenditure </w:t>
      </w:r>
      <w:r w:rsidR="00D87759" w:rsidRPr="00F507E0">
        <w:rPr>
          <w:rFonts w:eastAsia="Times New Roman"/>
          <w:bCs/>
          <w:kern w:val="32"/>
        </w:rPr>
        <w:t xml:space="preserve">allocation </w:t>
      </w:r>
      <w:r w:rsidR="003643F6" w:rsidRPr="00F507E0">
        <w:rPr>
          <w:rFonts w:eastAsia="Times New Roman"/>
          <w:bCs/>
          <w:kern w:val="32"/>
        </w:rPr>
        <w:t>to</w:t>
      </w:r>
      <w:r w:rsidR="00D87759" w:rsidRPr="00F507E0">
        <w:rPr>
          <w:rFonts w:eastAsia="Times New Roman"/>
          <w:bCs/>
          <w:kern w:val="32"/>
        </w:rPr>
        <w:t xml:space="preserve"> all inside goods.</w:t>
      </w:r>
      <w:bookmarkEnd w:id="2"/>
      <w:r w:rsidR="00D87759" w:rsidRPr="00F507E0">
        <w:rPr>
          <w:rFonts w:eastAsia="Times New Roman"/>
          <w:bCs/>
          <w:kern w:val="32"/>
        </w:rPr>
        <w:t xml:space="preserve"> In the current empirical context, it is safe to </w:t>
      </w:r>
      <w:r w:rsidR="0023160D" w:rsidRPr="00F507E0">
        <w:rPr>
          <w:rFonts w:eastAsia="Times New Roman"/>
          <w:bCs/>
          <w:kern w:val="32"/>
        </w:rPr>
        <w:t xml:space="preserve">make this </w:t>
      </w:r>
      <w:r w:rsidR="00D87759" w:rsidRPr="00F507E0">
        <w:rPr>
          <w:rFonts w:eastAsia="Times New Roman"/>
          <w:bCs/>
          <w:kern w:val="32"/>
        </w:rPr>
        <w:t>assum</w:t>
      </w:r>
      <w:r w:rsidR="0023160D" w:rsidRPr="00F507E0">
        <w:rPr>
          <w:rFonts w:eastAsia="Times New Roman"/>
          <w:bCs/>
          <w:kern w:val="32"/>
        </w:rPr>
        <w:t>ption</w:t>
      </w:r>
      <w:r w:rsidR="00D87759" w:rsidRPr="00F507E0">
        <w:rPr>
          <w:rFonts w:eastAsia="Times New Roman"/>
          <w:bCs/>
          <w:kern w:val="32"/>
        </w:rPr>
        <w:t xml:space="preserve"> </w:t>
      </w:r>
      <w:r w:rsidR="0023160D" w:rsidRPr="00F507E0">
        <w:rPr>
          <w:rFonts w:eastAsia="Times New Roman"/>
          <w:bCs/>
          <w:kern w:val="32"/>
        </w:rPr>
        <w:t>because</w:t>
      </w:r>
      <w:r w:rsidR="00D87759" w:rsidRPr="00F507E0">
        <w:rPr>
          <w:rFonts w:eastAsia="Times New Roman"/>
          <w:bCs/>
          <w:kern w:val="32"/>
        </w:rPr>
        <w:t xml:space="preserve"> </w:t>
      </w:r>
      <w:r w:rsidR="00D87759" w:rsidRPr="00F507E0">
        <w:rPr>
          <w:rFonts w:eastAsia="Times New Roman"/>
          <w:bCs/>
          <w:kern w:val="32"/>
        </w:rPr>
        <w:lastRenderedPageBreak/>
        <w:t>households/individuals allocate only a small portion of their overall incomes (i.e., budget) to a single vacation trip (i.e., total allocation to all inside goods).</w:t>
      </w:r>
    </w:p>
    <w:p w14:paraId="757D72C9" w14:textId="709F7AB3" w:rsidR="006764C1" w:rsidRPr="00AC36D6" w:rsidRDefault="006D1DD0" w:rsidP="006764C1">
      <w:pPr>
        <w:spacing w:after="0" w:line="360" w:lineRule="auto"/>
        <w:ind w:firstLine="720"/>
        <w:jc w:val="both"/>
        <w:rPr>
          <w:rFonts w:eastAsia="Times New Roman" w:cs="Arial"/>
          <w:bCs/>
          <w:color w:val="000000"/>
          <w:kern w:val="32"/>
        </w:rPr>
      </w:pPr>
      <w:r w:rsidRPr="00AC36D6">
        <w:rPr>
          <w:rFonts w:eastAsia="Times New Roman"/>
          <w:bCs/>
          <w:color w:val="000000"/>
          <w:kern w:val="32"/>
        </w:rPr>
        <w:t>As can be observed,</w:t>
      </w:r>
      <w:r w:rsidR="007E733C" w:rsidRPr="00AC36D6">
        <w:rPr>
          <w:rFonts w:eastAsia="Times New Roman"/>
          <w:bCs/>
          <w:color w:val="000000"/>
          <w:kern w:val="32"/>
        </w:rPr>
        <w:t xml:space="preserve"> </w:t>
      </w:r>
      <w:r w:rsidR="00F65633" w:rsidRPr="00AC36D6">
        <w:rPr>
          <w:rFonts w:eastAsia="Times New Roman"/>
          <w:bCs/>
          <w:color w:val="000000"/>
          <w:kern w:val="32"/>
        </w:rPr>
        <w:t>the utility function is</w:t>
      </w:r>
      <w:r w:rsidR="007E733C" w:rsidRPr="00AC36D6">
        <w:rPr>
          <w:rFonts w:eastAsia="Times New Roman" w:cs="Arial"/>
          <w:bCs/>
          <w:color w:val="000000"/>
          <w:kern w:val="32"/>
          <w:szCs w:val="32"/>
        </w:rPr>
        <w:t xml:space="preserve"> </w:t>
      </w:r>
      <w:r w:rsidR="00F65633" w:rsidRPr="00AC36D6">
        <w:rPr>
          <w:rFonts w:eastAsia="Times New Roman" w:cs="Arial"/>
          <w:bCs/>
          <w:color w:val="000000"/>
          <w:kern w:val="32"/>
          <w:szCs w:val="32"/>
        </w:rPr>
        <w:t xml:space="preserve">linear with respect to </w:t>
      </w:r>
      <w:r w:rsidR="007E733C" w:rsidRPr="00AC36D6">
        <w:rPr>
          <w:rFonts w:eastAsia="Times New Roman" w:cs="Arial"/>
          <w:bCs/>
          <w:color w:val="000000"/>
          <w:kern w:val="32"/>
          <w:szCs w:val="32"/>
        </w:rPr>
        <w:t xml:space="preserve">consumption </w:t>
      </w:r>
      <w:r w:rsidR="00F65633" w:rsidRPr="00AC36D6">
        <w:rPr>
          <w:rFonts w:eastAsia="Times New Roman" w:cs="Arial"/>
          <w:bCs/>
          <w:color w:val="000000"/>
          <w:kern w:val="32"/>
          <w:szCs w:val="32"/>
        </w:rPr>
        <w:t xml:space="preserve">of </w:t>
      </w:r>
      <w:r w:rsidR="007E733C" w:rsidRPr="00AC36D6">
        <w:rPr>
          <w:rFonts w:eastAsia="Times New Roman" w:cs="Arial"/>
          <w:bCs/>
          <w:color w:val="000000"/>
          <w:kern w:val="32"/>
          <w:szCs w:val="32"/>
        </w:rPr>
        <w:t>the outside good, implying no satiation in the consumption of the outside</w:t>
      </w:r>
      <w:r w:rsidR="00FF791C" w:rsidRPr="00AC36D6">
        <w:rPr>
          <w:rFonts w:eastAsia="Times New Roman" w:cs="Arial"/>
          <w:bCs/>
          <w:color w:val="000000"/>
          <w:kern w:val="32"/>
          <w:szCs w:val="32"/>
        </w:rPr>
        <w:t xml:space="preserve"> good</w:t>
      </w:r>
      <w:r w:rsidR="007E733C" w:rsidRPr="00AC36D6">
        <w:rPr>
          <w:rFonts w:eastAsia="Times New Roman" w:cs="Arial"/>
          <w:bCs/>
          <w:color w:val="000000"/>
          <w:kern w:val="32"/>
          <w:szCs w:val="32"/>
        </w:rPr>
        <w:t xml:space="preserve">. Thus, multiple discreteness occurs because of satiation effects </w:t>
      </w:r>
      <w:r w:rsidR="002111C4" w:rsidRPr="00AC36D6">
        <w:rPr>
          <w:rFonts w:eastAsia="Times New Roman" w:cs="Arial"/>
          <w:bCs/>
          <w:color w:val="000000"/>
          <w:kern w:val="32"/>
          <w:szCs w:val="32"/>
        </w:rPr>
        <w:t xml:space="preserve">on </w:t>
      </w:r>
      <w:r w:rsidR="007E733C" w:rsidRPr="00AC36D6">
        <w:rPr>
          <w:rFonts w:eastAsia="Times New Roman" w:cs="Arial"/>
          <w:bCs/>
          <w:color w:val="000000"/>
          <w:kern w:val="32"/>
          <w:szCs w:val="32"/>
        </w:rPr>
        <w:t xml:space="preserve">the </w:t>
      </w:r>
      <w:r w:rsidR="002111C4" w:rsidRPr="00AC36D6">
        <w:rPr>
          <w:rFonts w:eastAsia="Times New Roman" w:cs="Arial"/>
          <w:bCs/>
          <w:color w:val="000000"/>
          <w:kern w:val="32"/>
          <w:szCs w:val="32"/>
        </w:rPr>
        <w:t xml:space="preserve">consumption of </w:t>
      </w:r>
      <w:r w:rsidR="007E733C" w:rsidRPr="00AC36D6">
        <w:rPr>
          <w:rFonts w:eastAsia="Times New Roman" w:cs="Arial"/>
          <w:bCs/>
          <w:color w:val="000000"/>
          <w:kern w:val="32"/>
          <w:szCs w:val="32"/>
        </w:rPr>
        <w:t>inside goods</w:t>
      </w:r>
      <w:r w:rsidR="004834C4" w:rsidRPr="00AC36D6">
        <w:rPr>
          <w:rFonts w:eastAsia="Times New Roman" w:cs="Arial"/>
          <w:bCs/>
          <w:color w:val="000000"/>
          <w:kern w:val="32"/>
          <w:szCs w:val="32"/>
        </w:rPr>
        <w:t xml:space="preserve"> </w:t>
      </w:r>
      <w:r w:rsidR="004834C4" w:rsidRPr="00AC36D6">
        <w:rPr>
          <w:rFonts w:eastAsia="Times New Roman"/>
          <w:bCs/>
          <w:color w:val="000000"/>
          <w:kern w:val="32"/>
        </w:rPr>
        <w:t>(</w:t>
      </w:r>
      <w:r w:rsidR="004834C4" w:rsidRPr="00AC36D6">
        <w:rPr>
          <w:rFonts w:eastAsia="Times New Roman"/>
          <w:bCs/>
          <w:i/>
          <w:color w:val="000000"/>
          <w:kern w:val="32"/>
        </w:rPr>
        <w:t xml:space="preserve">k </w:t>
      </w:r>
      <w:r w:rsidR="004834C4" w:rsidRPr="00AC36D6">
        <w:rPr>
          <w:rFonts w:eastAsia="Times New Roman"/>
          <w:bCs/>
          <w:color w:val="000000"/>
          <w:kern w:val="32"/>
        </w:rPr>
        <w:t>= 2,3,…,</w:t>
      </w:r>
      <w:r w:rsidR="004834C4" w:rsidRPr="00AC36D6">
        <w:rPr>
          <w:rFonts w:eastAsia="Times New Roman"/>
          <w:bCs/>
          <w:i/>
          <w:color w:val="000000"/>
          <w:kern w:val="32"/>
        </w:rPr>
        <w:t>K</w:t>
      </w:r>
      <w:r w:rsidR="004834C4" w:rsidRPr="00AC36D6">
        <w:rPr>
          <w:rFonts w:eastAsia="Times New Roman"/>
          <w:bCs/>
          <w:color w:val="000000"/>
          <w:kern w:val="32"/>
        </w:rPr>
        <w:t>)</w:t>
      </w:r>
      <w:r w:rsidR="007E733C" w:rsidRPr="00AC36D6">
        <w:rPr>
          <w:rFonts w:eastAsia="Times New Roman"/>
          <w:bCs/>
          <w:color w:val="000000"/>
          <w:kern w:val="32"/>
        </w:rPr>
        <w:t>.</w:t>
      </w:r>
      <w:r w:rsidR="00D72C5D" w:rsidRPr="00AC36D6">
        <w:rPr>
          <w:rFonts w:eastAsia="Times New Roman" w:cs="Arial"/>
          <w:bCs/>
          <w:color w:val="000000"/>
          <w:kern w:val="32"/>
        </w:rPr>
        <w:t xml:space="preserve"> </w:t>
      </w:r>
      <w:r w:rsidR="004E3C4B" w:rsidRPr="00AC36D6">
        <w:rPr>
          <w:rFonts w:eastAsia="Times New Roman" w:cs="Arial"/>
          <w:bCs/>
          <w:color w:val="000000"/>
          <w:kern w:val="32"/>
        </w:rPr>
        <w:t>For inside goods,</w:t>
      </w:r>
      <w:r w:rsidR="00920293" w:rsidRPr="00AC36D6">
        <w:rPr>
          <w:rFonts w:eastAsia="Times New Roman" w:cs="Arial"/>
          <w:bCs/>
          <w:color w:val="000000"/>
          <w:kern w:val="32"/>
        </w:rPr>
        <w:t xml:space="preserve"> the</w:t>
      </w:r>
      <w:r w:rsidR="004E3C4B" w:rsidRPr="00AC36D6">
        <w:rPr>
          <w:rFonts w:eastAsia="Times New Roman" w:cs="Arial"/>
          <w:bCs/>
          <w:color w:val="000000"/>
          <w:kern w:val="32"/>
        </w:rPr>
        <w:t xml:space="preserve"> </w:t>
      </w:r>
      <w:r w:rsidR="004E3C4B" w:rsidRPr="00AC36D6">
        <w:rPr>
          <w:rFonts w:eastAsia="Times New Roman" w:cs="Arial"/>
          <w:bCs/>
          <w:color w:val="000000"/>
          <w:kern w:val="32"/>
          <w:position w:val="-12"/>
          <w:szCs w:val="32"/>
        </w:rPr>
        <w:object w:dxaOrig="380" w:dyaOrig="360" w14:anchorId="015ADF9A">
          <v:shape id="_x0000_i1040" type="#_x0000_t75" style="width:19.3pt;height:19.3pt" o:ole="">
            <v:imagedata r:id="rId44" o:title=""/>
          </v:shape>
          <o:OLEObject Type="Embed" ProgID="Equation.3" ShapeID="_x0000_i1040" DrawAspect="Content" ObjectID="_1726484337" r:id="rId45"/>
        </w:object>
      </w:r>
      <w:r w:rsidR="004E3C4B" w:rsidRPr="00AC36D6">
        <w:rPr>
          <w:rFonts w:eastAsia="Times New Roman" w:cs="Arial"/>
          <w:bCs/>
          <w:color w:val="000000"/>
          <w:kern w:val="32"/>
          <w:szCs w:val="32"/>
        </w:rPr>
        <w:t xml:space="preserve"> </w:t>
      </w:r>
      <w:r w:rsidR="00C045A9" w:rsidRPr="00AC36D6">
        <w:rPr>
          <w:rFonts w:eastAsia="Times New Roman" w:cs="Arial"/>
          <w:bCs/>
          <w:color w:val="000000"/>
          <w:kern w:val="32"/>
          <w:szCs w:val="32"/>
        </w:rPr>
        <w:t>parameter</w:t>
      </w:r>
      <w:r w:rsidR="00623214" w:rsidRPr="00AC36D6">
        <w:rPr>
          <w:rFonts w:eastAsia="Times New Roman" w:cs="Arial"/>
          <w:bCs/>
          <w:color w:val="000000"/>
          <w:kern w:val="32"/>
          <w:szCs w:val="32"/>
        </w:rPr>
        <w:t xml:space="preserve"> </w:t>
      </w:r>
      <w:r w:rsidR="004E3C4B" w:rsidRPr="00AC36D6">
        <w:rPr>
          <w:rFonts w:eastAsia="Times New Roman" w:cs="Arial"/>
          <w:bCs/>
          <w:color w:val="000000"/>
          <w:kern w:val="32"/>
          <w:szCs w:val="32"/>
        </w:rPr>
        <w:t>correspond</w:t>
      </w:r>
      <w:r w:rsidR="00920293" w:rsidRPr="00AC36D6">
        <w:rPr>
          <w:rFonts w:eastAsia="Times New Roman" w:cs="Arial"/>
          <w:bCs/>
          <w:color w:val="000000"/>
          <w:kern w:val="32"/>
          <w:szCs w:val="32"/>
        </w:rPr>
        <w:t>s</w:t>
      </w:r>
      <w:r w:rsidR="004E3C4B" w:rsidRPr="00AC36D6">
        <w:rPr>
          <w:rFonts w:eastAsia="Times New Roman" w:cs="Arial"/>
          <w:bCs/>
          <w:color w:val="000000"/>
          <w:kern w:val="32"/>
          <w:szCs w:val="32"/>
        </w:rPr>
        <w:t xml:space="preserve"> to the baseline preference that determines </w:t>
      </w:r>
      <w:r w:rsidR="00920293" w:rsidRPr="00AC36D6">
        <w:rPr>
          <w:rFonts w:eastAsia="Times New Roman" w:cs="Arial"/>
          <w:bCs/>
          <w:color w:val="000000"/>
          <w:kern w:val="32"/>
          <w:szCs w:val="32"/>
        </w:rPr>
        <w:t>whether</w:t>
      </w:r>
      <w:r w:rsidR="004E3C4B" w:rsidRPr="00AC36D6">
        <w:rPr>
          <w:rFonts w:eastAsia="Times New Roman" w:cs="Arial"/>
          <w:bCs/>
          <w:color w:val="000000"/>
          <w:kern w:val="32"/>
          <w:szCs w:val="32"/>
        </w:rPr>
        <w:t xml:space="preserve"> good </w:t>
      </w:r>
      <w:r w:rsidR="004E3C4B" w:rsidRPr="00AC36D6">
        <w:rPr>
          <w:rFonts w:eastAsia="Times New Roman" w:cs="Arial"/>
          <w:bCs/>
          <w:i/>
          <w:color w:val="000000"/>
          <w:kern w:val="32"/>
          <w:szCs w:val="32"/>
        </w:rPr>
        <w:t>k</w:t>
      </w:r>
      <w:r w:rsidR="004E3C4B" w:rsidRPr="00AC36D6">
        <w:rPr>
          <w:rFonts w:eastAsia="Times New Roman" w:cs="Arial"/>
          <w:bCs/>
          <w:color w:val="000000"/>
          <w:kern w:val="32"/>
          <w:szCs w:val="32"/>
        </w:rPr>
        <w:t xml:space="preserve"> </w:t>
      </w:r>
      <w:r w:rsidR="00653130" w:rsidRPr="00AC36D6">
        <w:rPr>
          <w:rFonts w:eastAsia="Times New Roman" w:cs="Arial"/>
          <w:bCs/>
          <w:color w:val="000000"/>
          <w:kern w:val="32"/>
          <w:szCs w:val="32"/>
        </w:rPr>
        <w:t>is</w:t>
      </w:r>
      <w:r w:rsidR="004E3C4B" w:rsidRPr="00AC36D6">
        <w:rPr>
          <w:rFonts w:eastAsia="Times New Roman" w:cs="Arial"/>
          <w:bCs/>
          <w:color w:val="000000"/>
          <w:kern w:val="32"/>
          <w:szCs w:val="32"/>
        </w:rPr>
        <w:t xml:space="preserve"> consumed (this is the discrete preference baseline utility component, or simply the </w:t>
      </w:r>
      <w:r w:rsidR="004E3C4B" w:rsidRPr="00AC36D6">
        <w:rPr>
          <w:rFonts w:eastAsia="Times New Roman" w:cs="Arial"/>
          <w:bCs/>
          <w:i/>
          <w:color w:val="000000"/>
          <w:kern w:val="32"/>
          <w:szCs w:val="32"/>
        </w:rPr>
        <w:t>D</w:t>
      </w:r>
      <w:r w:rsidR="004E3C4B" w:rsidRPr="00AC36D6">
        <w:rPr>
          <w:rFonts w:eastAsia="Times New Roman" w:cs="Arial"/>
          <w:bCs/>
          <w:color w:val="000000"/>
          <w:kern w:val="32"/>
          <w:szCs w:val="32"/>
        </w:rPr>
        <w:t xml:space="preserve">-preference </w:t>
      </w:r>
      <w:r w:rsidR="00CE4704" w:rsidRPr="00AC36D6">
        <w:rPr>
          <w:rFonts w:eastAsia="Times New Roman" w:cs="Arial"/>
          <w:bCs/>
          <w:color w:val="000000"/>
          <w:kern w:val="32"/>
          <w:szCs w:val="32"/>
        </w:rPr>
        <w:t>parameter</w:t>
      </w:r>
      <w:r w:rsidR="004E3C4B" w:rsidRPr="00AC36D6">
        <w:rPr>
          <w:rFonts w:eastAsia="Times New Roman" w:cs="Arial"/>
          <w:bCs/>
          <w:color w:val="000000"/>
          <w:kern w:val="32"/>
          <w:szCs w:val="32"/>
        </w:rPr>
        <w:t xml:space="preserve">). </w:t>
      </w:r>
      <w:r w:rsidR="00920293" w:rsidRPr="00AC36D6">
        <w:rPr>
          <w:rFonts w:eastAsia="Times New Roman" w:cs="Arial"/>
          <w:bCs/>
          <w:color w:val="000000"/>
          <w:kern w:val="32"/>
          <w:szCs w:val="32"/>
        </w:rPr>
        <w:t xml:space="preserve">The </w:t>
      </w:r>
      <w:r w:rsidR="00A55BFC" w:rsidRPr="00AC36D6">
        <w:rPr>
          <w:rFonts w:eastAsia="Times New Roman" w:cs="Arial"/>
          <w:bCs/>
          <w:color w:val="000000"/>
          <w:kern w:val="32"/>
          <w:position w:val="-12"/>
          <w:szCs w:val="32"/>
        </w:rPr>
        <w:object w:dxaOrig="360" w:dyaOrig="360" w14:anchorId="00CE6FF0">
          <v:shape id="_x0000_i1041" type="#_x0000_t75" style="width:19.3pt;height:19.3pt" o:ole="" o:preferrelative="f">
            <v:imagedata r:id="rId46" o:title=""/>
            <o:lock v:ext="edit" aspectratio="f"/>
          </v:shape>
          <o:OLEObject Type="Embed" ProgID="Equation.3" ShapeID="_x0000_i1041" DrawAspect="Content" ObjectID="_1726484338" r:id="rId47"/>
        </w:object>
      </w:r>
      <w:r w:rsidR="00A55BFC" w:rsidRPr="00AC36D6">
        <w:rPr>
          <w:rFonts w:eastAsia="Times New Roman" w:cs="Arial"/>
          <w:bCs/>
          <w:color w:val="000000"/>
          <w:kern w:val="32"/>
          <w:szCs w:val="32"/>
        </w:rPr>
        <w:t xml:space="preserve"> </w:t>
      </w:r>
      <w:r w:rsidR="00920293" w:rsidRPr="00AC36D6">
        <w:rPr>
          <w:rFonts w:eastAsia="Times New Roman" w:cs="Arial"/>
          <w:bCs/>
          <w:color w:val="000000"/>
          <w:kern w:val="32"/>
          <w:szCs w:val="32"/>
        </w:rPr>
        <w:t xml:space="preserve">parameter, </w:t>
      </w:r>
      <w:r w:rsidR="00A55BFC" w:rsidRPr="00AC36D6">
        <w:rPr>
          <w:rFonts w:eastAsia="Times New Roman" w:cs="Arial"/>
          <w:bCs/>
          <w:color w:val="000000"/>
          <w:kern w:val="32"/>
          <w:szCs w:val="32"/>
        </w:rPr>
        <w:t xml:space="preserve">on the other hand, corresponds to the baseline preference if good </w:t>
      </w:r>
      <w:r w:rsidR="00A55BFC" w:rsidRPr="00AC36D6">
        <w:rPr>
          <w:rFonts w:eastAsia="Times New Roman" w:cs="Arial"/>
          <w:bCs/>
          <w:i/>
          <w:color w:val="000000"/>
          <w:kern w:val="32"/>
          <w:szCs w:val="32"/>
        </w:rPr>
        <w:t>k</w:t>
      </w:r>
      <w:r w:rsidR="00A55BFC" w:rsidRPr="00AC36D6">
        <w:rPr>
          <w:rFonts w:eastAsia="Times New Roman" w:cs="Arial"/>
          <w:bCs/>
          <w:color w:val="000000"/>
          <w:kern w:val="32"/>
          <w:szCs w:val="32"/>
        </w:rPr>
        <w:t xml:space="preserve"> is consumed</w:t>
      </w:r>
      <w:r w:rsidR="00C51431" w:rsidRPr="00AC36D6">
        <w:rPr>
          <w:rFonts w:eastAsia="Times New Roman" w:cs="Arial"/>
          <w:bCs/>
          <w:color w:val="000000"/>
          <w:kern w:val="32"/>
          <w:szCs w:val="32"/>
        </w:rPr>
        <w:t>;</w:t>
      </w:r>
      <w:r w:rsidR="00A55BFC" w:rsidRPr="00AC36D6">
        <w:rPr>
          <w:rFonts w:eastAsia="Times New Roman" w:cs="Arial"/>
          <w:bCs/>
          <w:color w:val="000000"/>
          <w:kern w:val="32"/>
          <w:szCs w:val="32"/>
        </w:rPr>
        <w:t xml:space="preserve"> </w:t>
      </w:r>
      <w:r w:rsidR="00C51431" w:rsidRPr="00AC36D6">
        <w:rPr>
          <w:rFonts w:eastAsia="Times New Roman" w:cs="Arial"/>
          <w:bCs/>
          <w:color w:val="000000"/>
          <w:kern w:val="32"/>
          <w:szCs w:val="32"/>
        </w:rPr>
        <w:t>t</w:t>
      </w:r>
      <w:r w:rsidR="00A55BFC" w:rsidRPr="00AC36D6">
        <w:rPr>
          <w:rFonts w:eastAsia="Times New Roman" w:cs="Arial"/>
          <w:bCs/>
          <w:color w:val="000000"/>
          <w:kern w:val="32"/>
          <w:szCs w:val="32"/>
        </w:rPr>
        <w:t>his is</w:t>
      </w:r>
      <w:r w:rsidR="00C51431" w:rsidRPr="00AC36D6">
        <w:rPr>
          <w:rFonts w:eastAsia="Times New Roman" w:cs="Arial"/>
          <w:bCs/>
          <w:color w:val="000000"/>
          <w:kern w:val="32"/>
          <w:szCs w:val="32"/>
        </w:rPr>
        <w:t>,</w:t>
      </w:r>
      <w:r w:rsidR="00A55BFC" w:rsidRPr="00AC36D6">
        <w:rPr>
          <w:rFonts w:eastAsia="Times New Roman" w:cs="Arial"/>
          <w:bCs/>
          <w:color w:val="000000"/>
          <w:kern w:val="32"/>
          <w:szCs w:val="32"/>
        </w:rPr>
        <w:t xml:space="preserve"> the continuous preference baseline utility component, or simply the </w:t>
      </w:r>
      <w:r w:rsidR="00A55BFC" w:rsidRPr="00AC36D6">
        <w:rPr>
          <w:rFonts w:eastAsia="Times New Roman" w:cs="Arial"/>
          <w:bCs/>
          <w:i/>
          <w:color w:val="000000"/>
          <w:kern w:val="32"/>
          <w:szCs w:val="32"/>
        </w:rPr>
        <w:t>C</w:t>
      </w:r>
      <w:r w:rsidR="00A55BFC" w:rsidRPr="00AC36D6">
        <w:rPr>
          <w:rFonts w:eastAsia="Times New Roman" w:cs="Arial"/>
          <w:bCs/>
          <w:color w:val="000000"/>
          <w:kern w:val="32"/>
          <w:szCs w:val="32"/>
        </w:rPr>
        <w:t xml:space="preserve">-preference </w:t>
      </w:r>
      <w:r w:rsidR="008226A2" w:rsidRPr="00AC36D6">
        <w:rPr>
          <w:rFonts w:eastAsia="Times New Roman" w:cs="Arial"/>
          <w:bCs/>
          <w:color w:val="000000"/>
          <w:kern w:val="32"/>
          <w:szCs w:val="32"/>
        </w:rPr>
        <w:t>parameter</w:t>
      </w:r>
      <w:r w:rsidR="00A55BFC" w:rsidRPr="00AC36D6">
        <w:rPr>
          <w:rFonts w:eastAsia="Times New Roman" w:cs="Arial"/>
          <w:bCs/>
          <w:color w:val="000000"/>
          <w:kern w:val="32"/>
          <w:szCs w:val="32"/>
        </w:rPr>
        <w:t xml:space="preserve">. </w:t>
      </w:r>
      <w:r w:rsidR="0080043B" w:rsidRPr="00AC36D6">
        <w:rPr>
          <w:rFonts w:eastAsia="Times New Roman" w:cs="Arial"/>
          <w:bCs/>
          <w:color w:val="000000"/>
          <w:kern w:val="32"/>
        </w:rPr>
        <w:t>T</w:t>
      </w:r>
      <w:r w:rsidR="00D72C5D" w:rsidRPr="00AC36D6">
        <w:rPr>
          <w:rFonts w:eastAsia="Times New Roman" w:cs="Arial"/>
          <w:bCs/>
          <w:color w:val="000000"/>
          <w:kern w:val="32"/>
        </w:rPr>
        <w:t xml:space="preserve">he exponents in the utility function </w:t>
      </w:r>
      <w:r w:rsidR="00D72C5D" w:rsidRPr="00AC36D6">
        <w:rPr>
          <w:position w:val="-14"/>
        </w:rPr>
        <w:object w:dxaOrig="880" w:dyaOrig="380" w14:anchorId="6579C86F">
          <v:shape id="_x0000_i1042" type="#_x0000_t75" style="width:44.15pt;height:19.3pt" o:ole="">
            <v:imagedata r:id="rId48" o:title=""/>
          </v:shape>
          <o:OLEObject Type="Embed" ProgID="Equation.DSMT4" ShapeID="_x0000_i1042" DrawAspect="Content" ObjectID="_1726484339" r:id="rId49"/>
        </w:object>
      </w:r>
      <w:r w:rsidR="00D72C5D" w:rsidRPr="00AC36D6">
        <w:t xml:space="preserve"> and </w:t>
      </w:r>
      <w:r w:rsidR="00D72C5D" w:rsidRPr="00AC36D6">
        <w:rPr>
          <w:position w:val="-14"/>
        </w:rPr>
        <w:object w:dxaOrig="880" w:dyaOrig="380" w14:anchorId="0C0B4270">
          <v:shape id="_x0000_i1043" type="#_x0000_t75" style="width:44.15pt;height:19.3pt" o:ole="">
            <v:imagedata r:id="rId50" o:title=""/>
          </v:shape>
          <o:OLEObject Type="Embed" ProgID="Equation.DSMT4" ShapeID="_x0000_i1043" DrawAspect="Content" ObjectID="_1726484340" r:id="rId51"/>
        </w:object>
      </w:r>
      <w:r w:rsidR="00D72C5D" w:rsidRPr="00AC36D6">
        <w:t xml:space="preserve"> </w:t>
      </w:r>
      <w:r w:rsidR="00D72C5D" w:rsidRPr="00AC36D6">
        <w:rPr>
          <w:rFonts w:eastAsia="Times New Roman" w:cs="Arial"/>
          <w:bCs/>
          <w:color w:val="000000"/>
          <w:kern w:val="32"/>
        </w:rPr>
        <w:t xml:space="preserve">are indicators representing situations when </w:t>
      </w:r>
      <w:r w:rsidR="00D72C5D" w:rsidRPr="00AC36D6">
        <w:rPr>
          <w:position w:val="-14"/>
        </w:rPr>
        <w:object w:dxaOrig="660" w:dyaOrig="380" w14:anchorId="27007CAF">
          <v:shape id="_x0000_i1044" type="#_x0000_t75" style="width:33pt;height:19.3pt" o:ole="">
            <v:imagedata r:id="rId52" o:title=""/>
          </v:shape>
          <o:OLEObject Type="Embed" ProgID="Equation.DSMT4" ShapeID="_x0000_i1044" DrawAspect="Content" ObjectID="_1726484341" r:id="rId53"/>
        </w:object>
      </w:r>
      <w:r w:rsidR="00D72C5D" w:rsidRPr="00AC36D6">
        <w:t xml:space="preserve"> </w:t>
      </w:r>
      <w:r w:rsidR="00D72C5D" w:rsidRPr="00AC36D6">
        <w:rPr>
          <w:rFonts w:eastAsia="Times New Roman" w:cs="Arial"/>
          <w:bCs/>
          <w:color w:val="000000"/>
          <w:kern w:val="32"/>
        </w:rPr>
        <w:t xml:space="preserve">and </w:t>
      </w:r>
      <w:r w:rsidR="00D72C5D" w:rsidRPr="00AC36D6">
        <w:rPr>
          <w:position w:val="-14"/>
        </w:rPr>
        <w:object w:dxaOrig="660" w:dyaOrig="380" w14:anchorId="58BC0FAD">
          <v:shape id="_x0000_i1045" type="#_x0000_t75" style="width:33pt;height:19.3pt" o:ole="">
            <v:imagedata r:id="rId54" o:title=""/>
          </v:shape>
          <o:OLEObject Type="Embed" ProgID="Equation.DSMT4" ShapeID="_x0000_i1045" DrawAspect="Content" ObjectID="_1726484342" r:id="rId55"/>
        </w:object>
      </w:r>
      <w:r w:rsidR="00D72C5D" w:rsidRPr="00AC36D6">
        <w:rPr>
          <w:rFonts w:eastAsia="Times New Roman" w:cs="Arial"/>
          <w:bCs/>
          <w:color w:val="000000"/>
          <w:kern w:val="32"/>
        </w:rPr>
        <w:t xml:space="preserve">, respectively. </w:t>
      </w:r>
      <w:r w:rsidR="00AA5134" w:rsidRPr="00AC36D6">
        <w:rPr>
          <w:rFonts w:eastAsia="Times New Roman" w:cs="Arial"/>
          <w:bCs/>
          <w:color w:val="000000"/>
          <w:kern w:val="32"/>
        </w:rPr>
        <w:t xml:space="preserve">Note, however, that the </w:t>
      </w:r>
      <w:r w:rsidR="00CE1EE4" w:rsidRPr="00AC36D6">
        <w:rPr>
          <w:rFonts w:eastAsia="Times New Roman" w:cs="Arial"/>
          <w:bCs/>
          <w:color w:val="000000"/>
          <w:kern w:val="32"/>
        </w:rPr>
        <w:t xml:space="preserve">utility </w:t>
      </w:r>
      <w:r w:rsidR="00AA5134" w:rsidRPr="00AC36D6">
        <w:rPr>
          <w:rFonts w:eastAsia="Times New Roman" w:cs="Arial"/>
          <w:bCs/>
          <w:color w:val="000000"/>
          <w:kern w:val="32"/>
        </w:rPr>
        <w:t xml:space="preserve">function is </w:t>
      </w:r>
      <w:r w:rsidR="00CE1EE4" w:rsidRPr="00AC36D6">
        <w:rPr>
          <w:rFonts w:eastAsia="Times New Roman" w:cs="Arial"/>
          <w:bCs/>
          <w:color w:val="000000"/>
          <w:kern w:val="32"/>
        </w:rPr>
        <w:t xml:space="preserve">continuously differentiable </w:t>
      </w:r>
      <w:r w:rsidR="00A249CF" w:rsidRPr="00AC36D6">
        <w:rPr>
          <w:rFonts w:eastAsia="Times New Roman" w:cs="Arial"/>
          <w:bCs/>
          <w:color w:val="000000"/>
          <w:kern w:val="32"/>
        </w:rPr>
        <w:t>at zero consumption as well as all other positive consumption values.</w:t>
      </w:r>
      <w:r w:rsidR="004B5257" w:rsidRPr="00AC36D6">
        <w:rPr>
          <w:rFonts w:eastAsia="Times New Roman" w:cs="Arial"/>
          <w:bCs/>
          <w:color w:val="000000"/>
          <w:kern w:val="32"/>
        </w:rPr>
        <w:t xml:space="preserve"> </w:t>
      </w:r>
      <w:r w:rsidR="00D35161" w:rsidRPr="00AC36D6">
        <w:rPr>
          <w:rFonts w:eastAsia="Times New Roman" w:cs="Arial"/>
          <w:bCs/>
          <w:color w:val="000000"/>
          <w:kern w:val="32"/>
        </w:rPr>
        <w:t>Specifically</w:t>
      </w:r>
      <w:r w:rsidR="004B5257" w:rsidRPr="00AC36D6">
        <w:rPr>
          <w:rFonts w:eastAsia="Times New Roman" w:cs="Arial"/>
          <w:bCs/>
          <w:color w:val="000000"/>
          <w:kern w:val="32"/>
        </w:rPr>
        <w:t xml:space="preserve">, the derivative of the utility function (marginal utility) </w:t>
      </w:r>
      <w:r w:rsidR="00B65231" w:rsidRPr="00AC36D6">
        <w:rPr>
          <w:rFonts w:eastAsia="Times New Roman" w:cs="Arial"/>
          <w:bCs/>
          <w:color w:val="000000"/>
          <w:kern w:val="32"/>
        </w:rPr>
        <w:t xml:space="preserve">with respect to consumption </w:t>
      </w:r>
      <w:r w:rsidR="004B5257" w:rsidRPr="00AC36D6">
        <w:rPr>
          <w:rFonts w:eastAsia="Times New Roman" w:cs="Arial"/>
          <w:bCs/>
          <w:color w:val="000000"/>
          <w:kern w:val="32"/>
        </w:rPr>
        <w:t xml:space="preserve">is </w:t>
      </w:r>
      <w:r w:rsidR="004B5257" w:rsidRPr="00AC36D6">
        <w:rPr>
          <w:rFonts w:eastAsia="Times New Roman"/>
          <w:bCs/>
          <w:color w:val="000000"/>
          <w:kern w:val="32"/>
          <w:position w:val="-12"/>
          <w:sz w:val="20"/>
          <w:szCs w:val="20"/>
          <w:lang w:val="x-none" w:eastAsia="x-none"/>
        </w:rPr>
        <w:object w:dxaOrig="360" w:dyaOrig="360" w14:anchorId="7F8B0283">
          <v:shape id="_x0000_i1046" type="#_x0000_t75" style="width:17.15pt;height:19.3pt" o:ole="">
            <v:imagedata r:id="rId56" o:title=""/>
          </v:shape>
          <o:OLEObject Type="Embed" ProgID="Equation.DSMT4" ShapeID="_x0000_i1046" DrawAspect="Content" ObjectID="_1726484343" r:id="rId57"/>
        </w:object>
      </w:r>
      <w:r w:rsidR="004B5257" w:rsidRPr="00AC36D6">
        <w:t xml:space="preserve"> at 0 as well as </w:t>
      </w:r>
      <w:r w:rsidR="00F40C00" w:rsidRPr="00AC36D6">
        <w:t xml:space="preserve">at </w:t>
      </w:r>
      <w:r w:rsidR="004B5257" w:rsidRPr="00AC36D6">
        <w:t>0</w:t>
      </w:r>
      <w:r w:rsidR="004B5257" w:rsidRPr="00AC36D6">
        <w:rPr>
          <w:vertAlign w:val="superscript"/>
        </w:rPr>
        <w:t>+</w:t>
      </w:r>
      <w:r w:rsidR="002B3D6F" w:rsidRPr="00AC36D6">
        <w:rPr>
          <w:rFonts w:eastAsia="Times New Roman" w:cs="Arial"/>
          <w:bCs/>
          <w:color w:val="000000"/>
          <w:kern w:val="32"/>
        </w:rPr>
        <w:t xml:space="preserve"> (i.e., at an infinitesimally small consumption value above zero).</w:t>
      </w:r>
      <w:r w:rsidR="00ED5713" w:rsidRPr="00AC36D6">
        <w:rPr>
          <w:rStyle w:val="FootnoteReference"/>
          <w:rFonts w:eastAsia="Times New Roman" w:cs="Arial"/>
          <w:bCs/>
          <w:color w:val="000000"/>
          <w:kern w:val="32"/>
        </w:rPr>
        <w:footnoteReference w:id="3"/>
      </w:r>
      <w:r w:rsidR="00A249CF" w:rsidRPr="00AC36D6">
        <w:rPr>
          <w:rFonts w:eastAsia="Times New Roman" w:cs="Arial"/>
          <w:bCs/>
          <w:color w:val="000000"/>
          <w:kern w:val="32"/>
        </w:rPr>
        <w:t xml:space="preserve"> </w:t>
      </w:r>
      <w:r w:rsidR="00D62CCC" w:rsidRPr="00AC36D6">
        <w:rPr>
          <w:rFonts w:eastAsia="Times New Roman" w:cs="Arial"/>
          <w:bCs/>
          <w:color w:val="000000"/>
          <w:kern w:val="32"/>
        </w:rPr>
        <w:t xml:space="preserve">Finally, </w:t>
      </w:r>
      <w:r w:rsidR="007E733C" w:rsidRPr="00AC36D6">
        <w:rPr>
          <w:rFonts w:eastAsia="Times New Roman" w:cs="Arial"/>
          <w:bCs/>
          <w:color w:val="000000"/>
          <w:kern w:val="32"/>
          <w:position w:val="-12"/>
        </w:rPr>
        <w:object w:dxaOrig="279" w:dyaOrig="360" w14:anchorId="54A5F30C">
          <v:shape id="_x0000_i1047" type="#_x0000_t75" style="width:13.7pt;height:19.3pt" o:ole="">
            <v:imagedata r:id="rId58" o:title=""/>
          </v:shape>
          <o:OLEObject Type="Embed" ProgID="Equation.3" ShapeID="_x0000_i1047" DrawAspect="Content" ObjectID="_1726484344" r:id="rId59"/>
        </w:object>
      </w:r>
      <w:r w:rsidR="007E733C" w:rsidRPr="00AC36D6">
        <w:rPr>
          <w:rFonts w:eastAsia="Times New Roman" w:cs="Arial"/>
          <w:bCs/>
          <w:color w:val="000000"/>
          <w:kern w:val="32"/>
        </w:rPr>
        <w:t xml:space="preserve"> is the vehicle to introduce corner solutions (</w:t>
      </w:r>
      <w:r w:rsidR="005A42B3" w:rsidRPr="00AC36D6">
        <w:rPr>
          <w:rFonts w:eastAsia="Times New Roman" w:cs="Arial"/>
          <w:bCs/>
          <w:color w:val="000000"/>
          <w:kern w:val="32"/>
        </w:rPr>
        <w:t>aka,</w:t>
      </w:r>
      <w:r w:rsidR="007E733C" w:rsidRPr="00AC36D6">
        <w:rPr>
          <w:rFonts w:eastAsia="Times New Roman" w:cs="Arial"/>
          <w:bCs/>
          <w:color w:val="000000"/>
          <w:kern w:val="32"/>
        </w:rPr>
        <w:t xml:space="preserve"> zero consumption</w:t>
      </w:r>
      <w:r w:rsidR="00D97B49" w:rsidRPr="00AC36D6">
        <w:rPr>
          <w:rFonts w:eastAsia="Times New Roman" w:cs="Arial"/>
          <w:bCs/>
          <w:color w:val="000000"/>
          <w:kern w:val="32"/>
        </w:rPr>
        <w:t>s</w:t>
      </w:r>
      <w:r w:rsidR="007E733C" w:rsidRPr="00AC36D6">
        <w:rPr>
          <w:rFonts w:eastAsia="Times New Roman" w:cs="Arial"/>
          <w:bCs/>
          <w:color w:val="000000"/>
          <w:kern w:val="32"/>
        </w:rPr>
        <w:t>) for inside goods (</w:t>
      </w:r>
      <w:r w:rsidR="007E733C" w:rsidRPr="00AC36D6">
        <w:rPr>
          <w:rFonts w:eastAsia="Times New Roman" w:cs="Arial"/>
          <w:bCs/>
          <w:i/>
          <w:color w:val="000000"/>
          <w:kern w:val="32"/>
        </w:rPr>
        <w:t>k</w:t>
      </w:r>
      <w:r w:rsidR="007E733C" w:rsidRPr="00AC36D6">
        <w:rPr>
          <w:rFonts w:eastAsia="Times New Roman" w:cs="Arial"/>
          <w:bCs/>
          <w:color w:val="000000"/>
          <w:kern w:val="32"/>
        </w:rPr>
        <w:t xml:space="preserve"> = 2,3,…,</w:t>
      </w:r>
      <w:r w:rsidR="007E733C" w:rsidRPr="00AC36D6">
        <w:rPr>
          <w:rFonts w:eastAsia="Times New Roman" w:cs="Arial"/>
          <w:bCs/>
          <w:i/>
          <w:color w:val="000000"/>
          <w:kern w:val="32"/>
        </w:rPr>
        <w:t>K</w:t>
      </w:r>
      <w:r w:rsidR="007E733C" w:rsidRPr="00AC36D6">
        <w:rPr>
          <w:rFonts w:eastAsia="Times New Roman" w:cs="Arial"/>
          <w:bCs/>
          <w:color w:val="000000"/>
          <w:kern w:val="32"/>
        </w:rPr>
        <w:t xml:space="preserve">), </w:t>
      </w:r>
      <w:r w:rsidR="00B041D9" w:rsidRPr="00AC36D6">
        <w:rPr>
          <w:rFonts w:eastAsia="Times New Roman" w:cs="Arial"/>
          <w:bCs/>
          <w:color w:val="000000"/>
          <w:kern w:val="32"/>
        </w:rPr>
        <w:t xml:space="preserve">and </w:t>
      </w:r>
      <w:r w:rsidR="007E733C" w:rsidRPr="00AC36D6">
        <w:rPr>
          <w:rFonts w:eastAsia="Times New Roman" w:cs="Arial"/>
          <w:bCs/>
          <w:color w:val="000000"/>
          <w:kern w:val="32"/>
        </w:rPr>
        <w:t xml:space="preserve">also serves the role of a satiation parameter (higher values of </w:t>
      </w:r>
      <w:r w:rsidR="007E733C" w:rsidRPr="00AC36D6">
        <w:rPr>
          <w:rFonts w:eastAsia="Times New Roman" w:cs="Arial"/>
          <w:bCs/>
          <w:color w:val="000000"/>
          <w:kern w:val="32"/>
          <w:position w:val="-12"/>
        </w:rPr>
        <w:object w:dxaOrig="279" w:dyaOrig="360" w14:anchorId="7D69EEB2">
          <v:shape id="_x0000_i1048" type="#_x0000_t75" style="width:13.7pt;height:19.3pt" o:ole="">
            <v:imagedata r:id="rId58" o:title=""/>
          </v:shape>
          <o:OLEObject Type="Embed" ProgID="Equation.3" ShapeID="_x0000_i1048" DrawAspect="Content" ObjectID="_1726484345" r:id="rId60"/>
        </w:object>
      </w:r>
      <w:r w:rsidR="007E733C" w:rsidRPr="00AC36D6">
        <w:rPr>
          <w:rFonts w:eastAsia="Times New Roman" w:cs="Arial"/>
          <w:bCs/>
          <w:color w:val="000000"/>
          <w:kern w:val="32"/>
        </w:rPr>
        <w:t xml:space="preserve"> imply less satiation). There is no </w:t>
      </w:r>
      <w:r w:rsidR="007E733C" w:rsidRPr="00AC36D6">
        <w:rPr>
          <w:rFonts w:eastAsia="Times New Roman" w:cs="Arial"/>
          <w:bCs/>
          <w:color w:val="000000"/>
          <w:kern w:val="32"/>
          <w:position w:val="-10"/>
        </w:rPr>
        <w:object w:dxaOrig="240" w:dyaOrig="340" w14:anchorId="63F70C9C">
          <v:shape id="_x0000_i1049" type="#_x0000_t75" style="width:13.7pt;height:17.15pt" o:ole="">
            <v:imagedata r:id="rId61" o:title=""/>
          </v:shape>
          <o:OLEObject Type="Embed" ProgID="Equation.3" ShapeID="_x0000_i1049" DrawAspect="Content" ObjectID="_1726484346" r:id="rId62"/>
        </w:object>
      </w:r>
      <w:r w:rsidR="007E733C" w:rsidRPr="00AC36D6">
        <w:rPr>
          <w:rFonts w:eastAsia="Times New Roman" w:cs="Arial"/>
          <w:bCs/>
          <w:color w:val="000000"/>
          <w:kern w:val="32"/>
        </w:rPr>
        <w:t xml:space="preserve"> term for the first good because it is</w:t>
      </w:r>
      <w:r w:rsidR="00DF4A94" w:rsidRPr="00AC36D6">
        <w:rPr>
          <w:rFonts w:eastAsia="Times New Roman" w:cs="Arial"/>
          <w:bCs/>
          <w:color w:val="000000"/>
          <w:kern w:val="32"/>
        </w:rPr>
        <w:t xml:space="preserve"> </w:t>
      </w:r>
      <w:r w:rsidR="007E733C" w:rsidRPr="00AC36D6">
        <w:rPr>
          <w:rFonts w:eastAsia="Times New Roman" w:cs="Arial"/>
          <w:bCs/>
          <w:color w:val="000000"/>
          <w:kern w:val="32"/>
        </w:rPr>
        <w:t>always consumed</w:t>
      </w:r>
      <w:r w:rsidR="00DF4A94" w:rsidRPr="00AC36D6">
        <w:rPr>
          <w:rFonts w:eastAsia="Times New Roman" w:cs="Arial"/>
          <w:bCs/>
          <w:color w:val="000000"/>
          <w:kern w:val="32"/>
        </w:rPr>
        <w:t>,</w:t>
      </w:r>
      <w:r w:rsidR="007E733C" w:rsidRPr="00AC36D6">
        <w:rPr>
          <w:rFonts w:eastAsia="Times New Roman" w:cs="Arial"/>
          <w:bCs/>
          <w:color w:val="000000"/>
          <w:kern w:val="32"/>
        </w:rPr>
        <w:t xml:space="preserve"> and there is no satiation for this good. </w:t>
      </w:r>
    </w:p>
    <w:p w14:paraId="19B57D3D" w14:textId="125FC558" w:rsidR="003D58B8" w:rsidRPr="00AC36D6" w:rsidRDefault="003D58B8" w:rsidP="007D5FDE">
      <w:pPr>
        <w:spacing w:after="0" w:line="360" w:lineRule="auto"/>
        <w:ind w:firstLine="567"/>
        <w:jc w:val="both"/>
        <w:rPr>
          <w:rFonts w:eastAsia="Times New Roman"/>
          <w:bCs/>
          <w:color w:val="000000"/>
          <w:kern w:val="32"/>
        </w:rPr>
      </w:pPr>
      <w:r w:rsidRPr="00AC36D6">
        <w:rPr>
          <w:rFonts w:eastAsia="Times New Roman"/>
          <w:bCs/>
          <w:color w:val="000000"/>
          <w:kern w:val="32"/>
        </w:rPr>
        <w:t xml:space="preserve">Bhat proposes the following </w:t>
      </w:r>
      <w:r w:rsidR="00B55826" w:rsidRPr="00AC36D6">
        <w:rPr>
          <w:rFonts w:eastAsia="Times New Roman"/>
          <w:bCs/>
          <w:color w:val="000000"/>
          <w:kern w:val="32"/>
        </w:rPr>
        <w:t xml:space="preserve">as </w:t>
      </w:r>
      <w:r w:rsidRPr="00AC36D6">
        <w:rPr>
          <w:rFonts w:eastAsia="Times New Roman"/>
          <w:bCs/>
          <w:color w:val="000000"/>
          <w:kern w:val="32"/>
        </w:rPr>
        <w:t>optimality conditions for the utility form in Equation (1):</w:t>
      </w:r>
    </w:p>
    <w:p w14:paraId="69DAFAD6" w14:textId="5D1DB4F9" w:rsidR="006764C1" w:rsidRPr="00AC36D6" w:rsidRDefault="00C22AD0" w:rsidP="00946803">
      <w:pPr>
        <w:keepNext/>
        <w:keepLines/>
        <w:spacing w:before="120" w:after="120" w:line="360" w:lineRule="auto"/>
        <w:ind w:firstLine="567"/>
        <w:rPr>
          <w:rFonts w:eastAsia="Times New Roman" w:cs="Arial"/>
          <w:bCs/>
          <w:color w:val="000000"/>
          <w:kern w:val="32"/>
        </w:rPr>
      </w:pPr>
      <w:r w:rsidRPr="00AC36D6">
        <w:rPr>
          <w:rFonts w:eastAsia="Times New Roman" w:cs="Arial"/>
          <w:bCs/>
          <w:color w:val="000000"/>
          <w:kern w:val="32"/>
        </w:rPr>
        <w:lastRenderedPageBreak/>
        <w:tab/>
      </w:r>
      <w:r w:rsidR="002C3B98" w:rsidRPr="00AC36D6">
        <w:rPr>
          <w:rFonts w:eastAsia="Times New Roman" w:cs="Arial"/>
          <w:bCs/>
          <w:color w:val="000000"/>
          <w:kern w:val="32"/>
          <w:position w:val="-48"/>
        </w:rPr>
        <w:object w:dxaOrig="5980" w:dyaOrig="1579" w14:anchorId="44612037">
          <v:shape id="_x0000_i1050" type="#_x0000_t75" style="width:306pt;height:85.7pt" o:ole="">
            <v:imagedata r:id="rId63" o:title=""/>
          </v:shape>
          <o:OLEObject Type="Embed" ProgID="Equation.DSMT4" ShapeID="_x0000_i1050" DrawAspect="Content" ObjectID="_1726484347" r:id="rId64"/>
        </w:object>
      </w:r>
    </w:p>
    <w:p w14:paraId="6491496D" w14:textId="33EAB862" w:rsidR="00CA08E6" w:rsidRPr="00AC36D6" w:rsidRDefault="00C25DD5" w:rsidP="00016126">
      <w:pPr>
        <w:spacing w:after="0" w:line="360" w:lineRule="auto"/>
        <w:jc w:val="both"/>
        <w:rPr>
          <w:rFonts w:eastAsia="Times New Roman" w:cs="Arial"/>
          <w:bCs/>
          <w:color w:val="000000"/>
          <w:kern w:val="32"/>
        </w:rPr>
      </w:pPr>
      <w:bookmarkStart w:id="3" w:name="_Hlk74752575"/>
      <w:r w:rsidRPr="00AC36D6">
        <w:rPr>
          <w:rFonts w:eastAsia="Times New Roman"/>
          <w:bCs/>
          <w:color w:val="000000"/>
          <w:kern w:val="32"/>
        </w:rPr>
        <w:t xml:space="preserve">One can observe from the </w:t>
      </w:r>
      <w:r w:rsidR="008576BA" w:rsidRPr="00AC36D6">
        <w:rPr>
          <w:rFonts w:eastAsia="Times New Roman"/>
          <w:bCs/>
          <w:color w:val="000000"/>
          <w:kern w:val="32"/>
        </w:rPr>
        <w:t>inequalities</w:t>
      </w:r>
      <w:r w:rsidR="00F504D5" w:rsidRPr="00AC36D6">
        <w:rPr>
          <w:rFonts w:eastAsia="Times New Roman"/>
          <w:bCs/>
          <w:color w:val="000000"/>
          <w:kern w:val="32"/>
        </w:rPr>
        <w:t xml:space="preserve"> (</w:t>
      </w:r>
      <w:r w:rsidR="00F504D5" w:rsidRPr="00AC36D6">
        <w:rPr>
          <w:rFonts w:eastAsia="Times New Roman" w:cs="Arial"/>
          <w:bCs/>
          <w:color w:val="000000"/>
          <w:kern w:val="32"/>
          <w:position w:val="-12"/>
        </w:rPr>
        <w:object w:dxaOrig="2420" w:dyaOrig="380" w14:anchorId="1283718E">
          <v:shape id="_x0000_i1051" type="#_x0000_t75" style="width:121.3pt;height:20.15pt" o:ole="">
            <v:imagedata r:id="rId65" o:title=""/>
          </v:shape>
          <o:OLEObject Type="Embed" ProgID="Equation.DSMT4" ShapeID="_x0000_i1051" DrawAspect="Content" ObjectID="_1726484348" r:id="rId66"/>
        </w:object>
      </w:r>
      <w:r w:rsidR="00F504D5" w:rsidRPr="00AC36D6">
        <w:rPr>
          <w:rFonts w:eastAsia="Times New Roman" w:cs="Arial"/>
          <w:bCs/>
          <w:color w:val="000000"/>
          <w:kern w:val="32"/>
        </w:rPr>
        <w:t xml:space="preserve"> and </w:t>
      </w:r>
      <w:r w:rsidR="00D63C2C" w:rsidRPr="00AC36D6">
        <w:rPr>
          <w:rFonts w:eastAsia="Times New Roman" w:cs="Arial"/>
          <w:bCs/>
          <w:color w:val="000000"/>
          <w:kern w:val="32"/>
          <w:position w:val="-12"/>
        </w:rPr>
        <w:object w:dxaOrig="2420" w:dyaOrig="380" w14:anchorId="7858BA4A">
          <v:shape id="_x0000_i1052" type="#_x0000_t75" style="width:123pt;height:20.15pt" o:ole="">
            <v:imagedata r:id="rId67" o:title=""/>
          </v:shape>
          <o:OLEObject Type="Embed" ProgID="Equation.DSMT4" ShapeID="_x0000_i1052" DrawAspect="Content" ObjectID="_1726484349" r:id="rId68"/>
        </w:object>
      </w:r>
      <w:r w:rsidR="00F504D5" w:rsidRPr="00AC36D6">
        <w:rPr>
          <w:rFonts w:eastAsia="Times New Roman" w:cs="Arial"/>
          <w:bCs/>
          <w:color w:val="000000"/>
          <w:kern w:val="32"/>
        </w:rPr>
        <w:t>)</w:t>
      </w:r>
      <w:r w:rsidR="008576BA" w:rsidRPr="00AC36D6">
        <w:rPr>
          <w:rFonts w:eastAsia="Times New Roman"/>
          <w:bCs/>
          <w:color w:val="000000"/>
          <w:kern w:val="32"/>
        </w:rPr>
        <w:t xml:space="preserve"> in the above</w:t>
      </w:r>
      <w:r w:rsidRPr="00AC36D6">
        <w:rPr>
          <w:rFonts w:eastAsia="Times New Roman"/>
          <w:bCs/>
          <w:color w:val="000000"/>
          <w:kern w:val="32"/>
        </w:rPr>
        <w:t xml:space="preserve"> conditions that </w:t>
      </w:r>
      <w:r w:rsidRPr="00AC36D6">
        <w:rPr>
          <w:rFonts w:eastAsia="Times New Roman" w:cs="Arial"/>
          <w:bCs/>
          <w:color w:val="000000"/>
          <w:kern w:val="32"/>
        </w:rPr>
        <w:t xml:space="preserve">only the </w:t>
      </w:r>
      <w:r w:rsidRPr="00AC36D6">
        <w:rPr>
          <w:rFonts w:eastAsia="Times New Roman" w:cs="Arial"/>
          <w:bCs/>
          <w:i/>
          <w:iCs/>
          <w:color w:val="000000"/>
          <w:kern w:val="32"/>
        </w:rPr>
        <w:t>D-</w:t>
      </w:r>
      <w:r w:rsidRPr="00AC36D6">
        <w:rPr>
          <w:rFonts w:eastAsia="Times New Roman" w:cs="Arial"/>
          <w:bCs/>
          <w:color w:val="000000"/>
          <w:kern w:val="32"/>
        </w:rPr>
        <w:t>preference parameter of an inside good is used to determine whether that good is chosen or not</w:t>
      </w:r>
      <w:r w:rsidR="00B904F4" w:rsidRPr="00AC36D6">
        <w:rPr>
          <w:rFonts w:eastAsia="Times New Roman" w:cs="Arial"/>
          <w:bCs/>
          <w:color w:val="000000"/>
          <w:kern w:val="32"/>
        </w:rPr>
        <w:t xml:space="preserve"> (the </w:t>
      </w:r>
      <w:r w:rsidR="00B904F4" w:rsidRPr="00AC36D6">
        <w:rPr>
          <w:rFonts w:eastAsia="Times New Roman" w:cs="Arial"/>
          <w:bCs/>
          <w:i/>
          <w:iCs/>
          <w:color w:val="000000"/>
          <w:kern w:val="32"/>
        </w:rPr>
        <w:t>C-</w:t>
      </w:r>
      <w:r w:rsidR="00B904F4" w:rsidRPr="00AC36D6">
        <w:rPr>
          <w:rFonts w:eastAsia="Times New Roman" w:cs="Arial"/>
          <w:bCs/>
          <w:color w:val="000000"/>
          <w:kern w:val="32"/>
        </w:rPr>
        <w:t>preference parameters do not play a role in the discrete choice)</w:t>
      </w:r>
      <w:r w:rsidRPr="00AC36D6">
        <w:rPr>
          <w:rFonts w:eastAsia="Times New Roman" w:cs="Arial"/>
          <w:bCs/>
          <w:color w:val="000000"/>
          <w:kern w:val="32"/>
        </w:rPr>
        <w:t>.</w:t>
      </w:r>
      <w:r w:rsidR="00B904F4" w:rsidRPr="00AC36D6">
        <w:rPr>
          <w:rFonts w:eastAsia="Times New Roman" w:cs="Arial"/>
          <w:bCs/>
          <w:color w:val="000000"/>
          <w:kern w:val="32"/>
        </w:rPr>
        <w:t xml:space="preserve"> </w:t>
      </w:r>
      <w:r w:rsidR="00786E4F" w:rsidRPr="00AC36D6">
        <w:rPr>
          <w:rFonts w:eastAsia="Times New Roman" w:cs="Arial"/>
          <w:bCs/>
          <w:color w:val="000000"/>
          <w:kern w:val="32"/>
        </w:rPr>
        <w:t xml:space="preserve">The </w:t>
      </w:r>
      <w:r w:rsidR="00786E4F" w:rsidRPr="00AC36D6">
        <w:rPr>
          <w:rFonts w:eastAsia="Times New Roman" w:cs="Arial"/>
          <w:bCs/>
          <w:i/>
          <w:iCs/>
          <w:color w:val="000000"/>
          <w:kern w:val="32"/>
        </w:rPr>
        <w:t>C-</w:t>
      </w:r>
      <w:r w:rsidR="00786E4F" w:rsidRPr="00AC36D6">
        <w:rPr>
          <w:rFonts w:eastAsia="Times New Roman" w:cs="Arial"/>
          <w:bCs/>
          <w:color w:val="000000"/>
          <w:kern w:val="32"/>
        </w:rPr>
        <w:t xml:space="preserve">preference parameters come into </w:t>
      </w:r>
      <w:r w:rsidR="009F0422" w:rsidRPr="00AC36D6">
        <w:rPr>
          <w:rFonts w:eastAsia="Times New Roman" w:cs="Arial"/>
          <w:bCs/>
          <w:color w:val="000000"/>
          <w:kern w:val="32"/>
        </w:rPr>
        <w:t xml:space="preserve">the </w:t>
      </w:r>
      <w:r w:rsidR="00786E4F" w:rsidRPr="00AC36D6">
        <w:rPr>
          <w:rFonts w:eastAsia="Times New Roman" w:cs="Arial"/>
          <w:bCs/>
          <w:color w:val="000000"/>
          <w:kern w:val="32"/>
        </w:rPr>
        <w:t xml:space="preserve">picture to determine </w:t>
      </w:r>
      <w:r w:rsidR="00FF0266" w:rsidRPr="00AC36D6">
        <w:rPr>
          <w:rFonts w:eastAsia="Times New Roman" w:cs="Arial"/>
          <w:bCs/>
          <w:color w:val="000000"/>
          <w:kern w:val="32"/>
        </w:rPr>
        <w:t>the consumed quantity of the chosen goods.</w:t>
      </w:r>
      <w:r w:rsidR="00633494" w:rsidRPr="00AC36D6">
        <w:rPr>
          <w:rStyle w:val="FootnoteReference"/>
          <w:rFonts w:eastAsia="Times New Roman" w:cs="Arial"/>
          <w:bCs/>
          <w:color w:val="000000"/>
          <w:kern w:val="32"/>
        </w:rPr>
        <w:footnoteReference w:id="4"/>
      </w:r>
      <w:r w:rsidR="00FF0266" w:rsidRPr="00AC36D6">
        <w:rPr>
          <w:rFonts w:eastAsia="Times New Roman" w:cs="Arial"/>
          <w:bCs/>
          <w:color w:val="000000"/>
          <w:kern w:val="32"/>
        </w:rPr>
        <w:t xml:space="preserve"> </w:t>
      </w:r>
      <w:bookmarkEnd w:id="3"/>
      <w:r w:rsidR="000237B4" w:rsidRPr="00AC36D6">
        <w:rPr>
          <w:rFonts w:eastAsia="Times New Roman" w:cs="Arial"/>
          <w:bCs/>
          <w:color w:val="000000"/>
          <w:kern w:val="32"/>
        </w:rPr>
        <w:t xml:space="preserve">The inequality conditions </w:t>
      </w:r>
      <w:r w:rsidR="00F1439E" w:rsidRPr="00AC36D6">
        <w:rPr>
          <w:rFonts w:eastAsia="Times New Roman" w:cs="Arial"/>
          <w:bCs/>
          <w:color w:val="000000"/>
          <w:kern w:val="32"/>
        </w:rPr>
        <w:t xml:space="preserve">based on </w:t>
      </w:r>
      <w:r w:rsidR="00F1439E" w:rsidRPr="00AC36D6">
        <w:rPr>
          <w:rFonts w:eastAsia="Times New Roman" w:cs="Arial"/>
          <w:bCs/>
          <w:i/>
          <w:iCs/>
          <w:color w:val="000000"/>
          <w:kern w:val="32"/>
        </w:rPr>
        <w:t>D-</w:t>
      </w:r>
      <w:r w:rsidR="00F1439E" w:rsidRPr="00AC36D6">
        <w:rPr>
          <w:rFonts w:eastAsia="Times New Roman" w:cs="Arial"/>
          <w:bCs/>
          <w:color w:val="000000"/>
          <w:kern w:val="32"/>
        </w:rPr>
        <w:t>preference param</w:t>
      </w:r>
      <w:r w:rsidR="005D075E" w:rsidRPr="00AC36D6">
        <w:rPr>
          <w:rFonts w:eastAsia="Times New Roman" w:cs="Arial"/>
          <w:bCs/>
          <w:color w:val="000000"/>
          <w:kern w:val="32"/>
        </w:rPr>
        <w:t>e</w:t>
      </w:r>
      <w:r w:rsidR="00F1439E" w:rsidRPr="00AC36D6">
        <w:rPr>
          <w:rFonts w:eastAsia="Times New Roman" w:cs="Arial"/>
          <w:bCs/>
          <w:color w:val="000000"/>
          <w:kern w:val="32"/>
        </w:rPr>
        <w:t xml:space="preserve">ters to </w:t>
      </w:r>
      <w:r w:rsidR="000237B4" w:rsidRPr="00AC36D6">
        <w:rPr>
          <w:rFonts w:eastAsia="Times New Roman" w:cs="Arial"/>
          <w:bCs/>
          <w:color w:val="000000"/>
          <w:kern w:val="32"/>
        </w:rPr>
        <w:t xml:space="preserve">determine whether a good is chosen or not, </w:t>
      </w:r>
      <w:r w:rsidR="00F1439E" w:rsidRPr="00AC36D6">
        <w:rPr>
          <w:rFonts w:eastAsia="Times New Roman" w:cs="Arial"/>
          <w:bCs/>
          <w:color w:val="000000"/>
          <w:kern w:val="32"/>
        </w:rPr>
        <w:t xml:space="preserve">combined with </w:t>
      </w:r>
      <w:r w:rsidR="003D3627" w:rsidRPr="00AC36D6">
        <w:rPr>
          <w:rFonts w:eastAsia="Times New Roman" w:cs="Arial"/>
          <w:bCs/>
          <w:color w:val="000000"/>
          <w:kern w:val="32"/>
        </w:rPr>
        <w:t xml:space="preserve">the </w:t>
      </w:r>
      <w:r w:rsidR="00435455" w:rsidRPr="00AC36D6">
        <w:rPr>
          <w:rFonts w:eastAsia="Times New Roman" w:cs="Arial"/>
          <w:bCs/>
          <w:color w:val="000000"/>
          <w:kern w:val="32"/>
        </w:rPr>
        <w:t>e</w:t>
      </w:r>
      <w:r w:rsidR="003D3627" w:rsidRPr="00AC36D6">
        <w:rPr>
          <w:rFonts w:eastAsia="Times New Roman" w:cs="Arial"/>
          <w:bCs/>
          <w:color w:val="000000"/>
          <w:kern w:val="32"/>
        </w:rPr>
        <w:t xml:space="preserve">quality conditions based on </w:t>
      </w:r>
      <w:r w:rsidR="003D3627" w:rsidRPr="00AC36D6">
        <w:rPr>
          <w:rFonts w:eastAsia="Times New Roman" w:cs="Arial"/>
          <w:bCs/>
          <w:i/>
          <w:iCs/>
          <w:color w:val="000000"/>
          <w:kern w:val="32"/>
        </w:rPr>
        <w:t>C-</w:t>
      </w:r>
      <w:r w:rsidR="003D3627" w:rsidRPr="00AC36D6">
        <w:rPr>
          <w:rFonts w:eastAsia="Times New Roman" w:cs="Arial"/>
          <w:bCs/>
          <w:color w:val="000000"/>
          <w:kern w:val="32"/>
        </w:rPr>
        <w:t>preference param</w:t>
      </w:r>
      <w:r w:rsidR="007D5A4A" w:rsidRPr="00AC36D6">
        <w:rPr>
          <w:rFonts w:eastAsia="Times New Roman" w:cs="Arial"/>
          <w:bCs/>
          <w:color w:val="000000"/>
          <w:kern w:val="32"/>
        </w:rPr>
        <w:t>e</w:t>
      </w:r>
      <w:r w:rsidR="003D3627" w:rsidRPr="00AC36D6">
        <w:rPr>
          <w:rFonts w:eastAsia="Times New Roman" w:cs="Arial"/>
          <w:bCs/>
          <w:color w:val="000000"/>
          <w:kern w:val="32"/>
        </w:rPr>
        <w:t>ters to determine the extent of consumption of c</w:t>
      </w:r>
      <w:r w:rsidR="00347D22" w:rsidRPr="00AC36D6">
        <w:rPr>
          <w:rFonts w:eastAsia="Times New Roman" w:cs="Arial"/>
          <w:bCs/>
          <w:color w:val="000000"/>
          <w:kern w:val="32"/>
        </w:rPr>
        <w:t>hosen goods, help in</w:t>
      </w:r>
      <w:r w:rsidR="007259FD" w:rsidRPr="00AC36D6">
        <w:rPr>
          <w:rFonts w:eastAsia="Times New Roman" w:cs="Arial"/>
          <w:bCs/>
          <w:color w:val="000000"/>
          <w:kern w:val="32"/>
        </w:rPr>
        <w:t xml:space="preserve"> estimating the </w:t>
      </w:r>
      <w:r w:rsidR="007259FD" w:rsidRPr="00AC36D6">
        <w:rPr>
          <w:rFonts w:eastAsia="Times New Roman" w:cs="Arial"/>
          <w:bCs/>
          <w:i/>
          <w:iCs/>
          <w:color w:val="000000"/>
          <w:kern w:val="32"/>
        </w:rPr>
        <w:t>D-</w:t>
      </w:r>
      <w:r w:rsidR="007259FD" w:rsidRPr="00AC36D6">
        <w:rPr>
          <w:rFonts w:eastAsia="Times New Roman" w:cs="Arial"/>
          <w:bCs/>
          <w:color w:val="000000"/>
          <w:kern w:val="32"/>
        </w:rPr>
        <w:t>preference param</w:t>
      </w:r>
      <w:r w:rsidR="00C026A0" w:rsidRPr="00AC36D6">
        <w:rPr>
          <w:rFonts w:eastAsia="Times New Roman" w:cs="Arial"/>
          <w:bCs/>
          <w:color w:val="000000"/>
          <w:kern w:val="32"/>
        </w:rPr>
        <w:t>e</w:t>
      </w:r>
      <w:r w:rsidR="007259FD" w:rsidRPr="00AC36D6">
        <w:rPr>
          <w:rFonts w:eastAsia="Times New Roman" w:cs="Arial"/>
          <w:bCs/>
          <w:color w:val="000000"/>
          <w:kern w:val="32"/>
        </w:rPr>
        <w:t xml:space="preserve">ters separately from the </w:t>
      </w:r>
      <w:r w:rsidR="007259FD" w:rsidRPr="00AC36D6">
        <w:rPr>
          <w:rFonts w:eastAsia="Times New Roman" w:cs="Arial"/>
          <w:bCs/>
          <w:i/>
          <w:iCs/>
          <w:color w:val="000000"/>
          <w:kern w:val="32"/>
        </w:rPr>
        <w:t>C-</w:t>
      </w:r>
      <w:r w:rsidR="007259FD" w:rsidRPr="00AC36D6">
        <w:rPr>
          <w:rFonts w:eastAsia="Times New Roman" w:cs="Arial"/>
          <w:bCs/>
          <w:color w:val="000000"/>
          <w:kern w:val="32"/>
        </w:rPr>
        <w:t>preference param</w:t>
      </w:r>
      <w:r w:rsidR="002221A7" w:rsidRPr="00AC36D6">
        <w:rPr>
          <w:rFonts w:eastAsia="Times New Roman" w:cs="Arial"/>
          <w:bCs/>
          <w:color w:val="000000"/>
          <w:kern w:val="32"/>
        </w:rPr>
        <w:t>e</w:t>
      </w:r>
      <w:r w:rsidR="007259FD" w:rsidRPr="00AC36D6">
        <w:rPr>
          <w:rFonts w:eastAsia="Times New Roman" w:cs="Arial"/>
          <w:bCs/>
          <w:color w:val="000000"/>
          <w:kern w:val="32"/>
        </w:rPr>
        <w:t xml:space="preserve">ters. </w:t>
      </w:r>
    </w:p>
    <w:p w14:paraId="1D130967" w14:textId="354BB4C4" w:rsidR="0090075F" w:rsidRPr="00AC36D6" w:rsidRDefault="00CA08E6" w:rsidP="004742E9">
      <w:pPr>
        <w:spacing w:after="0" w:line="360" w:lineRule="auto"/>
        <w:ind w:firstLine="720"/>
        <w:jc w:val="both"/>
        <w:rPr>
          <w:rFonts w:eastAsia="Times New Roman" w:cs="Arial"/>
          <w:bCs/>
          <w:color w:val="000000"/>
          <w:kern w:val="32"/>
        </w:rPr>
      </w:pPr>
      <w:r w:rsidRPr="00AC36D6">
        <w:rPr>
          <w:rFonts w:eastAsia="Times New Roman" w:cs="Arial"/>
          <w:bCs/>
          <w:color w:val="000000"/>
          <w:kern w:val="32"/>
        </w:rPr>
        <w:t>It is important to note here that</w:t>
      </w:r>
      <w:r w:rsidR="00EE1410" w:rsidRPr="00AC36D6">
        <w:rPr>
          <w:rFonts w:eastAsia="Times New Roman" w:cs="Arial"/>
          <w:bCs/>
          <w:color w:val="000000"/>
          <w:kern w:val="32"/>
        </w:rPr>
        <w:t xml:space="preserve"> </w:t>
      </w:r>
      <w:r w:rsidR="00385039" w:rsidRPr="00AC36D6">
        <w:rPr>
          <w:rFonts w:eastAsia="Times New Roman" w:cs="Arial"/>
          <w:bCs/>
          <w:color w:val="000000"/>
          <w:kern w:val="32"/>
        </w:rPr>
        <w:t xml:space="preserve">the conditions </w:t>
      </w:r>
      <w:r w:rsidRPr="00AC36D6">
        <w:rPr>
          <w:rFonts w:eastAsia="Times New Roman" w:cs="Arial"/>
          <w:bCs/>
          <w:color w:val="000000"/>
          <w:kern w:val="32"/>
        </w:rPr>
        <w:t xml:space="preserve">in Equation (3) </w:t>
      </w:r>
      <w:r w:rsidR="00AD3D8E" w:rsidRPr="00AC36D6">
        <w:rPr>
          <w:rFonts w:eastAsia="Times New Roman" w:cs="Arial"/>
          <w:bCs/>
          <w:color w:val="000000"/>
          <w:kern w:val="32"/>
        </w:rPr>
        <w:t xml:space="preserve">proposed by Bhat (2018) </w:t>
      </w:r>
      <w:r w:rsidR="00385039" w:rsidRPr="00AC36D6">
        <w:rPr>
          <w:rFonts w:eastAsia="Times New Roman" w:cs="Arial"/>
          <w:bCs/>
          <w:color w:val="000000"/>
          <w:kern w:val="32"/>
        </w:rPr>
        <w:t xml:space="preserve">do not </w:t>
      </w:r>
      <w:r w:rsidR="00AD5FEF" w:rsidRPr="00AC36D6">
        <w:rPr>
          <w:rFonts w:eastAsia="Times New Roman" w:cs="Arial"/>
          <w:bCs/>
          <w:color w:val="000000"/>
          <w:kern w:val="32"/>
        </w:rPr>
        <w:t xml:space="preserve">always </w:t>
      </w:r>
      <w:r w:rsidR="00385039" w:rsidRPr="00AC36D6">
        <w:rPr>
          <w:rFonts w:eastAsia="Times New Roman" w:cs="Arial"/>
          <w:bCs/>
          <w:color w:val="000000"/>
          <w:kern w:val="32"/>
        </w:rPr>
        <w:t>ensure optimal</w:t>
      </w:r>
      <w:r w:rsidR="00AD5FEF" w:rsidRPr="00AC36D6">
        <w:rPr>
          <w:rFonts w:eastAsia="Times New Roman" w:cs="Arial"/>
          <w:bCs/>
          <w:color w:val="000000"/>
          <w:kern w:val="32"/>
        </w:rPr>
        <w:t>ity of the</w:t>
      </w:r>
      <w:r w:rsidR="00426154" w:rsidRPr="00AC36D6">
        <w:rPr>
          <w:rFonts w:eastAsia="Times New Roman" w:cs="Arial"/>
          <w:bCs/>
          <w:color w:val="000000"/>
          <w:kern w:val="32"/>
        </w:rPr>
        <w:t xml:space="preserve"> utility </w:t>
      </w:r>
      <w:r w:rsidR="00AD5FEF" w:rsidRPr="00AC36D6">
        <w:rPr>
          <w:rFonts w:eastAsia="Times New Roman" w:cs="Arial"/>
          <w:bCs/>
          <w:color w:val="000000"/>
          <w:kern w:val="32"/>
        </w:rPr>
        <w:t>function in Equation (1)</w:t>
      </w:r>
      <w:r w:rsidR="00426154" w:rsidRPr="00AC36D6">
        <w:rPr>
          <w:rFonts w:eastAsia="Times New Roman" w:cs="Arial"/>
          <w:bCs/>
          <w:color w:val="000000"/>
          <w:kern w:val="32"/>
        </w:rPr>
        <w:t>.</w:t>
      </w:r>
      <w:r w:rsidR="00016126" w:rsidRPr="00AC36D6">
        <w:rPr>
          <w:rFonts w:eastAsia="Times New Roman" w:cs="Arial"/>
          <w:bCs/>
          <w:color w:val="000000"/>
          <w:kern w:val="32"/>
        </w:rPr>
        <w:t xml:space="preserve"> </w:t>
      </w:r>
      <w:r w:rsidR="004742E9" w:rsidRPr="00AC36D6">
        <w:rPr>
          <w:rFonts w:eastAsia="Times New Roman" w:cs="Arial"/>
          <w:bCs/>
          <w:color w:val="000000"/>
          <w:kern w:val="32"/>
        </w:rPr>
        <w:t xml:space="preserve">This is because, as discussed in Footnote </w:t>
      </w:r>
      <w:r w:rsidR="00F37F49" w:rsidRPr="00AC36D6">
        <w:rPr>
          <w:rFonts w:eastAsia="Times New Roman" w:cs="Arial"/>
          <w:bCs/>
          <w:color w:val="000000"/>
          <w:kern w:val="32"/>
        </w:rPr>
        <w:t>3</w:t>
      </w:r>
      <w:r w:rsidR="004742E9" w:rsidRPr="00AC36D6">
        <w:rPr>
          <w:rFonts w:eastAsia="Times New Roman" w:cs="Arial"/>
          <w:bCs/>
          <w:color w:val="000000"/>
          <w:kern w:val="32"/>
        </w:rPr>
        <w:t xml:space="preserve">, the </w:t>
      </w:r>
      <w:r w:rsidR="004742E9" w:rsidRPr="00AC36D6">
        <w:rPr>
          <w:rFonts w:eastAsia="Times New Roman" w:cs="Arial"/>
          <w:bCs/>
          <w:i/>
          <w:iCs/>
          <w:color w:val="000000"/>
          <w:kern w:val="32"/>
        </w:rPr>
        <w:t>D-</w:t>
      </w:r>
      <w:r w:rsidR="004742E9" w:rsidRPr="00AC36D6">
        <w:rPr>
          <w:rFonts w:eastAsia="Times New Roman" w:cs="Arial"/>
          <w:bCs/>
          <w:color w:val="000000"/>
          <w:kern w:val="32"/>
        </w:rPr>
        <w:t>preference parameters (</w:t>
      </w:r>
      <w:r w:rsidR="004742E9" w:rsidRPr="00AC36D6">
        <w:rPr>
          <w:rFonts w:eastAsia="Times New Roman" w:cs="Arial"/>
          <w:bCs/>
          <w:color w:val="000000"/>
          <w:kern w:val="32"/>
          <w:position w:val="-12"/>
          <w:szCs w:val="32"/>
        </w:rPr>
        <w:object w:dxaOrig="380" w:dyaOrig="360" w14:anchorId="13836095">
          <v:shape id="_x0000_i1053" type="#_x0000_t75" style="width:19.3pt;height:19.3pt" o:ole="">
            <v:imagedata r:id="rId44" o:title=""/>
          </v:shape>
          <o:OLEObject Type="Embed" ProgID="Equation.3" ShapeID="_x0000_i1053" DrawAspect="Content" ObjectID="_1726484350" r:id="rId69"/>
        </w:object>
      </w:r>
      <w:r w:rsidR="004742E9" w:rsidRPr="00AC36D6">
        <w:rPr>
          <w:rFonts w:eastAsia="Times New Roman" w:cs="Arial"/>
          <w:bCs/>
          <w:color w:val="000000"/>
          <w:kern w:val="32"/>
        </w:rPr>
        <w:t>) do not have any role to play in the marginal utility functions</w:t>
      </w:r>
      <w:r w:rsidR="0090075F" w:rsidRPr="00AC36D6">
        <w:rPr>
          <w:rFonts w:eastAsia="Times New Roman" w:cs="Arial"/>
          <w:bCs/>
          <w:color w:val="000000"/>
          <w:kern w:val="32"/>
        </w:rPr>
        <w:t>, even at zero consumptions</w:t>
      </w:r>
      <w:r w:rsidR="004742E9" w:rsidRPr="00AC36D6">
        <w:rPr>
          <w:rFonts w:eastAsia="Times New Roman" w:cs="Arial"/>
          <w:bCs/>
          <w:color w:val="000000"/>
          <w:kern w:val="32"/>
        </w:rPr>
        <w:t xml:space="preserve">. </w:t>
      </w:r>
      <w:r w:rsidR="00853B93" w:rsidRPr="00AC36D6">
        <w:rPr>
          <w:rFonts w:eastAsia="Times New Roman" w:cs="Arial"/>
          <w:bCs/>
          <w:color w:val="000000"/>
          <w:kern w:val="32"/>
        </w:rPr>
        <w:t>As a result</w:t>
      </w:r>
      <w:r w:rsidR="0090075F" w:rsidRPr="00AC36D6">
        <w:rPr>
          <w:rFonts w:eastAsia="Times New Roman" w:cs="Arial"/>
          <w:bCs/>
          <w:color w:val="000000"/>
          <w:kern w:val="32"/>
        </w:rPr>
        <w:t xml:space="preserve">, the </w:t>
      </w:r>
      <w:r w:rsidR="0090075F" w:rsidRPr="00AC36D6">
        <w:rPr>
          <w:rFonts w:eastAsia="Times New Roman" w:cs="Arial"/>
          <w:bCs/>
          <w:i/>
          <w:iCs/>
          <w:color w:val="000000"/>
          <w:kern w:val="32"/>
        </w:rPr>
        <w:t>D-</w:t>
      </w:r>
      <w:r w:rsidR="0090075F" w:rsidRPr="00AC36D6">
        <w:rPr>
          <w:rFonts w:eastAsia="Times New Roman" w:cs="Arial"/>
          <w:bCs/>
          <w:color w:val="000000"/>
          <w:kern w:val="32"/>
        </w:rPr>
        <w:t xml:space="preserve">preference parameters are not relevant to maximization of the utility function in Equation (1). </w:t>
      </w:r>
      <w:r w:rsidR="004742E9" w:rsidRPr="00AC36D6">
        <w:rPr>
          <w:rFonts w:eastAsia="Times New Roman" w:cs="Arial"/>
          <w:bCs/>
          <w:color w:val="000000"/>
          <w:kern w:val="32"/>
        </w:rPr>
        <w:t xml:space="preserve">Therefore, </w:t>
      </w:r>
      <w:r w:rsidR="003F287F" w:rsidRPr="00AC36D6">
        <w:rPr>
          <w:rFonts w:eastAsia="Times New Roman" w:cs="Arial"/>
          <w:bCs/>
          <w:color w:val="000000"/>
          <w:kern w:val="32"/>
        </w:rPr>
        <w:t xml:space="preserve">the </w:t>
      </w:r>
      <w:r w:rsidR="004742E9" w:rsidRPr="00AC36D6">
        <w:rPr>
          <w:rFonts w:eastAsia="Times New Roman" w:cs="Arial"/>
          <w:bCs/>
          <w:color w:val="000000"/>
          <w:kern w:val="32"/>
        </w:rPr>
        <w:t>conditions in Equation (3) based on</w:t>
      </w:r>
      <w:r w:rsidR="00DB7744" w:rsidRPr="00AC36D6">
        <w:rPr>
          <w:rFonts w:eastAsia="Times New Roman" w:cs="Arial"/>
          <w:bCs/>
          <w:color w:val="000000"/>
          <w:kern w:val="32"/>
        </w:rPr>
        <w:t xml:space="preserve"> the</w:t>
      </w:r>
      <w:r w:rsidR="004742E9" w:rsidRPr="00AC36D6">
        <w:rPr>
          <w:rFonts w:eastAsia="Times New Roman" w:cs="Arial"/>
          <w:bCs/>
          <w:color w:val="000000"/>
          <w:kern w:val="32"/>
        </w:rPr>
        <w:t xml:space="preserve"> </w:t>
      </w:r>
      <w:r w:rsidR="004742E9" w:rsidRPr="00AC36D6">
        <w:rPr>
          <w:rFonts w:eastAsia="Times New Roman" w:cs="Arial"/>
          <w:bCs/>
          <w:i/>
          <w:iCs/>
          <w:color w:val="000000"/>
          <w:kern w:val="32"/>
        </w:rPr>
        <w:t>D-</w:t>
      </w:r>
      <w:r w:rsidR="004742E9" w:rsidRPr="00AC36D6">
        <w:rPr>
          <w:rFonts w:eastAsia="Times New Roman" w:cs="Arial"/>
          <w:bCs/>
          <w:color w:val="000000"/>
          <w:kern w:val="32"/>
        </w:rPr>
        <w:t>preference parameters are not necessarily consistent with maximization</w:t>
      </w:r>
      <w:r w:rsidR="001F688D" w:rsidRPr="00AC36D6">
        <w:rPr>
          <w:rFonts w:eastAsia="Times New Roman" w:cs="Arial"/>
          <w:bCs/>
          <w:color w:val="000000"/>
          <w:kern w:val="32"/>
        </w:rPr>
        <w:t xml:space="preserve"> of the utility function</w:t>
      </w:r>
      <w:r w:rsidR="004742E9" w:rsidRPr="00AC36D6">
        <w:rPr>
          <w:rFonts w:eastAsia="Times New Roman" w:cs="Arial"/>
          <w:bCs/>
          <w:color w:val="000000"/>
          <w:kern w:val="32"/>
        </w:rPr>
        <w:t xml:space="preserve">. </w:t>
      </w:r>
      <w:r w:rsidR="007D5A4A" w:rsidRPr="00AC36D6">
        <w:rPr>
          <w:rFonts w:eastAsia="Times New Roman" w:cs="Arial"/>
          <w:bCs/>
          <w:color w:val="000000"/>
          <w:kern w:val="32"/>
        </w:rPr>
        <w:t>For example,</w:t>
      </w:r>
      <w:r w:rsidR="00647621" w:rsidRPr="00AC36D6">
        <w:rPr>
          <w:rFonts w:eastAsia="Times New Roman" w:cs="Arial"/>
          <w:bCs/>
          <w:color w:val="000000"/>
          <w:kern w:val="32"/>
        </w:rPr>
        <w:t xml:space="preserve"> </w:t>
      </w:r>
      <w:r w:rsidR="00940B53" w:rsidRPr="00AC36D6">
        <w:rPr>
          <w:rFonts w:eastAsia="Times New Roman" w:cs="Arial"/>
          <w:bCs/>
          <w:color w:val="000000"/>
          <w:kern w:val="32"/>
        </w:rPr>
        <w:t>according to Equation (3)</w:t>
      </w:r>
      <w:r w:rsidR="002638A6" w:rsidRPr="00AC36D6">
        <w:rPr>
          <w:rFonts w:eastAsia="Times New Roman" w:cs="Arial"/>
          <w:bCs/>
          <w:color w:val="000000"/>
          <w:kern w:val="32"/>
        </w:rPr>
        <w:t>,</w:t>
      </w:r>
      <w:r w:rsidR="00940B53" w:rsidRPr="00AC36D6">
        <w:rPr>
          <w:rFonts w:eastAsia="Times New Roman" w:cs="Arial"/>
          <w:bCs/>
          <w:color w:val="000000"/>
          <w:kern w:val="32"/>
        </w:rPr>
        <w:t xml:space="preserve"> </w:t>
      </w:r>
      <w:r w:rsidR="00647621" w:rsidRPr="00AC36D6">
        <w:rPr>
          <w:rFonts w:eastAsia="Times New Roman" w:cs="Arial"/>
          <w:bCs/>
          <w:color w:val="000000"/>
          <w:kern w:val="32"/>
          <w:position w:val="-12"/>
        </w:rPr>
        <w:object w:dxaOrig="1020" w:dyaOrig="360" w14:anchorId="13F93BB8">
          <v:shape id="_x0000_i1054" type="#_x0000_t75" style="width:51.85pt;height:19.3pt" o:ole="">
            <v:imagedata r:id="rId70" o:title=""/>
          </v:shape>
          <o:OLEObject Type="Embed" ProgID="Equation.DSMT4" ShapeID="_x0000_i1054" DrawAspect="Content" ObjectID="_1726484351" r:id="rId71"/>
        </w:object>
      </w:r>
      <w:r w:rsidR="00647621" w:rsidRPr="00AC36D6">
        <w:rPr>
          <w:rFonts w:eastAsia="Times New Roman" w:cs="Arial"/>
          <w:bCs/>
          <w:color w:val="000000"/>
          <w:kern w:val="32"/>
        </w:rPr>
        <w:t xml:space="preserve"> implies that good </w:t>
      </w:r>
      <w:r w:rsidR="00647621" w:rsidRPr="00AC36D6">
        <w:rPr>
          <w:rFonts w:eastAsia="Times New Roman" w:cs="Arial"/>
          <w:bCs/>
          <w:i/>
          <w:iCs/>
          <w:color w:val="000000"/>
          <w:kern w:val="32"/>
        </w:rPr>
        <w:t>k</w:t>
      </w:r>
      <w:r w:rsidR="00647621" w:rsidRPr="00AC36D6">
        <w:rPr>
          <w:rFonts w:eastAsia="Times New Roman" w:cs="Arial"/>
          <w:bCs/>
          <w:color w:val="000000"/>
          <w:kern w:val="32"/>
        </w:rPr>
        <w:t xml:space="preserve"> is not chosen. However</w:t>
      </w:r>
      <w:r w:rsidR="00CE1880" w:rsidRPr="00AC36D6">
        <w:rPr>
          <w:rFonts w:eastAsia="Times New Roman" w:cs="Arial"/>
          <w:bCs/>
          <w:color w:val="000000"/>
          <w:kern w:val="32"/>
        </w:rPr>
        <w:t>,</w:t>
      </w:r>
      <w:r w:rsidR="00647621" w:rsidRPr="00AC36D6">
        <w:rPr>
          <w:rFonts w:eastAsia="Times New Roman" w:cs="Arial"/>
          <w:bCs/>
          <w:color w:val="000000"/>
          <w:kern w:val="32"/>
        </w:rPr>
        <w:t xml:space="preserve"> if </w:t>
      </w:r>
      <w:r w:rsidR="00647621" w:rsidRPr="00AC36D6">
        <w:rPr>
          <w:rFonts w:eastAsia="Times New Roman" w:cs="Arial"/>
          <w:bCs/>
          <w:color w:val="000000"/>
          <w:kern w:val="32"/>
          <w:position w:val="-12"/>
        </w:rPr>
        <w:object w:dxaOrig="999" w:dyaOrig="360" w14:anchorId="57D83D29">
          <v:shape id="_x0000_i1055" type="#_x0000_t75" style="width:49.7pt;height:19.3pt" o:ole="">
            <v:imagedata r:id="rId72" o:title=""/>
          </v:shape>
          <o:OLEObject Type="Embed" ProgID="Equation.DSMT4" ShapeID="_x0000_i1055" DrawAspect="Content" ObjectID="_1726484352" r:id="rId73"/>
        </w:object>
      </w:r>
      <w:r w:rsidR="00647621" w:rsidRPr="00AC36D6">
        <w:rPr>
          <w:rFonts w:eastAsia="Times New Roman" w:cs="Arial"/>
          <w:bCs/>
          <w:color w:val="000000"/>
          <w:kern w:val="32"/>
        </w:rPr>
        <w:t>,</w:t>
      </w:r>
      <w:r w:rsidR="00106623" w:rsidRPr="00AC36D6">
        <w:rPr>
          <w:rFonts w:eastAsia="Times New Roman" w:cs="Arial"/>
          <w:bCs/>
          <w:color w:val="000000"/>
          <w:kern w:val="32"/>
        </w:rPr>
        <w:t xml:space="preserve"> </w:t>
      </w:r>
      <w:r w:rsidR="00E854BC" w:rsidRPr="00AC36D6">
        <w:rPr>
          <w:rFonts w:eastAsia="Times New Roman" w:cs="Arial"/>
          <w:bCs/>
          <w:color w:val="000000"/>
          <w:kern w:val="32"/>
        </w:rPr>
        <w:t xml:space="preserve">choosing good </w:t>
      </w:r>
      <w:r w:rsidR="00E854BC" w:rsidRPr="00AC36D6">
        <w:rPr>
          <w:position w:val="-6"/>
        </w:rPr>
        <w:object w:dxaOrig="200" w:dyaOrig="279" w14:anchorId="3FB33B27">
          <v:shape id="_x0000_i1056" type="#_x0000_t75" style="width:12pt;height:13.7pt" o:ole="">
            <v:imagedata r:id="rId74" o:title=""/>
          </v:shape>
          <o:OLEObject Type="Embed" ProgID="Equation.DSMT4" ShapeID="_x0000_i1056" DrawAspect="Content" ObjectID="_1726484353" r:id="rId75"/>
        </w:object>
      </w:r>
      <w:r w:rsidR="00E854BC" w:rsidRPr="00AC36D6">
        <w:rPr>
          <w:rFonts w:eastAsia="Times New Roman" w:cs="Arial"/>
          <w:bCs/>
          <w:color w:val="000000"/>
          <w:kern w:val="32"/>
        </w:rPr>
        <w:t xml:space="preserve"> will lead to </w:t>
      </w:r>
      <w:r w:rsidR="000F723A" w:rsidRPr="00AC36D6">
        <w:rPr>
          <w:rFonts w:eastAsia="Times New Roman" w:cs="Arial"/>
          <w:bCs/>
          <w:color w:val="000000"/>
          <w:kern w:val="32"/>
        </w:rPr>
        <w:t xml:space="preserve">greater utility </w:t>
      </w:r>
      <w:r w:rsidR="00BD145C" w:rsidRPr="00AC36D6">
        <w:rPr>
          <w:rFonts w:eastAsia="Times New Roman" w:cs="Arial"/>
          <w:bCs/>
          <w:color w:val="000000"/>
          <w:kern w:val="32"/>
        </w:rPr>
        <w:t>(for the utility function in Equation (</w:t>
      </w:r>
      <w:r w:rsidR="002638A6" w:rsidRPr="00AC36D6">
        <w:rPr>
          <w:rFonts w:eastAsia="Times New Roman" w:cs="Arial"/>
          <w:bCs/>
          <w:color w:val="000000"/>
          <w:kern w:val="32"/>
        </w:rPr>
        <w:t>1</w:t>
      </w:r>
      <w:r w:rsidR="00BD145C" w:rsidRPr="00AC36D6">
        <w:rPr>
          <w:rFonts w:eastAsia="Times New Roman" w:cs="Arial"/>
          <w:bCs/>
          <w:color w:val="000000"/>
          <w:kern w:val="32"/>
        </w:rPr>
        <w:t xml:space="preserve">)) </w:t>
      </w:r>
      <w:r w:rsidR="000F723A" w:rsidRPr="00AC36D6">
        <w:rPr>
          <w:rFonts w:eastAsia="Times New Roman" w:cs="Arial"/>
          <w:bCs/>
          <w:color w:val="000000"/>
          <w:kern w:val="32"/>
        </w:rPr>
        <w:t>than not choosing it</w:t>
      </w:r>
      <w:r w:rsidR="00DB7744" w:rsidRPr="00AC36D6">
        <w:rPr>
          <w:rFonts w:eastAsia="Times New Roman" w:cs="Arial"/>
          <w:bCs/>
          <w:color w:val="000000"/>
          <w:kern w:val="32"/>
        </w:rPr>
        <w:t xml:space="preserve">; regardless of the value of </w:t>
      </w:r>
      <w:r w:rsidR="00DB7744" w:rsidRPr="00AC36D6">
        <w:rPr>
          <w:rFonts w:eastAsia="Times New Roman" w:cs="Arial"/>
          <w:bCs/>
          <w:color w:val="000000"/>
          <w:kern w:val="32"/>
          <w:position w:val="-12"/>
          <w:szCs w:val="32"/>
        </w:rPr>
        <w:object w:dxaOrig="380" w:dyaOrig="360" w14:anchorId="3B20CF16">
          <v:shape id="_x0000_i1057" type="#_x0000_t75" style="width:19.3pt;height:19.3pt" o:ole="">
            <v:imagedata r:id="rId44" o:title=""/>
          </v:shape>
          <o:OLEObject Type="Embed" ProgID="Equation.3" ShapeID="_x0000_i1057" DrawAspect="Content" ObjectID="_1726484354" r:id="rId76"/>
        </w:object>
      </w:r>
      <w:r w:rsidR="000F723A" w:rsidRPr="00AC36D6">
        <w:rPr>
          <w:rFonts w:eastAsia="Times New Roman" w:cs="Arial"/>
          <w:bCs/>
          <w:color w:val="000000"/>
          <w:kern w:val="32"/>
        </w:rPr>
        <w:t>.</w:t>
      </w:r>
      <w:r w:rsidR="00647621" w:rsidRPr="00AC36D6">
        <w:rPr>
          <w:rFonts w:eastAsia="Times New Roman" w:cs="Arial"/>
          <w:bCs/>
          <w:color w:val="000000"/>
          <w:kern w:val="32"/>
        </w:rPr>
        <w:t xml:space="preserve"> </w:t>
      </w:r>
      <w:r w:rsidR="00317F85" w:rsidRPr="00AC36D6">
        <w:rPr>
          <w:rFonts w:eastAsia="Times New Roman" w:cs="Arial"/>
          <w:bCs/>
          <w:color w:val="000000"/>
          <w:kern w:val="32"/>
        </w:rPr>
        <w:t>Similarly</w:t>
      </w:r>
      <w:r w:rsidR="00647621" w:rsidRPr="00AC36D6">
        <w:rPr>
          <w:rFonts w:eastAsia="Times New Roman" w:cs="Arial"/>
          <w:bCs/>
          <w:color w:val="000000"/>
          <w:kern w:val="32"/>
        </w:rPr>
        <w:t xml:space="preserve">, </w:t>
      </w:r>
      <w:r w:rsidR="00FB6C5F" w:rsidRPr="00AC36D6">
        <w:rPr>
          <w:rFonts w:eastAsia="Times New Roman" w:cs="Arial"/>
          <w:bCs/>
          <w:color w:val="000000"/>
          <w:kern w:val="32"/>
        </w:rPr>
        <w:t xml:space="preserve">when </w:t>
      </w:r>
      <w:r w:rsidR="00317F85" w:rsidRPr="00AC36D6">
        <w:rPr>
          <w:rFonts w:eastAsia="Times New Roman" w:cs="Arial"/>
          <w:bCs/>
          <w:color w:val="000000"/>
          <w:kern w:val="32"/>
          <w:position w:val="-12"/>
        </w:rPr>
        <w:object w:dxaOrig="1020" w:dyaOrig="360" w14:anchorId="00E82FC2">
          <v:shape id="_x0000_i1058" type="#_x0000_t75" style="width:51.85pt;height:19.3pt" o:ole="">
            <v:imagedata r:id="rId77" o:title=""/>
          </v:shape>
          <o:OLEObject Type="Embed" ProgID="Equation.DSMT4" ShapeID="_x0000_i1058" DrawAspect="Content" ObjectID="_1726484355" r:id="rId78"/>
        </w:object>
      </w:r>
      <w:r w:rsidR="00317F85" w:rsidRPr="00AC36D6">
        <w:rPr>
          <w:rFonts w:eastAsia="Times New Roman" w:cs="Arial"/>
          <w:bCs/>
          <w:color w:val="000000"/>
          <w:kern w:val="32"/>
        </w:rPr>
        <w:t xml:space="preserve"> but </w:t>
      </w:r>
      <w:r w:rsidR="00317F85" w:rsidRPr="00AC36D6">
        <w:rPr>
          <w:rFonts w:eastAsia="Times New Roman" w:cs="Arial"/>
          <w:bCs/>
          <w:color w:val="000000"/>
          <w:kern w:val="32"/>
          <w:position w:val="-12"/>
        </w:rPr>
        <w:object w:dxaOrig="999" w:dyaOrig="360" w14:anchorId="2FB6BE82">
          <v:shape id="_x0000_i1059" type="#_x0000_t75" style="width:49.7pt;height:19.3pt" o:ole="">
            <v:imagedata r:id="rId79" o:title=""/>
          </v:shape>
          <o:OLEObject Type="Embed" ProgID="Equation.DSMT4" ShapeID="_x0000_i1059" DrawAspect="Content" ObjectID="_1726484356" r:id="rId80"/>
        </w:object>
      </w:r>
      <w:r w:rsidR="00317F85" w:rsidRPr="00AC36D6">
        <w:rPr>
          <w:rFonts w:eastAsia="Times New Roman" w:cs="Arial"/>
          <w:bCs/>
          <w:color w:val="000000"/>
          <w:kern w:val="32"/>
        </w:rPr>
        <w:t xml:space="preserve"> </w:t>
      </w:r>
      <w:r w:rsidR="00E47436" w:rsidRPr="00AC36D6">
        <w:rPr>
          <w:rFonts w:eastAsia="Times New Roman" w:cs="Arial"/>
          <w:bCs/>
          <w:color w:val="000000"/>
          <w:kern w:val="32"/>
        </w:rPr>
        <w:t xml:space="preserve">the conditions in Equation (3) </w:t>
      </w:r>
      <w:r w:rsidR="00317F85" w:rsidRPr="00AC36D6">
        <w:rPr>
          <w:rFonts w:eastAsia="Times New Roman" w:cs="Arial"/>
          <w:bCs/>
          <w:color w:val="000000"/>
          <w:kern w:val="32"/>
        </w:rPr>
        <w:t xml:space="preserve">can lead to </w:t>
      </w:r>
      <w:r w:rsidR="00E47436" w:rsidRPr="00AC36D6">
        <w:rPr>
          <w:rFonts w:eastAsia="Times New Roman" w:cs="Arial"/>
          <w:bCs/>
          <w:color w:val="000000"/>
          <w:kern w:val="32"/>
        </w:rPr>
        <w:t xml:space="preserve">suboptimal </w:t>
      </w:r>
      <w:r w:rsidR="00317F85" w:rsidRPr="00AC36D6">
        <w:rPr>
          <w:rFonts w:eastAsia="Times New Roman" w:cs="Arial"/>
          <w:bCs/>
          <w:color w:val="000000"/>
          <w:kern w:val="32"/>
        </w:rPr>
        <w:t>consumption</w:t>
      </w:r>
      <w:r w:rsidR="00E47436" w:rsidRPr="00AC36D6">
        <w:rPr>
          <w:rFonts w:eastAsia="Times New Roman" w:cs="Arial"/>
          <w:bCs/>
          <w:color w:val="000000"/>
          <w:kern w:val="32"/>
        </w:rPr>
        <w:t>s</w:t>
      </w:r>
      <w:r w:rsidR="00A9464B" w:rsidRPr="00AC36D6">
        <w:rPr>
          <w:rFonts w:eastAsia="Times New Roman" w:cs="Arial"/>
          <w:bCs/>
          <w:color w:val="000000"/>
          <w:kern w:val="32"/>
        </w:rPr>
        <w:t>.</w:t>
      </w:r>
      <w:r w:rsidR="009D1469" w:rsidRPr="00AC36D6">
        <w:rPr>
          <w:rFonts w:eastAsia="Times New Roman" w:cs="Arial"/>
          <w:bCs/>
          <w:color w:val="000000"/>
          <w:kern w:val="32"/>
        </w:rPr>
        <w:t xml:space="preserve"> </w:t>
      </w:r>
      <w:r w:rsidR="00546EDA" w:rsidRPr="00AC36D6">
        <w:rPr>
          <w:rFonts w:eastAsia="Times New Roman" w:cs="Arial"/>
          <w:bCs/>
          <w:color w:val="000000"/>
          <w:kern w:val="32"/>
        </w:rPr>
        <w:t xml:space="preserve">On the other hand, if the analyst were to work with only the conditions of optimal utility, the resulting model would not have the </w:t>
      </w:r>
      <w:r w:rsidR="00546EDA" w:rsidRPr="00AC36D6">
        <w:rPr>
          <w:rFonts w:eastAsia="Times New Roman" w:cs="Arial"/>
          <w:bCs/>
          <w:i/>
          <w:iCs/>
          <w:color w:val="000000"/>
          <w:kern w:val="32"/>
        </w:rPr>
        <w:t>D-</w:t>
      </w:r>
      <w:r w:rsidR="00546EDA" w:rsidRPr="00AC36D6">
        <w:rPr>
          <w:rFonts w:eastAsia="Times New Roman" w:cs="Arial"/>
          <w:bCs/>
          <w:color w:val="000000"/>
          <w:kern w:val="32"/>
        </w:rPr>
        <w:t xml:space="preserve">preference parameters. Instead, it would be similar that of a traditional MDC choice model, except with a linear utility for the outside good. </w:t>
      </w:r>
    </w:p>
    <w:p w14:paraId="7D234667" w14:textId="1A054DEB" w:rsidR="00C83AFC" w:rsidRPr="00B6655E" w:rsidRDefault="005104CF" w:rsidP="00B6655E">
      <w:pPr>
        <w:spacing w:after="0" w:line="360" w:lineRule="auto"/>
        <w:ind w:firstLine="720"/>
        <w:jc w:val="both"/>
        <w:rPr>
          <w:rFonts w:eastAsia="Times New Roman" w:cs="Arial"/>
          <w:bCs/>
          <w:color w:val="000000"/>
          <w:kern w:val="32"/>
        </w:rPr>
      </w:pPr>
      <w:r w:rsidRPr="00AC36D6">
        <w:rPr>
          <w:rFonts w:eastAsia="Times New Roman" w:cs="Arial"/>
          <w:bCs/>
          <w:color w:val="000000"/>
          <w:kern w:val="32"/>
        </w:rPr>
        <w:lastRenderedPageBreak/>
        <w:t xml:space="preserve">To be sure, Bhat’s (2018) flexible formulation, while valuable in loosening the tight tie between the discrete and continuous consumption decisions, is not always going to be optimal from a strict </w:t>
      </w:r>
      <w:r w:rsidR="00600D0E" w:rsidRPr="00AC36D6">
        <w:rPr>
          <w:rFonts w:eastAsia="Times New Roman" w:cs="Arial"/>
          <w:bCs/>
          <w:color w:val="000000"/>
          <w:kern w:val="32"/>
        </w:rPr>
        <w:t>utility-maximizing</w:t>
      </w:r>
      <w:r w:rsidRPr="00AC36D6">
        <w:rPr>
          <w:rFonts w:eastAsia="Times New Roman" w:cs="Arial"/>
          <w:bCs/>
          <w:color w:val="000000"/>
          <w:kern w:val="32"/>
        </w:rPr>
        <w:t xml:space="preserve"> perspective. </w:t>
      </w:r>
      <w:r w:rsidR="00546EDA" w:rsidRPr="00AC36D6">
        <w:rPr>
          <w:rFonts w:eastAsia="Times New Roman" w:cs="Arial"/>
          <w:bCs/>
          <w:color w:val="000000"/>
          <w:kern w:val="32"/>
        </w:rPr>
        <w:t xml:space="preserve">In this context, one can interpret the conditions in Equation (3) involving </w:t>
      </w:r>
      <w:r w:rsidR="00546EDA" w:rsidRPr="00AC36D6">
        <w:rPr>
          <w:rFonts w:eastAsia="Times New Roman" w:cs="Arial"/>
          <w:bCs/>
          <w:color w:val="000000"/>
          <w:kern w:val="32"/>
          <w:position w:val="-12"/>
          <w:szCs w:val="32"/>
        </w:rPr>
        <w:object w:dxaOrig="380" w:dyaOrig="360" w14:anchorId="3E4BDE7F">
          <v:shape id="_x0000_i1060" type="#_x0000_t75" style="width:19.3pt;height:19.3pt" o:ole="">
            <v:imagedata r:id="rId44" o:title=""/>
          </v:shape>
          <o:OLEObject Type="Embed" ProgID="Equation.3" ShapeID="_x0000_i1060" DrawAspect="Content" ObjectID="_1726484357" r:id="rId81"/>
        </w:object>
      </w:r>
      <w:r w:rsidR="009D1469" w:rsidRPr="00AC36D6">
        <w:rPr>
          <w:rFonts w:eastAsia="Times New Roman" w:cs="Arial"/>
          <w:bCs/>
          <w:color w:val="000000"/>
          <w:kern w:val="32"/>
          <w:szCs w:val="32"/>
        </w:rPr>
        <w:t xml:space="preserve"> as a set of heuristics </w:t>
      </w:r>
      <w:r w:rsidR="009D1469" w:rsidRPr="00AC36D6">
        <w:rPr>
          <w:rFonts w:eastAsia="Times New Roman" w:cs="Arial"/>
          <w:bCs/>
          <w:color w:val="000000"/>
          <w:kern w:val="32"/>
        </w:rPr>
        <w:t>that are assumed to be followed by individuals in making their decisions of which goods to choose</w:t>
      </w:r>
      <w:r w:rsidR="00C36ADB" w:rsidRPr="00AC36D6">
        <w:rPr>
          <w:rFonts w:eastAsia="Times New Roman" w:cs="Arial"/>
          <w:bCs/>
          <w:color w:val="000000"/>
          <w:kern w:val="32"/>
        </w:rPr>
        <w:t xml:space="preserve"> and how much to consume of the chosen goods</w:t>
      </w:r>
      <w:r w:rsidR="009D1469" w:rsidRPr="00AC36D6">
        <w:rPr>
          <w:rFonts w:eastAsia="Times New Roman" w:cs="Arial"/>
          <w:bCs/>
          <w:color w:val="000000"/>
          <w:kern w:val="32"/>
        </w:rPr>
        <w:t xml:space="preserve">. </w:t>
      </w:r>
      <w:r w:rsidR="00E1215D" w:rsidRPr="00AC36D6">
        <w:rPr>
          <w:rFonts w:eastAsia="Times New Roman" w:cs="Arial"/>
          <w:bCs/>
          <w:color w:val="000000"/>
          <w:kern w:val="32"/>
        </w:rPr>
        <w:t>T</w:t>
      </w:r>
      <w:r w:rsidR="00C36ADB" w:rsidRPr="00AC36D6">
        <w:rPr>
          <w:rFonts w:eastAsia="Times New Roman" w:cs="Arial"/>
          <w:bCs/>
          <w:color w:val="000000"/>
          <w:kern w:val="32"/>
        </w:rPr>
        <w:t>hat i</w:t>
      </w:r>
      <w:r w:rsidR="00B0258B" w:rsidRPr="00AC36D6">
        <w:rPr>
          <w:rFonts w:eastAsia="Times New Roman" w:cs="Arial"/>
          <w:bCs/>
          <w:color w:val="000000"/>
          <w:kern w:val="32"/>
        </w:rPr>
        <w:t>s</w:t>
      </w:r>
      <w:r w:rsidR="00E1215D" w:rsidRPr="00AC36D6">
        <w:rPr>
          <w:rFonts w:eastAsia="Times New Roman" w:cs="Arial"/>
          <w:bCs/>
          <w:color w:val="000000"/>
          <w:kern w:val="32"/>
        </w:rPr>
        <w:t>, the model in Equation (3) can be interpreted</w:t>
      </w:r>
      <w:r w:rsidR="00C36ADB" w:rsidRPr="00AC36D6">
        <w:rPr>
          <w:rFonts w:eastAsia="Times New Roman" w:cs="Arial"/>
          <w:bCs/>
          <w:color w:val="000000"/>
          <w:kern w:val="32"/>
        </w:rPr>
        <w:t xml:space="preserve"> </w:t>
      </w:r>
      <w:r w:rsidR="00E1215D" w:rsidRPr="00AC36D6">
        <w:rPr>
          <w:rFonts w:eastAsia="Times New Roman" w:cs="Arial"/>
          <w:bCs/>
          <w:color w:val="000000"/>
          <w:kern w:val="32"/>
        </w:rPr>
        <w:t>a</w:t>
      </w:r>
      <w:r w:rsidR="00C36ADB" w:rsidRPr="00AC36D6">
        <w:rPr>
          <w:rFonts w:eastAsia="Times New Roman" w:cs="Arial"/>
          <w:bCs/>
          <w:color w:val="000000"/>
          <w:kern w:val="32"/>
        </w:rPr>
        <w:t>s a two-step decision</w:t>
      </w:r>
      <w:r w:rsidR="00F1079C" w:rsidRPr="00AC36D6">
        <w:rPr>
          <w:rFonts w:eastAsia="Times New Roman" w:cs="Arial"/>
          <w:bCs/>
          <w:color w:val="000000"/>
          <w:kern w:val="32"/>
        </w:rPr>
        <w:t>-</w:t>
      </w:r>
      <w:r w:rsidR="00C36ADB" w:rsidRPr="00AC36D6">
        <w:rPr>
          <w:rFonts w:eastAsia="Times New Roman" w:cs="Arial"/>
          <w:bCs/>
          <w:color w:val="000000"/>
          <w:kern w:val="32"/>
        </w:rPr>
        <w:t xml:space="preserve">making process </w:t>
      </w:r>
      <w:r w:rsidR="000E575B" w:rsidRPr="00AC36D6">
        <w:rPr>
          <w:rFonts w:eastAsia="Times New Roman" w:cs="Arial"/>
          <w:bCs/>
          <w:color w:val="000000"/>
          <w:kern w:val="32"/>
        </w:rPr>
        <w:t xml:space="preserve">somewhat </w:t>
      </w:r>
      <w:r w:rsidR="00C36ADB" w:rsidRPr="00AC36D6">
        <w:rPr>
          <w:rFonts w:eastAsia="Times New Roman" w:cs="Arial"/>
          <w:bCs/>
          <w:color w:val="000000"/>
          <w:kern w:val="32"/>
        </w:rPr>
        <w:t xml:space="preserve">akin to a Tobit model for each </w:t>
      </w:r>
      <w:r w:rsidR="008B73CC" w:rsidRPr="00AC36D6">
        <w:rPr>
          <w:rFonts w:eastAsia="Times New Roman" w:cs="Arial"/>
          <w:bCs/>
          <w:color w:val="000000"/>
          <w:kern w:val="32"/>
        </w:rPr>
        <w:t>inside good</w:t>
      </w:r>
      <w:r w:rsidR="00C36ADB" w:rsidRPr="00AC36D6">
        <w:rPr>
          <w:rFonts w:eastAsia="Times New Roman" w:cs="Arial"/>
          <w:bCs/>
          <w:color w:val="000000"/>
          <w:kern w:val="32"/>
        </w:rPr>
        <w:t xml:space="preserve">. Specifically, for a given </w:t>
      </w:r>
      <w:r w:rsidR="008B73CC" w:rsidRPr="00AC36D6">
        <w:rPr>
          <w:rFonts w:eastAsia="Times New Roman" w:cs="Arial"/>
          <w:bCs/>
          <w:color w:val="000000"/>
          <w:kern w:val="32"/>
        </w:rPr>
        <w:t>inside good</w:t>
      </w:r>
      <w:r w:rsidR="00C36ADB" w:rsidRPr="00AC36D6">
        <w:rPr>
          <w:rFonts w:eastAsia="Times New Roman" w:cs="Arial"/>
          <w:bCs/>
          <w:color w:val="000000"/>
          <w:kern w:val="32"/>
        </w:rPr>
        <w:t xml:space="preserve"> </w:t>
      </w:r>
      <w:r w:rsidR="00C36ADB" w:rsidRPr="00AC36D6">
        <w:rPr>
          <w:rFonts w:eastAsia="Times New Roman" w:cs="Arial"/>
          <w:bCs/>
          <w:i/>
          <w:iCs/>
          <w:color w:val="000000"/>
          <w:kern w:val="32"/>
        </w:rPr>
        <w:t>k</w:t>
      </w:r>
      <w:r w:rsidR="00C36ADB" w:rsidRPr="00AC36D6">
        <w:rPr>
          <w:rFonts w:eastAsia="Times New Roman" w:cs="Arial"/>
          <w:bCs/>
          <w:color w:val="000000"/>
          <w:kern w:val="32"/>
        </w:rPr>
        <w:t xml:space="preserve">, in the first step, the discrete choice decision is made based on its </w:t>
      </w:r>
      <w:r w:rsidR="00C36ADB" w:rsidRPr="00AC36D6">
        <w:rPr>
          <w:rFonts w:eastAsia="Times New Roman" w:cs="Arial"/>
          <w:bCs/>
          <w:color w:val="000000"/>
          <w:kern w:val="32"/>
          <w:position w:val="-12"/>
          <w:szCs w:val="32"/>
        </w:rPr>
        <w:object w:dxaOrig="380" w:dyaOrig="360" w14:anchorId="6B323ED4">
          <v:shape id="_x0000_i1061" type="#_x0000_t75" style="width:19.3pt;height:19.3pt" o:ole="">
            <v:imagedata r:id="rId44" o:title=""/>
          </v:shape>
          <o:OLEObject Type="Embed" ProgID="Equation.3" ShapeID="_x0000_i1061" DrawAspect="Content" ObjectID="_1726484358" r:id="rId82"/>
        </w:object>
      </w:r>
      <w:r w:rsidR="00C36ADB" w:rsidRPr="00AC36D6">
        <w:rPr>
          <w:rFonts w:eastAsia="Times New Roman" w:cs="Arial"/>
          <w:bCs/>
          <w:color w:val="000000"/>
          <w:kern w:val="32"/>
          <w:szCs w:val="32"/>
        </w:rPr>
        <w:t xml:space="preserve"> value. In the second step, the continuous consumption amount is determined based on the </w:t>
      </w:r>
      <w:r w:rsidR="00C36ADB" w:rsidRPr="00AC36D6">
        <w:rPr>
          <w:rFonts w:eastAsia="Times New Roman" w:cs="Arial"/>
          <w:bCs/>
          <w:color w:val="000000"/>
          <w:kern w:val="32"/>
          <w:position w:val="-12"/>
          <w:szCs w:val="32"/>
        </w:rPr>
        <w:object w:dxaOrig="360" w:dyaOrig="360" w14:anchorId="01A1447B">
          <v:shape id="_x0000_i1062" type="#_x0000_t75" style="width:19.3pt;height:19.3pt" o:ole="">
            <v:imagedata r:id="rId83" o:title=""/>
          </v:shape>
          <o:OLEObject Type="Embed" ProgID="Equation.DSMT4" ShapeID="_x0000_i1062" DrawAspect="Content" ObjectID="_1726484359" r:id="rId84"/>
        </w:object>
      </w:r>
      <w:r w:rsidR="00C36ADB" w:rsidRPr="00AC36D6">
        <w:rPr>
          <w:rFonts w:eastAsia="Times New Roman" w:cs="Arial"/>
          <w:bCs/>
          <w:color w:val="000000"/>
          <w:kern w:val="32"/>
          <w:szCs w:val="32"/>
        </w:rPr>
        <w:t xml:space="preserve"> and </w:t>
      </w:r>
      <w:r w:rsidR="00C36ADB" w:rsidRPr="00AC36D6">
        <w:rPr>
          <w:rFonts w:eastAsia="Times New Roman" w:cs="Arial"/>
          <w:bCs/>
          <w:color w:val="000000"/>
          <w:kern w:val="32"/>
          <w:position w:val="-12"/>
        </w:rPr>
        <w:object w:dxaOrig="279" w:dyaOrig="360" w14:anchorId="22CCC0BB">
          <v:shape id="_x0000_i1063" type="#_x0000_t75" style="width:13.7pt;height:19.3pt" o:ole="">
            <v:imagedata r:id="rId58" o:title=""/>
          </v:shape>
          <o:OLEObject Type="Embed" ProgID="Equation.3" ShapeID="_x0000_i1063" DrawAspect="Content" ObjectID="_1726484360" r:id="rId85"/>
        </w:object>
      </w:r>
      <w:r w:rsidR="00C36ADB" w:rsidRPr="00AC36D6">
        <w:rPr>
          <w:rFonts w:eastAsia="Times New Roman" w:cs="Arial"/>
          <w:bCs/>
          <w:color w:val="000000"/>
          <w:kern w:val="32"/>
          <w:szCs w:val="32"/>
        </w:rPr>
        <w:t xml:space="preserve"> values of that </w:t>
      </w:r>
      <w:r w:rsidR="008B73CC" w:rsidRPr="00AC36D6">
        <w:rPr>
          <w:rFonts w:eastAsia="Times New Roman" w:cs="Arial"/>
          <w:bCs/>
          <w:color w:val="000000"/>
          <w:kern w:val="32"/>
          <w:szCs w:val="32"/>
        </w:rPr>
        <w:t>good</w:t>
      </w:r>
      <w:r w:rsidR="00C36ADB" w:rsidRPr="00AC36D6">
        <w:rPr>
          <w:rFonts w:eastAsia="Times New Roman" w:cs="Arial"/>
          <w:bCs/>
          <w:color w:val="000000"/>
          <w:kern w:val="32"/>
          <w:szCs w:val="32"/>
        </w:rPr>
        <w:t>.</w:t>
      </w:r>
      <w:r w:rsidR="00C36ADB" w:rsidRPr="00AC36D6">
        <w:rPr>
          <w:rFonts w:eastAsia="Times New Roman" w:cs="Arial"/>
          <w:bCs/>
          <w:color w:val="000000"/>
          <w:kern w:val="32"/>
        </w:rPr>
        <w:t xml:space="preserve"> </w:t>
      </w:r>
      <w:r w:rsidR="000E575B" w:rsidRPr="00AC36D6">
        <w:rPr>
          <w:rFonts w:eastAsia="Times New Roman" w:cs="Arial"/>
          <w:bCs/>
          <w:color w:val="000000"/>
          <w:kern w:val="32"/>
        </w:rPr>
        <w:t xml:space="preserve">While the continuous consumption decision is still based on an intuitive and behavioral utility satiation concept, </w:t>
      </w:r>
      <w:r w:rsidR="00C36ADB" w:rsidRPr="00AC36D6">
        <w:rPr>
          <w:rFonts w:eastAsia="Times New Roman" w:cs="Arial"/>
          <w:bCs/>
          <w:color w:val="000000"/>
          <w:kern w:val="32"/>
        </w:rPr>
        <w:t xml:space="preserve">the </w:t>
      </w:r>
      <w:r w:rsidR="000E575B" w:rsidRPr="00AC36D6">
        <w:rPr>
          <w:rFonts w:eastAsia="Times New Roman" w:cs="Arial"/>
          <w:bCs/>
          <w:color w:val="000000"/>
          <w:kern w:val="32"/>
        </w:rPr>
        <w:t>flexible MDC formulation</w:t>
      </w:r>
      <w:r w:rsidR="00B129D6" w:rsidRPr="00AC36D6">
        <w:rPr>
          <w:rFonts w:eastAsia="Times New Roman" w:cs="Arial"/>
          <w:bCs/>
          <w:color w:val="000000"/>
          <w:kern w:val="32"/>
        </w:rPr>
        <w:t xml:space="preserve"> </w:t>
      </w:r>
      <w:r w:rsidR="000E575B" w:rsidRPr="00AC36D6">
        <w:rPr>
          <w:rFonts w:eastAsia="Times New Roman" w:cs="Arial"/>
          <w:bCs/>
          <w:color w:val="000000"/>
          <w:kern w:val="32"/>
        </w:rPr>
        <w:t>extends the traditional utility-maximizing MDC formulation in ways that allow the statistical s</w:t>
      </w:r>
      <w:r w:rsidR="00A423A4" w:rsidRPr="00AC36D6">
        <w:rPr>
          <w:rFonts w:eastAsia="Times New Roman" w:cs="Arial"/>
          <w:bCs/>
          <w:color w:val="000000"/>
          <w:kern w:val="32"/>
        </w:rPr>
        <w:t>t</w:t>
      </w:r>
      <w:r w:rsidR="000E575B" w:rsidRPr="00AC36D6">
        <w:rPr>
          <w:rFonts w:eastAsia="Times New Roman" w:cs="Arial"/>
          <w:bCs/>
          <w:color w:val="000000"/>
          <w:kern w:val="32"/>
        </w:rPr>
        <w:t>itching of the discrete and continuous consumption decisions</w:t>
      </w:r>
      <w:r w:rsidR="006B5E84" w:rsidRPr="00AC36D6">
        <w:rPr>
          <w:rFonts w:eastAsia="Times New Roman" w:cs="Arial"/>
          <w:bCs/>
          <w:color w:val="000000"/>
          <w:kern w:val="32"/>
        </w:rPr>
        <w:t>, as we discuss in the rest of this paper</w:t>
      </w:r>
      <w:r w:rsidR="000E575B" w:rsidRPr="00AC36D6">
        <w:rPr>
          <w:rFonts w:eastAsia="Times New Roman" w:cs="Arial"/>
          <w:bCs/>
          <w:color w:val="000000"/>
          <w:kern w:val="32"/>
        </w:rPr>
        <w:t xml:space="preserve">.  </w:t>
      </w:r>
    </w:p>
    <w:p w14:paraId="1F78D770" w14:textId="643CB873" w:rsidR="007E733C" w:rsidRPr="00AC36D6" w:rsidRDefault="007E733C" w:rsidP="00B6655E">
      <w:pPr>
        <w:pStyle w:val="ListParagraph"/>
        <w:numPr>
          <w:ilvl w:val="1"/>
          <w:numId w:val="19"/>
        </w:numPr>
        <w:spacing w:before="120" w:after="0" w:line="360" w:lineRule="auto"/>
        <w:ind w:left="547" w:hanging="547"/>
        <w:contextualSpacing w:val="0"/>
        <w:jc w:val="both"/>
        <w:rPr>
          <w:rFonts w:eastAsia="Times New Roman" w:cs="Arial"/>
          <w:b/>
          <w:color w:val="000000"/>
          <w:kern w:val="32"/>
        </w:rPr>
      </w:pPr>
      <w:r w:rsidRPr="00AC36D6">
        <w:rPr>
          <w:b/>
          <w:color w:val="000000" w:themeColor="text1"/>
        </w:rPr>
        <w:t xml:space="preserve">The Flexible MDCP </w:t>
      </w:r>
      <w:r w:rsidR="00695E4C">
        <w:rPr>
          <w:b/>
          <w:color w:val="000000" w:themeColor="text1"/>
        </w:rPr>
        <w:t>M</w:t>
      </w:r>
      <w:r w:rsidRPr="00AC36D6">
        <w:rPr>
          <w:b/>
          <w:color w:val="000000" w:themeColor="text1"/>
        </w:rPr>
        <w:t>odel</w:t>
      </w:r>
    </w:p>
    <w:p w14:paraId="19A82F7B" w14:textId="3A8EECCF" w:rsidR="007E733C" w:rsidRPr="00AC36D6" w:rsidRDefault="007E733C" w:rsidP="00B6655E">
      <w:pPr>
        <w:pStyle w:val="ListParagraph"/>
        <w:numPr>
          <w:ilvl w:val="2"/>
          <w:numId w:val="22"/>
        </w:numPr>
        <w:spacing w:before="120" w:after="0" w:line="360" w:lineRule="auto"/>
        <w:contextualSpacing w:val="0"/>
        <w:rPr>
          <w:i/>
        </w:rPr>
      </w:pPr>
      <w:r w:rsidRPr="00AC36D6">
        <w:rPr>
          <w:i/>
        </w:rPr>
        <w:t>Model Structure</w:t>
      </w:r>
    </w:p>
    <w:p w14:paraId="32AFD9E0" w14:textId="065849E7" w:rsidR="009E73B3" w:rsidRPr="00AC36D6" w:rsidRDefault="009E73B3" w:rsidP="009E73B3">
      <w:pPr>
        <w:spacing w:line="360" w:lineRule="auto"/>
        <w:jc w:val="both"/>
      </w:pPr>
      <w:r w:rsidRPr="00AC36D6">
        <w:t xml:space="preserve">The conditions of Equation (3) may be </w:t>
      </w:r>
      <w:r w:rsidR="009D56D9" w:rsidRPr="00AC36D6">
        <w:t>re</w:t>
      </w:r>
      <w:r w:rsidRPr="00AC36D6">
        <w:t>written</w:t>
      </w:r>
      <w:r w:rsidR="001C39E5" w:rsidRPr="00AC36D6">
        <w:t>,</w:t>
      </w:r>
      <w:r w:rsidRPr="00AC36D6">
        <w:t xml:space="preserve"> after substituting </w:t>
      </w:r>
      <w:r w:rsidRPr="00AC36D6">
        <w:rPr>
          <w:position w:val="-12"/>
        </w:rPr>
        <w:object w:dxaOrig="660" w:dyaOrig="360" w14:anchorId="56FBB359">
          <v:shape id="_x0000_i1064" type="#_x0000_t75" style="width:33pt;height:19.3pt" o:ole="">
            <v:imagedata r:id="rId86" o:title=""/>
          </v:shape>
          <o:OLEObject Type="Embed" ProgID="Equation.DSMT4" ShapeID="_x0000_i1064" DrawAspect="Content" ObjectID="_1726484361" r:id="rId87"/>
        </w:object>
      </w:r>
      <w:r w:rsidR="001C39E5" w:rsidRPr="00AC36D6">
        <w:t>,</w:t>
      </w:r>
      <w:r w:rsidRPr="00AC36D6">
        <w:t xml:space="preserve"> as:</w:t>
      </w:r>
    </w:p>
    <w:p w14:paraId="543247B0" w14:textId="17F5EA3D" w:rsidR="00BE581D" w:rsidRPr="00AC36D6" w:rsidRDefault="006F3436" w:rsidP="00946803">
      <w:pPr>
        <w:keepNext/>
        <w:keepLines/>
        <w:spacing w:line="360" w:lineRule="auto"/>
        <w:ind w:firstLine="567"/>
      </w:pPr>
      <w:r w:rsidRPr="00AC36D6">
        <w:rPr>
          <w:position w:val="-54"/>
        </w:rPr>
        <w:object w:dxaOrig="6880" w:dyaOrig="1200" w14:anchorId="111C36CD">
          <v:shape id="_x0000_i1065" type="#_x0000_t75" style="width:343.7pt;height:60pt" o:ole="" o:preferrelative="f">
            <v:imagedata r:id="rId88" o:title=""/>
            <o:lock v:ext="edit" aspectratio="f"/>
          </v:shape>
          <o:OLEObject Type="Embed" ProgID="Equation.DSMT4" ShapeID="_x0000_i1065" DrawAspect="Content" ObjectID="_1726484362" r:id="rId89"/>
        </w:object>
      </w:r>
      <w:r w:rsidR="0013568B" w:rsidRPr="00AC36D6">
        <w:tab/>
      </w:r>
      <w:r w:rsidR="0013568B" w:rsidRPr="00AC36D6">
        <w:tab/>
      </w:r>
      <w:r w:rsidR="009E73B3" w:rsidRPr="00AC36D6">
        <w:t>(4)</w:t>
      </w:r>
    </w:p>
    <w:p w14:paraId="7AD2772C" w14:textId="19452DCB" w:rsidR="009E73B3" w:rsidRPr="00AC36D6" w:rsidRDefault="009E73B3" w:rsidP="009E73B3">
      <w:pPr>
        <w:spacing w:line="360" w:lineRule="auto"/>
        <w:jc w:val="both"/>
      </w:pPr>
      <w:r w:rsidRPr="00AC36D6">
        <w:t xml:space="preserve">Re-arranging and taking logarithms, the conditions </w:t>
      </w:r>
      <w:r w:rsidR="00123179" w:rsidRPr="00AC36D6">
        <w:t>may be rewritten</w:t>
      </w:r>
      <w:r w:rsidR="00083E0D" w:rsidRPr="00AC36D6">
        <w:t xml:space="preserve"> </w:t>
      </w:r>
      <w:r w:rsidRPr="00AC36D6">
        <w:t>as follows:</w:t>
      </w:r>
    </w:p>
    <w:p w14:paraId="7B6FB536" w14:textId="6E83298F" w:rsidR="009E73B3" w:rsidRPr="00AC36D6" w:rsidRDefault="00946803" w:rsidP="00946803">
      <w:pPr>
        <w:tabs>
          <w:tab w:val="left" w:pos="0"/>
          <w:tab w:val="left" w:pos="567"/>
        </w:tabs>
        <w:spacing w:line="360" w:lineRule="auto"/>
        <w:ind w:left="709" w:hanging="450"/>
        <w:jc w:val="both"/>
      </w:pPr>
      <w:r w:rsidRPr="00AC36D6">
        <w:tab/>
      </w:r>
      <w:r w:rsidR="006F3436" w:rsidRPr="00AC36D6">
        <w:rPr>
          <w:position w:val="-54"/>
        </w:rPr>
        <w:object w:dxaOrig="8120" w:dyaOrig="1200" w14:anchorId="325A8281">
          <v:shape id="_x0000_i1066" type="#_x0000_t75" style="width:406.3pt;height:60pt" o:ole="" o:preferrelative="f">
            <v:imagedata r:id="rId90" o:title=""/>
            <o:lock v:ext="edit" aspectratio="f"/>
          </v:shape>
          <o:OLEObject Type="Embed" ProgID="Equation.DSMT4" ShapeID="_x0000_i1066" DrawAspect="Content" ObjectID="_1726484363" r:id="rId91"/>
        </w:object>
      </w:r>
      <w:r w:rsidRPr="00AC36D6">
        <w:t>(5)</w:t>
      </w:r>
    </w:p>
    <w:p w14:paraId="0787C125" w14:textId="73F1AD29" w:rsidR="009E73B3" w:rsidRPr="00AC36D6" w:rsidRDefault="009D56D9" w:rsidP="009E73B3">
      <w:pPr>
        <w:keepNext/>
        <w:spacing w:line="360" w:lineRule="auto"/>
        <w:jc w:val="both"/>
      </w:pPr>
      <w:r w:rsidRPr="00AC36D6">
        <w:t>Next</w:t>
      </w:r>
      <w:r w:rsidR="009E73B3" w:rsidRPr="00AC36D6">
        <w:t xml:space="preserve">, we </w:t>
      </w:r>
      <w:r w:rsidR="00953F22" w:rsidRPr="00AC36D6">
        <w:t>specify</w:t>
      </w:r>
      <w:r w:rsidR="00F947AD" w:rsidRPr="00AC36D6">
        <w:t xml:space="preserve"> </w:t>
      </w:r>
      <w:r w:rsidR="00F947AD" w:rsidRPr="00AC36D6">
        <w:rPr>
          <w:position w:val="-12"/>
        </w:rPr>
        <w:object w:dxaOrig="279" w:dyaOrig="360" w14:anchorId="0EC08FB1">
          <v:shape id="_x0000_i1067" type="#_x0000_t75" style="width:14.15pt;height:19.3pt" o:ole="">
            <v:imagedata r:id="rId92" o:title=""/>
          </v:shape>
          <o:OLEObject Type="Embed" ProgID="Equation.DSMT4" ShapeID="_x0000_i1067" DrawAspect="Content" ObjectID="_1726484364" r:id="rId93"/>
        </w:object>
      </w:r>
      <w:r w:rsidR="00F947AD" w:rsidRPr="00AC36D6">
        <w:t xml:space="preserve"> as</w:t>
      </w:r>
      <w:r w:rsidR="009E73B3" w:rsidRPr="00AC36D6">
        <w:t xml:space="preserve"> </w:t>
      </w:r>
      <w:r w:rsidR="009E73B3" w:rsidRPr="00AC36D6">
        <w:rPr>
          <w:position w:val="-12"/>
        </w:rPr>
        <w:object w:dxaOrig="1760" w:dyaOrig="360" w14:anchorId="6544D997">
          <v:shape id="_x0000_i1068" type="#_x0000_t75" style="width:88.7pt;height:19.3pt" o:ole="">
            <v:imagedata r:id="rId94" o:title=""/>
          </v:shape>
          <o:OLEObject Type="Embed" ProgID="Equation.DSMT4" ShapeID="_x0000_i1068" DrawAspect="Content" ObjectID="_1726484365" r:id="rId95"/>
        </w:object>
      </w:r>
      <w:r w:rsidR="009E73B3" w:rsidRPr="00AC36D6">
        <w:t xml:space="preserve">, where </w:t>
      </w:r>
      <w:r w:rsidR="009E73B3" w:rsidRPr="00AC36D6">
        <w:rPr>
          <w:position w:val="-12"/>
        </w:rPr>
        <w:object w:dxaOrig="220" w:dyaOrig="360" w14:anchorId="1D5C5E9C">
          <v:shape id="_x0000_i1069" type="#_x0000_t75" style="width:9pt;height:19.3pt" o:ole="">
            <v:imagedata r:id="rId96" o:title=""/>
          </v:shape>
          <o:OLEObject Type="Embed" ProgID="Equation.DSMT4" ShapeID="_x0000_i1069" DrawAspect="Content" ObjectID="_1726484366" r:id="rId97"/>
        </w:object>
      </w:r>
      <w:r w:rsidR="009E73B3" w:rsidRPr="00AC36D6">
        <w:t xml:space="preserve"> is a </w:t>
      </w:r>
      <w:r w:rsidR="009E73B3" w:rsidRPr="00AC36D6">
        <w:rPr>
          <w:i/>
        </w:rPr>
        <w:t>D</w:t>
      </w:r>
      <w:r w:rsidR="009E73B3" w:rsidRPr="00AC36D6">
        <w:t xml:space="preserve">-dimensional vector of attributes that characterizes good </w:t>
      </w:r>
      <w:r w:rsidR="009E73B3" w:rsidRPr="00AC36D6">
        <w:rPr>
          <w:i/>
        </w:rPr>
        <w:t>1</w:t>
      </w:r>
      <w:r w:rsidR="009E73B3" w:rsidRPr="00AC36D6">
        <w:t xml:space="preserve">, without the inclusion of a constant. Similarly, </w:t>
      </w:r>
      <w:r w:rsidR="008C51D1" w:rsidRPr="00AC36D6">
        <w:t>the</w:t>
      </w:r>
      <w:r w:rsidR="009E73B3" w:rsidRPr="00AC36D6">
        <w:t xml:space="preserve"> </w:t>
      </w:r>
      <w:r w:rsidR="009E73B3" w:rsidRPr="00AC36D6">
        <w:rPr>
          <w:i/>
        </w:rPr>
        <w:t>D</w:t>
      </w:r>
      <w:r w:rsidR="009E73B3" w:rsidRPr="00AC36D6">
        <w:t xml:space="preserve">-preference and the </w:t>
      </w:r>
      <w:r w:rsidR="009E73B3" w:rsidRPr="00AC36D6">
        <w:rPr>
          <w:i/>
        </w:rPr>
        <w:t>C</w:t>
      </w:r>
      <w:r w:rsidR="009E73B3" w:rsidRPr="00AC36D6">
        <w:t xml:space="preserve">-preference terms </w:t>
      </w:r>
      <w:r w:rsidR="008C51D1" w:rsidRPr="00AC36D6">
        <w:t>are</w:t>
      </w:r>
      <w:r w:rsidR="00673127" w:rsidRPr="00AC36D6">
        <w:t xml:space="preserve"> specified</w:t>
      </w:r>
      <w:r w:rsidR="008C51D1" w:rsidRPr="00AC36D6">
        <w:t xml:space="preserve"> </w:t>
      </w:r>
      <w:r w:rsidR="009E73B3" w:rsidRPr="00AC36D6">
        <w:t>as follows:</w:t>
      </w:r>
    </w:p>
    <w:p w14:paraId="27A74480" w14:textId="70B191C9" w:rsidR="009E73B3" w:rsidRPr="00AC36D6" w:rsidRDefault="00946803" w:rsidP="00946803">
      <w:pPr>
        <w:spacing w:after="0" w:line="360" w:lineRule="auto"/>
        <w:ind w:firstLine="720"/>
        <w:jc w:val="both"/>
        <w:rPr>
          <w:rFonts w:eastAsia="Times New Roman" w:cs="Arial"/>
          <w:bCs/>
          <w:color w:val="000000"/>
          <w:kern w:val="32"/>
          <w:szCs w:val="32"/>
        </w:rPr>
      </w:pPr>
      <w:r w:rsidRPr="00AC36D6">
        <w:rPr>
          <w:position w:val="-12"/>
        </w:rPr>
        <w:object w:dxaOrig="5780" w:dyaOrig="360" w14:anchorId="7BA63799">
          <v:shape id="_x0000_i1070" type="#_x0000_t75" style="width:290.15pt;height:19.3pt" o:ole="" o:preferrelative="f">
            <v:imagedata r:id="rId98" o:title=""/>
            <o:lock v:ext="edit" aspectratio="f"/>
          </v:shape>
          <o:OLEObject Type="Embed" ProgID="Equation.DSMT4" ShapeID="_x0000_i1070" DrawAspect="Content" ObjectID="_1726484367" r:id="rId99"/>
        </w:object>
      </w:r>
      <w:r w:rsidR="009E73B3" w:rsidRPr="00AC36D6">
        <w:tab/>
      </w:r>
      <w:r w:rsidR="009E73B3" w:rsidRPr="00AC36D6">
        <w:tab/>
      </w:r>
      <w:r w:rsidR="009E73B3" w:rsidRPr="00AC36D6">
        <w:tab/>
        <w:t>(6)</w:t>
      </w:r>
    </w:p>
    <w:p w14:paraId="456CF789" w14:textId="6CD518CB" w:rsidR="009E73B3" w:rsidRPr="00AC36D6" w:rsidRDefault="009E73B3" w:rsidP="009E73B3">
      <w:pPr>
        <w:spacing w:line="360" w:lineRule="auto"/>
        <w:jc w:val="both"/>
      </w:pPr>
      <w:r w:rsidRPr="00AC36D6">
        <w:lastRenderedPageBreak/>
        <w:t xml:space="preserve">In the </w:t>
      </w:r>
      <w:r w:rsidR="003344C1" w:rsidRPr="00AC36D6">
        <w:t xml:space="preserve">expression for </w:t>
      </w:r>
      <w:r w:rsidR="003344C1" w:rsidRPr="00AC36D6">
        <w:rPr>
          <w:rFonts w:eastAsia="Times New Roman" w:cs="Arial"/>
          <w:bCs/>
          <w:color w:val="000000"/>
          <w:kern w:val="32"/>
          <w:position w:val="-12"/>
          <w:szCs w:val="32"/>
        </w:rPr>
        <w:object w:dxaOrig="380" w:dyaOrig="360" w14:anchorId="17B4D4E2">
          <v:shape id="_x0000_i1071" type="#_x0000_t75" style="width:19.3pt;height:19.3pt" o:ole="">
            <v:imagedata r:id="rId44" o:title=""/>
          </v:shape>
          <o:OLEObject Type="Embed" ProgID="Equation.3" ShapeID="_x0000_i1071" DrawAspect="Content" ObjectID="_1726484368" r:id="rId100"/>
        </w:object>
      </w:r>
      <w:r w:rsidRPr="00AC36D6">
        <w:t xml:space="preserve">, </w:t>
      </w:r>
      <w:r w:rsidRPr="00AC36D6">
        <w:rPr>
          <w:position w:val="-12"/>
        </w:rPr>
        <w:object w:dxaOrig="260" w:dyaOrig="360" w14:anchorId="6A6E00D0">
          <v:shape id="_x0000_i1072" type="#_x0000_t75" style="width:13.3pt;height:19.3pt" o:ole="">
            <v:imagedata r:id="rId101" o:title=""/>
          </v:shape>
          <o:OLEObject Type="Embed" ProgID="Equation.DSMT4" ShapeID="_x0000_i1072" DrawAspect="Content" ObjectID="_1726484369" r:id="rId102"/>
        </w:object>
      </w:r>
      <w:r w:rsidRPr="00AC36D6">
        <w:t xml:space="preserve"> is a </w:t>
      </w:r>
      <w:r w:rsidRPr="00AC36D6">
        <w:rPr>
          <w:i/>
        </w:rPr>
        <w:t>D</w:t>
      </w:r>
      <w:r w:rsidRPr="00AC36D6">
        <w:t xml:space="preserve">-dimensional vector of </w:t>
      </w:r>
      <w:r w:rsidR="003344C1" w:rsidRPr="00AC36D6">
        <w:t xml:space="preserve">observed </w:t>
      </w:r>
      <w:r w:rsidRPr="00AC36D6">
        <w:t xml:space="preserve">attributes that </w:t>
      </w:r>
      <w:r w:rsidR="003344C1" w:rsidRPr="00AC36D6">
        <w:t xml:space="preserve">influence the choice of </w:t>
      </w:r>
      <w:r w:rsidRPr="00AC36D6">
        <w:t xml:space="preserve">good </w:t>
      </w:r>
      <w:r w:rsidRPr="00AC36D6">
        <w:rPr>
          <w:i/>
        </w:rPr>
        <w:t>k</w:t>
      </w:r>
      <w:r w:rsidRPr="00AC36D6">
        <w:t xml:space="preserve"> (including a dummy variable for each inside good), </w:t>
      </w:r>
      <w:r w:rsidRPr="00AC36D6">
        <w:rPr>
          <w:position w:val="-10"/>
        </w:rPr>
        <w:object w:dxaOrig="240" w:dyaOrig="320" w14:anchorId="192210CB">
          <v:shape id="_x0000_i1073" type="#_x0000_t75" style="width:13.7pt;height:17.15pt" o:ole="">
            <v:imagedata r:id="rId103" o:title=""/>
          </v:shape>
          <o:OLEObject Type="Embed" ProgID="Equation.DSMT4" ShapeID="_x0000_i1073" DrawAspect="Content" ObjectID="_1726484370" r:id="rId104"/>
        </w:object>
      </w:r>
      <w:r w:rsidRPr="00AC36D6">
        <w:t xml:space="preserve"> is a </w:t>
      </w:r>
      <w:r w:rsidR="00981DF7" w:rsidRPr="00AC36D6">
        <w:t xml:space="preserve">corresponding </w:t>
      </w:r>
      <w:r w:rsidRPr="00AC36D6">
        <w:t xml:space="preserve">vector of coefficients, and </w:t>
      </w:r>
      <w:r w:rsidRPr="00AC36D6">
        <w:rPr>
          <w:position w:val="-12"/>
        </w:rPr>
        <w:object w:dxaOrig="260" w:dyaOrig="360" w14:anchorId="4AEAFE6F">
          <v:shape id="_x0000_i1074" type="#_x0000_t75" style="width:13.3pt;height:19.3pt" o:ole="">
            <v:imagedata r:id="rId105" o:title=""/>
          </v:shape>
          <o:OLEObject Type="Embed" ProgID="Equation.DSMT4" ShapeID="_x0000_i1074" DrawAspect="Content" ObjectID="_1726484371" r:id="rId106"/>
        </w:object>
      </w:r>
      <w:r w:rsidRPr="00AC36D6">
        <w:t xml:space="preserve"> captures the idiosyncratic (unobserved) characteristics </w:t>
      </w:r>
      <w:r w:rsidR="003344C1" w:rsidRPr="00AC36D6">
        <w:t>influencing the choice</w:t>
      </w:r>
      <w:r w:rsidRPr="00AC36D6">
        <w:t xml:space="preserve"> of good </w:t>
      </w:r>
      <w:r w:rsidRPr="00AC36D6">
        <w:rPr>
          <w:i/>
        </w:rPr>
        <w:t>k</w:t>
      </w:r>
      <w:r w:rsidRPr="00AC36D6">
        <w:t xml:space="preserve">. We assume that the error terms </w:t>
      </w:r>
      <w:r w:rsidRPr="00AC36D6">
        <w:rPr>
          <w:position w:val="-12"/>
        </w:rPr>
        <w:object w:dxaOrig="260" w:dyaOrig="360" w14:anchorId="342FB520">
          <v:shape id="_x0000_i1075" type="#_x0000_t75" style="width:13.3pt;height:19.3pt" o:ole="">
            <v:imagedata r:id="rId107" o:title=""/>
          </v:shape>
          <o:OLEObject Type="Embed" ProgID="Equation.DSMT4" ShapeID="_x0000_i1075" DrawAspect="Content" ObjectID="_1726484372" r:id="rId108"/>
        </w:object>
      </w:r>
      <w:r w:rsidRPr="00AC36D6">
        <w:t xml:space="preserve"> are multivariate normally distributed across goods </w:t>
      </w:r>
      <w:r w:rsidRPr="00AC36D6">
        <w:rPr>
          <w:i/>
        </w:rPr>
        <w:t>k</w:t>
      </w:r>
      <w:r w:rsidRPr="00AC36D6">
        <w:t xml:space="preserve">: </w:t>
      </w:r>
      <w:r w:rsidR="00416B5A" w:rsidRPr="00AC36D6">
        <w:rPr>
          <w:position w:val="-12"/>
        </w:rPr>
        <w:object w:dxaOrig="3280" w:dyaOrig="400" w14:anchorId="25446D6F">
          <v:shape id="_x0000_i1076" type="#_x0000_t75" style="width:156pt;height:20.15pt" o:ole="">
            <v:imagedata r:id="rId109" o:title=""/>
          </v:shape>
          <o:OLEObject Type="Embed" ProgID="Equation.DSMT4" ShapeID="_x0000_i1076" DrawAspect="Content" ObjectID="_1726484373" r:id="rId110"/>
        </w:object>
      </w:r>
      <w:r w:rsidRPr="00AC36D6">
        <w:t xml:space="preserve">, where </w:t>
      </w:r>
      <w:r w:rsidRPr="00AC36D6">
        <w:rPr>
          <w:position w:val="-12"/>
        </w:rPr>
        <w:object w:dxaOrig="1400" w:dyaOrig="400" w14:anchorId="4D2708E0">
          <v:shape id="_x0000_i1077" type="#_x0000_t75" style="width:70.3pt;height:19.7pt" o:ole="">
            <v:imagedata r:id="rId111" o:title=""/>
          </v:shape>
          <o:OLEObject Type="Embed" ProgID="Equation.DSMT4" ShapeID="_x0000_i1077" DrawAspect="Content" ObjectID="_1726484374" r:id="rId112"/>
        </w:object>
      </w:r>
      <w:r w:rsidRPr="00AC36D6">
        <w:t xml:space="preserve"> indicates a </w:t>
      </w:r>
      <w:r w:rsidRPr="00AC36D6">
        <w:rPr>
          <w:i/>
        </w:rPr>
        <w:t>K</w:t>
      </w:r>
      <w:r w:rsidRPr="00AC36D6">
        <w:t xml:space="preserve">-variate normal distribution with a mean vector of zeros denoted by </w:t>
      </w:r>
      <w:r w:rsidRPr="00AC36D6">
        <w:rPr>
          <w:position w:val="-10"/>
        </w:rPr>
        <w:object w:dxaOrig="300" w:dyaOrig="340" w14:anchorId="6D8C5323">
          <v:shape id="_x0000_i1078" type="#_x0000_t75" style="width:17.15pt;height:17.15pt" o:ole="">
            <v:imagedata r:id="rId113" o:title=""/>
          </v:shape>
          <o:OLEObject Type="Embed" ProgID="Equation.3" ShapeID="_x0000_i1078" DrawAspect="Content" ObjectID="_1726484375" r:id="rId114"/>
        </w:object>
      </w:r>
      <w:r w:rsidRPr="00AC36D6">
        <w:t xml:space="preserve"> and a covariance matrix </w:t>
      </w:r>
      <w:r w:rsidRPr="00AC36D6">
        <w:rPr>
          <w:position w:val="-4"/>
        </w:rPr>
        <w:object w:dxaOrig="260" w:dyaOrig="320" w14:anchorId="3B5E56C8">
          <v:shape id="_x0000_i1079" type="#_x0000_t75" style="width:13.3pt;height:17.15pt" o:ole="">
            <v:imagedata r:id="rId115" o:title=""/>
          </v:shape>
          <o:OLEObject Type="Embed" ProgID="Equation.DSMT4" ShapeID="_x0000_i1079" DrawAspect="Content" ObjectID="_1726484376" r:id="rId116"/>
        </w:object>
      </w:r>
      <w:r w:rsidRPr="00AC36D6">
        <w:t>.</w:t>
      </w:r>
      <w:r w:rsidR="00080C86" w:rsidRPr="00AC36D6">
        <w:t xml:space="preserve"> </w:t>
      </w:r>
      <w:r w:rsidRPr="00AC36D6">
        <w:t xml:space="preserve">In the </w:t>
      </w:r>
      <w:r w:rsidR="005C01B4" w:rsidRPr="00AC36D6">
        <w:t xml:space="preserve">expression for </w:t>
      </w:r>
      <w:r w:rsidR="005C01B4" w:rsidRPr="00AC36D6">
        <w:rPr>
          <w:rFonts w:eastAsia="Times New Roman" w:cs="Arial"/>
          <w:bCs/>
          <w:color w:val="000000"/>
          <w:kern w:val="32"/>
          <w:szCs w:val="32"/>
        </w:rPr>
        <w:t xml:space="preserve"> </w:t>
      </w:r>
      <w:r w:rsidR="005C01B4" w:rsidRPr="00AC36D6">
        <w:rPr>
          <w:rFonts w:eastAsia="Times New Roman" w:cs="Arial"/>
          <w:bCs/>
          <w:color w:val="000000"/>
          <w:kern w:val="32"/>
          <w:position w:val="-12"/>
          <w:szCs w:val="32"/>
        </w:rPr>
        <w:object w:dxaOrig="360" w:dyaOrig="360" w14:anchorId="26AA13A5">
          <v:shape id="_x0000_i1080" type="#_x0000_t75" style="width:19.3pt;height:19.3pt" o:ole="">
            <v:imagedata r:id="rId83" o:title=""/>
          </v:shape>
          <o:OLEObject Type="Embed" ProgID="Equation.DSMT4" ShapeID="_x0000_i1080" DrawAspect="Content" ObjectID="_1726484377" r:id="rId117"/>
        </w:object>
      </w:r>
      <w:r w:rsidRPr="00AC36D6">
        <w:t xml:space="preserve">, </w:t>
      </w:r>
      <w:r w:rsidRPr="00AC36D6">
        <w:rPr>
          <w:position w:val="-12"/>
        </w:rPr>
        <w:object w:dxaOrig="320" w:dyaOrig="360" w14:anchorId="2D34143E">
          <v:shape id="_x0000_i1081" type="#_x0000_t75" style="width:17.15pt;height:19.3pt" o:ole="" o:preferrelative="f">
            <v:imagedata r:id="rId118" o:title=""/>
            <o:lock v:ext="edit" aspectratio="f"/>
          </v:shape>
          <o:OLEObject Type="Embed" ProgID="Equation.DSMT4" ShapeID="_x0000_i1081" DrawAspect="Content" ObjectID="_1726484378" r:id="rId119"/>
        </w:object>
      </w:r>
      <w:r w:rsidRPr="00AC36D6">
        <w:t xml:space="preserve"> is </w:t>
      </w:r>
      <w:r w:rsidR="0086242B" w:rsidRPr="00AC36D6">
        <w:t xml:space="preserve">a </w:t>
      </w:r>
      <w:r w:rsidR="005C01B4" w:rsidRPr="00AC36D6">
        <w:t xml:space="preserve">vector of observed </w:t>
      </w:r>
      <w:r w:rsidRPr="00AC36D6">
        <w:t xml:space="preserve">attributes that </w:t>
      </w:r>
      <w:r w:rsidR="005C01B4" w:rsidRPr="00AC36D6">
        <w:t xml:space="preserve">influence the consumption amount of </w:t>
      </w:r>
      <w:r w:rsidRPr="00AC36D6">
        <w:t xml:space="preserve">inside good </w:t>
      </w:r>
      <w:r w:rsidR="00416B5A" w:rsidRPr="00AC36D6">
        <w:rPr>
          <w:position w:val="-10"/>
        </w:rPr>
        <w:object w:dxaOrig="1560" w:dyaOrig="320" w14:anchorId="5F1EC7FB">
          <v:shape id="_x0000_i1082" type="#_x0000_t75" style="width:78pt;height:15.85pt" o:ole="">
            <v:imagedata r:id="rId120" o:title=""/>
          </v:shape>
          <o:OLEObject Type="Embed" ProgID="Equation.DSMT4" ShapeID="_x0000_i1082" DrawAspect="Content" ObjectID="_1726484379" r:id="rId121"/>
        </w:object>
      </w:r>
      <w:r w:rsidR="005C01B4" w:rsidRPr="00AC36D6">
        <w:t xml:space="preserve">, </w:t>
      </w:r>
      <w:r w:rsidR="00946803" w:rsidRPr="00AC36D6">
        <w:t xml:space="preserve">with </w:t>
      </w:r>
      <w:r w:rsidRPr="00AC36D6">
        <w:rPr>
          <w:position w:val="-6"/>
        </w:rPr>
        <w:object w:dxaOrig="200" w:dyaOrig="279" w14:anchorId="16A97039">
          <v:shape id="_x0000_i1083" type="#_x0000_t75" style="width:12pt;height:13.7pt" o:ole="">
            <v:imagedata r:id="rId122" o:title=""/>
          </v:shape>
          <o:OLEObject Type="Embed" ProgID="Equation.DSMT4" ShapeID="_x0000_i1083" DrawAspect="Content" ObjectID="_1726484380" r:id="rId123"/>
        </w:object>
      </w:r>
      <w:r w:rsidR="00946803" w:rsidRPr="00AC36D6">
        <w:t xml:space="preserve"> being the corresponding vector of coefficients. Note that</w:t>
      </w:r>
      <w:r w:rsidRPr="00AC36D6">
        <w:t xml:space="preserve"> some variables may appear exclusively in </w:t>
      </w:r>
      <w:r w:rsidRPr="00AC36D6">
        <w:rPr>
          <w:position w:val="-12"/>
        </w:rPr>
        <w:object w:dxaOrig="260" w:dyaOrig="360" w14:anchorId="7D42EFD4">
          <v:shape id="_x0000_i1084" type="#_x0000_t75" style="width:13.3pt;height:19.3pt" o:ole="" o:preferrelative="f">
            <v:imagedata r:id="rId124" o:title=""/>
            <o:lock v:ext="edit" aspectratio="f"/>
          </v:shape>
          <o:OLEObject Type="Embed" ProgID="Equation.DSMT4" ShapeID="_x0000_i1084" DrawAspect="Content" ObjectID="_1726484381" r:id="rId125"/>
        </w:object>
      </w:r>
      <w:r w:rsidRPr="00AC36D6">
        <w:t xml:space="preserve"> or in </w:t>
      </w:r>
      <w:r w:rsidRPr="00AC36D6">
        <w:rPr>
          <w:position w:val="-12"/>
        </w:rPr>
        <w:object w:dxaOrig="320" w:dyaOrig="360" w14:anchorId="0BF78FE8">
          <v:shape id="_x0000_i1085" type="#_x0000_t75" style="width:17.15pt;height:19.3pt" o:ole="" o:preferrelative="f">
            <v:imagedata r:id="rId126" o:title=""/>
            <o:lock v:ext="edit" aspectratio="f"/>
          </v:shape>
          <o:OLEObject Type="Embed" ProgID="Equation.DSMT4" ShapeID="_x0000_i1085" DrawAspect="Content" ObjectID="_1726484382" r:id="rId127"/>
        </w:object>
      </w:r>
      <w:r w:rsidRPr="00AC36D6">
        <w:t xml:space="preserve">, indicating that the variable affects one but not the other baseline </w:t>
      </w:r>
      <w:r w:rsidR="005862A8" w:rsidRPr="00AC36D6">
        <w:t>preference</w:t>
      </w:r>
      <w:r w:rsidRPr="00AC36D6">
        <w:t xml:space="preserve">. We assume that the error terms </w:t>
      </w:r>
      <w:r w:rsidR="00416B5A" w:rsidRPr="00AC36D6">
        <w:rPr>
          <w:position w:val="-12"/>
        </w:rPr>
        <w:object w:dxaOrig="1560" w:dyaOrig="360" w14:anchorId="33585C5F">
          <v:shape id="_x0000_i1086" type="#_x0000_t75" style="width:74.15pt;height:19.3pt" o:ole="">
            <v:imagedata r:id="rId128" o:title=""/>
          </v:shape>
          <o:OLEObject Type="Embed" ProgID="Equation.DSMT4" ShapeID="_x0000_i1086" DrawAspect="Content" ObjectID="_1726484383" r:id="rId129"/>
        </w:object>
      </w:r>
      <w:r w:rsidRPr="00AC36D6">
        <w:t>are also multivariate ((</w:t>
      </w:r>
      <w:r w:rsidRPr="00AC36D6">
        <w:rPr>
          <w:i/>
        </w:rPr>
        <w:t>K</w:t>
      </w:r>
      <w:r w:rsidRPr="00AC36D6">
        <w:t xml:space="preserve">-1)-variate to be precise) normally distributed across goods </w:t>
      </w:r>
      <w:r w:rsidRPr="00AC36D6">
        <w:rPr>
          <w:i/>
        </w:rPr>
        <w:t>k</w:t>
      </w:r>
      <w:r w:rsidRPr="00AC36D6">
        <w:t xml:space="preserve">: </w:t>
      </w:r>
      <w:r w:rsidRPr="00AC36D6">
        <w:rPr>
          <w:position w:val="-12"/>
        </w:rPr>
        <w:object w:dxaOrig="2040" w:dyaOrig="360" w14:anchorId="5FDC7EFA">
          <v:shape id="_x0000_i1087" type="#_x0000_t75" style="width:102pt;height:19.3pt" o:ole="">
            <v:imagedata r:id="rId130" o:title=""/>
          </v:shape>
          <o:OLEObject Type="Embed" ProgID="Equation.DSMT4" ShapeID="_x0000_i1087" DrawAspect="Content" ObjectID="_1726484384" r:id="rId131"/>
        </w:object>
      </w:r>
      <w:r w:rsidRPr="00AC36D6">
        <w:t xml:space="preserve">. Next, define the following for the inside goods </w:t>
      </w:r>
      <w:r w:rsidR="00416B5A" w:rsidRPr="00AC36D6">
        <w:rPr>
          <w:position w:val="-10"/>
        </w:rPr>
        <w:object w:dxaOrig="1560" w:dyaOrig="320" w14:anchorId="18FBA010">
          <v:shape id="_x0000_i1088" type="#_x0000_t75" style="width:78pt;height:15.85pt" o:ole="">
            <v:imagedata r:id="rId132" o:title=""/>
          </v:shape>
          <o:OLEObject Type="Embed" ProgID="Equation.DSMT4" ShapeID="_x0000_i1088" DrawAspect="Content" ObjectID="_1726484385" r:id="rId133"/>
        </w:object>
      </w:r>
      <w:r w:rsidRPr="00AC36D6">
        <w:t>:</w:t>
      </w:r>
    </w:p>
    <w:bookmarkStart w:id="4" w:name="_Hlk86256028"/>
    <w:p w14:paraId="64CB66C0" w14:textId="3962D731" w:rsidR="00EA6ABD" w:rsidRPr="00AC36D6" w:rsidRDefault="00946803" w:rsidP="00946803">
      <w:pPr>
        <w:keepNext/>
        <w:keepLines/>
        <w:tabs>
          <w:tab w:val="right" w:pos="8931"/>
        </w:tabs>
        <w:spacing w:line="360" w:lineRule="auto"/>
        <w:ind w:firstLine="567"/>
        <w:jc w:val="both"/>
      </w:pPr>
      <w:r w:rsidRPr="00AC36D6">
        <w:rPr>
          <w:position w:val="-92"/>
        </w:rPr>
        <w:object w:dxaOrig="3820" w:dyaOrig="1560" w14:anchorId="29002E30">
          <v:shape id="_x0000_i1089" type="#_x0000_t75" style="width:190.3pt;height:79.3pt" o:ole="">
            <v:imagedata r:id="rId134" o:title=""/>
          </v:shape>
          <o:OLEObject Type="Embed" ProgID="Equation.DSMT4" ShapeID="_x0000_i1089" DrawAspect="Content" ObjectID="_1726484386" r:id="rId135"/>
        </w:object>
      </w:r>
      <w:bookmarkEnd w:id="4"/>
      <w:r w:rsidR="00E771E1" w:rsidRPr="00AC36D6">
        <w:tab/>
        <w:t>(7)</w:t>
      </w:r>
    </w:p>
    <w:p w14:paraId="0F00627F" w14:textId="1CCF6187" w:rsidR="00673127" w:rsidRPr="00AC36D6" w:rsidRDefault="00673127" w:rsidP="007D5FDE">
      <w:pPr>
        <w:keepNext/>
        <w:keepLines/>
        <w:spacing w:line="360" w:lineRule="auto"/>
        <w:jc w:val="both"/>
      </w:pPr>
      <w:r w:rsidRPr="00AC36D6">
        <w:t>Then, the conditions in Equation (5) may be rewritten as:</w:t>
      </w:r>
    </w:p>
    <w:bookmarkStart w:id="5" w:name="_Hlk86256115"/>
    <w:p w14:paraId="2846449D" w14:textId="44B92D01" w:rsidR="009E73B3" w:rsidRPr="00AC36D6" w:rsidRDefault="00E771E1" w:rsidP="00F71580">
      <w:pPr>
        <w:keepNext/>
        <w:keepLines/>
        <w:spacing w:line="360" w:lineRule="auto"/>
        <w:ind w:firstLine="567"/>
        <w:jc w:val="both"/>
      </w:pPr>
      <w:r w:rsidRPr="00AC36D6">
        <w:rPr>
          <w:position w:val="-36"/>
        </w:rPr>
        <w:object w:dxaOrig="4720" w:dyaOrig="840" w14:anchorId="6BAD3070">
          <v:shape id="_x0000_i1090" type="#_x0000_t75" style="width:237pt;height:40.3pt" o:ole="">
            <v:imagedata r:id="rId136" o:title=""/>
          </v:shape>
          <o:OLEObject Type="Embed" ProgID="Equation.DSMT4" ShapeID="_x0000_i1090" DrawAspect="Content" ObjectID="_1726484387" r:id="rId137"/>
        </w:object>
      </w:r>
      <w:bookmarkEnd w:id="5"/>
      <w:r w:rsidR="009E73B3" w:rsidRPr="00AC36D6">
        <w:t xml:space="preserve">  </w:t>
      </w:r>
      <w:r w:rsidRPr="00AC36D6">
        <w:tab/>
      </w:r>
      <w:r w:rsidRPr="00AC36D6">
        <w:tab/>
      </w:r>
      <w:r w:rsidRPr="00AC36D6">
        <w:tab/>
      </w:r>
      <w:r w:rsidRPr="00AC36D6">
        <w:tab/>
      </w:r>
      <w:r w:rsidRPr="00AC36D6">
        <w:tab/>
        <w:t>(8)</w:t>
      </w:r>
    </w:p>
    <w:p w14:paraId="4F903E27" w14:textId="6901AECA" w:rsidR="009E73B3" w:rsidRPr="00AC36D6" w:rsidRDefault="009E73B3" w:rsidP="00087876">
      <w:pPr>
        <w:spacing w:after="0" w:line="360" w:lineRule="auto"/>
        <w:jc w:val="both"/>
      </w:pPr>
      <w:r w:rsidRPr="00AC36D6">
        <w:t xml:space="preserve">For identification, we set </w:t>
      </w:r>
      <w:r w:rsidR="009F53BF" w:rsidRPr="00AC36D6">
        <w:rPr>
          <w:position w:val="-12"/>
        </w:rPr>
        <w:object w:dxaOrig="1320" w:dyaOrig="360" w14:anchorId="2BFA839C">
          <v:shape id="_x0000_i1091" type="#_x0000_t75" style="width:66pt;height:19.3pt" o:ole="">
            <v:imagedata r:id="rId138" o:title=""/>
          </v:shape>
          <o:OLEObject Type="Embed" ProgID="Equation.DSMT4" ShapeID="_x0000_i1091" DrawAspect="Content" ObjectID="_1726484388" r:id="rId139"/>
        </w:object>
      </w:r>
      <w:r w:rsidRPr="00AC36D6">
        <w:t>,</w:t>
      </w:r>
      <w:r w:rsidR="00F71580" w:rsidRPr="00AC36D6">
        <w:t xml:space="preserve"> </w:t>
      </w:r>
      <w:r w:rsidR="00DD3E69" w:rsidRPr="00AC36D6">
        <w:rPr>
          <w:position w:val="-12"/>
        </w:rPr>
        <w:object w:dxaOrig="1340" w:dyaOrig="360" w14:anchorId="4497BB42">
          <v:shape id="_x0000_i1092" type="#_x0000_t75" style="width:66.85pt;height:19.3pt" o:ole="">
            <v:imagedata r:id="rId140" o:title=""/>
          </v:shape>
          <o:OLEObject Type="Embed" ProgID="Equation.DSMT4" ShapeID="_x0000_i1092" DrawAspect="Content" ObjectID="_1726484389" r:id="rId141"/>
        </w:object>
      </w:r>
      <w:r w:rsidRPr="00AC36D6">
        <w:t xml:space="preserve">, and </w:t>
      </w:r>
      <w:r w:rsidRPr="00AC36D6">
        <w:rPr>
          <w:position w:val="-12"/>
        </w:rPr>
        <w:object w:dxaOrig="1420" w:dyaOrig="360" w14:anchorId="0BF7A6AD">
          <v:shape id="_x0000_i1093" type="#_x0000_t75" style="width:71.15pt;height:19.3pt" o:ole="">
            <v:imagedata r:id="rId142" o:title=""/>
          </v:shape>
          <o:OLEObject Type="Embed" ProgID="Equation.DSMT4" ShapeID="_x0000_i1093" DrawAspect="Content" ObjectID="_1726484390" r:id="rId143"/>
        </w:object>
      </w:r>
      <w:r w:rsidRPr="00AC36D6">
        <w:t xml:space="preserve">. This normalizes the first element of the covariance matrix </w:t>
      </w:r>
      <w:r w:rsidR="00A75A19" w:rsidRPr="00AC36D6">
        <w:t xml:space="preserve">of </w:t>
      </w:r>
      <w:r w:rsidRPr="00AC36D6">
        <w:rPr>
          <w:position w:val="-12"/>
        </w:rPr>
        <w:object w:dxaOrig="279" w:dyaOrig="360" w14:anchorId="36C1EA34">
          <v:shape id="_x0000_i1094" type="#_x0000_t75" style="width:13.7pt;height:19.3pt" o:ole="">
            <v:imagedata r:id="rId144" o:title=""/>
          </v:shape>
          <o:OLEObject Type="Embed" ProgID="Equation.DSMT4" ShapeID="_x0000_i1094" DrawAspect="Content" ObjectID="_1726484391" r:id="rId145"/>
        </w:object>
      </w:r>
      <w:r w:rsidRPr="00AC36D6">
        <w:t xml:space="preserve"> </w:t>
      </w:r>
      <w:r w:rsidR="00A75A19" w:rsidRPr="00AC36D6">
        <w:t xml:space="preserve">terms </w:t>
      </w:r>
      <w:r w:rsidRPr="00AC36D6">
        <w:t xml:space="preserve">to 1, which constitutes a scale normalization </w:t>
      </w:r>
      <w:r w:rsidR="00A75A19" w:rsidRPr="00AC36D6">
        <w:t>for</w:t>
      </w:r>
      <w:r w:rsidRPr="00AC36D6">
        <w:t xml:space="preserve"> the error terms in the </w:t>
      </w:r>
      <w:r w:rsidR="00A75A19" w:rsidRPr="00AC36D6">
        <w:rPr>
          <w:i/>
        </w:rPr>
        <w:t>D</w:t>
      </w:r>
      <w:r w:rsidR="00A75A19" w:rsidRPr="00AC36D6">
        <w:t>-preference parameters</w:t>
      </w:r>
      <w:r w:rsidRPr="00AC36D6">
        <w:t xml:space="preserve">. In addition, for </w:t>
      </w:r>
      <w:r w:rsidR="00D86BE7" w:rsidRPr="00AC36D6">
        <w:t>a straightforward</w:t>
      </w:r>
      <w:r w:rsidRPr="00AC36D6">
        <w:t xml:space="preserve"> interpretation of the covariance matri</w:t>
      </w:r>
      <w:r w:rsidR="0005208E" w:rsidRPr="00AC36D6">
        <w:t>ces</w:t>
      </w:r>
      <w:r w:rsidRPr="00AC36D6">
        <w:t xml:space="preserve"> </w:t>
      </w:r>
      <w:r w:rsidRPr="00AC36D6">
        <w:rPr>
          <w:position w:val="-4"/>
        </w:rPr>
        <w:object w:dxaOrig="260" w:dyaOrig="320" w14:anchorId="3ED8330E">
          <v:shape id="_x0000_i1095" type="#_x0000_t75" style="width:13.3pt;height:17.15pt" o:ole="">
            <v:imagedata r:id="rId115" o:title=""/>
          </v:shape>
          <o:OLEObject Type="Embed" ProgID="Equation.DSMT4" ShapeID="_x0000_i1095" DrawAspect="Content" ObjectID="_1726484392" r:id="rId146"/>
        </w:object>
      </w:r>
      <w:r w:rsidR="0005208E" w:rsidRPr="00AC36D6">
        <w:t xml:space="preserve"> and </w:t>
      </w:r>
      <w:r w:rsidR="0005208E" w:rsidRPr="00AC36D6">
        <w:rPr>
          <w:position w:val="-4"/>
        </w:rPr>
        <w:object w:dxaOrig="260" w:dyaOrig="260" w14:anchorId="5BC1707B">
          <v:shape id="_x0000_i1096" type="#_x0000_t75" style="width:13.3pt;height:13.3pt" o:ole="">
            <v:imagedata r:id="rId147" o:title=""/>
          </v:shape>
          <o:OLEObject Type="Embed" ProgID="Equation.DSMT4" ShapeID="_x0000_i1096" DrawAspect="Content" ObjectID="_1726484393" r:id="rId148"/>
        </w:object>
      </w:r>
      <w:r w:rsidRPr="00AC36D6">
        <w:t>, as well as the covariance</w:t>
      </w:r>
      <w:r w:rsidR="00701C33" w:rsidRPr="00AC36D6">
        <w:t>s</w:t>
      </w:r>
      <w:r w:rsidRPr="00AC36D6">
        <w:t xml:space="preserve"> between the </w:t>
      </w:r>
      <w:r w:rsidR="00FC6542" w:rsidRPr="00AC36D6">
        <w:rPr>
          <w:position w:val="-12"/>
        </w:rPr>
        <w:object w:dxaOrig="260" w:dyaOrig="360" w14:anchorId="2622A17A">
          <v:shape id="_x0000_i1097" type="#_x0000_t75" style="width:13.3pt;height:19.3pt" o:ole="">
            <v:imagedata r:id="rId149" o:title=""/>
          </v:shape>
          <o:OLEObject Type="Embed" ProgID="Equation.DSMT4" ShapeID="_x0000_i1097" DrawAspect="Content" ObjectID="_1726484394" r:id="rId150"/>
        </w:object>
      </w:r>
      <w:r w:rsidRPr="00AC36D6">
        <w:t xml:space="preserve"> and </w:t>
      </w:r>
      <w:r w:rsidR="00FC6542" w:rsidRPr="00AC36D6">
        <w:rPr>
          <w:position w:val="-12"/>
        </w:rPr>
        <w:object w:dxaOrig="260" w:dyaOrig="360" w14:anchorId="0B62D59D">
          <v:shape id="_x0000_i1098" type="#_x0000_t75" style="width:13.3pt;height:19.3pt" o:ole="">
            <v:imagedata r:id="rId151" o:title=""/>
          </v:shape>
          <o:OLEObject Type="Embed" ProgID="Equation.DSMT4" ShapeID="_x0000_i1098" DrawAspect="Content" ObjectID="_1726484395" r:id="rId152"/>
        </w:object>
      </w:r>
      <w:r w:rsidRPr="00AC36D6">
        <w:t xml:space="preserve"> terms, we will assume that the stochastic term influencing the baseline utility for the outside good </w:t>
      </w:r>
      <w:r w:rsidRPr="00AC36D6">
        <w:rPr>
          <w:position w:val="-12"/>
        </w:rPr>
        <w:object w:dxaOrig="240" w:dyaOrig="360" w14:anchorId="7B5C2BFD">
          <v:shape id="_x0000_i1099" type="#_x0000_t75" style="width:13.7pt;height:19.3pt" o:ole="">
            <v:imagedata r:id="rId153" o:title=""/>
          </v:shape>
          <o:OLEObject Type="Embed" ProgID="Equation.DSMT4" ShapeID="_x0000_i1099" DrawAspect="Content" ObjectID="_1726484396" r:id="rId154"/>
        </w:object>
      </w:r>
      <w:r w:rsidRPr="00AC36D6">
        <w:t xml:space="preserve"> is independent of all inside good error terms </w:t>
      </w:r>
      <w:r w:rsidR="001068EF" w:rsidRPr="00AC36D6">
        <w:rPr>
          <w:position w:val="-12"/>
        </w:rPr>
        <w:object w:dxaOrig="1700" w:dyaOrig="360" w14:anchorId="1A1075DC">
          <v:shape id="_x0000_i1100" type="#_x0000_t75" style="width:85.7pt;height:19.3pt" o:ole="">
            <v:imagedata r:id="rId155" o:title=""/>
          </v:shape>
          <o:OLEObject Type="Embed" ProgID="Equation.DSMT4" ShapeID="_x0000_i1100" DrawAspect="Content" ObjectID="_1726484397" r:id="rId156"/>
        </w:object>
      </w:r>
      <w:r w:rsidRPr="00AC36D6">
        <w:t xml:space="preserve"> in the </w:t>
      </w:r>
      <w:r w:rsidRPr="00AC36D6">
        <w:rPr>
          <w:i/>
          <w:iCs/>
        </w:rPr>
        <w:t>D-</w:t>
      </w:r>
      <w:r w:rsidRPr="00AC36D6">
        <w:lastRenderedPageBreak/>
        <w:t xml:space="preserve">preference </w:t>
      </w:r>
      <w:r w:rsidR="00E7444E" w:rsidRPr="00AC36D6">
        <w:t xml:space="preserve">parameters </w:t>
      </w:r>
      <w:r w:rsidRPr="00AC36D6">
        <w:t xml:space="preserve">as well as the inside good error terms </w:t>
      </w:r>
      <w:r w:rsidR="001068EF" w:rsidRPr="00AC36D6">
        <w:rPr>
          <w:position w:val="-12"/>
        </w:rPr>
        <w:object w:dxaOrig="1800" w:dyaOrig="360" w14:anchorId="04863099">
          <v:shape id="_x0000_i1101" type="#_x0000_t75" style="width:91.7pt;height:19.3pt" o:ole="">
            <v:imagedata r:id="rId157" o:title=""/>
          </v:shape>
          <o:OLEObject Type="Embed" ProgID="Equation.DSMT4" ShapeID="_x0000_i1101" DrawAspect="Content" ObjectID="_1726484398" r:id="rId158"/>
        </w:object>
      </w:r>
      <w:r w:rsidRPr="00AC36D6">
        <w:t xml:space="preserve"> in the </w:t>
      </w:r>
      <w:r w:rsidRPr="00AC36D6">
        <w:rPr>
          <w:i/>
          <w:iCs/>
        </w:rPr>
        <w:t>C-</w:t>
      </w:r>
      <w:r w:rsidRPr="00AC36D6">
        <w:t xml:space="preserve">preference </w:t>
      </w:r>
      <w:r w:rsidR="00E7444E" w:rsidRPr="00AC36D6">
        <w:t>parameters</w:t>
      </w:r>
      <w:r w:rsidRPr="00AC36D6">
        <w:t xml:space="preserve">. </w:t>
      </w:r>
      <w:r w:rsidR="003B03A6" w:rsidRPr="00AC36D6">
        <w:t>As such,</w:t>
      </w:r>
      <w:r w:rsidRPr="00AC36D6">
        <w:t xml:space="preserve"> </w:t>
      </w:r>
      <w:r w:rsidR="003B03A6" w:rsidRPr="00AC36D6">
        <w:t xml:space="preserve">the assumption is innocuous because </w:t>
      </w:r>
      <w:r w:rsidRPr="00AC36D6">
        <w:t xml:space="preserve">the full covariance matrix of the </w:t>
      </w:r>
      <w:r w:rsidR="0078070A" w:rsidRPr="00AC36D6">
        <w:rPr>
          <w:position w:val="-12"/>
        </w:rPr>
        <w:object w:dxaOrig="260" w:dyaOrig="360" w14:anchorId="2B030F7C">
          <v:shape id="_x0000_i1102" type="#_x0000_t75" style="width:13.3pt;height:19.3pt" o:ole="">
            <v:imagedata r:id="rId159" o:title=""/>
          </v:shape>
          <o:OLEObject Type="Embed" ProgID="Equation.DSMT4" ShapeID="_x0000_i1102" DrawAspect="Content" ObjectID="_1726484399" r:id="rId160"/>
        </w:object>
      </w:r>
      <w:r w:rsidR="0040130C" w:rsidRPr="00AC36D6">
        <w:t xml:space="preserve"> </w:t>
      </w:r>
      <w:r w:rsidRPr="00AC36D6">
        <w:t xml:space="preserve">terms and </w:t>
      </w:r>
      <w:r w:rsidR="003664BC" w:rsidRPr="00AC36D6">
        <w:rPr>
          <w:position w:val="-12"/>
        </w:rPr>
        <w:object w:dxaOrig="260" w:dyaOrig="360" w14:anchorId="2F75E0D7">
          <v:shape id="_x0000_i1103" type="#_x0000_t75" style="width:13.3pt;height:19.3pt" o:ole="">
            <v:imagedata r:id="rId161" o:title=""/>
          </v:shape>
          <o:OLEObject Type="Embed" ProgID="Equation.DSMT4" ShapeID="_x0000_i1103" DrawAspect="Content" ObjectID="_1726484400" r:id="rId162"/>
        </w:object>
      </w:r>
      <w:r w:rsidRPr="00AC36D6">
        <w:t xml:space="preserve"> </w:t>
      </w:r>
      <w:r w:rsidR="003664BC" w:rsidRPr="00AC36D6">
        <w:t xml:space="preserve">terms </w:t>
      </w:r>
      <w:r w:rsidRPr="00AC36D6">
        <w:t xml:space="preserve">is unidentifiable. </w:t>
      </w:r>
      <w:r w:rsidR="00C322AC" w:rsidRPr="00AC36D6">
        <w:t>Using</w:t>
      </w:r>
      <w:r w:rsidRPr="00AC36D6">
        <w:t xml:space="preserve"> the assumption of error independence between the outside good utility and the inside good </w:t>
      </w:r>
      <w:r w:rsidR="00C322AC" w:rsidRPr="00AC36D6">
        <w:t>utility parameters</w:t>
      </w:r>
      <w:r w:rsidRPr="00AC36D6">
        <w:t xml:space="preserve">, and using the notation </w:t>
      </w:r>
      <w:r w:rsidRPr="00AC36D6">
        <w:rPr>
          <w:position w:val="-12"/>
        </w:rPr>
        <w:object w:dxaOrig="320" w:dyaOrig="360" w14:anchorId="583F54F2">
          <v:shape id="_x0000_i1104" type="#_x0000_t75" style="width:17.15pt;height:19.3pt" o:ole="">
            <v:imagedata r:id="rId163" o:title=""/>
          </v:shape>
          <o:OLEObject Type="Embed" ProgID="Equation.DSMT4" ShapeID="_x0000_i1104" DrawAspect="Content" ObjectID="_1726484401" r:id="rId164"/>
        </w:object>
      </w:r>
      <w:r w:rsidR="00C322AC" w:rsidRPr="00AC36D6">
        <w:t xml:space="preserve"> </w:t>
      </w:r>
      <w:r w:rsidRPr="00AC36D6">
        <w:t xml:space="preserve">to refer to a square matrix of dimension </w:t>
      </w:r>
      <w:r w:rsidRPr="00AC36D6">
        <w:rPr>
          <w:i/>
        </w:rPr>
        <w:t>M</w:t>
      </w:r>
      <w:r w:rsidRPr="00AC36D6">
        <w:t xml:space="preserve"> with all its elements equal to 1, the covariance matrix for </w:t>
      </w:r>
      <w:r w:rsidRPr="00AC36D6">
        <w:rPr>
          <w:position w:val="-12"/>
        </w:rPr>
        <w:object w:dxaOrig="279" w:dyaOrig="360" w14:anchorId="10AAB4A3">
          <v:shape id="_x0000_i1105" type="#_x0000_t75" style="width:13.7pt;height:19.3pt" o:ole="">
            <v:imagedata r:id="rId144" o:title=""/>
          </v:shape>
          <o:OLEObject Type="Embed" ProgID="Equation.DSMT4" ShapeID="_x0000_i1105" DrawAspect="Content" ObjectID="_1726484402" r:id="rId165"/>
        </w:object>
      </w:r>
      <w:r w:rsidRPr="00AC36D6">
        <w:t xml:space="preserve"> and </w:t>
      </w:r>
      <w:r w:rsidRPr="00AC36D6">
        <w:rPr>
          <w:position w:val="-12"/>
        </w:rPr>
        <w:object w:dxaOrig="260" w:dyaOrig="360" w14:anchorId="7FE09A31">
          <v:shape id="_x0000_i1106" type="#_x0000_t75" style="width:13.3pt;height:19.3pt" o:ole="">
            <v:imagedata r:id="rId166" o:title=""/>
          </v:shape>
          <o:OLEObject Type="Embed" ProgID="Equation.DSMT4" ShapeID="_x0000_i1106" DrawAspect="Content" ObjectID="_1726484403" r:id="rId167"/>
        </w:object>
      </w:r>
      <w:r w:rsidRPr="00AC36D6">
        <w:t xml:space="preserve"> takes the following form, where </w:t>
      </w:r>
      <w:r w:rsidR="003B0E5D" w:rsidRPr="00AC36D6">
        <w:rPr>
          <w:position w:val="-12"/>
        </w:rPr>
        <w:object w:dxaOrig="1780" w:dyaOrig="360" w14:anchorId="668846DB">
          <v:shape id="_x0000_i1107" type="#_x0000_t75" style="width:89.15pt;height:19.3pt" o:ole="">
            <v:imagedata r:id="rId168" o:title=""/>
          </v:shape>
          <o:OLEObject Type="Embed" ProgID="Equation.DSMT4" ShapeID="_x0000_i1107" DrawAspect="Content" ObjectID="_1726484404" r:id="rId169"/>
        </w:object>
      </w:r>
      <w:r w:rsidRPr="00AC36D6">
        <w:t xml:space="preserve"> and </w:t>
      </w:r>
      <w:r w:rsidR="00375132" w:rsidRPr="00AC36D6">
        <w:rPr>
          <w:position w:val="-12"/>
        </w:rPr>
        <w:object w:dxaOrig="1760" w:dyaOrig="360" w14:anchorId="15131F8B">
          <v:shape id="_x0000_i1108" type="#_x0000_t75" style="width:88.7pt;height:19.3pt" o:ole="">
            <v:imagedata r:id="rId170" o:title=""/>
          </v:shape>
          <o:OLEObject Type="Embed" ProgID="Equation.DSMT4" ShapeID="_x0000_i1108" DrawAspect="Content" ObjectID="_1726484405" r:id="rId171"/>
        </w:object>
      </w:r>
      <w:r w:rsidRPr="00AC36D6">
        <w:t>:</w:t>
      </w:r>
    </w:p>
    <w:p w14:paraId="41294A21" w14:textId="589BBCAA" w:rsidR="00805EE8" w:rsidRPr="00AC36D6" w:rsidRDefault="00F1564B" w:rsidP="00805EE8">
      <w:pPr>
        <w:spacing w:line="360" w:lineRule="auto"/>
        <w:jc w:val="both"/>
      </w:pPr>
      <w:r w:rsidRPr="00AC36D6">
        <w:rPr>
          <w:position w:val="-198"/>
        </w:rPr>
        <w:object w:dxaOrig="7780" w:dyaOrig="4080" w14:anchorId="76BD5611">
          <v:shape id="_x0000_i1109" type="#_x0000_t75" style="width:360.45pt;height:204pt" o:ole="">
            <v:imagedata r:id="rId172" o:title=""/>
          </v:shape>
          <o:OLEObject Type="Embed" ProgID="Equation.DSMT4" ShapeID="_x0000_i1109" DrawAspect="Content" ObjectID="_1726484406" r:id="rId173"/>
        </w:object>
      </w:r>
      <w:r w:rsidR="00E65C8C" w:rsidRPr="00AC36D6">
        <w:tab/>
      </w:r>
      <w:r w:rsidR="00E65C8C" w:rsidRPr="00AC36D6">
        <w:tab/>
      </w:r>
      <w:r w:rsidR="00805EE8" w:rsidRPr="00AC36D6">
        <w:t>(9)</w:t>
      </w:r>
    </w:p>
    <w:p w14:paraId="7A58602B" w14:textId="62E4B495" w:rsidR="00805EE8" w:rsidRPr="00AC36D6" w:rsidRDefault="00805EE8" w:rsidP="00087876">
      <w:pPr>
        <w:spacing w:after="0" w:line="360" w:lineRule="auto"/>
        <w:jc w:val="both"/>
      </w:pPr>
      <w:r w:rsidRPr="00AC36D6">
        <w:t>In the above matrix,</w:t>
      </w:r>
      <w:r w:rsidR="00D71D68" w:rsidRPr="00AC36D6">
        <w:t xml:space="preserve"> </w:t>
      </w:r>
      <w:r w:rsidR="00D71D68" w:rsidRPr="00AC36D6">
        <w:rPr>
          <w:position w:val="-4"/>
        </w:rPr>
        <w:object w:dxaOrig="220" w:dyaOrig="300" w14:anchorId="3373954B">
          <v:shape id="_x0000_i1110" type="#_x0000_t75" style="width:11.15pt;height:15.85pt" o:ole="">
            <v:imagedata r:id="rId174" o:title=""/>
          </v:shape>
          <o:OLEObject Type="Embed" ProgID="Equation.DSMT4" ShapeID="_x0000_i1110" DrawAspect="Content" ObjectID="_1726484407" r:id="rId175"/>
        </w:object>
      </w:r>
      <w:r w:rsidRPr="00AC36D6">
        <w:t xml:space="preserve"> </w:t>
      </w:r>
      <w:r w:rsidR="00D71D68" w:rsidRPr="00AC36D6">
        <w:t xml:space="preserve">is the variance-covariance matrix of all (but </w:t>
      </w:r>
      <w:r w:rsidR="00D71D68" w:rsidRPr="00AC36D6">
        <w:rPr>
          <w:position w:val="-12"/>
        </w:rPr>
        <w:object w:dxaOrig="240" w:dyaOrig="360" w14:anchorId="5B685F56">
          <v:shape id="_x0000_i1111" type="#_x0000_t75" style="width:13.7pt;height:19.3pt" o:ole="">
            <v:imagedata r:id="rId153" o:title=""/>
          </v:shape>
          <o:OLEObject Type="Embed" ProgID="Equation.DSMT4" ShapeID="_x0000_i1111" DrawAspect="Content" ObjectID="_1726484408" r:id="rId176"/>
        </w:object>
      </w:r>
      <w:r w:rsidR="00D71D68" w:rsidRPr="00AC36D6">
        <w:t xml:space="preserve">) error terms in the model and </w:t>
      </w:r>
      <w:r w:rsidR="004529D3" w:rsidRPr="00AC36D6">
        <w:rPr>
          <w:position w:val="-4"/>
        </w:rPr>
        <w:object w:dxaOrig="220" w:dyaOrig="260" w14:anchorId="522C765A">
          <v:shape id="_x0000_i1112" type="#_x0000_t75" style="width:11.15pt;height:13.3pt" o:ole="">
            <v:imagedata r:id="rId177" o:title=""/>
          </v:shape>
          <o:OLEObject Type="Embed" ProgID="Equation.DSMT4" ShapeID="_x0000_i1112" DrawAspect="Content" ObjectID="_1726484409" r:id="rId178"/>
        </w:object>
      </w:r>
      <w:r w:rsidR="004529D3" w:rsidRPr="00AC36D6">
        <w:t xml:space="preserve"> is the variance-covariance matrix of error differences with respect to </w:t>
      </w:r>
      <w:r w:rsidR="00260F79" w:rsidRPr="00AC36D6">
        <w:rPr>
          <w:position w:val="-12"/>
        </w:rPr>
        <w:object w:dxaOrig="240" w:dyaOrig="360" w14:anchorId="1CB2AA7C">
          <v:shape id="_x0000_i1113" type="#_x0000_t75" style="width:13.7pt;height:19.3pt" o:ole="">
            <v:imagedata r:id="rId153" o:title=""/>
          </v:shape>
          <o:OLEObject Type="Embed" ProgID="Equation.DSMT4" ShapeID="_x0000_i1113" DrawAspect="Content" ObjectID="_1726484410" r:id="rId179"/>
        </w:object>
      </w:r>
      <w:r w:rsidR="00D71D68" w:rsidRPr="00AC36D6">
        <w:t>.</w:t>
      </w:r>
      <w:r w:rsidR="00260F79" w:rsidRPr="00AC36D6">
        <w:t xml:space="preserve"> Note that </w:t>
      </w:r>
      <w:r w:rsidRPr="00AC36D6">
        <w:rPr>
          <w:position w:val="-4"/>
        </w:rPr>
        <w:object w:dxaOrig="260" w:dyaOrig="320" w14:anchorId="04F80243">
          <v:shape id="_x0000_i1114" type="#_x0000_t75" style="width:13.3pt;height:17.15pt" o:ole="">
            <v:imagedata r:id="rId180" o:title=""/>
          </v:shape>
          <o:OLEObject Type="Embed" ProgID="Equation.DSMT4" ShapeID="_x0000_i1114" DrawAspect="Content" ObjectID="_1726484411" r:id="rId181"/>
        </w:object>
      </w:r>
      <w:r w:rsidRPr="00AC36D6">
        <w:t xml:space="preserve"> is the covariance matrix of the </w:t>
      </w:r>
      <w:r w:rsidRPr="00AC36D6">
        <w:rPr>
          <w:i/>
        </w:rPr>
        <w:t>D</w:t>
      </w:r>
      <w:r w:rsidRPr="00AC36D6">
        <w:t xml:space="preserve">-preference </w:t>
      </w:r>
      <w:r w:rsidR="00BF35D1" w:rsidRPr="00AC36D6">
        <w:t>error</w:t>
      </w:r>
      <w:r w:rsidRPr="00AC36D6">
        <w:t xml:space="preserve"> </w:t>
      </w:r>
      <w:r w:rsidR="00BD35B4" w:rsidRPr="00AC36D6">
        <w:t xml:space="preserve">terms for inside alternatives </w:t>
      </w:r>
      <w:r w:rsidR="00BD35B4" w:rsidRPr="00AC36D6">
        <w:rPr>
          <w:position w:val="-12"/>
        </w:rPr>
        <w:object w:dxaOrig="1700" w:dyaOrig="360" w14:anchorId="703A5E24">
          <v:shape id="_x0000_i1115" type="#_x0000_t75" style="width:85.7pt;height:19.3pt" o:ole="">
            <v:imagedata r:id="rId182" o:title=""/>
          </v:shape>
          <o:OLEObject Type="Embed" ProgID="Equation.DSMT4" ShapeID="_x0000_i1115" DrawAspect="Content" ObjectID="_1726484412" r:id="rId183"/>
        </w:object>
      </w:r>
      <w:r w:rsidRPr="00AC36D6">
        <w:t xml:space="preserve">, with the elements </w:t>
      </w:r>
      <w:bookmarkStart w:id="6" w:name="_Hlk115089532"/>
      <w:r w:rsidRPr="00AC36D6">
        <w:rPr>
          <w:position w:val="-12"/>
        </w:rPr>
        <w:object w:dxaOrig="1740" w:dyaOrig="400" w14:anchorId="4EEA3308">
          <v:shape id="_x0000_i1116" type="#_x0000_t75" style="width:85.7pt;height:19.7pt" o:ole="">
            <v:imagedata r:id="rId184" o:title=""/>
          </v:shape>
          <o:OLEObject Type="Embed" ProgID="Equation.DSMT4" ShapeID="_x0000_i1116" DrawAspect="Content" ObjectID="_1726484413" r:id="rId185"/>
        </w:object>
      </w:r>
      <w:bookmarkEnd w:id="6"/>
      <w:r w:rsidRPr="00AC36D6">
        <w:t xml:space="preserve"> </w:t>
      </w:r>
      <w:r w:rsidR="00D75838" w:rsidRPr="00AC36D6">
        <w:t>denoting</w:t>
      </w:r>
      <w:r w:rsidRPr="00AC36D6">
        <w:t xml:space="preserve"> the variance</w:t>
      </w:r>
      <w:r w:rsidR="00D75838" w:rsidRPr="00AC36D6">
        <w:t>s</w:t>
      </w:r>
      <w:r w:rsidRPr="00AC36D6">
        <w:t xml:space="preserve"> of the</w:t>
      </w:r>
      <w:r w:rsidR="0070504D" w:rsidRPr="00AC36D6">
        <w:t>se</w:t>
      </w:r>
      <w:r w:rsidRPr="00AC36D6">
        <w:t xml:space="preserve"> </w:t>
      </w:r>
      <w:r w:rsidR="00F33BF0" w:rsidRPr="00AC36D6">
        <w:t>error terms</w:t>
      </w:r>
      <w:r w:rsidRPr="00AC36D6">
        <w:t xml:space="preserve"> and the elements </w:t>
      </w:r>
      <w:bookmarkStart w:id="7" w:name="_Hlk115089578"/>
      <w:r w:rsidR="00D2386C" w:rsidRPr="00AC36D6">
        <w:rPr>
          <w:position w:val="-14"/>
        </w:rPr>
        <w:object w:dxaOrig="2560" w:dyaOrig="420" w14:anchorId="6F5B5AA4">
          <v:shape id="_x0000_i1117" type="#_x0000_t75" style="width:129pt;height:20.15pt" o:ole="">
            <v:imagedata r:id="rId186" o:title=""/>
          </v:shape>
          <o:OLEObject Type="Embed" ProgID="Equation.DSMT4" ShapeID="_x0000_i1117" DrawAspect="Content" ObjectID="_1726484414" r:id="rId187"/>
        </w:object>
      </w:r>
      <w:bookmarkEnd w:id="7"/>
      <w:r w:rsidRPr="00AC36D6">
        <w:t xml:space="preserve"> </w:t>
      </w:r>
      <w:r w:rsidR="00D75838" w:rsidRPr="00AC36D6">
        <w:t>denoting</w:t>
      </w:r>
      <w:r w:rsidRPr="00AC36D6">
        <w:t xml:space="preserve"> the covariance</w:t>
      </w:r>
      <w:r w:rsidR="00D75838" w:rsidRPr="00AC36D6">
        <w:t>s</w:t>
      </w:r>
      <w:r w:rsidR="0021557F" w:rsidRPr="00AC36D6">
        <w:t xml:space="preserve"> between </w:t>
      </w:r>
      <w:r w:rsidR="0021557F" w:rsidRPr="00AC36D6">
        <w:rPr>
          <w:position w:val="-14"/>
        </w:rPr>
        <w:object w:dxaOrig="340" w:dyaOrig="380" w14:anchorId="06F11A68">
          <v:shape id="_x0000_i1118" type="#_x0000_t75" style="width:17.15pt;height:19.3pt" o:ole="">
            <v:imagedata r:id="rId188" o:title=""/>
          </v:shape>
          <o:OLEObject Type="Embed" ProgID="Equation.DSMT4" ShapeID="_x0000_i1118" DrawAspect="Content" ObjectID="_1726484415" r:id="rId189"/>
        </w:object>
      </w:r>
      <w:r w:rsidR="0021557F" w:rsidRPr="00AC36D6">
        <w:t xml:space="preserve">and </w:t>
      </w:r>
      <w:r w:rsidR="00360F5F" w:rsidRPr="00AC36D6">
        <w:rPr>
          <w:position w:val="-12"/>
        </w:rPr>
        <w:object w:dxaOrig="2500" w:dyaOrig="360" w14:anchorId="6A8EC18C">
          <v:shape id="_x0000_i1119" type="#_x0000_t75" style="width:124.7pt;height:19.3pt" o:ole="">
            <v:imagedata r:id="rId190" o:title=""/>
          </v:shape>
          <o:OLEObject Type="Embed" ProgID="Equation.DSMT4" ShapeID="_x0000_i1119" DrawAspect="Content" ObjectID="_1726484416" r:id="rId191"/>
        </w:object>
      </w:r>
      <w:r w:rsidRPr="00AC36D6">
        <w:t xml:space="preserve">. </w:t>
      </w:r>
      <w:r w:rsidRPr="00AC36D6">
        <w:rPr>
          <w:position w:val="-4"/>
        </w:rPr>
        <w:object w:dxaOrig="260" w:dyaOrig="260" w14:anchorId="1298125A">
          <v:shape id="_x0000_i1120" type="#_x0000_t75" style="width:13.3pt;height:13.3pt" o:ole="">
            <v:imagedata r:id="rId192" o:title=""/>
          </v:shape>
          <o:OLEObject Type="Embed" ProgID="Equation.DSMT4" ShapeID="_x0000_i1120" DrawAspect="Content" ObjectID="_1726484417" r:id="rId193"/>
        </w:object>
      </w:r>
      <w:r w:rsidRPr="00AC36D6">
        <w:t xml:space="preserve">, as already defined, is the covariance matrix of the </w:t>
      </w:r>
      <w:r w:rsidRPr="00AC36D6">
        <w:rPr>
          <w:i/>
        </w:rPr>
        <w:t>C</w:t>
      </w:r>
      <w:r w:rsidRPr="00AC36D6">
        <w:t xml:space="preserve">-preference </w:t>
      </w:r>
      <w:r w:rsidR="00C71A1C" w:rsidRPr="00AC36D6">
        <w:t>error terms</w:t>
      </w:r>
      <w:r w:rsidRPr="00AC36D6">
        <w:t xml:space="preserve"> for the inside goods</w:t>
      </w:r>
      <w:r w:rsidR="00C71A1C" w:rsidRPr="00AC36D6">
        <w:t xml:space="preserve"> </w:t>
      </w:r>
      <w:r w:rsidR="00C71A1C" w:rsidRPr="00AC36D6">
        <w:rPr>
          <w:position w:val="-12"/>
        </w:rPr>
        <w:object w:dxaOrig="1700" w:dyaOrig="360" w14:anchorId="7691C589">
          <v:shape id="_x0000_i1121" type="#_x0000_t75" style="width:85.7pt;height:19.3pt" o:ole="">
            <v:imagedata r:id="rId194" o:title=""/>
          </v:shape>
          <o:OLEObject Type="Embed" ProgID="Equation.DSMT4" ShapeID="_x0000_i1121" DrawAspect="Content" ObjectID="_1726484418" r:id="rId195"/>
        </w:object>
      </w:r>
      <w:r w:rsidRPr="00AC36D6">
        <w:t xml:space="preserve">, with </w:t>
      </w:r>
      <w:r w:rsidR="006656A7" w:rsidRPr="00AC36D6">
        <w:t xml:space="preserve">the elements </w:t>
      </w:r>
      <w:bookmarkStart w:id="8" w:name="_Hlk115096970"/>
      <w:r w:rsidRPr="00AC36D6">
        <w:rPr>
          <w:position w:val="-12"/>
        </w:rPr>
        <w:object w:dxaOrig="1760" w:dyaOrig="360" w14:anchorId="6F04D31F">
          <v:shape id="_x0000_i1122" type="#_x0000_t75" style="width:88.7pt;height:19.3pt" o:ole="">
            <v:imagedata r:id="rId196" o:title=""/>
          </v:shape>
          <o:OLEObject Type="Embed" ProgID="Equation.DSMT4" ShapeID="_x0000_i1122" DrawAspect="Content" ObjectID="_1726484419" r:id="rId197"/>
        </w:object>
      </w:r>
      <w:bookmarkEnd w:id="8"/>
      <w:r w:rsidRPr="00AC36D6">
        <w:t xml:space="preserve"> </w:t>
      </w:r>
      <w:r w:rsidR="005E4DB4" w:rsidRPr="00AC36D6">
        <w:t xml:space="preserve">denoting </w:t>
      </w:r>
      <w:r w:rsidRPr="00AC36D6">
        <w:t>the variance</w:t>
      </w:r>
      <w:r w:rsidR="005E4DB4" w:rsidRPr="00AC36D6">
        <w:t>s</w:t>
      </w:r>
      <w:r w:rsidRPr="00AC36D6">
        <w:t xml:space="preserve"> </w:t>
      </w:r>
      <w:r w:rsidR="00C71A1C" w:rsidRPr="00AC36D6">
        <w:t>of these error terms</w:t>
      </w:r>
      <w:r w:rsidRPr="00AC36D6">
        <w:t xml:space="preserve"> and the elements </w:t>
      </w:r>
      <w:bookmarkStart w:id="9" w:name="_Hlk115096987"/>
      <w:r w:rsidR="00D2386C" w:rsidRPr="00AC36D6">
        <w:rPr>
          <w:position w:val="-14"/>
        </w:rPr>
        <w:object w:dxaOrig="2580" w:dyaOrig="380" w14:anchorId="3268F316">
          <v:shape id="_x0000_i1123" type="#_x0000_t75" style="width:126.85pt;height:19.3pt" o:ole="">
            <v:imagedata r:id="rId198" o:title=""/>
          </v:shape>
          <o:OLEObject Type="Embed" ProgID="Equation.DSMT4" ShapeID="_x0000_i1123" DrawAspect="Content" ObjectID="_1726484420" r:id="rId199"/>
        </w:object>
      </w:r>
      <w:bookmarkEnd w:id="9"/>
      <w:r w:rsidRPr="00AC36D6">
        <w:t xml:space="preserve"> </w:t>
      </w:r>
      <w:r w:rsidR="005E4DB4" w:rsidRPr="00AC36D6">
        <w:t xml:space="preserve">denoting </w:t>
      </w:r>
      <w:r w:rsidRPr="00AC36D6">
        <w:t>the covariance</w:t>
      </w:r>
      <w:r w:rsidR="005A3025" w:rsidRPr="00AC36D6">
        <w:t>s</w:t>
      </w:r>
      <w:r w:rsidRPr="00AC36D6">
        <w:t xml:space="preserve">. Finally, </w:t>
      </w:r>
      <w:r w:rsidR="00956E61" w:rsidRPr="00AC36D6">
        <w:rPr>
          <w:position w:val="-4"/>
        </w:rPr>
        <w:object w:dxaOrig="240" w:dyaOrig="260" w14:anchorId="33169063">
          <v:shape id="_x0000_i1124" type="#_x0000_t75" style="width:11.15pt;height:13.3pt" o:ole="">
            <v:imagedata r:id="rId200" o:title=""/>
          </v:shape>
          <o:OLEObject Type="Embed" ProgID="Equation.DSMT4" ShapeID="_x0000_i1124" DrawAspect="Content" ObjectID="_1726484421" r:id="rId201"/>
        </w:object>
      </w:r>
      <w:r w:rsidRPr="00AC36D6">
        <w:t xml:space="preserve"> captures the covariance</w:t>
      </w:r>
      <w:r w:rsidR="00650B6E" w:rsidRPr="00AC36D6">
        <w:t>s</w:t>
      </w:r>
      <w:r w:rsidRPr="00AC36D6">
        <w:t xml:space="preserve"> between the </w:t>
      </w:r>
      <w:r w:rsidRPr="00AC36D6">
        <w:rPr>
          <w:i/>
        </w:rPr>
        <w:t>D</w:t>
      </w:r>
      <w:r w:rsidRPr="00AC36D6">
        <w:t xml:space="preserve">-preference and </w:t>
      </w:r>
      <w:r w:rsidRPr="00AC36D6">
        <w:rPr>
          <w:i/>
        </w:rPr>
        <w:t>C</w:t>
      </w:r>
      <w:r w:rsidRPr="00AC36D6">
        <w:t xml:space="preserve">-preference </w:t>
      </w:r>
      <w:r w:rsidR="009E4A2C" w:rsidRPr="00AC36D6">
        <w:t>error terms</w:t>
      </w:r>
      <w:r w:rsidRPr="00AC36D6">
        <w:t xml:space="preserve">, with </w:t>
      </w:r>
      <w:bookmarkStart w:id="10" w:name="_Hlk115097033"/>
      <w:r w:rsidRPr="00AC36D6">
        <w:rPr>
          <w:position w:val="-12"/>
        </w:rPr>
        <w:object w:dxaOrig="1680" w:dyaOrig="360" w14:anchorId="03ADF7DE">
          <v:shape id="_x0000_i1125" type="#_x0000_t75" style="width:85.7pt;height:19.3pt" o:ole="">
            <v:imagedata r:id="rId202" o:title=""/>
          </v:shape>
          <o:OLEObject Type="Embed" ProgID="Equation.DSMT4" ShapeID="_x0000_i1125" DrawAspect="Content" ObjectID="_1726484422" r:id="rId203"/>
        </w:object>
      </w:r>
      <w:bookmarkEnd w:id="10"/>
      <w:r w:rsidRPr="00AC36D6">
        <w:t xml:space="preserve"> </w:t>
      </w:r>
      <w:r w:rsidR="00650B6E" w:rsidRPr="00AC36D6">
        <w:t xml:space="preserve">denoting </w:t>
      </w:r>
      <w:r w:rsidRPr="00AC36D6">
        <w:t>the covariance</w:t>
      </w:r>
      <w:r w:rsidR="00704127" w:rsidRPr="00AC36D6">
        <w:t>s</w:t>
      </w:r>
      <w:r w:rsidRPr="00AC36D6">
        <w:t xml:space="preserve"> between </w:t>
      </w:r>
      <w:r w:rsidRPr="00AC36D6">
        <w:rPr>
          <w:position w:val="-12"/>
        </w:rPr>
        <w:object w:dxaOrig="340" w:dyaOrig="360" w14:anchorId="440AA137">
          <v:shape id="_x0000_i1126" type="#_x0000_t75" style="width:17.15pt;height:19.3pt" o:ole="">
            <v:imagedata r:id="rId204" o:title=""/>
          </v:shape>
          <o:OLEObject Type="Embed" ProgID="Equation.DSMT4" ShapeID="_x0000_i1126" DrawAspect="Content" ObjectID="_1726484423" r:id="rId205"/>
        </w:object>
      </w:r>
      <w:r w:rsidR="00650B6E" w:rsidRPr="00AC36D6">
        <w:t xml:space="preserve"> </w:t>
      </w:r>
      <w:r w:rsidRPr="00AC36D6">
        <w:t xml:space="preserve">and </w:t>
      </w:r>
      <w:r w:rsidRPr="00AC36D6">
        <w:rPr>
          <w:position w:val="-12"/>
        </w:rPr>
        <w:object w:dxaOrig="1700" w:dyaOrig="360" w14:anchorId="66D7A334">
          <v:shape id="_x0000_i1127" type="#_x0000_t75" style="width:85.7pt;height:19.3pt" o:ole="">
            <v:imagedata r:id="rId206" o:title=""/>
          </v:shape>
          <o:OLEObject Type="Embed" ProgID="Equation.DSMT4" ShapeID="_x0000_i1127" DrawAspect="Content" ObjectID="_1726484424" r:id="rId207"/>
        </w:object>
      </w:r>
      <w:r w:rsidR="0006402B" w:rsidRPr="00AC36D6">
        <w:t xml:space="preserve"> </w:t>
      </w:r>
      <w:proofErr w:type="spellStart"/>
      <w:r w:rsidRPr="00AC36D6">
        <w:t>and</w:t>
      </w:r>
      <w:proofErr w:type="spellEnd"/>
      <w:r w:rsidRPr="00AC36D6">
        <w:t xml:space="preserve"> </w:t>
      </w:r>
      <w:bookmarkStart w:id="11" w:name="_Hlk115097040"/>
      <w:r w:rsidR="00D2386C" w:rsidRPr="00AC36D6">
        <w:rPr>
          <w:position w:val="-14"/>
        </w:rPr>
        <w:object w:dxaOrig="2580" w:dyaOrig="380" w14:anchorId="799CF521">
          <v:shape id="_x0000_i1128" type="#_x0000_t75" style="width:126.85pt;height:19.3pt" o:ole="">
            <v:imagedata r:id="rId208" o:title=""/>
          </v:shape>
          <o:OLEObject Type="Embed" ProgID="Equation.DSMT4" ShapeID="_x0000_i1128" DrawAspect="Content" ObjectID="_1726484425" r:id="rId209"/>
        </w:object>
      </w:r>
      <w:bookmarkEnd w:id="11"/>
      <w:r w:rsidR="00956E61" w:rsidRPr="00AC36D6">
        <w:t xml:space="preserve"> </w:t>
      </w:r>
      <w:r w:rsidR="00650B6E" w:rsidRPr="00AC36D6">
        <w:t xml:space="preserve">denoting </w:t>
      </w:r>
      <w:r w:rsidRPr="00AC36D6">
        <w:t>the covariance</w:t>
      </w:r>
      <w:r w:rsidR="00704127" w:rsidRPr="00AC36D6">
        <w:t>s</w:t>
      </w:r>
      <w:r w:rsidRPr="00AC36D6">
        <w:t xml:space="preserve"> between </w:t>
      </w:r>
      <w:r w:rsidRPr="00AC36D6">
        <w:rPr>
          <w:position w:val="-14"/>
        </w:rPr>
        <w:object w:dxaOrig="340" w:dyaOrig="380" w14:anchorId="1574DAC4">
          <v:shape id="_x0000_i1129" type="#_x0000_t75" style="width:17.15pt;height:19.3pt" o:ole="">
            <v:imagedata r:id="rId188" o:title=""/>
          </v:shape>
          <o:OLEObject Type="Embed" ProgID="Equation.DSMT4" ShapeID="_x0000_i1129" DrawAspect="Content" ObjectID="_1726484426" r:id="rId210"/>
        </w:object>
      </w:r>
      <w:r w:rsidRPr="00AC36D6">
        <w:t xml:space="preserve">and </w:t>
      </w:r>
      <w:r w:rsidR="00D2386C" w:rsidRPr="00AC36D6">
        <w:rPr>
          <w:position w:val="-12"/>
        </w:rPr>
        <w:object w:dxaOrig="2500" w:dyaOrig="360" w14:anchorId="3EF95AB5">
          <v:shape id="_x0000_i1130" type="#_x0000_t75" style="width:124.7pt;height:19.3pt" o:ole="">
            <v:imagedata r:id="rId211" o:title=""/>
          </v:shape>
          <o:OLEObject Type="Embed" ProgID="Equation.DSMT4" ShapeID="_x0000_i1130" DrawAspect="Content" ObjectID="_1726484427" r:id="rId212"/>
        </w:object>
      </w:r>
      <w:r w:rsidRPr="00AC36D6">
        <w:t xml:space="preserve">. </w:t>
      </w:r>
      <w:r w:rsidRPr="00AC36D6">
        <w:lastRenderedPageBreak/>
        <w:t xml:space="preserve">The reader will note that </w:t>
      </w:r>
      <w:r w:rsidRPr="00AC36D6">
        <w:rPr>
          <w:position w:val="-4"/>
        </w:rPr>
        <w:object w:dxaOrig="220" w:dyaOrig="260" w14:anchorId="7F19B2DC">
          <v:shape id="_x0000_i1131" type="#_x0000_t75" style="width:9pt;height:13.3pt" o:ole="">
            <v:imagedata r:id="rId213" o:title=""/>
          </v:shape>
          <o:OLEObject Type="Embed" ProgID="Equation.DSMT4" ShapeID="_x0000_i1131" DrawAspect="Content" ObjectID="_1726484428" r:id="rId214"/>
        </w:object>
      </w:r>
      <w:r w:rsidRPr="00AC36D6">
        <w:t xml:space="preserve"> is positive definite as long as the covariance matrix </w:t>
      </w:r>
      <w:r w:rsidRPr="00AC36D6">
        <w:rPr>
          <w:position w:val="-4"/>
        </w:rPr>
        <w:object w:dxaOrig="220" w:dyaOrig="300" w14:anchorId="17EF8B59">
          <v:shape id="_x0000_i1132" type="#_x0000_t75" style="width:9pt;height:17.15pt" o:ole="">
            <v:imagedata r:id="rId215" o:title=""/>
          </v:shape>
          <o:OLEObject Type="Embed" ProgID="Equation.DSMT4" ShapeID="_x0000_i1132" DrawAspect="Content" ObjectID="_1726484429" r:id="rId216"/>
        </w:object>
      </w:r>
      <w:r w:rsidRPr="00AC36D6">
        <w:t xml:space="preserve"> is positive definite</w:t>
      </w:r>
      <w:r w:rsidR="00674A9D" w:rsidRPr="00AC36D6">
        <w:t>,</w:t>
      </w:r>
      <w:r w:rsidRPr="00AC36D6">
        <w:t xml:space="preserve"> because the addition of a non-negative constant to all entries of a positive definite matrix also results in a positive definite matrix. The positive</w:t>
      </w:r>
      <w:r w:rsidR="001D60FD" w:rsidRPr="00AC36D6">
        <w:t xml:space="preserve"> </w:t>
      </w:r>
      <w:r w:rsidRPr="00AC36D6">
        <w:t xml:space="preserve">definiteness of  </w:t>
      </w:r>
      <w:r w:rsidRPr="00AC36D6">
        <w:rPr>
          <w:position w:val="-4"/>
        </w:rPr>
        <w:object w:dxaOrig="220" w:dyaOrig="300" w14:anchorId="5BC19EAF">
          <v:shape id="_x0000_i1133" type="#_x0000_t75" style="width:9pt;height:17.15pt" o:ole="">
            <v:imagedata r:id="rId217" o:title=""/>
          </v:shape>
          <o:OLEObject Type="Embed" ProgID="Equation.DSMT4" ShapeID="_x0000_i1133" DrawAspect="Content" ObjectID="_1726484430" r:id="rId218"/>
        </w:object>
      </w:r>
      <w:r w:rsidRPr="00AC36D6">
        <w:t xml:space="preserve"> </w:t>
      </w:r>
      <w:r w:rsidR="00156113" w:rsidRPr="00AC36D6">
        <w:t xml:space="preserve"> </w:t>
      </w:r>
      <w:r w:rsidR="0006402B" w:rsidRPr="00AC36D6">
        <w:t>is</w:t>
      </w:r>
      <w:r w:rsidRPr="00AC36D6">
        <w:t xml:space="preserve"> ensured by applying a Cholesky decomposition of this matrix</w:t>
      </w:r>
      <w:r w:rsidR="000E1AAB" w:rsidRPr="00AC36D6">
        <w:t xml:space="preserve"> </w:t>
      </w:r>
      <w:r w:rsidRPr="00AC36D6">
        <w:t xml:space="preserve">and estimating the </w:t>
      </w:r>
      <w:r w:rsidR="00630972" w:rsidRPr="00AC36D6">
        <w:t xml:space="preserve">corresponding </w:t>
      </w:r>
      <w:r w:rsidRPr="00AC36D6">
        <w:t xml:space="preserve">Cholesky parameters. Once the Cholesky parameters are </w:t>
      </w:r>
      <w:r w:rsidR="00630972" w:rsidRPr="00AC36D6">
        <w:t>estimated</w:t>
      </w:r>
      <w:r w:rsidRPr="00AC36D6">
        <w:t xml:space="preserve">, the actual covariance parameters </w:t>
      </w:r>
      <w:r w:rsidR="004A4F27" w:rsidRPr="00AC36D6">
        <w:t>can be</w:t>
      </w:r>
      <w:r w:rsidRPr="00AC36D6">
        <w:t xml:space="preserve"> easily obtained. For later use, we will also write </w:t>
      </w:r>
      <w:r w:rsidR="002D5967" w:rsidRPr="00AC36D6">
        <w:t>the</w:t>
      </w:r>
      <w:r w:rsidRPr="00AC36D6">
        <w:t xml:space="preserve"> </w:t>
      </w:r>
      <w:r w:rsidR="002D5967" w:rsidRPr="00AC36D6">
        <w:t>following equation</w:t>
      </w:r>
      <w:r w:rsidRPr="00AC36D6">
        <w:t>:</w:t>
      </w:r>
    </w:p>
    <w:p w14:paraId="7744AEBB" w14:textId="3A7956BE" w:rsidR="00805EE8" w:rsidRPr="00AC36D6" w:rsidRDefault="00805EE8" w:rsidP="00805EE8">
      <w:pPr>
        <w:spacing w:line="360" w:lineRule="auto"/>
      </w:pPr>
      <w:r w:rsidRPr="00AC36D6">
        <w:rPr>
          <w:position w:val="-36"/>
        </w:rPr>
        <w:object w:dxaOrig="7880" w:dyaOrig="840" w14:anchorId="2EF48FFD">
          <v:shape id="_x0000_i1134" type="#_x0000_t75" style="width:394.3pt;height:42.85pt" o:ole="">
            <v:imagedata r:id="rId219" o:title=""/>
          </v:shape>
          <o:OLEObject Type="Embed" ProgID="Equation.DSMT4" ShapeID="_x0000_i1134" DrawAspect="Content" ObjectID="_1726484431" r:id="rId220"/>
        </w:object>
      </w:r>
      <w:r w:rsidR="00E65C8C" w:rsidRPr="00AC36D6">
        <w:tab/>
      </w:r>
      <w:r w:rsidR="00E65C8C" w:rsidRPr="00AC36D6">
        <w:tab/>
      </w:r>
      <w:r w:rsidRPr="00AC36D6">
        <w:t>(1</w:t>
      </w:r>
      <w:r w:rsidR="007B6EF9" w:rsidRPr="00AC36D6">
        <w:t>0</w:t>
      </w:r>
      <w:r w:rsidRPr="00AC36D6">
        <w:t>)</w:t>
      </w:r>
    </w:p>
    <w:p w14:paraId="44BA023C" w14:textId="4AA2EAF2" w:rsidR="00805EE8" w:rsidRPr="00AC36D6" w:rsidRDefault="00805EE8" w:rsidP="00087876">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 xml:space="preserve">An important </w:t>
      </w:r>
      <w:r w:rsidR="00560B88" w:rsidRPr="00AC36D6">
        <w:rPr>
          <w:rFonts w:eastAsia="Times New Roman" w:cs="Arial"/>
          <w:bCs/>
          <w:color w:val="000000"/>
          <w:kern w:val="32"/>
          <w:szCs w:val="32"/>
        </w:rPr>
        <w:t>implication</w:t>
      </w:r>
      <w:r w:rsidRPr="00AC36D6">
        <w:rPr>
          <w:rFonts w:eastAsia="Times New Roman" w:cs="Arial"/>
          <w:bCs/>
          <w:color w:val="000000"/>
          <w:kern w:val="32"/>
          <w:szCs w:val="32"/>
        </w:rPr>
        <w:t xml:space="preserve"> </w:t>
      </w:r>
      <w:r w:rsidR="00956E61" w:rsidRPr="00AC36D6">
        <w:rPr>
          <w:rFonts w:eastAsia="Times New Roman" w:cs="Arial"/>
          <w:bCs/>
          <w:color w:val="000000"/>
          <w:kern w:val="32"/>
          <w:szCs w:val="32"/>
        </w:rPr>
        <w:t>of</w:t>
      </w:r>
      <w:r w:rsidRPr="00AC36D6">
        <w:rPr>
          <w:rFonts w:eastAsia="Times New Roman" w:cs="Arial"/>
          <w:bCs/>
          <w:color w:val="000000"/>
          <w:kern w:val="32"/>
          <w:szCs w:val="32"/>
        </w:rPr>
        <w:t xml:space="preserve"> the conditions </w:t>
      </w:r>
      <w:r w:rsidR="00733240" w:rsidRPr="00AC36D6">
        <w:rPr>
          <w:rFonts w:eastAsia="Times New Roman" w:cs="Arial"/>
          <w:bCs/>
          <w:color w:val="000000"/>
          <w:kern w:val="32"/>
          <w:szCs w:val="32"/>
        </w:rPr>
        <w:t>in</w:t>
      </w:r>
      <w:r w:rsidRPr="00AC36D6">
        <w:rPr>
          <w:rFonts w:eastAsia="Times New Roman" w:cs="Arial"/>
          <w:bCs/>
          <w:color w:val="000000"/>
          <w:kern w:val="32"/>
          <w:szCs w:val="32"/>
        </w:rPr>
        <w:t xml:space="preserve"> Eq</w:t>
      </w:r>
      <w:r w:rsidR="006F1DBA" w:rsidRPr="00AC36D6">
        <w:rPr>
          <w:rFonts w:eastAsia="Times New Roman" w:cs="Arial"/>
          <w:bCs/>
          <w:color w:val="000000"/>
          <w:kern w:val="32"/>
          <w:szCs w:val="32"/>
        </w:rPr>
        <w:t>uation</w:t>
      </w:r>
      <w:r w:rsidRPr="00AC36D6">
        <w:rPr>
          <w:rFonts w:eastAsia="Times New Roman" w:cs="Arial"/>
          <w:bCs/>
          <w:color w:val="000000"/>
          <w:kern w:val="32"/>
          <w:szCs w:val="32"/>
        </w:rPr>
        <w:t xml:space="preserve"> (</w:t>
      </w:r>
      <w:r w:rsidR="00956E61" w:rsidRPr="00AC36D6">
        <w:rPr>
          <w:rFonts w:eastAsia="Times New Roman" w:cs="Arial"/>
          <w:bCs/>
          <w:color w:val="000000"/>
          <w:kern w:val="32"/>
          <w:szCs w:val="32"/>
        </w:rPr>
        <w:t>8</w:t>
      </w:r>
      <w:r w:rsidRPr="00AC36D6">
        <w:rPr>
          <w:rFonts w:eastAsia="Times New Roman" w:cs="Arial"/>
          <w:bCs/>
          <w:color w:val="000000"/>
          <w:kern w:val="32"/>
          <w:szCs w:val="32"/>
        </w:rPr>
        <w:t>)</w:t>
      </w:r>
      <w:r w:rsidR="000E1AAB" w:rsidRPr="00AC36D6">
        <w:rPr>
          <w:rFonts w:eastAsia="Times New Roman" w:cs="Arial"/>
          <w:bCs/>
          <w:color w:val="000000"/>
          <w:kern w:val="32"/>
          <w:szCs w:val="32"/>
        </w:rPr>
        <w:t xml:space="preserve"> on the identification of the covariance elements is worth </w:t>
      </w:r>
      <w:r w:rsidR="00956E61" w:rsidRPr="00AC36D6">
        <w:rPr>
          <w:rFonts w:eastAsia="Times New Roman" w:cs="Arial"/>
          <w:bCs/>
          <w:color w:val="000000"/>
          <w:kern w:val="32"/>
          <w:szCs w:val="32"/>
        </w:rPr>
        <w:t>discussing</w:t>
      </w:r>
      <w:r w:rsidR="000E1AAB" w:rsidRPr="00AC36D6">
        <w:rPr>
          <w:rFonts w:eastAsia="Times New Roman" w:cs="Arial"/>
          <w:bCs/>
          <w:color w:val="000000"/>
          <w:kern w:val="32"/>
          <w:szCs w:val="32"/>
        </w:rPr>
        <w:t xml:space="preserve">. Specifically, the conditions </w:t>
      </w:r>
      <w:r w:rsidR="006F1DBA" w:rsidRPr="00AC36D6">
        <w:rPr>
          <w:rFonts w:eastAsia="Times New Roman" w:cs="Arial"/>
          <w:bCs/>
          <w:color w:val="000000"/>
          <w:kern w:val="32"/>
          <w:szCs w:val="32"/>
        </w:rPr>
        <w:t>in</w:t>
      </w:r>
      <w:r w:rsidR="000E1AAB" w:rsidRPr="00AC36D6">
        <w:rPr>
          <w:rFonts w:eastAsia="Times New Roman" w:cs="Arial"/>
          <w:bCs/>
          <w:color w:val="000000"/>
          <w:kern w:val="32"/>
          <w:szCs w:val="32"/>
        </w:rPr>
        <w:t xml:space="preserve"> Eq</w:t>
      </w:r>
      <w:r w:rsidR="006F1DBA" w:rsidRPr="00AC36D6">
        <w:rPr>
          <w:rFonts w:eastAsia="Times New Roman" w:cs="Arial"/>
          <w:bCs/>
          <w:color w:val="000000"/>
          <w:kern w:val="32"/>
          <w:szCs w:val="32"/>
        </w:rPr>
        <w:t>uation</w:t>
      </w:r>
      <w:r w:rsidR="000E1AAB" w:rsidRPr="00AC36D6">
        <w:rPr>
          <w:rFonts w:eastAsia="Times New Roman" w:cs="Arial"/>
          <w:bCs/>
          <w:color w:val="000000"/>
          <w:kern w:val="32"/>
          <w:szCs w:val="32"/>
        </w:rPr>
        <w:t xml:space="preserve"> (</w:t>
      </w:r>
      <w:r w:rsidR="00956E61" w:rsidRPr="00AC36D6">
        <w:rPr>
          <w:rFonts w:eastAsia="Times New Roman" w:cs="Arial"/>
          <w:bCs/>
          <w:color w:val="000000"/>
          <w:kern w:val="32"/>
          <w:szCs w:val="32"/>
        </w:rPr>
        <w:t>8</w:t>
      </w:r>
      <w:r w:rsidR="000E1AAB" w:rsidRPr="00AC36D6">
        <w:rPr>
          <w:rFonts w:eastAsia="Times New Roman" w:cs="Arial"/>
          <w:bCs/>
          <w:color w:val="000000"/>
          <w:kern w:val="32"/>
          <w:szCs w:val="32"/>
        </w:rPr>
        <w:t>)</w:t>
      </w:r>
      <w:r w:rsidRPr="00AC36D6">
        <w:rPr>
          <w:rFonts w:eastAsia="Times New Roman" w:cs="Arial"/>
          <w:bCs/>
          <w:color w:val="000000"/>
          <w:kern w:val="32"/>
          <w:szCs w:val="32"/>
        </w:rPr>
        <w:t xml:space="preserve"> </w:t>
      </w:r>
      <w:r w:rsidR="000E1AAB" w:rsidRPr="00AC36D6">
        <w:rPr>
          <w:rFonts w:eastAsia="Times New Roman" w:cs="Arial"/>
          <w:bCs/>
          <w:color w:val="000000"/>
          <w:kern w:val="32"/>
          <w:szCs w:val="32"/>
        </w:rPr>
        <w:t>imply</w:t>
      </w:r>
      <w:r w:rsidRPr="00AC36D6">
        <w:rPr>
          <w:rFonts w:eastAsia="Times New Roman" w:cs="Arial"/>
          <w:bCs/>
          <w:color w:val="000000"/>
          <w:kern w:val="32"/>
          <w:szCs w:val="32"/>
        </w:rPr>
        <w:t xml:space="preserve"> that the </w:t>
      </w:r>
      <w:r w:rsidR="00421C1D" w:rsidRPr="00AC36D6">
        <w:rPr>
          <w:rFonts w:eastAsia="Times New Roman" w:cs="Arial"/>
          <w:bCs/>
          <w:color w:val="000000"/>
          <w:kern w:val="32"/>
          <w:szCs w:val="32"/>
        </w:rPr>
        <w:t xml:space="preserve">discrete choice </w:t>
      </w:r>
      <w:r w:rsidRPr="00AC36D6">
        <w:rPr>
          <w:rFonts w:eastAsia="Times New Roman" w:cs="Arial"/>
          <w:bCs/>
          <w:color w:val="000000"/>
          <w:kern w:val="32"/>
          <w:szCs w:val="32"/>
        </w:rPr>
        <w:t xml:space="preserve">probability of consumption of each inside good is essentially a binary probit. That is, for each inside good, </w:t>
      </w:r>
      <w:r w:rsidRPr="00AC36D6">
        <w:t xml:space="preserve">the condition </w:t>
      </w:r>
      <w:r w:rsidR="000E1AAB" w:rsidRPr="00AC36D6">
        <w:t>for choosing a good for consumption</w:t>
      </w:r>
      <w:r w:rsidRPr="00AC36D6">
        <w:t xml:space="preserve"> is given by the univariate probit model condition of </w:t>
      </w:r>
      <w:r w:rsidRPr="00AC36D6">
        <w:rPr>
          <w:position w:val="-14"/>
        </w:rPr>
        <w:object w:dxaOrig="820" w:dyaOrig="420" w14:anchorId="1F647E55">
          <v:shape id="_x0000_i1135" type="#_x0000_t75" style="width:40.7pt;height:20.15pt" o:ole="">
            <v:imagedata r:id="rId221" o:title=""/>
          </v:shape>
          <o:OLEObject Type="Embed" ProgID="Equation.3" ShapeID="_x0000_i1135" DrawAspect="Content" ObjectID="_1726484432" r:id="rId222"/>
        </w:object>
      </w:r>
      <w:r w:rsidRPr="00AC36D6">
        <w:t xml:space="preserve"> </w:t>
      </w:r>
      <w:proofErr w:type="spellStart"/>
      <w:r w:rsidRPr="00AC36D6">
        <w:t>if</w:t>
      </w:r>
      <w:proofErr w:type="spellEnd"/>
      <w:r w:rsidRPr="00AC36D6">
        <w:t xml:space="preserve"> </w:t>
      </w:r>
      <w:r w:rsidRPr="00AC36D6">
        <w:rPr>
          <w:position w:val="-12"/>
        </w:rPr>
        <w:object w:dxaOrig="660" w:dyaOrig="360" w14:anchorId="6D4F3946">
          <v:shape id="_x0000_i1136" type="#_x0000_t75" style="width:33pt;height:19.3pt" o:ole="">
            <v:imagedata r:id="rId223" o:title=""/>
          </v:shape>
          <o:OLEObject Type="Embed" ProgID="Equation.3" ShapeID="_x0000_i1136" DrawAspect="Content" ObjectID="_1726484433" r:id="rId224"/>
        </w:object>
      </w:r>
      <w:r w:rsidRPr="00AC36D6">
        <w:t xml:space="preserve"> and </w:t>
      </w:r>
      <w:r w:rsidRPr="00AC36D6">
        <w:rPr>
          <w:position w:val="-14"/>
        </w:rPr>
        <w:object w:dxaOrig="820" w:dyaOrig="400" w14:anchorId="13552DB1">
          <v:shape id="_x0000_i1137" type="#_x0000_t75" style="width:40.7pt;height:19.7pt" o:ole="">
            <v:imagedata r:id="rId225" o:title=""/>
          </v:shape>
          <o:OLEObject Type="Embed" ProgID="Equation.DSMT4" ShapeID="_x0000_i1137" DrawAspect="Content" ObjectID="_1726484434" r:id="rId226"/>
        </w:object>
      </w:r>
      <w:r w:rsidRPr="00AC36D6">
        <w:t xml:space="preserve"> if </w:t>
      </w:r>
      <w:r w:rsidRPr="00AC36D6">
        <w:rPr>
          <w:position w:val="-12"/>
        </w:rPr>
        <w:object w:dxaOrig="639" w:dyaOrig="380" w14:anchorId="45C68B22">
          <v:shape id="_x0000_i1138" type="#_x0000_t75" style="width:33pt;height:19.3pt" o:ole="">
            <v:imagedata r:id="rId227" o:title=""/>
          </v:shape>
          <o:OLEObject Type="Embed" ProgID="Equation.DSMT4" ShapeID="_x0000_i1138" DrawAspect="Content" ObjectID="_1726484435" r:id="rId228"/>
        </w:object>
      </w:r>
      <w:r w:rsidRPr="00AC36D6">
        <w:t>.</w:t>
      </w:r>
      <w:r w:rsidR="00560B88" w:rsidRPr="00AC36D6">
        <w:t xml:space="preserve"> Since in such binary</w:t>
      </w:r>
      <w:r w:rsidR="00E92A70" w:rsidRPr="00AC36D6">
        <w:t xml:space="preserve"> choice situations</w:t>
      </w:r>
      <w:r w:rsidR="00560B88" w:rsidRPr="00AC36D6">
        <w:t>, it is not possible to estimate scale</w:t>
      </w:r>
      <w:r w:rsidR="00E92A70" w:rsidRPr="00AC36D6">
        <w:t xml:space="preserve"> </w:t>
      </w:r>
      <w:r w:rsidR="005A121A" w:rsidRPr="00AC36D6">
        <w:t>parameters</w:t>
      </w:r>
      <w:r w:rsidR="008D4C12" w:rsidRPr="00AC36D6">
        <w:t xml:space="preserve"> of the error terms</w:t>
      </w:r>
      <w:r w:rsidR="00560B88" w:rsidRPr="00AC36D6">
        <w:t xml:space="preserve">, </w:t>
      </w:r>
      <w:r w:rsidR="00E92A70" w:rsidRPr="00AC36D6">
        <w:t>the variance elements (</w:t>
      </w:r>
      <w:r w:rsidR="00E92A70" w:rsidRPr="00AC36D6">
        <w:rPr>
          <w:i/>
          <w:iCs/>
        </w:rPr>
        <w:t>i.e.,</w:t>
      </w:r>
      <w:r w:rsidR="00E92A70" w:rsidRPr="00AC36D6">
        <w:t xml:space="preserve"> </w:t>
      </w:r>
      <w:r w:rsidR="00E92A70" w:rsidRPr="00AC36D6">
        <w:rPr>
          <w:position w:val="-12"/>
        </w:rPr>
        <w:object w:dxaOrig="1740" w:dyaOrig="400" w14:anchorId="00075815">
          <v:shape id="_x0000_i1139" type="#_x0000_t75" style="width:85.7pt;height:19.7pt" o:ole="">
            <v:imagedata r:id="rId184" o:title=""/>
          </v:shape>
          <o:OLEObject Type="Embed" ProgID="Equation.DSMT4" ShapeID="_x0000_i1139" DrawAspect="Content" ObjectID="_1726484436" r:id="rId229"/>
        </w:object>
      </w:r>
      <w:r w:rsidR="00E92A70" w:rsidRPr="00AC36D6">
        <w:t>) are all set to 0.5 in</w:t>
      </w:r>
      <w:r w:rsidR="00560B88" w:rsidRPr="00AC36D6">
        <w:t xml:space="preserve"> the covariance matrix in Eq</w:t>
      </w:r>
      <w:r w:rsidR="006F1DBA" w:rsidRPr="00AC36D6">
        <w:t>uation</w:t>
      </w:r>
      <w:r w:rsidR="00560B88" w:rsidRPr="00AC36D6">
        <w:t xml:space="preserve"> (</w:t>
      </w:r>
      <w:r w:rsidR="00704E59" w:rsidRPr="00AC36D6">
        <w:t>9</w:t>
      </w:r>
      <w:r w:rsidR="00560B88" w:rsidRPr="00AC36D6">
        <w:t>)</w:t>
      </w:r>
      <w:r w:rsidR="00E92A70" w:rsidRPr="00AC36D6">
        <w:t xml:space="preserve">. </w:t>
      </w:r>
    </w:p>
    <w:p w14:paraId="640EC94F" w14:textId="6BBAAC17" w:rsidR="00E80A1D" w:rsidRPr="00AC36D6" w:rsidRDefault="00E80A1D" w:rsidP="00B6655E">
      <w:pPr>
        <w:pStyle w:val="ListParagraph"/>
        <w:numPr>
          <w:ilvl w:val="2"/>
          <w:numId w:val="22"/>
        </w:numPr>
        <w:spacing w:before="120" w:after="0" w:line="360" w:lineRule="auto"/>
        <w:contextualSpacing w:val="0"/>
        <w:rPr>
          <w:i/>
        </w:rPr>
      </w:pPr>
      <w:r w:rsidRPr="00AC36D6">
        <w:rPr>
          <w:i/>
        </w:rPr>
        <w:t>Model Estimation</w:t>
      </w:r>
    </w:p>
    <w:p w14:paraId="55386B4C" w14:textId="77AF9798" w:rsidR="007B6EF9" w:rsidRPr="00AC36D6" w:rsidRDefault="007B6EF9" w:rsidP="00087876">
      <w:pPr>
        <w:spacing w:line="360" w:lineRule="auto"/>
        <w:jc w:val="both"/>
      </w:pPr>
      <w:r w:rsidRPr="00AC36D6">
        <w:t xml:space="preserve">Consider an individual who chooses a total of </w:t>
      </w:r>
      <w:r w:rsidRPr="00AC36D6">
        <w:rPr>
          <w:i/>
        </w:rPr>
        <w:t>M</w:t>
      </w:r>
      <w:r w:rsidRPr="00AC36D6">
        <w:t xml:space="preserve"> inside goods to consume (</w:t>
      </w:r>
      <w:r w:rsidRPr="00AC36D6">
        <w:rPr>
          <w:i/>
        </w:rPr>
        <w:t>M</w:t>
      </w:r>
      <w:r w:rsidRPr="00AC36D6">
        <w:t xml:space="preserve"> can take the value of zero, indicating that no inside goods are consumed, and all the budget is invested in the outside good). Define a selection matrix </w:t>
      </w:r>
      <w:r w:rsidRPr="00AC36D6">
        <w:rPr>
          <w:position w:val="-4"/>
        </w:rPr>
        <w:object w:dxaOrig="260" w:dyaOrig="260" w14:anchorId="7079273C">
          <v:shape id="_x0000_i1140" type="#_x0000_t75" style="width:13.3pt;height:13.3pt" o:ole="">
            <v:imagedata r:id="rId230" o:title=""/>
          </v:shape>
          <o:OLEObject Type="Embed" ProgID="Equation.DSMT4" ShapeID="_x0000_i1140" DrawAspect="Content" ObjectID="_1726484437" r:id="rId231"/>
        </w:object>
      </w:r>
      <w:r w:rsidRPr="00AC36D6">
        <w:t xml:space="preserve">of size </w:t>
      </w:r>
      <w:r w:rsidRPr="00AC36D6">
        <w:rPr>
          <w:position w:val="-10"/>
        </w:rPr>
        <w:object w:dxaOrig="2260" w:dyaOrig="320" w14:anchorId="72E326D3">
          <v:shape id="_x0000_i1141" type="#_x0000_t75" style="width:112.7pt;height:17.15pt" o:ole="">
            <v:imagedata r:id="rId232" o:title=""/>
          </v:shape>
          <o:OLEObject Type="Embed" ProgID="Equation.DSMT4" ShapeID="_x0000_i1141" DrawAspect="Content" ObjectID="_1726484438" r:id="rId233"/>
        </w:object>
      </w:r>
      <w:r w:rsidRPr="00AC36D6">
        <w:t>. Consider the first (</w:t>
      </w:r>
      <w:r w:rsidRPr="00AC36D6">
        <w:rPr>
          <w:i/>
        </w:rPr>
        <w:t>K</w:t>
      </w:r>
      <w:r w:rsidRPr="00AC36D6">
        <w:t xml:space="preserve">-1) rows. If  </w:t>
      </w:r>
      <w:r w:rsidRPr="00AC36D6">
        <w:rPr>
          <w:position w:val="-6"/>
        </w:rPr>
        <w:object w:dxaOrig="680" w:dyaOrig="279" w14:anchorId="0F555A93">
          <v:shape id="_x0000_i1142" type="#_x0000_t75" style="width:33pt;height:13.7pt" o:ole="">
            <v:imagedata r:id="rId234" o:title=""/>
          </v:shape>
          <o:OLEObject Type="Embed" ProgID="Equation.DSMT4" ShapeID="_x0000_i1142" DrawAspect="Content" ObjectID="_1726484439" r:id="rId235"/>
        </w:object>
      </w:r>
      <w:r w:rsidRPr="00AC36D6">
        <w:t xml:space="preserve">, in the first of these rows, place a value of ‘1’ in the column corresponding to the first of the inside goods consumed. Place values of zeros everywhere else in this row. Next, in the second of these rows, place a value of ‘1’ in the column corresponding to the second of the inside goods consumed and zeros everywhere else. Continue until the </w:t>
      </w:r>
      <w:r w:rsidRPr="00AC36D6">
        <w:rPr>
          <w:position w:val="-4"/>
        </w:rPr>
        <w:object w:dxaOrig="440" w:dyaOrig="300" w14:anchorId="58807EDC">
          <v:shape id="_x0000_i1143" type="#_x0000_t75" style="width:22.7pt;height:17.15pt" o:ole="">
            <v:imagedata r:id="rId236" o:title=""/>
          </v:shape>
          <o:OLEObject Type="Embed" ProgID="Equation.DSMT4" ShapeID="_x0000_i1143" DrawAspect="Content" ObjectID="_1726484440" r:id="rId237"/>
        </w:object>
      </w:r>
      <w:r w:rsidRPr="00AC36D6">
        <w:t xml:space="preserve"> row. Next, start with the </w:t>
      </w:r>
      <w:r w:rsidRPr="00AC36D6">
        <w:rPr>
          <w:position w:val="-10"/>
        </w:rPr>
        <w:object w:dxaOrig="880" w:dyaOrig="360" w14:anchorId="548FA65F">
          <v:shape id="_x0000_i1144" type="#_x0000_t75" style="width:44.15pt;height:19.3pt" o:ole="">
            <v:imagedata r:id="rId238" o:title=""/>
          </v:shape>
          <o:OLEObject Type="Embed" ProgID="Equation.DSMT4" ShapeID="_x0000_i1144" DrawAspect="Content" ObjectID="_1726484441" r:id="rId239"/>
        </w:object>
      </w:r>
      <w:r w:rsidRPr="00AC36D6">
        <w:t xml:space="preserve"> row, place a value of ‘1’ in the column corresponding to the first non-consumed inside good, and values of ‘0’ everywhere else. Continue this until the first (</w:t>
      </w:r>
      <w:r w:rsidRPr="00AC36D6">
        <w:rPr>
          <w:i/>
        </w:rPr>
        <w:t>K</w:t>
      </w:r>
      <w:r w:rsidRPr="00AC36D6">
        <w:t xml:space="preserve">-1) rows are completely populated. Next, in the </w:t>
      </w:r>
      <w:r w:rsidRPr="00AC36D6">
        <w:rPr>
          <w:position w:val="-4"/>
        </w:rPr>
        <w:object w:dxaOrig="380" w:dyaOrig="300" w14:anchorId="25EE6C4C">
          <v:shape id="_x0000_i1145" type="#_x0000_t75" style="width:19.3pt;height:17.15pt" o:ole="">
            <v:imagedata r:id="rId240" o:title=""/>
          </v:shape>
          <o:OLEObject Type="Embed" ProgID="Equation.DSMT4" ShapeID="_x0000_i1145" DrawAspect="Content" ObjectID="_1726484442" r:id="rId241"/>
        </w:object>
      </w:r>
      <w:r w:rsidRPr="00AC36D6">
        <w:t xml:space="preserve"> through </w:t>
      </w:r>
      <w:r w:rsidRPr="00AC36D6">
        <w:rPr>
          <w:position w:val="-10"/>
        </w:rPr>
        <w:object w:dxaOrig="1300" w:dyaOrig="360" w14:anchorId="46BD54A9">
          <v:shape id="_x0000_i1146" type="#_x0000_t75" style="width:66pt;height:19.3pt" o:ole="">
            <v:imagedata r:id="rId242" o:title=""/>
          </v:shape>
          <o:OLEObject Type="Embed" ProgID="Equation.DSMT4" ShapeID="_x0000_i1146" DrawAspect="Content" ObjectID="_1726484443" r:id="rId243"/>
        </w:object>
      </w:r>
      <w:r w:rsidRPr="00AC36D6">
        <w:t xml:space="preserve"> rows and the </w:t>
      </w:r>
      <w:r w:rsidRPr="00AC36D6">
        <w:rPr>
          <w:position w:val="-4"/>
        </w:rPr>
        <w:object w:dxaOrig="380" w:dyaOrig="300" w14:anchorId="6865A1F2">
          <v:shape id="_x0000_i1147" type="#_x0000_t75" style="width:19.3pt;height:17.15pt" o:ole="">
            <v:imagedata r:id="rId240" o:title=""/>
          </v:shape>
          <o:OLEObject Type="Embed" ProgID="Equation.DSMT4" ShapeID="_x0000_i1147" DrawAspect="Content" ObjectID="_1726484444" r:id="rId244"/>
        </w:object>
      </w:r>
      <w:r w:rsidRPr="00AC36D6">
        <w:t xml:space="preserve"> through </w:t>
      </w:r>
      <w:r w:rsidRPr="00AC36D6">
        <w:rPr>
          <w:position w:val="-10"/>
        </w:rPr>
        <w:object w:dxaOrig="960" w:dyaOrig="360" w14:anchorId="1E02B6DB">
          <v:shape id="_x0000_i1148" type="#_x0000_t75" style="width:47.15pt;height:19.3pt" o:ole="">
            <v:imagedata r:id="rId245" o:title=""/>
          </v:shape>
          <o:OLEObject Type="Embed" ProgID="Equation.DSMT4" ShapeID="_x0000_i1148" DrawAspect="Content" ObjectID="_1726484445" r:id="rId246"/>
        </w:object>
      </w:r>
      <w:r w:rsidRPr="00AC36D6">
        <w:t xml:space="preserve"> columns, reproduce the sub-matrix in the first M rows and (</w:t>
      </w:r>
      <w:r w:rsidRPr="00AC36D6">
        <w:rPr>
          <w:i/>
        </w:rPr>
        <w:t>K</w:t>
      </w:r>
      <w:r w:rsidRPr="00AC36D6">
        <w:t xml:space="preserve">-1) columns of </w:t>
      </w:r>
      <w:r w:rsidRPr="00AC36D6">
        <w:rPr>
          <w:position w:val="-4"/>
        </w:rPr>
        <w:object w:dxaOrig="260" w:dyaOrig="260" w14:anchorId="692D9F49">
          <v:shape id="_x0000_i1149" type="#_x0000_t75" style="width:13.3pt;height:13.3pt" o:ole="">
            <v:imagedata r:id="rId230" o:title=""/>
          </v:shape>
          <o:OLEObject Type="Embed" ProgID="Equation.DSMT4" ShapeID="_x0000_i1149" DrawAspect="Content" ObjectID="_1726484446" r:id="rId247"/>
        </w:object>
      </w:r>
      <w:r w:rsidRPr="00AC36D6">
        <w:t xml:space="preserve">. All other columns of the </w:t>
      </w:r>
      <w:r w:rsidRPr="00AC36D6">
        <w:rPr>
          <w:position w:val="-4"/>
        </w:rPr>
        <w:object w:dxaOrig="380" w:dyaOrig="300" w14:anchorId="1644A869">
          <v:shape id="_x0000_i1150" type="#_x0000_t75" style="width:19.3pt;height:17.15pt" o:ole="">
            <v:imagedata r:id="rId240" o:title=""/>
          </v:shape>
          <o:OLEObject Type="Embed" ProgID="Equation.DSMT4" ShapeID="_x0000_i1150" DrawAspect="Content" ObjectID="_1726484447" r:id="rId248"/>
        </w:object>
      </w:r>
      <w:r w:rsidRPr="00AC36D6">
        <w:t xml:space="preserve"> through </w:t>
      </w:r>
      <w:r w:rsidRPr="00AC36D6">
        <w:rPr>
          <w:position w:val="-10"/>
        </w:rPr>
        <w:object w:dxaOrig="1300" w:dyaOrig="360" w14:anchorId="62FD8568">
          <v:shape id="_x0000_i1151" type="#_x0000_t75" style="width:66pt;height:19.3pt" o:ole="">
            <v:imagedata r:id="rId242" o:title=""/>
          </v:shape>
          <o:OLEObject Type="Embed" ProgID="Equation.DSMT4" ShapeID="_x0000_i1151" DrawAspect="Content" ObjectID="_1726484448" r:id="rId249"/>
        </w:object>
      </w:r>
      <w:r w:rsidRPr="00AC36D6">
        <w:t xml:space="preserve"> rows receive a value of zero.  Thus, if there are </w:t>
      </w:r>
      <w:r w:rsidRPr="00AC36D6">
        <w:lastRenderedPageBreak/>
        <w:t>three inside goods (that is, (</w:t>
      </w:r>
      <w:r w:rsidRPr="00AC36D6">
        <w:rPr>
          <w:i/>
        </w:rPr>
        <w:t>K</w:t>
      </w:r>
      <w:r w:rsidRPr="00AC36D6">
        <w:t>-1)</w:t>
      </w:r>
      <w:r w:rsidR="008571D6" w:rsidRPr="00AC36D6">
        <w:t xml:space="preserve"> </w:t>
      </w:r>
      <w:r w:rsidRPr="00AC36D6">
        <w:t>=</w:t>
      </w:r>
      <w:r w:rsidR="008571D6" w:rsidRPr="00AC36D6">
        <w:t xml:space="preserve"> </w:t>
      </w:r>
      <w:r w:rsidRPr="00AC36D6">
        <w:t>3), and assuming that the first and the third</w:t>
      </w:r>
      <w:r w:rsidR="00542D61" w:rsidRPr="00AC36D6">
        <w:t xml:space="preserve"> of those</w:t>
      </w:r>
      <w:r w:rsidRPr="00AC36D6">
        <w:t xml:space="preserve"> goods are consumed by an individual, the </w:t>
      </w:r>
      <w:r w:rsidRPr="00AC36D6">
        <w:rPr>
          <w:position w:val="-4"/>
        </w:rPr>
        <w:object w:dxaOrig="260" w:dyaOrig="260" w14:anchorId="32F3C8A4">
          <v:shape id="_x0000_i1152" type="#_x0000_t75" style="width:13.3pt;height:13.3pt" o:ole="">
            <v:imagedata r:id="rId230" o:title=""/>
          </v:shape>
          <o:OLEObject Type="Embed" ProgID="Equation.DSMT4" ShapeID="_x0000_i1152" DrawAspect="Content" ObjectID="_1726484449" r:id="rId250"/>
        </w:object>
      </w:r>
      <w:r w:rsidRPr="00AC36D6">
        <w:t>matrix takes the following form:</w:t>
      </w:r>
    </w:p>
    <w:p w14:paraId="5D33DFCD" w14:textId="3287D39C" w:rsidR="007B6EF9" w:rsidRPr="00AC36D6" w:rsidRDefault="007B6EF9" w:rsidP="006F6534">
      <w:pPr>
        <w:spacing w:line="360" w:lineRule="auto"/>
        <w:ind w:right="-138" w:firstLine="720"/>
        <w:jc w:val="both"/>
      </w:pPr>
      <w:r w:rsidRPr="00AC36D6">
        <w:rPr>
          <w:position w:val="-84"/>
        </w:rPr>
        <w:object w:dxaOrig="5260" w:dyaOrig="1800" w14:anchorId="30676F50">
          <v:shape id="_x0000_i1153" type="#_x0000_t75" style="width:261.85pt;height:91.7pt" o:ole="" o:preferrelative="f">
            <v:imagedata r:id="rId251" o:title=""/>
            <o:lock v:ext="edit" aspectratio="f"/>
          </v:shape>
          <o:OLEObject Type="Embed" ProgID="Equation.DSMT4" ShapeID="_x0000_i1153" DrawAspect="Content" ObjectID="_1726484450" r:id="rId252"/>
        </w:object>
      </w:r>
      <w:r w:rsidRPr="00AC36D6">
        <w:t>.</w:t>
      </w:r>
      <w:r w:rsidR="006F6534" w:rsidRPr="00AC36D6">
        <w:tab/>
      </w:r>
      <w:r w:rsidR="006F6534" w:rsidRPr="00AC36D6">
        <w:tab/>
      </w:r>
      <w:r w:rsidR="006F6534" w:rsidRPr="00AC36D6">
        <w:tab/>
      </w:r>
      <w:r w:rsidR="006F6534" w:rsidRPr="00AC36D6">
        <w:tab/>
      </w:r>
      <w:r w:rsidRPr="00AC36D6">
        <w:t>(11)</w:t>
      </w:r>
    </w:p>
    <w:p w14:paraId="2A1DA965" w14:textId="77777777" w:rsidR="007B6EF9" w:rsidRPr="00AC36D6" w:rsidRDefault="007B6EF9" w:rsidP="007B6EF9">
      <w:pPr>
        <w:spacing w:line="360" w:lineRule="auto"/>
        <w:jc w:val="both"/>
      </w:pPr>
      <w:r w:rsidRPr="00AC36D6">
        <w:t xml:space="preserve">If none of the inside goods are consumed, the </w:t>
      </w:r>
      <w:r w:rsidRPr="00AC36D6">
        <w:rPr>
          <w:position w:val="-4"/>
        </w:rPr>
        <w:object w:dxaOrig="260" w:dyaOrig="260" w14:anchorId="0B261C1E">
          <v:shape id="_x0000_i1154" type="#_x0000_t75" style="width:13.3pt;height:13.3pt" o:ole="">
            <v:imagedata r:id="rId230" o:title=""/>
          </v:shape>
          <o:OLEObject Type="Embed" ProgID="Equation.DSMT4" ShapeID="_x0000_i1154" DrawAspect="Content" ObjectID="_1726484451" r:id="rId253"/>
        </w:object>
      </w:r>
      <w:r w:rsidRPr="00AC36D6">
        <w:t>matrix takes the following form:</w:t>
      </w:r>
    </w:p>
    <w:p w14:paraId="4EF84D13" w14:textId="221AA444" w:rsidR="007B6EF9" w:rsidRPr="00AC36D6" w:rsidRDefault="007B6EF9" w:rsidP="006F6534">
      <w:pPr>
        <w:spacing w:line="360" w:lineRule="auto"/>
        <w:ind w:firstLine="720"/>
        <w:jc w:val="both"/>
      </w:pPr>
      <w:r w:rsidRPr="00AC36D6">
        <w:rPr>
          <w:position w:val="-50"/>
        </w:rPr>
        <w:object w:dxaOrig="4740" w:dyaOrig="1120" w14:anchorId="50116C63">
          <v:shape id="_x0000_i1155" type="#_x0000_t75" style="width:237pt;height:54.85pt" o:ole="" o:preferrelative="f">
            <v:imagedata r:id="rId254" o:title=""/>
            <o:lock v:ext="edit" aspectratio="f"/>
          </v:shape>
          <o:OLEObject Type="Embed" ProgID="Equation.DSMT4" ShapeID="_x0000_i1155" DrawAspect="Content" ObjectID="_1726484452" r:id="rId255"/>
        </w:object>
      </w:r>
      <w:r w:rsidR="006F6534" w:rsidRPr="00AC36D6">
        <w:tab/>
      </w:r>
      <w:r w:rsidR="006F6534" w:rsidRPr="00AC36D6">
        <w:tab/>
      </w:r>
      <w:r w:rsidR="006F6534" w:rsidRPr="00AC36D6">
        <w:tab/>
      </w:r>
      <w:r w:rsidR="006F6534" w:rsidRPr="00AC36D6">
        <w:tab/>
      </w:r>
      <w:r w:rsidR="006F6534" w:rsidRPr="00AC36D6">
        <w:tab/>
      </w:r>
      <w:r w:rsidRPr="00AC36D6">
        <w:t>(12)</w:t>
      </w:r>
    </w:p>
    <w:p w14:paraId="4DDE0469" w14:textId="291C19B0" w:rsidR="007B6EF9" w:rsidRPr="00AC36D6" w:rsidRDefault="007B6EF9" w:rsidP="006F6534">
      <w:pPr>
        <w:spacing w:line="360" w:lineRule="auto"/>
        <w:jc w:val="both"/>
      </w:pPr>
      <w:r w:rsidRPr="00AC36D6">
        <w:t xml:space="preserve">Next, also define a set of dummy variables </w:t>
      </w:r>
      <w:r w:rsidRPr="00AC36D6">
        <w:rPr>
          <w:position w:val="-12"/>
        </w:rPr>
        <w:object w:dxaOrig="279" w:dyaOrig="360" w14:anchorId="57420F77">
          <v:shape id="_x0000_i1156" type="#_x0000_t75" style="width:13.7pt;height:19.3pt" o:ole="">
            <v:imagedata r:id="rId256" o:title=""/>
          </v:shape>
          <o:OLEObject Type="Embed" ProgID="Equation.DSMT4" ShapeID="_x0000_i1156" DrawAspect="Content" ObjectID="_1726484453" r:id="rId257"/>
        </w:object>
      </w:r>
      <w:r w:rsidRPr="00AC36D6">
        <w:t xml:space="preserve"> </w:t>
      </w:r>
      <w:r w:rsidR="00416B5A" w:rsidRPr="00AC36D6">
        <w:rPr>
          <w:position w:val="-10"/>
        </w:rPr>
        <w:object w:dxaOrig="1460" w:dyaOrig="320" w14:anchorId="61C4B595">
          <v:shape id="_x0000_i1157" type="#_x0000_t75" style="width:72.85pt;height:15.85pt" o:ole="">
            <v:imagedata r:id="rId258" o:title=""/>
          </v:shape>
          <o:OLEObject Type="Embed" ProgID="Equation.DSMT4" ShapeID="_x0000_i1157" DrawAspect="Content" ObjectID="_1726484454" r:id="rId259"/>
        </w:object>
      </w:r>
      <w:r w:rsidRPr="00AC36D6">
        <w:t xml:space="preserve"> that take the value of ‘1’ if inside good </w:t>
      </w:r>
      <w:r w:rsidRPr="00AC36D6">
        <w:rPr>
          <w:i/>
        </w:rPr>
        <w:t>k</w:t>
      </w:r>
      <w:r w:rsidRPr="00AC36D6">
        <w:t xml:space="preserve"> is consumed, and zero otherwise. Let </w:t>
      </w:r>
      <w:r w:rsidR="00D2386C" w:rsidRPr="00AC36D6">
        <w:rPr>
          <w:position w:val="-12"/>
        </w:rPr>
        <w:object w:dxaOrig="1800" w:dyaOrig="360" w14:anchorId="1C581F00">
          <v:shape id="_x0000_i1158" type="#_x0000_t75" style="width:91.7pt;height:19.3pt" o:ole="">
            <v:imagedata r:id="rId260" o:title=""/>
          </v:shape>
          <o:OLEObject Type="Embed" ProgID="Equation.DSMT4" ShapeID="_x0000_i1158" DrawAspect="Content" ObjectID="_1726484455" r:id="rId261"/>
        </w:object>
      </w:r>
      <w:r w:rsidRPr="00AC36D6">
        <w:rPr>
          <w:position w:val="-14"/>
        </w:rPr>
        <w:object w:dxaOrig="1980" w:dyaOrig="400" w14:anchorId="7BAA0383">
          <v:shape id="_x0000_i1159" type="#_x0000_t75" style="width:100.3pt;height:19.7pt" o:ole="">
            <v:imagedata r:id="rId262" o:title=""/>
          </v:shape>
          <o:OLEObject Type="Embed" ProgID="Equation.DSMT4" ShapeID="_x0000_i1159" DrawAspect="Content" ObjectID="_1726484456" r:id="rId263"/>
        </w:object>
      </w:r>
      <w:r w:rsidR="00D2386C" w:rsidRPr="00AC36D6">
        <w:rPr>
          <w:position w:val="-12"/>
        </w:rPr>
        <w:object w:dxaOrig="2540" w:dyaOrig="380" w14:anchorId="4455A17D">
          <v:shape id="_x0000_i1160" type="#_x0000_t75" style="width:127.7pt;height:19.3pt" o:ole="">
            <v:imagedata r:id="rId264" o:title=""/>
          </v:shape>
          <o:OLEObject Type="Embed" ProgID="Equation.DSMT4" ShapeID="_x0000_i1160" DrawAspect="Content" ObjectID="_1726484457" r:id="rId265"/>
        </w:object>
      </w:r>
      <w:r w:rsidRPr="00AC36D6">
        <w:rPr>
          <w:position w:val="-12"/>
        </w:rPr>
        <w:object w:dxaOrig="1860" w:dyaOrig="400" w14:anchorId="24211DA4">
          <v:shape id="_x0000_i1161" type="#_x0000_t75" style="width:92.15pt;height:19.7pt" o:ole="">
            <v:imagedata r:id="rId266" o:title=""/>
          </v:shape>
          <o:OLEObject Type="Embed" ProgID="Equation.DSMT4" ShapeID="_x0000_i1161" DrawAspect="Content" ObjectID="_1726484458" r:id="rId267"/>
        </w:object>
      </w:r>
      <w:r w:rsidRPr="00AC36D6">
        <w:t xml:space="preserve"> </w:t>
      </w:r>
      <w:r w:rsidRPr="00AC36D6">
        <w:rPr>
          <w:position w:val="-12"/>
        </w:rPr>
        <w:object w:dxaOrig="1140" w:dyaOrig="400" w14:anchorId="257ADF44">
          <v:shape id="_x0000_i1162" type="#_x0000_t75" style="width:56.15pt;height:19.7pt" o:ole="">
            <v:imagedata r:id="rId268" o:title=""/>
          </v:shape>
          <o:OLEObject Type="Embed" ProgID="Equation.DSMT4" ShapeID="_x0000_i1162" DrawAspect="Content" ObjectID="_1726484459" r:id="rId269"/>
        </w:object>
      </w:r>
      <w:r w:rsidRPr="00AC36D6">
        <w:rPr>
          <w:position w:val="-12"/>
        </w:rPr>
        <w:object w:dxaOrig="980" w:dyaOrig="360" w14:anchorId="75D40080">
          <v:shape id="_x0000_i1163" type="#_x0000_t75" style="width:49.3pt;height:19.3pt" o:ole="">
            <v:imagedata r:id="rId270" o:title=""/>
          </v:shape>
          <o:OLEObject Type="Embed" ProgID="Equation.DSMT4" ShapeID="_x0000_i1163" DrawAspect="Content" ObjectID="_1726484460" r:id="rId271"/>
        </w:object>
      </w:r>
      <w:r w:rsidRPr="00AC36D6">
        <w:t xml:space="preserve"> </w:t>
      </w:r>
      <w:r w:rsidRPr="00AC36D6">
        <w:rPr>
          <w:position w:val="-12"/>
        </w:rPr>
        <w:object w:dxaOrig="2340" w:dyaOrig="360" w14:anchorId="612435AB">
          <v:shape id="_x0000_i1164" type="#_x0000_t75" style="width:118.7pt;height:19.3pt" o:ole="">
            <v:imagedata r:id="rId272" o:title=""/>
          </v:shape>
          <o:OLEObject Type="Embed" ProgID="Equation.DSMT4" ShapeID="_x0000_i1164" DrawAspect="Content" ObjectID="_1726484461" r:id="rId273"/>
        </w:object>
      </w:r>
      <w:r w:rsidRPr="00AC36D6">
        <w:t xml:space="preserve">, and </w:t>
      </w:r>
      <w:r w:rsidRPr="00AC36D6">
        <w:rPr>
          <w:position w:val="-6"/>
        </w:rPr>
        <w:object w:dxaOrig="1060" w:dyaOrig="279" w14:anchorId="452BD509">
          <v:shape id="_x0000_i1165" type="#_x0000_t75" style="width:52.7pt;height:13.7pt" o:ole="">
            <v:imagedata r:id="rId274" o:title=""/>
          </v:shape>
          <o:OLEObject Type="Embed" ProgID="Equation.DSMT4" ShapeID="_x0000_i1165" DrawAspect="Content" ObjectID="_1726484462" r:id="rId275"/>
        </w:object>
      </w:r>
      <w:r w:rsidRPr="00AC36D6">
        <w:t xml:space="preserve">. Also, let the actual observed consumption vector be </w:t>
      </w:r>
      <w:r w:rsidRPr="00AC36D6">
        <w:rPr>
          <w:position w:val="-12"/>
        </w:rPr>
        <w:object w:dxaOrig="1960" w:dyaOrig="380" w14:anchorId="3D989409">
          <v:shape id="_x0000_i1166" type="#_x0000_t75" style="width:97.7pt;height:19.3pt" o:ole="">
            <v:imagedata r:id="rId276" o:title=""/>
          </v:shape>
          <o:OLEObject Type="Embed" ProgID="Equation.DSMT4" ShapeID="_x0000_i1166" DrawAspect="Content" ObjectID="_1726484463" r:id="rId277"/>
        </w:object>
      </w:r>
      <w:r w:rsidRPr="00AC36D6">
        <w:t xml:space="preserve">where some or all of the inside good-specific consumption values </w:t>
      </w:r>
      <w:r w:rsidR="00F30105" w:rsidRPr="00AC36D6">
        <w:rPr>
          <w:position w:val="-12"/>
        </w:rPr>
        <w:object w:dxaOrig="1700" w:dyaOrig="380" w14:anchorId="2173E7FA">
          <v:shape id="_x0000_i1167" type="#_x0000_t75" style="width:85.7pt;height:19.3pt" o:ole="">
            <v:imagedata r:id="rId278" o:title=""/>
          </v:shape>
          <o:OLEObject Type="Embed" ProgID="Equation.DSMT4" ShapeID="_x0000_i1167" DrawAspect="Content" ObjectID="_1726484464" r:id="rId279"/>
        </w:object>
      </w:r>
      <w:r w:rsidRPr="00AC36D6">
        <w:t xml:space="preserve"> may be zero (the outside good consumption value</w:t>
      </w:r>
      <w:r w:rsidR="007E2A0E" w:rsidRPr="00AC36D6">
        <w:t xml:space="preserve"> is relevant only in situations with finite budgets</w:t>
      </w:r>
      <w:r w:rsidR="006F6534" w:rsidRPr="00AC36D6">
        <w:t>, where</w:t>
      </w:r>
      <w:r w:rsidR="007E2A0E" w:rsidRPr="00AC36D6">
        <w:t xml:space="preserve"> </w:t>
      </w:r>
      <w:r w:rsidR="006F6534" w:rsidRPr="00AC36D6">
        <w:t>i</w:t>
      </w:r>
      <w:r w:rsidR="007E2A0E" w:rsidRPr="00AC36D6">
        <w:t>t can be</w:t>
      </w:r>
      <w:r w:rsidRPr="00AC36D6">
        <w:t xml:space="preserve"> determined immediately from the consumption values of the inside goods, and so is not included explicitly in the consumption vector </w:t>
      </w:r>
      <w:r w:rsidRPr="00AC36D6">
        <w:rPr>
          <w:position w:val="-6"/>
        </w:rPr>
        <w:object w:dxaOrig="279" w:dyaOrig="320" w14:anchorId="769718F7">
          <v:shape id="_x0000_i1168" type="#_x0000_t75" style="width:13.7pt;height:17.15pt" o:ole="">
            <v:imagedata r:id="rId280" o:title=""/>
          </v:shape>
          <o:OLEObject Type="Embed" ProgID="Equation.DSMT4" ShapeID="_x0000_i1168" DrawAspect="Content" ObjectID="_1726484465" r:id="rId281"/>
        </w:object>
      </w:r>
      <w:r w:rsidRPr="00AC36D6">
        <w:t>). Then, based on the KKT conditions in Equation (</w:t>
      </w:r>
      <w:r w:rsidR="00542D61" w:rsidRPr="00AC36D6">
        <w:t>8</w:t>
      </w:r>
      <w:r w:rsidRPr="00AC36D6">
        <w:t>), we may write the following:</w:t>
      </w:r>
    </w:p>
    <w:p w14:paraId="145BFA60" w14:textId="09D0396F" w:rsidR="006F6534" w:rsidRPr="00AC36D6" w:rsidRDefault="006F6534" w:rsidP="006F6534">
      <w:pPr>
        <w:spacing w:line="360" w:lineRule="auto"/>
        <w:ind w:firstLine="720"/>
        <w:jc w:val="both"/>
      </w:pPr>
      <w:r w:rsidRPr="00AC36D6">
        <w:rPr>
          <w:position w:val="-42"/>
        </w:rPr>
        <w:object w:dxaOrig="6780" w:dyaOrig="960" w14:anchorId="27A0F4CA">
          <v:shape id="_x0000_i1169" type="#_x0000_t75" style="width:333pt;height:47.15pt" o:ole="" o:preferrelative="f">
            <v:imagedata r:id="rId282" o:title=""/>
          </v:shape>
          <o:OLEObject Type="Embed" ProgID="Equation.DSMT4" ShapeID="_x0000_i1169" DrawAspect="Content" ObjectID="_1726484466" r:id="rId283"/>
        </w:object>
      </w:r>
      <w:r w:rsidRPr="00AC36D6">
        <w:tab/>
      </w:r>
      <w:r w:rsidRPr="00AC36D6">
        <w:tab/>
        <w:t>(13)</w:t>
      </w:r>
    </w:p>
    <w:p w14:paraId="595C082F" w14:textId="1F665B6F" w:rsidR="007B6EF9" w:rsidRPr="00AC36D6" w:rsidRDefault="007B6EF9" w:rsidP="007B6EF9">
      <w:pPr>
        <w:spacing w:line="360" w:lineRule="auto"/>
      </w:pPr>
      <w:r w:rsidRPr="00AC36D6">
        <w:t xml:space="preserve">where </w:t>
      </w:r>
      <w:r w:rsidRPr="00AC36D6">
        <w:rPr>
          <w:position w:val="-30"/>
        </w:rPr>
        <w:object w:dxaOrig="2000" w:dyaOrig="720" w14:anchorId="785BA643">
          <v:shape id="_x0000_i1170" type="#_x0000_t75" style="width:100.7pt;height:36pt" o:ole="">
            <v:imagedata r:id="rId284" o:title=""/>
          </v:shape>
          <o:OLEObject Type="Embed" ProgID="Equation.DSMT4" ShapeID="_x0000_i1170" DrawAspect="Content" ObjectID="_1726484467" r:id="rId285"/>
        </w:object>
      </w:r>
      <w:r w:rsidR="009848C9" w:rsidRPr="00AC36D6">
        <w:rPr>
          <w:position w:val="-32"/>
        </w:rPr>
        <w:object w:dxaOrig="2880" w:dyaOrig="760" w14:anchorId="6F063FE3">
          <v:shape id="_x0000_i1171" type="#_x0000_t75" style="width:2in;height:38.15pt" o:ole="">
            <v:imagedata r:id="rId286" o:title=""/>
          </v:shape>
          <o:OLEObject Type="Embed" ProgID="Equation.DSMT4" ShapeID="_x0000_i1171" DrawAspect="Content" ObjectID="_1726484468" r:id="rId287"/>
        </w:object>
      </w:r>
      <w:r w:rsidRPr="00AC36D6">
        <w:t xml:space="preserve">,  </w:t>
      </w:r>
    </w:p>
    <w:p w14:paraId="2F8F0244" w14:textId="4D0723CA" w:rsidR="0072127F" w:rsidRPr="00AC36D6" w:rsidRDefault="007B6EF9" w:rsidP="00B15858">
      <w:pPr>
        <w:spacing w:line="360" w:lineRule="auto"/>
        <w:jc w:val="both"/>
      </w:pPr>
      <w:r w:rsidRPr="00AC36D6">
        <w:lastRenderedPageBreak/>
        <w:t xml:space="preserve">and </w:t>
      </w:r>
      <w:r w:rsidRPr="00AC36D6">
        <w:rPr>
          <w:position w:val="-12"/>
        </w:rPr>
        <w:object w:dxaOrig="2320" w:dyaOrig="360" w14:anchorId="5DCDE8DD">
          <v:shape id="_x0000_i1172" type="#_x0000_t75" style="width:116.15pt;height:19.3pt" o:ole="">
            <v:imagedata r:id="rId288" o:title=""/>
          </v:shape>
          <o:OLEObject Type="Embed" ProgID="Equation.DSMT4" ShapeID="_x0000_i1172" DrawAspect="Content" ObjectID="_1726484469" r:id="rId289"/>
        </w:object>
      </w:r>
      <w:r w:rsidRPr="00AC36D6">
        <w:t xml:space="preserve"> represents the (</w:t>
      </w:r>
      <w:r w:rsidRPr="00AC36D6">
        <w:rPr>
          <w:i/>
        </w:rPr>
        <w:t>K</w:t>
      </w:r>
      <w:r w:rsidRPr="00AC36D6">
        <w:t>-1+</w:t>
      </w:r>
      <w:r w:rsidRPr="00AC36D6">
        <w:rPr>
          <w:i/>
        </w:rPr>
        <w:t>M</w:t>
      </w:r>
      <w:r w:rsidRPr="00AC36D6">
        <w:t xml:space="preserve">)-variate multivariate normal density function (pdf) with a mean vector of </w:t>
      </w:r>
      <w:r w:rsidRPr="00AC36D6">
        <w:rPr>
          <w:position w:val="-12"/>
        </w:rPr>
        <w:object w:dxaOrig="680" w:dyaOrig="360" w14:anchorId="3F6B5ACD">
          <v:shape id="_x0000_i1173" type="#_x0000_t75" style="width:33pt;height:19.3pt" o:ole="">
            <v:imagedata r:id="rId290" o:title=""/>
          </v:shape>
          <o:OLEObject Type="Embed" ProgID="Equation.DSMT4" ShapeID="_x0000_i1173" DrawAspect="Content" ObjectID="_1726484470" r:id="rId291"/>
        </w:object>
      </w:r>
      <w:r w:rsidRPr="00AC36D6">
        <w:t xml:space="preserve">and covariance matrix </w:t>
      </w:r>
      <w:r w:rsidRPr="00AC36D6">
        <w:rPr>
          <w:position w:val="-6"/>
        </w:rPr>
        <w:object w:dxaOrig="260" w:dyaOrig="279" w14:anchorId="14872F43">
          <v:shape id="_x0000_i1174" type="#_x0000_t75" style="width:13.3pt;height:13.7pt" o:ole="">
            <v:imagedata r:id="rId292" o:title=""/>
          </v:shape>
          <o:OLEObject Type="Embed" ProgID="Equation.DSMT4" ShapeID="_x0000_i1174" DrawAspect="Content" ObjectID="_1726484471" r:id="rId293"/>
        </w:object>
      </w:r>
      <w:r w:rsidRPr="00AC36D6">
        <w:t>.</w:t>
      </w:r>
      <w:r w:rsidRPr="00AC36D6">
        <w:rPr>
          <w:rStyle w:val="FootnoteReference"/>
        </w:rPr>
        <w:footnoteReference w:id="5"/>
      </w:r>
      <w:r w:rsidR="0072127F" w:rsidRPr="00AC36D6">
        <w:t xml:space="preserve"> Due to the symmetric nature of the mean-centered multivariate normal density function, the expression in Equation (</w:t>
      </w:r>
      <w:r w:rsidR="00064CB5" w:rsidRPr="00AC36D6">
        <w:t>13</w:t>
      </w:r>
      <w:r w:rsidR="0072127F" w:rsidRPr="00AC36D6">
        <w:t>) may be simplified by constructing a (</w:t>
      </w:r>
      <w:r w:rsidR="0072127F" w:rsidRPr="00AC36D6">
        <w:rPr>
          <w:i/>
        </w:rPr>
        <w:t>K</w:t>
      </w:r>
      <w:r w:rsidR="0072127F" w:rsidRPr="00AC36D6">
        <w:t>-1+</w:t>
      </w:r>
      <w:r w:rsidR="0072127F" w:rsidRPr="00AC36D6">
        <w:rPr>
          <w:i/>
        </w:rPr>
        <w:t>M</w:t>
      </w:r>
      <w:r w:rsidR="0072127F" w:rsidRPr="00AC36D6">
        <w:t xml:space="preserve">) column vector </w:t>
      </w:r>
      <w:r w:rsidR="0072127F" w:rsidRPr="00AC36D6">
        <w:rPr>
          <w:position w:val="-6"/>
        </w:rPr>
        <w:object w:dxaOrig="220" w:dyaOrig="279" w14:anchorId="6F83CF7D">
          <v:shape id="_x0000_i1175" type="#_x0000_t75" style="width:9pt;height:13.7pt" o:ole="">
            <v:imagedata r:id="rId294" o:title=""/>
          </v:shape>
          <o:OLEObject Type="Embed" ProgID="Equation.DSMT4" ShapeID="_x0000_i1175" DrawAspect="Content" ObjectID="_1726484472" r:id="rId295"/>
        </w:object>
      </w:r>
      <w:r w:rsidR="0072127F" w:rsidRPr="00AC36D6">
        <w:t xml:space="preserve"> with entries of ‘1’ in the first </w:t>
      </w:r>
      <w:r w:rsidR="0072127F" w:rsidRPr="00AC36D6">
        <w:rPr>
          <w:i/>
        </w:rPr>
        <w:t>M</w:t>
      </w:r>
      <w:r w:rsidR="0072127F" w:rsidRPr="00AC36D6">
        <w:t xml:space="preserve"> rows and entries of ‘0’ in the remaining rows.</w:t>
      </w:r>
      <w:r w:rsidR="0072127F" w:rsidRPr="00AC36D6">
        <w:rPr>
          <w:rStyle w:val="FootnoteReference"/>
        </w:rPr>
        <w:footnoteReference w:id="6"/>
      </w:r>
      <w:r w:rsidR="0072127F" w:rsidRPr="00AC36D6">
        <w:t xml:space="preserve"> Then, define </w:t>
      </w:r>
      <w:r w:rsidR="0072127F" w:rsidRPr="00AC36D6">
        <w:rPr>
          <w:position w:val="-12"/>
        </w:rPr>
        <w:object w:dxaOrig="2079" w:dyaOrig="380" w14:anchorId="2EBBDA75">
          <v:shape id="_x0000_i1176" type="#_x0000_t75" style="width:105.85pt;height:19.3pt" o:ole="">
            <v:imagedata r:id="rId296" o:title=""/>
          </v:shape>
          <o:OLEObject Type="Embed" ProgID="Equation.DSMT4" ShapeID="_x0000_i1176" DrawAspect="Content" ObjectID="_1726484473" r:id="rId297"/>
        </w:object>
      </w:r>
      <w:r w:rsidR="0072127F" w:rsidRPr="00AC36D6">
        <w:t xml:space="preserve">. Next, define a </w:t>
      </w:r>
      <w:r w:rsidR="0072127F" w:rsidRPr="00AC36D6">
        <w:rPr>
          <w:position w:val="-10"/>
        </w:rPr>
        <w:object w:dxaOrig="2460" w:dyaOrig="320" w14:anchorId="77B891A4">
          <v:shape id="_x0000_i1177" type="#_x0000_t75" style="width:123.85pt;height:17.15pt" o:ole="">
            <v:imagedata r:id="rId298" o:title=""/>
          </v:shape>
          <o:OLEObject Type="Embed" ProgID="Equation.DSMT4" ShapeID="_x0000_i1177" DrawAspect="Content" ObjectID="_1726484474" r:id="rId299"/>
        </w:object>
      </w:r>
      <w:r w:rsidR="0072127F" w:rsidRPr="00AC36D6">
        <w:t xml:space="preserve"> matrix </w:t>
      </w:r>
      <w:r w:rsidR="0072127F" w:rsidRPr="00AC36D6">
        <w:rPr>
          <w:position w:val="-10"/>
        </w:rPr>
        <w:object w:dxaOrig="1620" w:dyaOrig="360" w14:anchorId="7EB84A4B">
          <v:shape id="_x0000_i1178" type="#_x0000_t75" style="width:81pt;height:19.3pt" o:ole="">
            <v:imagedata r:id="rId300" o:title=""/>
          </v:shape>
          <o:OLEObject Type="Embed" ProgID="Equation.DSMT4" ShapeID="_x0000_i1178" DrawAspect="Content" ObjectID="_1726484475" r:id="rId301"/>
        </w:object>
      </w:r>
      <w:r w:rsidR="0072127F" w:rsidRPr="00AC36D6">
        <w:t xml:space="preserve">, where the </w:t>
      </w:r>
      <w:r w:rsidR="0072127F" w:rsidRPr="00AC36D6">
        <w:rPr>
          <w:position w:val="-10"/>
        </w:rPr>
        <w:object w:dxaOrig="780" w:dyaOrig="360" w14:anchorId="7F071A0D">
          <v:shape id="_x0000_i1179" type="#_x0000_t75" style="width:38.15pt;height:19.3pt" o:ole="">
            <v:imagedata r:id="rId302" o:title=""/>
          </v:shape>
          <o:OLEObject Type="Embed" ProgID="Equation.DSMT4" ShapeID="_x0000_i1179" DrawAspect="Content" ObjectID="_1726484476" r:id="rId303"/>
        </w:object>
      </w:r>
      <w:r w:rsidR="0072127F" w:rsidRPr="00AC36D6">
        <w:t xml:space="preserve">refers to a matrix whose elements correspond to the value of ‘-1’ raised to the elements of the matrix </w:t>
      </w:r>
      <w:r w:rsidR="0072127F" w:rsidRPr="00AC36D6">
        <w:rPr>
          <w:position w:val="-6"/>
        </w:rPr>
        <w:object w:dxaOrig="600" w:dyaOrig="279" w14:anchorId="4E7F59D6">
          <v:shape id="_x0000_i1180" type="#_x0000_t75" style="width:29.15pt;height:13.7pt" o:ole="">
            <v:imagedata r:id="rId304" o:title=""/>
          </v:shape>
          <o:OLEObject Type="Embed" ProgID="Equation.DSMT4" ShapeID="_x0000_i1180" DrawAspect="Content" ObjectID="_1726484477" r:id="rId305"/>
        </w:object>
      </w:r>
      <w:r w:rsidR="0072127F" w:rsidRPr="00AC36D6">
        <w:t xml:space="preserve">, and ‘.*’ refers to the element by element multiplication of two matrices. Then, by construction and symmetry, </w:t>
      </w:r>
      <w:r w:rsidR="0072127F" w:rsidRPr="00AC36D6">
        <w:rPr>
          <w:position w:val="-10"/>
        </w:rPr>
        <w:object w:dxaOrig="1420" w:dyaOrig="320" w14:anchorId="06A63CFD">
          <v:shape id="_x0000_i1181" type="#_x0000_t75" style="width:71.15pt;height:17.15pt" o:ole="">
            <v:imagedata r:id="rId306" o:title=""/>
          </v:shape>
          <o:OLEObject Type="Embed" ProgID="Equation.DSMT4" ShapeID="_x0000_i1181" DrawAspect="Content" ObjectID="_1726484478" r:id="rId307"/>
        </w:object>
      </w:r>
      <w:r w:rsidR="0072127F" w:rsidRPr="00AC36D6">
        <w:t xml:space="preserve">. Let </w:t>
      </w:r>
      <w:r w:rsidR="0072127F" w:rsidRPr="00AC36D6">
        <w:rPr>
          <w:position w:val="-12"/>
        </w:rPr>
        <w:object w:dxaOrig="1579" w:dyaOrig="380" w14:anchorId="327E6C02">
          <v:shape id="_x0000_i1182" type="#_x0000_t75" style="width:78pt;height:19.3pt" o:ole="">
            <v:imagedata r:id="rId308" o:title=""/>
          </v:shape>
          <o:OLEObject Type="Embed" ProgID="Equation.DSMT4" ShapeID="_x0000_i1182" DrawAspect="Content" ObjectID="_1726484479" r:id="rId309"/>
        </w:object>
      </w:r>
      <w:r w:rsidR="0072127F" w:rsidRPr="00AC36D6">
        <w:t>. Then, we may write Equation (</w:t>
      </w:r>
      <w:r w:rsidR="00C46196" w:rsidRPr="00AC36D6">
        <w:t>13</w:t>
      </w:r>
      <w:r w:rsidR="0072127F" w:rsidRPr="00AC36D6">
        <w:t>) compactly as:</w:t>
      </w:r>
    </w:p>
    <w:p w14:paraId="1C56B27D" w14:textId="14380CFA" w:rsidR="0072127F" w:rsidRPr="00AC36D6" w:rsidRDefault="0072127F" w:rsidP="00B15858">
      <w:pPr>
        <w:spacing w:line="360" w:lineRule="auto"/>
        <w:ind w:right="-563" w:firstLine="720"/>
      </w:pPr>
      <w:r w:rsidRPr="00AC36D6">
        <w:rPr>
          <w:position w:val="-42"/>
        </w:rPr>
        <w:object w:dxaOrig="7500" w:dyaOrig="940" w14:anchorId="3702681C">
          <v:shape id="_x0000_i1183" type="#_x0000_t75" style="width:369.85pt;height:46.3pt" o:ole="" o:preferrelative="f">
            <v:imagedata r:id="rId310" o:title=""/>
          </v:shape>
          <o:OLEObject Type="Embed" ProgID="Equation.DSMT4" ShapeID="_x0000_i1183" DrawAspect="Content" ObjectID="_1726484480" r:id="rId311"/>
        </w:object>
      </w:r>
      <w:r w:rsidRPr="00AC36D6">
        <w:tab/>
        <w:t>(1</w:t>
      </w:r>
      <w:r w:rsidR="00064CB5" w:rsidRPr="00AC36D6">
        <w:t>4</w:t>
      </w:r>
      <w:r w:rsidRPr="00AC36D6">
        <w:t>)</w:t>
      </w:r>
    </w:p>
    <w:p w14:paraId="450A1956" w14:textId="77777777" w:rsidR="0072127F" w:rsidRPr="00AC36D6" w:rsidRDefault="0072127F" w:rsidP="0072127F">
      <w:pPr>
        <w:spacing w:line="360" w:lineRule="auto"/>
      </w:pPr>
      <w:r w:rsidRPr="00AC36D6">
        <w:t xml:space="preserve">To further simplify the expression above, partition </w:t>
      </w:r>
      <w:r w:rsidRPr="00AC36D6">
        <w:rPr>
          <w:position w:val="-4"/>
        </w:rPr>
        <w:object w:dxaOrig="260" w:dyaOrig="260" w14:anchorId="7260DCC6">
          <v:shape id="_x0000_i1184" type="#_x0000_t75" style="width:13.3pt;height:13.3pt" o:ole="">
            <v:imagedata r:id="rId312" o:title=""/>
          </v:shape>
          <o:OLEObject Type="Embed" ProgID="Equation.DSMT4" ShapeID="_x0000_i1184" DrawAspect="Content" ObjectID="_1726484481" r:id="rId313"/>
        </w:object>
      </w:r>
      <w:r w:rsidRPr="00AC36D6">
        <w:t xml:space="preserve"> as follows:</w:t>
      </w:r>
    </w:p>
    <w:p w14:paraId="2F7ACD5D" w14:textId="45568865" w:rsidR="0072127F" w:rsidRPr="00AC36D6" w:rsidRDefault="0072127F" w:rsidP="00B15858">
      <w:pPr>
        <w:spacing w:line="360" w:lineRule="auto"/>
        <w:ind w:right="-563" w:firstLine="720"/>
      </w:pPr>
      <w:r w:rsidRPr="00AC36D6">
        <w:rPr>
          <w:position w:val="-32"/>
        </w:rPr>
        <w:object w:dxaOrig="2900" w:dyaOrig="760" w14:anchorId="090299A2">
          <v:shape id="_x0000_i1185" type="#_x0000_t75" style="width:144.85pt;height:38.15pt" o:ole="">
            <v:imagedata r:id="rId314" o:title=""/>
          </v:shape>
          <o:OLEObject Type="Embed" ProgID="Equation.DSMT4" ShapeID="_x0000_i1185" DrawAspect="Content" ObjectID="_1726484482" r:id="rId315"/>
        </w:object>
      </w:r>
      <w:r w:rsidRPr="00AC36D6">
        <w:t xml:space="preserve"> </w:t>
      </w:r>
      <w:r w:rsidRPr="00AC36D6">
        <w:tab/>
      </w:r>
      <w:r w:rsidRPr="00AC36D6">
        <w:tab/>
      </w:r>
      <w:r w:rsidRPr="00AC36D6">
        <w:tab/>
      </w:r>
      <w:r w:rsidRPr="00AC36D6">
        <w:tab/>
      </w:r>
      <w:r w:rsidRPr="00AC36D6">
        <w:tab/>
      </w:r>
      <w:r w:rsidRPr="00AC36D6">
        <w:tab/>
      </w:r>
      <w:r w:rsidRPr="00AC36D6">
        <w:tab/>
        <w:t>(1</w:t>
      </w:r>
      <w:r w:rsidR="00064CB5" w:rsidRPr="00AC36D6">
        <w:t>5</w:t>
      </w:r>
      <w:r w:rsidRPr="00AC36D6">
        <w:t>)</w:t>
      </w:r>
    </w:p>
    <w:p w14:paraId="15252974" w14:textId="77777777" w:rsidR="0072127F" w:rsidRPr="00AC36D6" w:rsidRDefault="0072127F" w:rsidP="00B15858">
      <w:pPr>
        <w:spacing w:line="360" w:lineRule="auto"/>
        <w:jc w:val="both"/>
      </w:pPr>
      <w:r w:rsidRPr="00AC36D6">
        <w:t xml:space="preserve">where </w:t>
      </w:r>
      <w:r w:rsidRPr="00AC36D6">
        <w:rPr>
          <w:position w:val="-12"/>
        </w:rPr>
        <w:object w:dxaOrig="400" w:dyaOrig="360" w14:anchorId="43CC9F83">
          <v:shape id="_x0000_i1186" type="#_x0000_t75" style="width:19.7pt;height:19.3pt" o:ole="">
            <v:imagedata r:id="rId316" o:title=""/>
          </v:shape>
          <o:OLEObject Type="Embed" ProgID="Equation.DSMT4" ShapeID="_x0000_i1186" DrawAspect="Content" ObjectID="_1726484483" r:id="rId317"/>
        </w:object>
      </w:r>
      <w:r w:rsidRPr="00AC36D6">
        <w:t xml:space="preserve"> is a  </w:t>
      </w:r>
      <w:r w:rsidRPr="00AC36D6">
        <w:rPr>
          <w:position w:val="-10"/>
        </w:rPr>
        <w:object w:dxaOrig="1560" w:dyaOrig="320" w14:anchorId="1C103F41">
          <v:shape id="_x0000_i1187" type="#_x0000_t75" style="width:78pt;height:17.15pt" o:ole="">
            <v:imagedata r:id="rId318" o:title=""/>
          </v:shape>
          <o:OLEObject Type="Embed" ProgID="Equation.DSMT4" ShapeID="_x0000_i1187" DrawAspect="Content" ObjectID="_1726484484" r:id="rId319"/>
        </w:object>
      </w:r>
      <w:r w:rsidRPr="00AC36D6">
        <w:t>sub-matrix comprising the first (</w:t>
      </w:r>
      <w:r w:rsidRPr="00AC36D6">
        <w:rPr>
          <w:i/>
        </w:rPr>
        <w:t>K</w:t>
      </w:r>
      <w:r w:rsidRPr="00AC36D6">
        <w:t>-1) rows and (</w:t>
      </w:r>
      <w:r w:rsidRPr="00AC36D6">
        <w:rPr>
          <w:i/>
        </w:rPr>
        <w:t>K</w:t>
      </w:r>
      <w:r w:rsidRPr="00AC36D6">
        <w:t xml:space="preserve">-1) columns of </w:t>
      </w:r>
      <w:r w:rsidRPr="00AC36D6">
        <w:rPr>
          <w:position w:val="-4"/>
        </w:rPr>
        <w:object w:dxaOrig="260" w:dyaOrig="260" w14:anchorId="36577236">
          <v:shape id="_x0000_i1188" type="#_x0000_t75" style="width:13.3pt;height:13.3pt" o:ole="">
            <v:imagedata r:id="rId312" o:title=""/>
          </v:shape>
          <o:OLEObject Type="Embed" ProgID="Equation.DSMT4" ShapeID="_x0000_i1188" DrawAspect="Content" ObjectID="_1726484485" r:id="rId320"/>
        </w:object>
      </w:r>
      <w:r w:rsidRPr="00AC36D6">
        <w:t xml:space="preserve"> (corresponding to the covariance matrix of </w:t>
      </w:r>
      <w:r w:rsidRPr="00AC36D6">
        <w:rPr>
          <w:position w:val="-10"/>
        </w:rPr>
        <w:object w:dxaOrig="279" w:dyaOrig="320" w14:anchorId="53C5540A">
          <v:shape id="_x0000_i1189" type="#_x0000_t75" style="width:13.7pt;height:17.15pt" o:ole="">
            <v:imagedata r:id="rId321" o:title=""/>
          </v:shape>
          <o:OLEObject Type="Embed" ProgID="Equation.DSMT4" ShapeID="_x0000_i1189" DrawAspect="Content" ObjectID="_1726484486" r:id="rId322"/>
        </w:object>
      </w:r>
      <w:r w:rsidRPr="00AC36D6">
        <w:t xml:space="preserve"> , </w:t>
      </w:r>
      <w:r w:rsidRPr="00AC36D6">
        <w:rPr>
          <w:position w:val="-12"/>
        </w:rPr>
        <w:object w:dxaOrig="420" w:dyaOrig="360" w14:anchorId="5435D5FA">
          <v:shape id="_x0000_i1190" type="#_x0000_t75" style="width:20.15pt;height:19.3pt" o:ole="">
            <v:imagedata r:id="rId323" o:title=""/>
          </v:shape>
          <o:OLEObject Type="Embed" ProgID="Equation.DSMT4" ShapeID="_x0000_i1190" DrawAspect="Content" ObjectID="_1726484487" r:id="rId324"/>
        </w:object>
      </w:r>
      <w:r w:rsidRPr="00AC36D6">
        <w:t xml:space="preserve"> is a </w:t>
      </w:r>
      <w:r w:rsidRPr="00AC36D6">
        <w:rPr>
          <w:position w:val="-4"/>
        </w:rPr>
        <w:object w:dxaOrig="740" w:dyaOrig="260" w14:anchorId="305EC990">
          <v:shape id="_x0000_i1191" type="#_x0000_t75" style="width:36pt;height:13.3pt" o:ole="">
            <v:imagedata r:id="rId325" o:title=""/>
          </v:shape>
          <o:OLEObject Type="Embed" ProgID="Equation.DSMT4" ShapeID="_x0000_i1191" DrawAspect="Content" ObjectID="_1726484488" r:id="rId326"/>
        </w:object>
      </w:r>
      <w:r w:rsidRPr="00AC36D6">
        <w:t xml:space="preserve"> sub-matrix comprising the last </w:t>
      </w:r>
      <w:r w:rsidRPr="00AC36D6">
        <w:rPr>
          <w:i/>
        </w:rPr>
        <w:t>M</w:t>
      </w:r>
      <w:r w:rsidRPr="00AC36D6">
        <w:t xml:space="preserve"> rows and </w:t>
      </w:r>
      <w:r w:rsidRPr="00AC36D6">
        <w:rPr>
          <w:i/>
        </w:rPr>
        <w:t>M</w:t>
      </w:r>
      <w:r w:rsidRPr="00AC36D6">
        <w:t xml:space="preserve"> columns of </w:t>
      </w:r>
      <w:r w:rsidRPr="00AC36D6">
        <w:rPr>
          <w:position w:val="-4"/>
        </w:rPr>
        <w:object w:dxaOrig="260" w:dyaOrig="260" w14:anchorId="3F6768D0">
          <v:shape id="_x0000_i1192" type="#_x0000_t75" style="width:13.3pt;height:13.3pt" o:ole="">
            <v:imagedata r:id="rId312" o:title=""/>
          </v:shape>
          <o:OLEObject Type="Embed" ProgID="Equation.DSMT4" ShapeID="_x0000_i1192" DrawAspect="Content" ObjectID="_1726484489" r:id="rId327"/>
        </w:object>
      </w:r>
      <w:r w:rsidRPr="00AC36D6">
        <w:t xml:space="preserve"> (corresponding to the covariance matrix of </w:t>
      </w:r>
      <w:r w:rsidRPr="00AC36D6">
        <w:rPr>
          <w:position w:val="-10"/>
        </w:rPr>
        <w:object w:dxaOrig="200" w:dyaOrig="320" w14:anchorId="7D2CC2AF">
          <v:shape id="_x0000_i1193" type="#_x0000_t75" style="width:12pt;height:17.15pt" o:ole="">
            <v:imagedata r:id="rId328" o:title=""/>
          </v:shape>
          <o:OLEObject Type="Embed" ProgID="Equation.DSMT4" ShapeID="_x0000_i1193" DrawAspect="Content" ObjectID="_1726484490" r:id="rId329"/>
        </w:object>
      </w:r>
      <w:r w:rsidRPr="00AC36D6">
        <w:t xml:space="preserve">), and </w:t>
      </w:r>
      <w:r w:rsidRPr="00AC36D6">
        <w:rPr>
          <w:position w:val="-12"/>
        </w:rPr>
        <w:object w:dxaOrig="400" w:dyaOrig="360" w14:anchorId="3935AC96">
          <v:shape id="_x0000_i1194" type="#_x0000_t75" style="width:19.7pt;height:19.3pt" o:ole="">
            <v:imagedata r:id="rId330" o:title=""/>
          </v:shape>
          <o:OLEObject Type="Embed" ProgID="Equation.DSMT4" ShapeID="_x0000_i1194" DrawAspect="Content" ObjectID="_1726484491" r:id="rId331"/>
        </w:object>
      </w:r>
      <w:r w:rsidRPr="00AC36D6">
        <w:t xml:space="preserve"> is  a </w:t>
      </w:r>
    </w:p>
    <w:p w14:paraId="4DB3F140" w14:textId="692C8332" w:rsidR="0072127F" w:rsidRPr="00AC36D6" w:rsidRDefault="0072127F" w:rsidP="00B15858">
      <w:pPr>
        <w:spacing w:line="360" w:lineRule="auto"/>
        <w:jc w:val="both"/>
      </w:pPr>
      <w:r w:rsidRPr="00AC36D6">
        <w:rPr>
          <w:position w:val="-10"/>
        </w:rPr>
        <w:object w:dxaOrig="1160" w:dyaOrig="320" w14:anchorId="5B2AB774">
          <v:shape id="_x0000_i1195" type="#_x0000_t75" style="width:58.7pt;height:17.15pt" o:ole="">
            <v:imagedata r:id="rId332" o:title=""/>
          </v:shape>
          <o:OLEObject Type="Embed" ProgID="Equation.DSMT4" ShapeID="_x0000_i1195" DrawAspect="Content" ObjectID="_1726484492" r:id="rId333"/>
        </w:object>
      </w:r>
      <w:r w:rsidRPr="00AC36D6">
        <w:t>sub-matrix comprising the first (</w:t>
      </w:r>
      <w:r w:rsidRPr="00AC36D6">
        <w:rPr>
          <w:i/>
        </w:rPr>
        <w:t>K</w:t>
      </w:r>
      <w:r w:rsidRPr="00AC36D6">
        <w:t xml:space="preserve">-1) rows and last </w:t>
      </w:r>
      <w:r w:rsidRPr="00AC36D6">
        <w:rPr>
          <w:i/>
        </w:rPr>
        <w:t>M</w:t>
      </w:r>
      <w:r w:rsidRPr="00AC36D6">
        <w:t xml:space="preserve"> columns of </w:t>
      </w:r>
      <w:r w:rsidRPr="00AC36D6">
        <w:rPr>
          <w:position w:val="-4"/>
        </w:rPr>
        <w:object w:dxaOrig="260" w:dyaOrig="260" w14:anchorId="10CCC97D">
          <v:shape id="_x0000_i1196" type="#_x0000_t75" style="width:13.3pt;height:13.3pt" o:ole="">
            <v:imagedata r:id="rId312" o:title=""/>
          </v:shape>
          <o:OLEObject Type="Embed" ProgID="Equation.DSMT4" ShapeID="_x0000_i1196" DrawAspect="Content" ObjectID="_1726484493" r:id="rId334"/>
        </w:object>
      </w:r>
      <w:r w:rsidRPr="00AC36D6">
        <w:t xml:space="preserve"> (corresponding to the covariance between the </w:t>
      </w:r>
      <w:r w:rsidRPr="00AC36D6">
        <w:rPr>
          <w:position w:val="-10"/>
        </w:rPr>
        <w:object w:dxaOrig="220" w:dyaOrig="320" w14:anchorId="1B5A8CEA">
          <v:shape id="_x0000_i1197" type="#_x0000_t75" style="width:9pt;height:17.15pt" o:ole="">
            <v:imagedata r:id="rId335" o:title=""/>
          </v:shape>
          <o:OLEObject Type="Embed" ProgID="Equation.DSMT4" ShapeID="_x0000_i1197" DrawAspect="Content" ObjectID="_1726484494" r:id="rId336"/>
        </w:object>
      </w:r>
      <w:r w:rsidRPr="00AC36D6">
        <w:t xml:space="preserve"> and </w:t>
      </w:r>
      <w:r w:rsidRPr="00AC36D6">
        <w:rPr>
          <w:position w:val="-10"/>
        </w:rPr>
        <w:object w:dxaOrig="200" w:dyaOrig="320" w14:anchorId="7BDCB1F0">
          <v:shape id="_x0000_i1198" type="#_x0000_t75" style="width:12pt;height:17.15pt" o:ole="">
            <v:imagedata r:id="rId328" o:title=""/>
          </v:shape>
          <o:OLEObject Type="Embed" ProgID="Equation.DSMT4" ShapeID="_x0000_i1198" DrawAspect="Content" ObjectID="_1726484495" r:id="rId337"/>
        </w:object>
      </w:r>
      <w:r w:rsidRPr="00AC36D6">
        <w:t xml:space="preserve"> vectors). Define the following: </w:t>
      </w:r>
      <w:r w:rsidRPr="00AC36D6">
        <w:rPr>
          <w:position w:val="-12"/>
        </w:rPr>
        <w:object w:dxaOrig="3379" w:dyaOrig="400" w14:anchorId="5CA34896">
          <v:shape id="_x0000_i1199" type="#_x0000_t75" style="width:169.3pt;height:19.7pt" o:ole="">
            <v:imagedata r:id="rId338" o:title=""/>
          </v:shape>
          <o:OLEObject Type="Embed" ProgID="Equation.DSMT4" ShapeID="_x0000_i1199" DrawAspect="Content" ObjectID="_1726484496" r:id="rId339"/>
        </w:object>
      </w:r>
      <w:r w:rsidRPr="00AC36D6">
        <w:t xml:space="preserve">, </w:t>
      </w:r>
      <w:r w:rsidRPr="00AC36D6">
        <w:rPr>
          <w:position w:val="-12"/>
        </w:rPr>
        <w:object w:dxaOrig="4239" w:dyaOrig="380" w14:anchorId="7F247AD4">
          <v:shape id="_x0000_i1200" type="#_x0000_t75" style="width:210.85pt;height:19.3pt" o:ole="">
            <v:imagedata r:id="rId340" o:title=""/>
          </v:shape>
          <o:OLEObject Type="Embed" ProgID="Equation.DSMT4" ShapeID="_x0000_i1200" DrawAspect="Content" ObjectID="_1726484497" r:id="rId341"/>
        </w:object>
      </w:r>
      <w:r w:rsidRPr="00AC36D6">
        <w:t xml:space="preserve">and let </w:t>
      </w:r>
      <w:r w:rsidRPr="00AC36D6">
        <w:rPr>
          <w:position w:val="-14"/>
        </w:rPr>
        <w:object w:dxaOrig="480" w:dyaOrig="380" w14:anchorId="35891D23">
          <v:shape id="_x0000_i1201" type="#_x0000_t75" style="width:25.7pt;height:19.3pt" o:ole="">
            <v:imagedata r:id="rId342" o:title=""/>
          </v:shape>
          <o:OLEObject Type="Embed" ProgID="Equation.DSMT4" ShapeID="_x0000_i1201" DrawAspect="Content" ObjectID="_1726484498" r:id="rId343"/>
        </w:object>
      </w:r>
      <w:r w:rsidRPr="00AC36D6">
        <w:t xml:space="preserve"> be the diagonal matrix of standard errors corresponding to matrix</w:t>
      </w:r>
      <w:r w:rsidR="00EC7054" w:rsidRPr="00AC36D6">
        <w:t xml:space="preserve"> </w:t>
      </w:r>
      <w:r w:rsidRPr="00AC36D6">
        <w:rPr>
          <w:position w:val="-12"/>
        </w:rPr>
        <w:object w:dxaOrig="420" w:dyaOrig="360" w14:anchorId="682FA6F2">
          <v:shape id="_x0000_i1202" type="#_x0000_t75" style="width:20.15pt;height:19.3pt" o:ole="">
            <v:imagedata r:id="rId344" o:title=""/>
          </v:shape>
          <o:OLEObject Type="Embed" ProgID="Equation.DSMT4" ShapeID="_x0000_i1202" DrawAspect="Content" ObjectID="_1726484499" r:id="rId345"/>
        </w:object>
      </w:r>
      <w:r w:rsidRPr="00AC36D6">
        <w:t xml:space="preserve"> and </w:t>
      </w:r>
      <w:r w:rsidRPr="00AC36D6">
        <w:rPr>
          <w:position w:val="-12"/>
        </w:rPr>
        <w:object w:dxaOrig="340" w:dyaOrig="360" w14:anchorId="07248CF3">
          <v:shape id="_x0000_i1203" type="#_x0000_t75" style="width:17.15pt;height:19.3pt" o:ole="">
            <v:imagedata r:id="rId346" o:title=""/>
          </v:shape>
          <o:OLEObject Type="Embed" ProgID="Equation.DSMT4" ShapeID="_x0000_i1203" DrawAspect="Content" ObjectID="_1726484500" r:id="rId347"/>
        </w:object>
      </w:r>
      <w:r w:rsidRPr="00AC36D6">
        <w:t xml:space="preserve"> be another diagonal matrix of standard errors of </w:t>
      </w:r>
      <w:r w:rsidRPr="00AC36D6">
        <w:rPr>
          <w:position w:val="-4"/>
        </w:rPr>
        <w:object w:dxaOrig="220" w:dyaOrig="260" w14:anchorId="2040037F">
          <v:shape id="_x0000_i1204" type="#_x0000_t75" style="width:9pt;height:13.3pt" o:ole="">
            <v:imagedata r:id="rId348" o:title=""/>
          </v:shape>
          <o:OLEObject Type="Embed" ProgID="Equation.DSMT4" ShapeID="_x0000_i1204" DrawAspect="Content" ObjectID="_1726484501" r:id="rId349"/>
        </w:object>
      </w:r>
      <w:r w:rsidRPr="00AC36D6">
        <w:t xml:space="preserve"> . Finally, let </w:t>
      </w:r>
      <w:r w:rsidRPr="00AC36D6">
        <w:rPr>
          <w:position w:val="-6"/>
        </w:rPr>
        <w:object w:dxaOrig="260" w:dyaOrig="220" w14:anchorId="52D2E1F9">
          <v:shape id="_x0000_i1205" type="#_x0000_t75" style="width:13.3pt;height:11.15pt" o:ole="">
            <v:imagedata r:id="rId350" o:title=""/>
          </v:shape>
          <o:OLEObject Type="Embed" ProgID="Equation.DSMT4" ShapeID="_x0000_i1205" DrawAspect="Content" ObjectID="_1726484502" r:id="rId351"/>
        </w:object>
      </w:r>
      <w:r w:rsidR="00BD3C2E" w:rsidRPr="00AC36D6">
        <w:t xml:space="preserve"> </w:t>
      </w:r>
      <w:r w:rsidRPr="00AC36D6">
        <w:t xml:space="preserve">represent the product of the diagonal entries of the matrix </w:t>
      </w:r>
      <w:r w:rsidRPr="00AC36D6">
        <w:rPr>
          <w:position w:val="-14"/>
        </w:rPr>
        <w:object w:dxaOrig="480" w:dyaOrig="380" w14:anchorId="7F33E831">
          <v:shape id="_x0000_i1206" type="#_x0000_t75" style="width:25.7pt;height:19.3pt" o:ole="">
            <v:imagedata r:id="rId342" o:title=""/>
          </v:shape>
          <o:OLEObject Type="Embed" ProgID="Equation.DSMT4" ShapeID="_x0000_i1206" DrawAspect="Content" ObjectID="_1726484503" r:id="rId352"/>
        </w:object>
      </w:r>
      <w:r w:rsidRPr="00AC36D6">
        <w:t>. Using the marginal and conditional distribution properties of the multivariate normal distribution, the likelihood function in Equation (</w:t>
      </w:r>
      <w:r w:rsidR="00AB6711" w:rsidRPr="00AC36D6">
        <w:t>14</w:t>
      </w:r>
      <w:r w:rsidRPr="00AC36D6">
        <w:t>) for the individual can be written as:</w:t>
      </w:r>
    </w:p>
    <w:p w14:paraId="0B3B013D" w14:textId="0C30BDBD" w:rsidR="0072127F" w:rsidRPr="00AC36D6" w:rsidRDefault="00064CB5" w:rsidP="00B15858">
      <w:pPr>
        <w:spacing w:line="360" w:lineRule="auto"/>
        <w:ind w:right="4"/>
        <w:jc w:val="both"/>
      </w:pPr>
      <w:r w:rsidRPr="00AC36D6">
        <w:rPr>
          <w:position w:val="-40"/>
        </w:rPr>
        <w:object w:dxaOrig="7720" w:dyaOrig="920" w14:anchorId="31CDE106">
          <v:shape id="_x0000_i1207" type="#_x0000_t75" style="width:376.3pt;height:46.7pt" o:ole="" o:preferrelative="f">
            <v:imagedata r:id="rId353" o:title=""/>
          </v:shape>
          <o:OLEObject Type="Embed" ProgID="Equation.DSMT4" ShapeID="_x0000_i1207" DrawAspect="Content" ObjectID="_1726484504" r:id="rId354"/>
        </w:object>
      </w:r>
      <w:r w:rsidRPr="00AC36D6">
        <w:tab/>
      </w:r>
      <w:r w:rsidRPr="00AC36D6">
        <w:tab/>
        <w:t>(16)</w:t>
      </w:r>
    </w:p>
    <w:p w14:paraId="0BE3546F" w14:textId="4A8FA7C6" w:rsidR="0072127F" w:rsidRPr="00AC36D6" w:rsidRDefault="0072127F" w:rsidP="00B15858">
      <w:pPr>
        <w:spacing w:line="360" w:lineRule="auto"/>
        <w:jc w:val="both"/>
      </w:pPr>
      <w:r w:rsidRPr="00AC36D6">
        <w:t xml:space="preserve">where </w:t>
      </w:r>
      <w:r w:rsidRPr="00AC36D6">
        <w:rPr>
          <w:position w:val="-12"/>
        </w:rPr>
        <w:object w:dxaOrig="900" w:dyaOrig="360" w14:anchorId="40593A62">
          <v:shape id="_x0000_i1208" type="#_x0000_t75" style="width:44.15pt;height:19.3pt" o:ole="">
            <v:imagedata r:id="rId355" o:title=""/>
          </v:shape>
          <o:OLEObject Type="Embed" ProgID="Equation.DSMT4" ShapeID="_x0000_i1208" DrawAspect="Content" ObjectID="_1726484505" r:id="rId356"/>
        </w:object>
      </w:r>
      <w:r w:rsidRPr="00AC36D6">
        <w:t xml:space="preserve"> represents the multivariate standard normal density function of dimension </w:t>
      </w:r>
      <w:r w:rsidRPr="00AC36D6">
        <w:rPr>
          <w:i/>
        </w:rPr>
        <w:t>M</w:t>
      </w:r>
      <w:r w:rsidRPr="00AC36D6">
        <w:t xml:space="preserve">  with a correlation matrix </w:t>
      </w:r>
      <w:r w:rsidRPr="00AC36D6">
        <w:rPr>
          <w:position w:val="-4"/>
        </w:rPr>
        <w:object w:dxaOrig="240" w:dyaOrig="260" w14:anchorId="3A21A242">
          <v:shape id="_x0000_i1209" type="#_x0000_t75" style="width:13.7pt;height:13.3pt" o:ole="">
            <v:imagedata r:id="rId357" o:title=""/>
          </v:shape>
          <o:OLEObject Type="Embed" ProgID="Equation.DSMT4" ShapeID="_x0000_i1209" DrawAspect="Content" ObjectID="_1726484506" r:id="rId358"/>
        </w:object>
      </w:r>
      <w:r w:rsidRPr="00AC36D6">
        <w:t xml:space="preserve"> and evaluated at the abscissae value vector</w:t>
      </w:r>
      <w:r w:rsidR="00F30105" w:rsidRPr="00AC36D6">
        <w:t xml:space="preserve"> </w:t>
      </w:r>
      <w:r w:rsidR="00F30105" w:rsidRPr="00AC36D6">
        <w:rPr>
          <w:position w:val="-6"/>
        </w:rPr>
        <w:object w:dxaOrig="200" w:dyaOrig="220" w14:anchorId="045BA32D">
          <v:shape id="_x0000_i1210" type="#_x0000_t75" style="width:10.7pt;height:11.15pt" o:ole="">
            <v:imagedata r:id="rId359" o:title=""/>
          </v:shape>
          <o:OLEObject Type="Embed" ProgID="Equation.DSMT4" ShapeID="_x0000_i1210" DrawAspect="Content" ObjectID="_1726484507" r:id="rId360"/>
        </w:object>
      </w:r>
      <w:r w:rsidRPr="00AC36D6">
        <w:t xml:space="preserve">, and </w:t>
      </w:r>
      <w:r w:rsidRPr="00AC36D6">
        <w:rPr>
          <w:position w:val="-12"/>
        </w:rPr>
        <w:object w:dxaOrig="1080" w:dyaOrig="360" w14:anchorId="2B50A9A6">
          <v:shape id="_x0000_i1211" type="#_x0000_t75" style="width:51.85pt;height:19.3pt" o:ole="">
            <v:imagedata r:id="rId361" o:title=""/>
          </v:shape>
          <o:OLEObject Type="Embed" ProgID="Equation.DSMT4" ShapeID="_x0000_i1211" DrawAspect="Content" ObjectID="_1726484508" r:id="rId362"/>
        </w:object>
      </w:r>
      <w:r w:rsidRPr="00AC36D6">
        <w:t xml:space="preserve"> represents the multivariate normal standard cumulative distribution (MVNCD) function with a correlation matrix </w:t>
      </w:r>
      <w:r w:rsidRPr="00AC36D6">
        <w:rPr>
          <w:position w:val="-4"/>
        </w:rPr>
        <w:object w:dxaOrig="240" w:dyaOrig="260" w14:anchorId="50890F42">
          <v:shape id="_x0000_i1212" type="#_x0000_t75" style="width:13.7pt;height:13.3pt" o:ole="">
            <v:imagedata r:id="rId357" o:title=""/>
          </v:shape>
          <o:OLEObject Type="Embed" ProgID="Equation.DSMT4" ShapeID="_x0000_i1212" DrawAspect="Content" ObjectID="_1726484509" r:id="rId363"/>
        </w:object>
      </w:r>
      <w:r w:rsidRPr="00AC36D6">
        <w:t xml:space="preserve"> and evaluated at vector </w:t>
      </w:r>
      <w:r w:rsidRPr="00AC36D6">
        <w:rPr>
          <w:position w:val="-6"/>
        </w:rPr>
        <w:object w:dxaOrig="200" w:dyaOrig="279" w14:anchorId="351B3B88">
          <v:shape id="_x0000_i1213" type="#_x0000_t75" style="width:12pt;height:13.7pt" o:ole="">
            <v:imagedata r:id="rId364" o:title=""/>
          </v:shape>
          <o:OLEObject Type="Embed" ProgID="Equation.DSMT4" ShapeID="_x0000_i1213" DrawAspect="Content" ObjectID="_1726484510" r:id="rId365"/>
        </w:object>
      </w:r>
      <w:r w:rsidRPr="00AC36D6">
        <w:t>.</w:t>
      </w:r>
    </w:p>
    <w:p w14:paraId="24601542" w14:textId="6030CD1A" w:rsidR="0008734E" w:rsidRPr="00AC36D6" w:rsidRDefault="0072127F" w:rsidP="00B6655E">
      <w:pPr>
        <w:spacing w:line="360" w:lineRule="auto"/>
        <w:jc w:val="both"/>
      </w:pPr>
      <w:r w:rsidRPr="00AC36D6">
        <w:tab/>
        <w:t>The likelihood function, which is the same as the expression of Equation (1</w:t>
      </w:r>
      <w:r w:rsidR="00064CB5" w:rsidRPr="00AC36D6">
        <w:t>6</w:t>
      </w:r>
      <w:r w:rsidRPr="00AC36D6">
        <w:t>) written as a function of the parameter vector (</w:t>
      </w:r>
      <w:r w:rsidRPr="00AC36D6">
        <w:rPr>
          <w:position w:val="-22"/>
        </w:rPr>
        <w:object w:dxaOrig="1320" w:dyaOrig="660" w14:anchorId="70C7A11A">
          <v:shape id="_x0000_i1214" type="#_x0000_t75" style="width:66pt;height:33pt" o:ole="" o:preferrelative="f">
            <v:imagedata r:id="rId366" o:title=""/>
            <o:lock v:ext="edit" aspectratio="f"/>
          </v:shape>
          <o:OLEObject Type="Embed" ProgID="Equation.DSMT4" ShapeID="_x0000_i1214" DrawAspect="Content" ObjectID="_1726484511" r:id="rId367"/>
        </w:object>
      </w:r>
      <w:r w:rsidRPr="00AC36D6">
        <w:t>) can be maximized in the usual fashion to estimate the parameters (</w:t>
      </w:r>
      <w:r w:rsidRPr="00AC36D6">
        <w:rPr>
          <w:position w:val="-10"/>
        </w:rPr>
        <w:object w:dxaOrig="200" w:dyaOrig="260" w14:anchorId="357C5456">
          <v:shape id="_x0000_i1215" type="#_x0000_t75" style="width:12pt;height:13.3pt" o:ole="">
            <v:imagedata r:id="rId368" o:title=""/>
          </v:shape>
          <o:OLEObject Type="Embed" ProgID="Equation.DSMT4" ShapeID="_x0000_i1215" DrawAspect="Content" ObjectID="_1726484512" r:id="rId369"/>
        </w:object>
      </w:r>
      <w:r w:rsidRPr="00AC36D6">
        <w:t xml:space="preserve"> is a column vector collecting all the satiation parameters for the inside goods, and </w:t>
      </w:r>
      <w:r w:rsidRPr="00AC36D6">
        <w:rPr>
          <w:position w:val="-4"/>
        </w:rPr>
        <w:object w:dxaOrig="220" w:dyaOrig="360" w14:anchorId="7DBC44AD">
          <v:shape id="_x0000_i1216" type="#_x0000_t75" style="width:9pt;height:19.3pt" o:ole="">
            <v:imagedata r:id="rId370" o:title=""/>
          </v:shape>
          <o:OLEObject Type="Embed" ProgID="Equation.DSMT4" ShapeID="_x0000_i1216" DrawAspect="Content" ObjectID="_1726484513" r:id="rId371"/>
        </w:object>
      </w:r>
      <w:r w:rsidRPr="00AC36D6">
        <w:t xml:space="preserve"> is a column vector collecting all the upper</w:t>
      </w:r>
      <w:r w:rsidR="0016559F" w:rsidRPr="00AC36D6">
        <w:t>/lower</w:t>
      </w:r>
      <w:r w:rsidRPr="00AC36D6">
        <w:t xml:space="preserve"> triangular covariance elements of the matrix </w:t>
      </w:r>
      <w:r w:rsidRPr="00AC36D6">
        <w:rPr>
          <w:position w:val="-4"/>
        </w:rPr>
        <w:object w:dxaOrig="220" w:dyaOrig="300" w14:anchorId="3AA38E18">
          <v:shape id="_x0000_i1217" type="#_x0000_t75" style="width:9pt;height:17.15pt" o:ole="">
            <v:imagedata r:id="rId372" o:title=""/>
          </v:shape>
          <o:OLEObject Type="Embed" ProgID="Equation.DSMT4" ShapeID="_x0000_i1217" DrawAspect="Content" ObjectID="_1726484514" r:id="rId373"/>
        </w:object>
      </w:r>
      <w:r w:rsidRPr="00AC36D6">
        <w:t>). However, one has to compute the multivariate normal cumulative distribution (MVNCD) function of (</w:t>
      </w:r>
      <w:r w:rsidRPr="00AC36D6">
        <w:rPr>
          <w:i/>
        </w:rPr>
        <w:t>K</w:t>
      </w:r>
      <w:r w:rsidRPr="00AC36D6">
        <w:t xml:space="preserve">-1) dimensions. For this, we use </w:t>
      </w:r>
      <w:r w:rsidR="00111054" w:rsidRPr="00AC36D6">
        <w:t xml:space="preserve">the analytic approximations proposed by </w:t>
      </w:r>
      <w:r w:rsidRPr="00AC36D6">
        <w:t xml:space="preserve">Bhat (2018), which have been shown to be more accurate than traditional frequentist and Bayesian simulators. </w:t>
      </w:r>
    </w:p>
    <w:p w14:paraId="0A4D7720" w14:textId="5875EC7E" w:rsidR="00E80A1D" w:rsidRPr="00AC36D6" w:rsidRDefault="00E80A1D" w:rsidP="00B6655E">
      <w:pPr>
        <w:pStyle w:val="ListParagraph"/>
        <w:numPr>
          <w:ilvl w:val="1"/>
          <w:numId w:val="22"/>
        </w:numPr>
        <w:spacing w:before="120" w:after="0" w:line="360" w:lineRule="auto"/>
        <w:ind w:left="547" w:hanging="547"/>
        <w:contextualSpacing w:val="0"/>
        <w:rPr>
          <w:rFonts w:eastAsia="Times New Roman" w:cs="Arial"/>
          <w:b/>
          <w:color w:val="000000"/>
          <w:kern w:val="32"/>
          <w:szCs w:val="32"/>
        </w:rPr>
      </w:pPr>
      <w:r w:rsidRPr="00AC36D6">
        <w:rPr>
          <w:rFonts w:eastAsia="Times New Roman" w:cs="Arial"/>
          <w:b/>
          <w:color w:val="000000"/>
          <w:kern w:val="32"/>
          <w:szCs w:val="32"/>
        </w:rPr>
        <w:t xml:space="preserve">Restricted </w:t>
      </w:r>
      <w:r w:rsidR="00695E4C">
        <w:rPr>
          <w:rFonts w:eastAsia="Times New Roman" w:cs="Arial"/>
          <w:b/>
          <w:color w:val="000000"/>
          <w:kern w:val="32"/>
          <w:szCs w:val="32"/>
        </w:rPr>
        <w:t>V</w:t>
      </w:r>
      <w:r w:rsidRPr="00AC36D6">
        <w:rPr>
          <w:rFonts w:eastAsia="Times New Roman" w:cs="Arial"/>
          <w:b/>
          <w:color w:val="000000"/>
          <w:kern w:val="32"/>
          <w:szCs w:val="32"/>
        </w:rPr>
        <w:t>ersion</w:t>
      </w:r>
      <w:r w:rsidR="003777DB" w:rsidRPr="00AC36D6">
        <w:rPr>
          <w:rFonts w:eastAsia="Times New Roman" w:cs="Arial"/>
          <w:b/>
          <w:color w:val="000000"/>
          <w:kern w:val="32"/>
          <w:szCs w:val="32"/>
        </w:rPr>
        <w:t>s</w:t>
      </w:r>
      <w:r w:rsidRPr="00AC36D6">
        <w:rPr>
          <w:rFonts w:eastAsia="Times New Roman" w:cs="Arial"/>
          <w:b/>
          <w:color w:val="000000"/>
          <w:kern w:val="32"/>
          <w:szCs w:val="32"/>
        </w:rPr>
        <w:t xml:space="preserve"> of the </w:t>
      </w:r>
      <w:r w:rsidR="00695E4C">
        <w:rPr>
          <w:rFonts w:eastAsia="Times New Roman" w:cs="Arial"/>
          <w:b/>
          <w:color w:val="000000"/>
          <w:kern w:val="32"/>
          <w:szCs w:val="32"/>
        </w:rPr>
        <w:t>F</w:t>
      </w:r>
      <w:r w:rsidR="00D60E48" w:rsidRPr="00AC36D6">
        <w:rPr>
          <w:rFonts w:eastAsia="Times New Roman" w:cs="Arial"/>
          <w:b/>
          <w:color w:val="000000"/>
          <w:kern w:val="32"/>
          <w:szCs w:val="32"/>
        </w:rPr>
        <w:t xml:space="preserve">lexible MDCP </w:t>
      </w:r>
      <w:r w:rsidR="00695E4C">
        <w:rPr>
          <w:rFonts w:eastAsia="Times New Roman" w:cs="Arial"/>
          <w:b/>
          <w:color w:val="000000"/>
          <w:kern w:val="32"/>
          <w:szCs w:val="32"/>
        </w:rPr>
        <w:t>M</w:t>
      </w:r>
      <w:r w:rsidRPr="00AC36D6">
        <w:rPr>
          <w:rFonts w:eastAsia="Times New Roman" w:cs="Arial"/>
          <w:b/>
          <w:color w:val="000000"/>
          <w:kern w:val="32"/>
          <w:szCs w:val="32"/>
        </w:rPr>
        <w:t>odel</w:t>
      </w:r>
    </w:p>
    <w:p w14:paraId="579B712C" w14:textId="7323C83A" w:rsidR="00A91997" w:rsidRDefault="00460DFF" w:rsidP="00087876">
      <w:pPr>
        <w:spacing w:after="0" w:line="360" w:lineRule="auto"/>
        <w:jc w:val="both"/>
        <w:rPr>
          <w:rFonts w:eastAsia="Times New Roman" w:cs="Arial"/>
          <w:bCs/>
          <w:kern w:val="32"/>
          <w:szCs w:val="32"/>
        </w:rPr>
      </w:pPr>
      <w:r w:rsidRPr="00AC36D6">
        <w:rPr>
          <w:rFonts w:eastAsia="Times New Roman" w:cs="Arial"/>
          <w:bCs/>
          <w:kern w:val="32"/>
          <w:szCs w:val="32"/>
        </w:rPr>
        <w:t>Several</w:t>
      </w:r>
      <w:r w:rsidR="00E80A1D" w:rsidRPr="00AC36D6">
        <w:rPr>
          <w:rFonts w:eastAsia="Times New Roman" w:cs="Arial"/>
          <w:bCs/>
          <w:kern w:val="32"/>
          <w:szCs w:val="32"/>
        </w:rPr>
        <w:t xml:space="preserve"> restricted versions of the proposed model</w:t>
      </w:r>
      <w:r w:rsidR="00D7773B" w:rsidRPr="00AC36D6">
        <w:rPr>
          <w:rFonts w:eastAsia="Times New Roman" w:cs="Arial"/>
          <w:bCs/>
          <w:kern w:val="32"/>
          <w:szCs w:val="32"/>
        </w:rPr>
        <w:t xml:space="preserve"> </w:t>
      </w:r>
      <w:r w:rsidR="007D7ABA" w:rsidRPr="00AC36D6">
        <w:rPr>
          <w:rFonts w:eastAsia="Times New Roman" w:cs="Arial"/>
          <w:bCs/>
          <w:kern w:val="32"/>
          <w:szCs w:val="32"/>
        </w:rPr>
        <w:t>are possible</w:t>
      </w:r>
      <w:r w:rsidR="00E80A1D" w:rsidRPr="00AC36D6">
        <w:rPr>
          <w:rFonts w:eastAsia="Times New Roman" w:cs="Arial"/>
          <w:bCs/>
          <w:kern w:val="32"/>
          <w:szCs w:val="32"/>
        </w:rPr>
        <w:t xml:space="preserve">. </w:t>
      </w:r>
      <w:r w:rsidR="004E3D53" w:rsidRPr="00AC36D6">
        <w:rPr>
          <w:rFonts w:eastAsia="Times New Roman" w:cs="Arial"/>
          <w:bCs/>
          <w:kern w:val="32"/>
          <w:szCs w:val="32"/>
        </w:rPr>
        <w:t>A</w:t>
      </w:r>
      <w:r w:rsidRPr="00AC36D6">
        <w:rPr>
          <w:rFonts w:eastAsia="Times New Roman" w:cs="Arial"/>
          <w:bCs/>
          <w:kern w:val="32"/>
          <w:szCs w:val="32"/>
        </w:rPr>
        <w:t xml:space="preserve"> </w:t>
      </w:r>
      <w:r w:rsidR="001D1A82" w:rsidRPr="00AC36D6">
        <w:rPr>
          <w:rFonts w:eastAsia="Times New Roman" w:cs="Arial"/>
          <w:bCs/>
          <w:kern w:val="32"/>
          <w:szCs w:val="32"/>
        </w:rPr>
        <w:t xml:space="preserve">few </w:t>
      </w:r>
      <w:r w:rsidR="00D7773B" w:rsidRPr="00AC36D6">
        <w:rPr>
          <w:rFonts w:eastAsia="Times New Roman" w:cs="Arial"/>
          <w:bCs/>
          <w:kern w:val="32"/>
          <w:szCs w:val="32"/>
        </w:rPr>
        <w:t xml:space="preserve">restricted </w:t>
      </w:r>
      <w:r w:rsidR="00E80A1D" w:rsidRPr="00AC36D6">
        <w:rPr>
          <w:rFonts w:eastAsia="Times New Roman" w:cs="Arial"/>
          <w:bCs/>
          <w:kern w:val="32"/>
          <w:szCs w:val="32"/>
        </w:rPr>
        <w:t>version</w:t>
      </w:r>
      <w:r w:rsidR="001D1A82" w:rsidRPr="00AC36D6">
        <w:rPr>
          <w:rFonts w:eastAsia="Times New Roman" w:cs="Arial"/>
          <w:bCs/>
          <w:kern w:val="32"/>
          <w:szCs w:val="32"/>
        </w:rPr>
        <w:t>s</w:t>
      </w:r>
      <w:r w:rsidR="00E80A1D" w:rsidRPr="00AC36D6">
        <w:rPr>
          <w:rFonts w:eastAsia="Times New Roman" w:cs="Arial"/>
          <w:bCs/>
          <w:kern w:val="32"/>
          <w:szCs w:val="32"/>
        </w:rPr>
        <w:t xml:space="preserve"> </w:t>
      </w:r>
      <w:r w:rsidR="004E3D53" w:rsidRPr="00AC36D6">
        <w:rPr>
          <w:rFonts w:eastAsia="Times New Roman" w:cs="Arial"/>
          <w:bCs/>
          <w:kern w:val="32"/>
          <w:szCs w:val="32"/>
        </w:rPr>
        <w:t xml:space="preserve">are discussed </w:t>
      </w:r>
      <w:r w:rsidR="001D1A82" w:rsidRPr="00AC36D6">
        <w:rPr>
          <w:rFonts w:eastAsia="Times New Roman" w:cs="Arial"/>
          <w:bCs/>
          <w:kern w:val="32"/>
          <w:szCs w:val="32"/>
        </w:rPr>
        <w:t>here</w:t>
      </w:r>
      <w:r w:rsidR="00E80A1D" w:rsidRPr="00AC36D6">
        <w:rPr>
          <w:rFonts w:eastAsia="Times New Roman" w:cs="Arial"/>
          <w:bCs/>
          <w:kern w:val="32"/>
          <w:szCs w:val="32"/>
        </w:rPr>
        <w:t>.</w:t>
      </w:r>
    </w:p>
    <w:p w14:paraId="3EC53CF3" w14:textId="77777777" w:rsidR="004C7565" w:rsidRPr="00AC36D6" w:rsidRDefault="004C7565" w:rsidP="00087876">
      <w:pPr>
        <w:spacing w:after="0" w:line="360" w:lineRule="auto"/>
        <w:jc w:val="both"/>
        <w:rPr>
          <w:rFonts w:eastAsia="Times New Roman" w:cs="Arial"/>
          <w:bCs/>
          <w:kern w:val="32"/>
          <w:szCs w:val="32"/>
        </w:rPr>
      </w:pPr>
    </w:p>
    <w:p w14:paraId="1B5ED944" w14:textId="7C138307" w:rsidR="001D1A82" w:rsidRPr="00AC36D6" w:rsidRDefault="000B24F7" w:rsidP="00B6655E">
      <w:pPr>
        <w:pStyle w:val="ListParagraph"/>
        <w:numPr>
          <w:ilvl w:val="2"/>
          <w:numId w:val="28"/>
        </w:numPr>
        <w:spacing w:before="120" w:after="0" w:line="360" w:lineRule="auto"/>
        <w:ind w:left="562" w:hanging="562"/>
        <w:contextualSpacing w:val="0"/>
        <w:jc w:val="both"/>
        <w:rPr>
          <w:rFonts w:eastAsia="Times New Roman" w:cs="Arial"/>
          <w:bCs/>
          <w:i/>
          <w:iCs/>
          <w:kern w:val="32"/>
          <w:szCs w:val="32"/>
        </w:rPr>
      </w:pPr>
      <w:r w:rsidRPr="00AC36D6">
        <w:rPr>
          <w:rFonts w:eastAsia="Times New Roman" w:cs="Arial"/>
          <w:bCs/>
          <w:i/>
          <w:iCs/>
          <w:kern w:val="32"/>
          <w:szCs w:val="32"/>
        </w:rPr>
        <w:lastRenderedPageBreak/>
        <w:t xml:space="preserve">Flexible </w:t>
      </w:r>
      <w:r w:rsidR="001D1A82" w:rsidRPr="00AC36D6">
        <w:rPr>
          <w:rFonts w:eastAsia="Times New Roman" w:cs="Arial"/>
          <w:bCs/>
          <w:i/>
          <w:iCs/>
          <w:kern w:val="32"/>
          <w:szCs w:val="32"/>
        </w:rPr>
        <w:t>MDCP with IID D-preferences</w:t>
      </w:r>
      <w:r w:rsidR="003C3D27" w:rsidRPr="00AC36D6">
        <w:rPr>
          <w:rFonts w:eastAsia="Times New Roman" w:cs="Arial"/>
          <w:bCs/>
          <w:i/>
          <w:iCs/>
          <w:kern w:val="32"/>
          <w:szCs w:val="32"/>
        </w:rPr>
        <w:t xml:space="preserve"> and non-IID C-</w:t>
      </w:r>
      <w:r w:rsidR="001D04CD" w:rsidRPr="00AC36D6">
        <w:rPr>
          <w:rFonts w:eastAsia="Times New Roman" w:cs="Arial"/>
          <w:bCs/>
          <w:i/>
          <w:iCs/>
          <w:kern w:val="32"/>
          <w:szCs w:val="32"/>
        </w:rPr>
        <w:t>p</w:t>
      </w:r>
      <w:r w:rsidR="003C3D27" w:rsidRPr="00AC36D6">
        <w:rPr>
          <w:rFonts w:eastAsia="Times New Roman" w:cs="Arial"/>
          <w:bCs/>
          <w:i/>
          <w:iCs/>
          <w:kern w:val="32"/>
          <w:szCs w:val="32"/>
        </w:rPr>
        <w:t>references</w:t>
      </w:r>
    </w:p>
    <w:p w14:paraId="36342B4D" w14:textId="609149D9" w:rsidR="007662A4" w:rsidRPr="00AC36D6" w:rsidRDefault="005216E3" w:rsidP="00087876">
      <w:pPr>
        <w:spacing w:after="0" w:line="360" w:lineRule="auto"/>
        <w:jc w:val="both"/>
      </w:pPr>
      <w:r w:rsidRPr="00AC36D6">
        <w:rPr>
          <w:rFonts w:eastAsia="Times New Roman" w:cs="Arial"/>
          <w:bCs/>
          <w:kern w:val="32"/>
          <w:szCs w:val="32"/>
        </w:rPr>
        <w:t xml:space="preserve">To estimate the parameters of the </w:t>
      </w:r>
      <w:r w:rsidR="001D1A82" w:rsidRPr="00AC36D6">
        <w:rPr>
          <w:rFonts w:eastAsia="Times New Roman" w:cs="Arial"/>
          <w:bCs/>
          <w:kern w:val="32"/>
          <w:szCs w:val="32"/>
        </w:rPr>
        <w:t xml:space="preserve">general </w:t>
      </w:r>
      <w:r w:rsidRPr="00AC36D6">
        <w:rPr>
          <w:rFonts w:eastAsia="Times New Roman" w:cs="Arial"/>
          <w:bCs/>
          <w:kern w:val="32"/>
          <w:szCs w:val="32"/>
        </w:rPr>
        <w:t xml:space="preserve">covariance structure of the model proposed above, </w:t>
      </w:r>
      <w:r w:rsidR="00735B29" w:rsidRPr="00AC36D6">
        <w:rPr>
          <w:rFonts w:eastAsia="Times New Roman" w:cs="Arial"/>
          <w:bCs/>
          <w:kern w:val="32"/>
          <w:szCs w:val="32"/>
        </w:rPr>
        <w:t xml:space="preserve">the analyst </w:t>
      </w:r>
      <w:r w:rsidR="00D237B1" w:rsidRPr="00AC36D6">
        <w:rPr>
          <w:rFonts w:eastAsia="Times New Roman" w:cs="Arial"/>
          <w:bCs/>
          <w:kern w:val="32"/>
          <w:szCs w:val="32"/>
        </w:rPr>
        <w:t>can</w:t>
      </w:r>
      <w:r w:rsidR="001240F7" w:rsidRPr="00AC36D6">
        <w:rPr>
          <w:rFonts w:eastAsia="Times New Roman" w:cs="Arial"/>
          <w:bCs/>
          <w:kern w:val="32"/>
          <w:szCs w:val="32"/>
        </w:rPr>
        <w:t xml:space="preserve"> work with a Cholesky </w:t>
      </w:r>
      <w:r w:rsidR="00676756" w:rsidRPr="00AC36D6">
        <w:rPr>
          <w:rFonts w:eastAsia="Times New Roman" w:cs="Arial"/>
          <w:bCs/>
          <w:kern w:val="32"/>
          <w:szCs w:val="32"/>
        </w:rPr>
        <w:t>decomposition</w:t>
      </w:r>
      <w:r w:rsidR="001240F7" w:rsidRPr="00AC36D6">
        <w:rPr>
          <w:rFonts w:eastAsia="Times New Roman" w:cs="Arial"/>
          <w:bCs/>
          <w:kern w:val="32"/>
          <w:szCs w:val="32"/>
        </w:rPr>
        <w:t xml:space="preserve"> of the</w:t>
      </w:r>
      <w:r w:rsidR="0016559F" w:rsidRPr="00AC36D6">
        <w:rPr>
          <w:rFonts w:eastAsia="Times New Roman" w:cs="Arial"/>
          <w:bCs/>
          <w:kern w:val="32"/>
          <w:szCs w:val="32"/>
        </w:rPr>
        <w:t xml:space="preserve"> error covariance matrix</w:t>
      </w:r>
      <w:r w:rsidR="00F62B2F" w:rsidRPr="00AC36D6">
        <w:rPr>
          <w:rFonts w:eastAsia="Times New Roman" w:cs="Arial"/>
          <w:bCs/>
          <w:kern w:val="32"/>
          <w:szCs w:val="32"/>
        </w:rPr>
        <w:t xml:space="preserve"> (</w:t>
      </w:r>
      <w:r w:rsidR="00F62B2F" w:rsidRPr="00AC36D6">
        <w:rPr>
          <w:position w:val="-4"/>
        </w:rPr>
        <w:object w:dxaOrig="220" w:dyaOrig="300" w14:anchorId="07CAC2EE">
          <v:shape id="_x0000_i1218" type="#_x0000_t75" style="width:9pt;height:17.15pt" o:ole="">
            <v:imagedata r:id="rId217" o:title=""/>
          </v:shape>
          <o:OLEObject Type="Embed" ProgID="Equation.DSMT4" ShapeID="_x0000_i1218" DrawAspect="Content" ObjectID="_1726484515" r:id="rId374"/>
        </w:object>
      </w:r>
      <w:r w:rsidR="00F62B2F" w:rsidRPr="00AC36D6">
        <w:rPr>
          <w:rFonts w:eastAsia="Times New Roman" w:cs="Arial"/>
          <w:bCs/>
          <w:kern w:val="32"/>
          <w:szCs w:val="32"/>
        </w:rPr>
        <w:t>)</w:t>
      </w:r>
      <w:r w:rsidR="009D0C14" w:rsidRPr="00AC36D6">
        <w:rPr>
          <w:rFonts w:eastAsia="Times New Roman" w:cs="Arial"/>
          <w:bCs/>
          <w:kern w:val="32"/>
          <w:szCs w:val="32"/>
        </w:rPr>
        <w:t>. Note that the covariance matrix of the error differences (</w:t>
      </w:r>
      <w:r w:rsidR="009D0C14" w:rsidRPr="00AC36D6">
        <w:rPr>
          <w:position w:val="-4"/>
        </w:rPr>
        <w:object w:dxaOrig="220" w:dyaOrig="260" w14:anchorId="27026943">
          <v:shape id="_x0000_i1219" type="#_x0000_t75" style="width:11.15pt;height:13.3pt" o:ole="">
            <v:imagedata r:id="rId375" o:title=""/>
          </v:shape>
          <o:OLEObject Type="Embed" ProgID="Equation.DSMT4" ShapeID="_x0000_i1219" DrawAspect="Content" ObjectID="_1726484516" r:id="rId376"/>
        </w:object>
      </w:r>
      <w:r w:rsidR="009D0C14" w:rsidRPr="00AC36D6">
        <w:t xml:space="preserve">) (which is </w:t>
      </w:r>
      <w:r w:rsidR="007662A4" w:rsidRPr="00AC36D6">
        <w:t xml:space="preserve">an input </w:t>
      </w:r>
      <w:r w:rsidR="00E4561F" w:rsidRPr="00AC36D6">
        <w:t>to</w:t>
      </w:r>
      <w:r w:rsidR="007662A4" w:rsidRPr="00AC36D6">
        <w:t xml:space="preserve"> </w:t>
      </w:r>
      <w:r w:rsidR="009D0C14" w:rsidRPr="00AC36D6">
        <w:t>the likelihood function) can be easily obtained using</w:t>
      </w:r>
      <w:r w:rsidR="007662A4" w:rsidRPr="00AC36D6">
        <w:t xml:space="preserve"> the following relationship</w:t>
      </w:r>
      <w:r w:rsidR="00AE2F44" w:rsidRPr="00AC36D6">
        <w:t xml:space="preserve"> while ensuring its positive definiteness</w:t>
      </w:r>
      <w:r w:rsidR="007662A4" w:rsidRPr="00AC36D6">
        <w:t>:</w:t>
      </w:r>
    </w:p>
    <w:p w14:paraId="3A65EC1D" w14:textId="4F7A938E" w:rsidR="007662A4" w:rsidRPr="00AC36D6" w:rsidRDefault="007662A4" w:rsidP="007D5FDE">
      <w:pPr>
        <w:spacing w:after="0" w:line="360" w:lineRule="auto"/>
        <w:ind w:firstLine="720"/>
        <w:jc w:val="both"/>
      </w:pPr>
      <w:r w:rsidRPr="00AC36D6">
        <w:rPr>
          <w:position w:val="-14"/>
        </w:rPr>
        <w:object w:dxaOrig="3200" w:dyaOrig="400" w14:anchorId="6897D68B">
          <v:shape id="_x0000_i1220" type="#_x0000_t75" style="width:161.15pt;height:19.7pt" o:ole="">
            <v:imagedata r:id="rId377" o:title=""/>
          </v:shape>
          <o:OLEObject Type="Embed" ProgID="Equation.DSMT4" ShapeID="_x0000_i1220" DrawAspect="Content" ObjectID="_1726484517" r:id="rId378"/>
        </w:object>
      </w:r>
      <w:r w:rsidRPr="00AC36D6">
        <w:tab/>
      </w:r>
      <w:r w:rsidRPr="00AC36D6">
        <w:tab/>
      </w:r>
      <w:r w:rsidRPr="00AC36D6">
        <w:tab/>
      </w:r>
      <w:r w:rsidRPr="00AC36D6">
        <w:tab/>
      </w:r>
      <w:r w:rsidRPr="00AC36D6">
        <w:tab/>
      </w:r>
      <w:r w:rsidRPr="00AC36D6">
        <w:tab/>
      </w:r>
      <w:r w:rsidRPr="00AC36D6">
        <w:tab/>
        <w:t>(17)</w:t>
      </w:r>
    </w:p>
    <w:p w14:paraId="40F51850" w14:textId="2F5E8F54" w:rsidR="006109D4" w:rsidRPr="00F507E0" w:rsidRDefault="000926DB" w:rsidP="00087876">
      <w:pPr>
        <w:spacing w:after="0" w:line="360" w:lineRule="auto"/>
        <w:jc w:val="both"/>
      </w:pPr>
      <w:r w:rsidRPr="00AC36D6">
        <w:rPr>
          <w:rFonts w:eastAsia="Times New Roman" w:cs="Arial"/>
          <w:bCs/>
          <w:kern w:val="32"/>
          <w:szCs w:val="32"/>
        </w:rPr>
        <w:t xml:space="preserve">Attempts to directly estimate the parameters of the covariance matrix might lead to estimation breakdowns </w:t>
      </w:r>
      <w:r w:rsidR="00DB1344" w:rsidRPr="00AC36D6">
        <w:rPr>
          <w:rFonts w:eastAsia="Times New Roman" w:cs="Arial"/>
          <w:bCs/>
          <w:kern w:val="32"/>
          <w:szCs w:val="32"/>
        </w:rPr>
        <w:t xml:space="preserve">when </w:t>
      </w:r>
      <w:r w:rsidR="001C1F13" w:rsidRPr="00AC36D6">
        <w:rPr>
          <w:rFonts w:eastAsia="Times New Roman" w:cs="Arial"/>
          <w:bCs/>
          <w:kern w:val="32"/>
          <w:szCs w:val="32"/>
        </w:rPr>
        <w:t>it is not ensured that the</w:t>
      </w:r>
      <w:r w:rsidR="00DB1344" w:rsidRPr="00AC36D6">
        <w:rPr>
          <w:rFonts w:eastAsia="Times New Roman" w:cs="Arial"/>
          <w:bCs/>
          <w:kern w:val="32"/>
          <w:szCs w:val="32"/>
        </w:rPr>
        <w:t xml:space="preserve"> </w:t>
      </w:r>
      <w:r w:rsidR="001C1F13" w:rsidRPr="00AC36D6">
        <w:rPr>
          <w:rFonts w:eastAsia="Times New Roman" w:cs="Arial"/>
          <w:bCs/>
          <w:kern w:val="32"/>
          <w:szCs w:val="32"/>
        </w:rPr>
        <w:t xml:space="preserve">covariance matrix is </w:t>
      </w:r>
      <w:r w:rsidR="00DB1344" w:rsidRPr="00AC36D6">
        <w:rPr>
          <w:rFonts w:eastAsia="Times New Roman" w:cs="Arial"/>
          <w:bCs/>
          <w:kern w:val="32"/>
          <w:szCs w:val="32"/>
        </w:rPr>
        <w:t xml:space="preserve">positive definite. To work with the Cholesky </w:t>
      </w:r>
      <w:r w:rsidR="00676756" w:rsidRPr="00AC36D6">
        <w:rPr>
          <w:rFonts w:eastAsia="Times New Roman" w:cs="Arial"/>
          <w:bCs/>
          <w:kern w:val="32"/>
          <w:szCs w:val="32"/>
        </w:rPr>
        <w:t>decomposition</w:t>
      </w:r>
      <w:r w:rsidR="00DB1344" w:rsidRPr="00AC36D6">
        <w:rPr>
          <w:rFonts w:eastAsia="Times New Roman" w:cs="Arial"/>
          <w:bCs/>
          <w:kern w:val="32"/>
          <w:szCs w:val="32"/>
        </w:rPr>
        <w:t xml:space="preserve">, however, </w:t>
      </w:r>
      <w:r w:rsidR="00482CD9" w:rsidRPr="00AC36D6">
        <w:rPr>
          <w:rFonts w:eastAsia="Times New Roman" w:cs="Arial"/>
          <w:bCs/>
          <w:kern w:val="32"/>
          <w:szCs w:val="32"/>
        </w:rPr>
        <w:t xml:space="preserve">it is not straightforward to fix only the diagonal elements </w:t>
      </w:r>
      <w:r w:rsidR="007250AF" w:rsidRPr="00AC36D6">
        <w:rPr>
          <w:position w:val="-12"/>
        </w:rPr>
        <w:object w:dxaOrig="340" w:dyaOrig="400" w14:anchorId="5C822AB2">
          <v:shape id="_x0000_i1221" type="#_x0000_t75" style="width:19.3pt;height:19.7pt" o:ole="">
            <v:imagedata r:id="rId379" o:title=""/>
          </v:shape>
          <o:OLEObject Type="Embed" ProgID="Equation.DSMT4" ShapeID="_x0000_i1221" DrawAspect="Content" ObjectID="_1726484518" r:id="rId380"/>
        </w:object>
      </w:r>
      <w:r w:rsidR="007250AF" w:rsidRPr="00AC36D6">
        <w:t xml:space="preserve"> </w:t>
      </w:r>
      <w:r w:rsidR="007250AF" w:rsidRPr="00AC36D6">
        <w:rPr>
          <w:position w:val="-10"/>
        </w:rPr>
        <w:object w:dxaOrig="1420" w:dyaOrig="320" w14:anchorId="1A4E798D">
          <v:shape id="_x0000_i1222" type="#_x0000_t75" style="width:71.15pt;height:15.85pt" o:ole="">
            <v:imagedata r:id="rId381" o:title=""/>
          </v:shape>
          <o:OLEObject Type="Embed" ProgID="Equation.DSMT4" ShapeID="_x0000_i1222" DrawAspect="Content" ObjectID="_1726484519" r:id="rId382"/>
        </w:object>
      </w:r>
      <w:r w:rsidR="00676756" w:rsidRPr="00AC36D6">
        <w:rPr>
          <w:rFonts w:eastAsia="Times New Roman" w:cs="Arial"/>
          <w:bCs/>
          <w:kern w:val="32"/>
          <w:szCs w:val="32"/>
        </w:rPr>
        <w:t xml:space="preserve"> </w:t>
      </w:r>
      <w:r w:rsidR="005638A8" w:rsidRPr="00AC36D6">
        <w:rPr>
          <w:rFonts w:eastAsia="Times New Roman" w:cs="Arial"/>
          <w:bCs/>
          <w:kern w:val="32"/>
          <w:szCs w:val="32"/>
        </w:rPr>
        <w:t xml:space="preserve">and estimate the off-diagonal elements </w:t>
      </w:r>
      <w:r w:rsidR="00D2386C" w:rsidRPr="00AC36D6">
        <w:rPr>
          <w:position w:val="-14"/>
        </w:rPr>
        <w:object w:dxaOrig="2600" w:dyaOrig="420" w14:anchorId="4A43237C">
          <v:shape id="_x0000_i1223" type="#_x0000_t75" style="width:130.7pt;height:20.15pt" o:ole="">
            <v:imagedata r:id="rId383" o:title=""/>
          </v:shape>
          <o:OLEObject Type="Embed" ProgID="Equation.DSMT4" ShapeID="_x0000_i1223" DrawAspect="Content" ObjectID="_1726484520" r:id="rId384"/>
        </w:object>
      </w:r>
      <w:r w:rsidR="005638A8" w:rsidRPr="00AC36D6">
        <w:rPr>
          <w:rFonts w:eastAsia="Times New Roman" w:cs="Arial"/>
          <w:bCs/>
          <w:kern w:val="32"/>
          <w:szCs w:val="32"/>
        </w:rPr>
        <w:t>of the</w:t>
      </w:r>
      <w:r w:rsidR="00DB4056" w:rsidRPr="00AC36D6">
        <w:rPr>
          <w:rFonts w:eastAsia="Times New Roman" w:cs="Arial"/>
          <w:bCs/>
          <w:kern w:val="32"/>
          <w:szCs w:val="32"/>
        </w:rPr>
        <w:t xml:space="preserve"> matrix of</w:t>
      </w:r>
      <w:r w:rsidR="005638A8" w:rsidRPr="00AC36D6">
        <w:rPr>
          <w:rFonts w:eastAsia="Times New Roman" w:cs="Arial"/>
          <w:bCs/>
          <w:kern w:val="32"/>
          <w:szCs w:val="32"/>
        </w:rPr>
        <w:t xml:space="preserve"> </w:t>
      </w:r>
      <w:r w:rsidR="005638A8" w:rsidRPr="00AC36D6">
        <w:rPr>
          <w:rFonts w:eastAsia="Times New Roman" w:cs="Arial"/>
          <w:bCs/>
          <w:i/>
          <w:iCs/>
          <w:kern w:val="32"/>
          <w:szCs w:val="32"/>
        </w:rPr>
        <w:t>D-</w:t>
      </w:r>
      <w:r w:rsidR="005638A8" w:rsidRPr="00AC36D6">
        <w:rPr>
          <w:rFonts w:eastAsia="Times New Roman" w:cs="Arial"/>
          <w:bCs/>
          <w:kern w:val="32"/>
          <w:szCs w:val="32"/>
        </w:rPr>
        <w:t xml:space="preserve">preference error terms. This is because </w:t>
      </w:r>
      <w:r w:rsidR="00BA53E7" w:rsidRPr="00AC36D6">
        <w:rPr>
          <w:rFonts w:eastAsia="Times New Roman" w:cs="Arial"/>
          <w:bCs/>
          <w:kern w:val="32"/>
          <w:szCs w:val="32"/>
        </w:rPr>
        <w:t xml:space="preserve">it is not easy to </w:t>
      </w:r>
      <w:r w:rsidR="00F40C5E" w:rsidRPr="00AC36D6">
        <w:rPr>
          <w:rFonts w:eastAsia="Times New Roman" w:cs="Arial"/>
          <w:bCs/>
          <w:kern w:val="32"/>
          <w:szCs w:val="32"/>
        </w:rPr>
        <w:t>identify restrictions on the</w:t>
      </w:r>
      <w:r w:rsidR="00DB212C" w:rsidRPr="00AC36D6">
        <w:rPr>
          <w:rFonts w:eastAsia="Times New Roman" w:cs="Arial"/>
          <w:bCs/>
          <w:kern w:val="32"/>
          <w:szCs w:val="32"/>
        </w:rPr>
        <w:t xml:space="preserve"> </w:t>
      </w:r>
      <w:r w:rsidR="002608A5" w:rsidRPr="00AC36D6">
        <w:rPr>
          <w:rFonts w:eastAsia="Times New Roman" w:cs="Arial"/>
          <w:bCs/>
          <w:kern w:val="32"/>
          <w:szCs w:val="32"/>
        </w:rPr>
        <w:t>Cholesky matrix</w:t>
      </w:r>
      <w:r w:rsidR="00BA53E7" w:rsidRPr="00AC36D6">
        <w:rPr>
          <w:rFonts w:eastAsia="Times New Roman" w:cs="Arial"/>
          <w:bCs/>
          <w:kern w:val="32"/>
          <w:szCs w:val="32"/>
        </w:rPr>
        <w:t xml:space="preserve"> that </w:t>
      </w:r>
      <w:r w:rsidR="00F40C5E" w:rsidRPr="00AC36D6">
        <w:rPr>
          <w:rFonts w:eastAsia="Times New Roman" w:cs="Arial"/>
          <w:bCs/>
          <w:kern w:val="32"/>
          <w:szCs w:val="32"/>
        </w:rPr>
        <w:t>results in</w:t>
      </w:r>
      <w:r w:rsidR="00BA53E7" w:rsidRPr="00AC36D6">
        <w:rPr>
          <w:rFonts w:eastAsia="Times New Roman" w:cs="Arial"/>
          <w:bCs/>
          <w:kern w:val="32"/>
          <w:szCs w:val="32"/>
        </w:rPr>
        <w:t xml:space="preserve"> </w:t>
      </w:r>
      <w:r w:rsidR="00D71CF8" w:rsidRPr="00AC36D6">
        <w:rPr>
          <w:rFonts w:eastAsia="Times New Roman" w:cs="Arial"/>
          <w:bCs/>
          <w:kern w:val="32"/>
          <w:szCs w:val="32"/>
        </w:rPr>
        <w:t>such a covariance matrix</w:t>
      </w:r>
      <w:r w:rsidR="00624AA7" w:rsidRPr="00AC36D6">
        <w:rPr>
          <w:rFonts w:eastAsia="Times New Roman" w:cs="Arial"/>
          <w:bCs/>
          <w:kern w:val="32"/>
          <w:szCs w:val="32"/>
        </w:rPr>
        <w:t xml:space="preserve">. Therefore, it </w:t>
      </w:r>
      <w:r w:rsidR="00326224" w:rsidRPr="00AC36D6">
        <w:rPr>
          <w:rFonts w:eastAsia="Times New Roman" w:cs="Arial"/>
          <w:bCs/>
          <w:kern w:val="32"/>
          <w:szCs w:val="32"/>
        </w:rPr>
        <w:t>is</w:t>
      </w:r>
      <w:r w:rsidR="00624AA7" w:rsidRPr="00AC36D6">
        <w:rPr>
          <w:rFonts w:eastAsia="Times New Roman" w:cs="Arial"/>
          <w:bCs/>
          <w:kern w:val="32"/>
          <w:szCs w:val="32"/>
        </w:rPr>
        <w:t xml:space="preserve"> convenient to assume the </w:t>
      </w:r>
      <w:r w:rsidR="002A36FC" w:rsidRPr="00AC36D6">
        <w:rPr>
          <w:rFonts w:eastAsia="Times New Roman" w:cs="Arial"/>
          <w:bCs/>
          <w:i/>
          <w:iCs/>
          <w:kern w:val="32"/>
          <w:szCs w:val="32"/>
        </w:rPr>
        <w:t>D-</w:t>
      </w:r>
      <w:r w:rsidR="002A36FC" w:rsidRPr="00AC36D6">
        <w:rPr>
          <w:rFonts w:eastAsia="Times New Roman" w:cs="Arial"/>
          <w:bCs/>
          <w:kern w:val="32"/>
          <w:szCs w:val="32"/>
        </w:rPr>
        <w:t xml:space="preserve">preference </w:t>
      </w:r>
      <w:r w:rsidR="00624AA7" w:rsidRPr="00AC36D6">
        <w:rPr>
          <w:rFonts w:eastAsia="Times New Roman" w:cs="Arial"/>
          <w:bCs/>
          <w:kern w:val="32"/>
          <w:szCs w:val="32"/>
        </w:rPr>
        <w:t xml:space="preserve">error terms to be IID (i.e., </w:t>
      </w:r>
      <w:r w:rsidR="00326224" w:rsidRPr="00AC36D6">
        <w:rPr>
          <w:rFonts w:eastAsia="Times New Roman" w:cs="Arial"/>
          <w:bCs/>
          <w:kern w:val="32"/>
          <w:szCs w:val="32"/>
        </w:rPr>
        <w:t xml:space="preserve">fix </w:t>
      </w:r>
      <w:r w:rsidR="00D2386C" w:rsidRPr="00AC36D6">
        <w:rPr>
          <w:position w:val="-12"/>
        </w:rPr>
        <w:object w:dxaOrig="2340" w:dyaOrig="400" w14:anchorId="0F6A743F">
          <v:shape id="_x0000_i1224" type="#_x0000_t75" style="width:130.3pt;height:19.7pt" o:ole="">
            <v:imagedata r:id="rId385" o:title=""/>
          </v:shape>
          <o:OLEObject Type="Embed" ProgID="Equation.DSMT4" ShapeID="_x0000_i1224" DrawAspect="Content" ObjectID="_1726484521" r:id="rId386"/>
        </w:object>
      </w:r>
      <w:r w:rsidR="00E95CA4" w:rsidRPr="00AC36D6">
        <w:t xml:space="preserve">and </w:t>
      </w:r>
      <w:r w:rsidR="00326224" w:rsidRPr="00AC36D6">
        <w:t xml:space="preserve">fix </w:t>
      </w:r>
      <w:r w:rsidR="00D2386C" w:rsidRPr="00AC36D6">
        <w:rPr>
          <w:position w:val="-14"/>
        </w:rPr>
        <w:object w:dxaOrig="3000" w:dyaOrig="420" w14:anchorId="30E90893">
          <v:shape id="_x0000_i1225" type="#_x0000_t75" style="width:150pt;height:20.15pt" o:ole="">
            <v:imagedata r:id="rId387" o:title=""/>
          </v:shape>
          <o:OLEObject Type="Embed" ProgID="Equation.DSMT4" ShapeID="_x0000_i1225" DrawAspect="Content" ObjectID="_1726484522" r:id="rId388"/>
        </w:object>
      </w:r>
      <w:r w:rsidR="002B5186" w:rsidRPr="00AC36D6">
        <w:t xml:space="preserve">), while allowing for correlations between the error terms of the </w:t>
      </w:r>
      <w:r w:rsidR="002B5186" w:rsidRPr="00AC36D6">
        <w:rPr>
          <w:i/>
          <w:iCs/>
        </w:rPr>
        <w:t>D-</w:t>
      </w:r>
      <w:r w:rsidR="002B5186" w:rsidRPr="00AC36D6">
        <w:t xml:space="preserve">preference and </w:t>
      </w:r>
      <w:r w:rsidR="002B5186" w:rsidRPr="00AC36D6">
        <w:rPr>
          <w:i/>
          <w:iCs/>
        </w:rPr>
        <w:t>C-</w:t>
      </w:r>
      <w:r w:rsidR="002B5186" w:rsidRPr="00AC36D6">
        <w:t xml:space="preserve">preference </w:t>
      </w:r>
      <w:r w:rsidR="00806042" w:rsidRPr="00AC36D6">
        <w:t>terms</w:t>
      </w:r>
      <w:r w:rsidR="002B5186" w:rsidRPr="00AC36D6">
        <w:t xml:space="preserve"> and </w:t>
      </w:r>
      <w:r w:rsidR="008717FE" w:rsidRPr="00AC36D6">
        <w:t xml:space="preserve">those among the </w:t>
      </w:r>
      <w:r w:rsidR="008717FE" w:rsidRPr="00AC36D6">
        <w:rPr>
          <w:i/>
          <w:iCs/>
        </w:rPr>
        <w:t>C-</w:t>
      </w:r>
      <w:r w:rsidR="008717FE" w:rsidRPr="00AC36D6">
        <w:t>preference error terms (</w:t>
      </w:r>
      <w:r w:rsidR="001C51F8" w:rsidRPr="00AC36D6">
        <w:t xml:space="preserve">i.e., </w:t>
      </w:r>
      <w:r w:rsidR="009D48EE" w:rsidRPr="00AC36D6">
        <w:t>allow</w:t>
      </w:r>
      <w:r w:rsidR="007879A4" w:rsidRPr="00AC36D6">
        <w:t xml:space="preserve"> </w:t>
      </w:r>
      <w:r w:rsidR="007879A4" w:rsidRPr="00AC36D6">
        <w:rPr>
          <w:position w:val="-14"/>
        </w:rPr>
        <w:object w:dxaOrig="2000" w:dyaOrig="380" w14:anchorId="1E6C7C30">
          <v:shape id="_x0000_i1226" type="#_x0000_t75" style="width:97.7pt;height:19.3pt" o:ole="">
            <v:imagedata r:id="rId389" o:title=""/>
          </v:shape>
          <o:OLEObject Type="Embed" ProgID="Equation.DSMT4" ShapeID="_x0000_i1226" DrawAspect="Content" ObjectID="_1726484523" r:id="rId390"/>
        </w:object>
      </w:r>
      <w:r w:rsidR="007879A4" w:rsidRPr="00AC36D6">
        <w:t xml:space="preserve"> and</w:t>
      </w:r>
      <w:r w:rsidR="001C51F8" w:rsidRPr="00AC36D6">
        <w:t xml:space="preserve"> </w:t>
      </w:r>
      <w:r w:rsidR="00D2386C" w:rsidRPr="00AC36D6">
        <w:rPr>
          <w:position w:val="-14"/>
        </w:rPr>
        <w:object w:dxaOrig="2000" w:dyaOrig="380" w14:anchorId="6768F0B4">
          <v:shape id="_x0000_i1227" type="#_x0000_t75" style="width:97.7pt;height:19.3pt" o:ole="">
            <v:imagedata r:id="rId391" o:title=""/>
          </v:shape>
          <o:OLEObject Type="Embed" ProgID="Equation.DSMT4" ShapeID="_x0000_i1227" DrawAspect="Content" ObjectID="_1726484524" r:id="rId392"/>
        </w:object>
      </w:r>
      <w:r w:rsidR="009D48EE" w:rsidRPr="00AC36D6">
        <w:t xml:space="preserve"> to be non-zero</w:t>
      </w:r>
      <w:r w:rsidR="008717FE" w:rsidRPr="00AC36D6">
        <w:t>)</w:t>
      </w:r>
      <w:r w:rsidR="00624AA7" w:rsidRPr="00AC36D6">
        <w:rPr>
          <w:rFonts w:eastAsia="Times New Roman" w:cs="Arial"/>
          <w:bCs/>
          <w:kern w:val="32"/>
          <w:szCs w:val="32"/>
        </w:rPr>
        <w:t>.</w:t>
      </w:r>
      <w:r w:rsidR="004F713E" w:rsidRPr="00AC36D6">
        <w:rPr>
          <w:rFonts w:eastAsia="Times New Roman" w:cs="Arial"/>
          <w:bCs/>
          <w:kern w:val="32"/>
          <w:szCs w:val="32"/>
        </w:rPr>
        <w:t xml:space="preserve"> This is the approach we take in the empirical analysis later in this </w:t>
      </w:r>
      <w:r w:rsidR="004F713E" w:rsidRPr="00F507E0">
        <w:rPr>
          <w:rFonts w:eastAsia="Times New Roman" w:cs="Arial"/>
          <w:bCs/>
          <w:kern w:val="32"/>
          <w:szCs w:val="32"/>
        </w:rPr>
        <w:t xml:space="preserve">paper. </w:t>
      </w:r>
      <w:bookmarkStart w:id="12" w:name="_Hlk115197644"/>
      <w:r w:rsidR="00B46193" w:rsidRPr="00F507E0">
        <w:rPr>
          <w:rFonts w:eastAsia="Times New Roman" w:cs="Arial"/>
          <w:bCs/>
          <w:kern w:val="32"/>
          <w:szCs w:val="32"/>
        </w:rPr>
        <w:t xml:space="preserve">It is important to note, however, that the above discussed restriction is imposed to avoid any estimation issues. </w:t>
      </w:r>
      <w:r w:rsidR="004B74F8" w:rsidRPr="00F507E0">
        <w:rPr>
          <w:rFonts w:eastAsia="Times New Roman" w:cs="Arial"/>
          <w:bCs/>
          <w:kern w:val="32"/>
          <w:szCs w:val="32"/>
        </w:rPr>
        <w:t>Behaviorally</w:t>
      </w:r>
      <w:r w:rsidR="00B46193" w:rsidRPr="00F507E0">
        <w:rPr>
          <w:rFonts w:eastAsia="Times New Roman" w:cs="Arial"/>
          <w:bCs/>
          <w:kern w:val="32"/>
          <w:szCs w:val="32"/>
        </w:rPr>
        <w:t xml:space="preserve">, this restriction translates to </w:t>
      </w:r>
      <w:r w:rsidR="00D36DD2" w:rsidRPr="00F507E0">
        <w:rPr>
          <w:rFonts w:eastAsia="Times New Roman" w:cs="Arial"/>
          <w:bCs/>
          <w:kern w:val="32"/>
          <w:szCs w:val="32"/>
        </w:rPr>
        <w:t>an</w:t>
      </w:r>
      <w:r w:rsidR="00B46193" w:rsidRPr="00F507E0">
        <w:rPr>
          <w:rFonts w:eastAsia="Times New Roman" w:cs="Arial"/>
          <w:bCs/>
          <w:kern w:val="32"/>
          <w:szCs w:val="32"/>
        </w:rPr>
        <w:t xml:space="preserve"> assumption of independence across goods at the discrete level of preference but allows correlations between their continuous preferences. There are practical instances where such correlation patterns are likely to exist. For example, the discrete decision to eat out may be purely need driven, and therefore may not involve significant correlation with </w:t>
      </w:r>
      <w:r w:rsidR="00A0659B" w:rsidRPr="00F507E0">
        <w:rPr>
          <w:rFonts w:eastAsia="Times New Roman" w:cs="Arial"/>
          <w:bCs/>
          <w:kern w:val="32"/>
          <w:szCs w:val="32"/>
        </w:rPr>
        <w:t xml:space="preserve">participation in </w:t>
      </w:r>
      <w:r w:rsidR="00B46193" w:rsidRPr="00F507E0">
        <w:rPr>
          <w:rFonts w:eastAsia="Times New Roman" w:cs="Arial"/>
          <w:bCs/>
          <w:kern w:val="32"/>
          <w:szCs w:val="32"/>
        </w:rPr>
        <w:t>other activities, say socialization. However, the extent of time spent in eating is likely to be influenced if it is undertaken together with a social activity, which may result in positive correlations between the continuous preference functions of eating out and social activities.</w:t>
      </w:r>
      <w:bookmarkEnd w:id="12"/>
    </w:p>
    <w:p w14:paraId="50D40E30" w14:textId="5C20B281" w:rsidR="00E80A1D" w:rsidRPr="00AC36D6" w:rsidRDefault="00721E16" w:rsidP="00AE096B">
      <w:pPr>
        <w:pStyle w:val="ListParagraph"/>
        <w:numPr>
          <w:ilvl w:val="2"/>
          <w:numId w:val="28"/>
        </w:numPr>
        <w:spacing w:before="120" w:after="0" w:line="360" w:lineRule="auto"/>
        <w:ind w:left="562" w:hanging="562"/>
        <w:contextualSpacing w:val="0"/>
        <w:jc w:val="both"/>
        <w:rPr>
          <w:rFonts w:eastAsia="Times New Roman" w:cs="Arial"/>
          <w:bCs/>
          <w:i/>
          <w:iCs/>
          <w:kern w:val="32"/>
          <w:szCs w:val="32"/>
        </w:rPr>
      </w:pPr>
      <w:r w:rsidRPr="00AC36D6">
        <w:rPr>
          <w:rFonts w:eastAsia="Times New Roman" w:cs="Arial"/>
          <w:bCs/>
          <w:i/>
          <w:iCs/>
          <w:kern w:val="32"/>
          <w:szCs w:val="32"/>
        </w:rPr>
        <w:t xml:space="preserve">Flexible </w:t>
      </w:r>
      <w:r w:rsidR="00E80A1D" w:rsidRPr="00AC36D6">
        <w:rPr>
          <w:rFonts w:eastAsia="Times New Roman" w:cs="Arial"/>
          <w:bCs/>
          <w:i/>
          <w:iCs/>
          <w:kern w:val="32"/>
          <w:szCs w:val="32"/>
        </w:rPr>
        <w:t>MDCP</w:t>
      </w:r>
      <w:r w:rsidR="002C190C" w:rsidRPr="00AC36D6">
        <w:rPr>
          <w:rFonts w:eastAsia="Times New Roman" w:cs="Arial"/>
          <w:bCs/>
          <w:i/>
          <w:iCs/>
          <w:kern w:val="32"/>
          <w:szCs w:val="32"/>
        </w:rPr>
        <w:t xml:space="preserve"> with IID </w:t>
      </w:r>
      <w:r w:rsidR="00EF5E19" w:rsidRPr="00AC36D6">
        <w:rPr>
          <w:rFonts w:eastAsia="Times New Roman" w:cs="Arial"/>
          <w:bCs/>
          <w:i/>
          <w:iCs/>
          <w:kern w:val="32"/>
          <w:szCs w:val="32"/>
        </w:rPr>
        <w:t xml:space="preserve">and uncorrelated </w:t>
      </w:r>
      <w:r w:rsidR="002C190C" w:rsidRPr="00AC36D6">
        <w:rPr>
          <w:rFonts w:eastAsia="Times New Roman" w:cs="Arial"/>
          <w:bCs/>
          <w:i/>
          <w:iCs/>
          <w:kern w:val="32"/>
          <w:szCs w:val="32"/>
        </w:rPr>
        <w:t>D-</w:t>
      </w:r>
      <w:r w:rsidR="003C17D9" w:rsidRPr="00AC36D6">
        <w:rPr>
          <w:rFonts w:eastAsia="Times New Roman" w:cs="Arial"/>
          <w:bCs/>
          <w:i/>
          <w:iCs/>
          <w:kern w:val="32"/>
          <w:szCs w:val="32"/>
        </w:rPr>
        <w:t xml:space="preserve"> preferences</w:t>
      </w:r>
      <w:r w:rsidR="002C190C" w:rsidRPr="00AC36D6">
        <w:rPr>
          <w:rFonts w:eastAsia="Times New Roman" w:cs="Arial"/>
          <w:bCs/>
          <w:i/>
          <w:iCs/>
          <w:kern w:val="32"/>
          <w:szCs w:val="32"/>
        </w:rPr>
        <w:t xml:space="preserve"> and C-preferences</w:t>
      </w:r>
    </w:p>
    <w:p w14:paraId="79D6D348" w14:textId="6B8CB3D5" w:rsidR="00B16E0C" w:rsidRPr="00AC36D6" w:rsidRDefault="00E80A1D" w:rsidP="00B16E0C">
      <w:pPr>
        <w:spacing w:line="360" w:lineRule="auto"/>
        <w:jc w:val="both"/>
      </w:pPr>
      <w:r w:rsidRPr="00AC36D6">
        <w:rPr>
          <w:rFonts w:eastAsia="Times New Roman" w:cs="Arial"/>
          <w:bCs/>
          <w:kern w:val="32"/>
          <w:szCs w:val="32"/>
        </w:rPr>
        <w:t xml:space="preserve">If we assume </w:t>
      </w:r>
      <w:r w:rsidR="00721E16" w:rsidRPr="00AC36D6">
        <w:rPr>
          <w:rFonts w:eastAsia="Times New Roman" w:cs="Arial"/>
          <w:bCs/>
          <w:kern w:val="32"/>
          <w:szCs w:val="32"/>
        </w:rPr>
        <w:t>the following</w:t>
      </w:r>
      <w:r w:rsidR="00195AFF" w:rsidRPr="00AC36D6">
        <w:rPr>
          <w:rFonts w:eastAsia="Times New Roman" w:cs="Arial"/>
          <w:bCs/>
          <w:kern w:val="32"/>
          <w:szCs w:val="32"/>
        </w:rPr>
        <w:t>:</w:t>
      </w:r>
      <w:r w:rsidRPr="00AC36D6">
        <w:rPr>
          <w:rFonts w:eastAsia="Times New Roman" w:cs="Arial"/>
          <w:bCs/>
          <w:kern w:val="32"/>
          <w:szCs w:val="32"/>
        </w:rPr>
        <w:t xml:space="preserve"> </w:t>
      </w:r>
      <w:r w:rsidR="00195AFF" w:rsidRPr="00AC36D6">
        <w:rPr>
          <w:rFonts w:eastAsia="Times New Roman" w:cs="Arial"/>
          <w:bCs/>
          <w:kern w:val="32"/>
          <w:szCs w:val="32"/>
        </w:rPr>
        <w:t xml:space="preserve">(a) the error terms </w:t>
      </w:r>
      <w:r w:rsidR="00367BD9" w:rsidRPr="00AC36D6">
        <w:rPr>
          <w:rFonts w:eastAsia="Times New Roman" w:cs="Arial"/>
          <w:bCs/>
          <w:kern w:val="32"/>
          <w:position w:val="-12"/>
          <w:szCs w:val="32"/>
        </w:rPr>
        <w:object w:dxaOrig="1740" w:dyaOrig="360" w14:anchorId="04018965">
          <v:shape id="_x0000_i1228" type="#_x0000_t75" style="width:89.15pt;height:19.3pt" o:ole="">
            <v:imagedata r:id="rId393" o:title=""/>
          </v:shape>
          <o:OLEObject Type="Embed" ProgID="Equation.DSMT4" ShapeID="_x0000_i1228" DrawAspect="Content" ObjectID="_1726484525" r:id="rId394"/>
        </w:object>
      </w:r>
      <w:r w:rsidR="00195AFF" w:rsidRPr="00AC36D6">
        <w:rPr>
          <w:rFonts w:eastAsia="Times New Roman" w:cs="Arial"/>
          <w:bCs/>
          <w:kern w:val="32"/>
          <w:szCs w:val="32"/>
        </w:rPr>
        <w:t xml:space="preserve"> on the </w:t>
      </w:r>
      <w:r w:rsidR="00195AFF" w:rsidRPr="00AC36D6">
        <w:rPr>
          <w:rFonts w:eastAsia="Times New Roman" w:cs="Arial"/>
          <w:bCs/>
          <w:i/>
          <w:iCs/>
          <w:kern w:val="32"/>
          <w:szCs w:val="32"/>
        </w:rPr>
        <w:t>D-</w:t>
      </w:r>
      <w:r w:rsidR="00195AFF" w:rsidRPr="00AC36D6">
        <w:rPr>
          <w:rFonts w:eastAsia="Times New Roman" w:cs="Arial"/>
          <w:bCs/>
          <w:kern w:val="32"/>
          <w:szCs w:val="32"/>
        </w:rPr>
        <w:t xml:space="preserve">preference terms for </w:t>
      </w:r>
      <w:r w:rsidR="00147997" w:rsidRPr="00AC36D6">
        <w:rPr>
          <w:rFonts w:eastAsia="Times New Roman" w:cs="Arial"/>
          <w:bCs/>
          <w:kern w:val="32"/>
          <w:szCs w:val="32"/>
        </w:rPr>
        <w:t xml:space="preserve">all the </w:t>
      </w:r>
      <w:r w:rsidR="00195AFF" w:rsidRPr="00AC36D6">
        <w:rPr>
          <w:rFonts w:eastAsia="Times New Roman" w:cs="Arial"/>
          <w:bCs/>
          <w:kern w:val="32"/>
          <w:szCs w:val="32"/>
        </w:rPr>
        <w:t xml:space="preserve">inside goods are </w:t>
      </w:r>
      <w:r w:rsidR="00367BD9" w:rsidRPr="00AC36D6">
        <w:rPr>
          <w:rFonts w:eastAsia="Times New Roman" w:cs="Arial"/>
          <w:bCs/>
          <w:kern w:val="32"/>
          <w:szCs w:val="32"/>
        </w:rPr>
        <w:t xml:space="preserve">IID (i.e., </w:t>
      </w:r>
      <w:r w:rsidR="00721896" w:rsidRPr="00AC36D6">
        <w:rPr>
          <w:rFonts w:eastAsia="Times New Roman" w:cs="Arial"/>
          <w:bCs/>
          <w:kern w:val="32"/>
          <w:position w:val="-12"/>
          <w:szCs w:val="32"/>
        </w:rPr>
        <w:object w:dxaOrig="2420" w:dyaOrig="400" w14:anchorId="5CFE031F">
          <v:shape id="_x0000_i1229" type="#_x0000_t75" style="width:121.3pt;height:19.7pt" o:ole="">
            <v:imagedata r:id="rId395" o:title=""/>
          </v:shape>
          <o:OLEObject Type="Embed" ProgID="Equation.DSMT4" ShapeID="_x0000_i1229" DrawAspect="Content" ObjectID="_1726484526" r:id="rId396"/>
        </w:object>
      </w:r>
      <w:r w:rsidR="00721896" w:rsidRPr="00AC36D6">
        <w:rPr>
          <w:rFonts w:eastAsia="Times New Roman" w:cs="Arial"/>
          <w:bCs/>
          <w:kern w:val="32"/>
          <w:szCs w:val="32"/>
        </w:rPr>
        <w:t xml:space="preserve"> and </w:t>
      </w:r>
      <w:r w:rsidR="00721896" w:rsidRPr="00AC36D6">
        <w:rPr>
          <w:position w:val="-14"/>
        </w:rPr>
        <w:object w:dxaOrig="2880" w:dyaOrig="420" w14:anchorId="25ACA02E">
          <v:shape id="_x0000_i1230" type="#_x0000_t75" style="width:2in;height:20.15pt" o:ole="">
            <v:imagedata r:id="rId397" o:title=""/>
          </v:shape>
          <o:OLEObject Type="Embed" ProgID="Equation.DSMT4" ShapeID="_x0000_i1230" DrawAspect="Content" ObjectID="_1726484527" r:id="rId398"/>
        </w:object>
      </w:r>
      <w:r w:rsidR="00367BD9" w:rsidRPr="00AC36D6">
        <w:rPr>
          <w:rFonts w:eastAsia="Times New Roman" w:cs="Arial"/>
          <w:bCs/>
          <w:kern w:val="32"/>
          <w:szCs w:val="32"/>
        </w:rPr>
        <w:t>)</w:t>
      </w:r>
      <w:r w:rsidR="00195AFF" w:rsidRPr="00AC36D6">
        <w:rPr>
          <w:rFonts w:eastAsia="Times New Roman" w:cs="Arial"/>
          <w:bCs/>
          <w:kern w:val="32"/>
          <w:szCs w:val="32"/>
        </w:rPr>
        <w:t xml:space="preserve">, </w:t>
      </w:r>
      <w:r w:rsidR="00195AFF" w:rsidRPr="00AC36D6">
        <w:rPr>
          <w:rFonts w:eastAsia="Times New Roman" w:cs="Arial"/>
          <w:bCs/>
          <w:kern w:val="32"/>
          <w:szCs w:val="32"/>
        </w:rPr>
        <w:lastRenderedPageBreak/>
        <w:t xml:space="preserve">(b) </w:t>
      </w:r>
      <w:r w:rsidRPr="00AC36D6">
        <w:rPr>
          <w:rFonts w:eastAsia="Times New Roman" w:cs="Arial"/>
          <w:bCs/>
          <w:kern w:val="32"/>
          <w:szCs w:val="32"/>
        </w:rPr>
        <w:t xml:space="preserve">the </w:t>
      </w:r>
      <w:r w:rsidR="00EE43E3" w:rsidRPr="00AC36D6">
        <w:rPr>
          <w:rFonts w:eastAsia="Times New Roman" w:cs="Arial"/>
          <w:bCs/>
          <w:kern w:val="32"/>
          <w:szCs w:val="32"/>
        </w:rPr>
        <w:t xml:space="preserve">error </w:t>
      </w:r>
      <w:r w:rsidRPr="00AC36D6">
        <w:rPr>
          <w:rFonts w:eastAsia="Times New Roman" w:cs="Arial"/>
          <w:bCs/>
          <w:kern w:val="32"/>
          <w:szCs w:val="32"/>
        </w:rPr>
        <w:t xml:space="preserve">terms </w:t>
      </w:r>
      <w:r w:rsidRPr="00AC36D6">
        <w:rPr>
          <w:rFonts w:eastAsia="Times New Roman" w:cs="Arial"/>
          <w:bCs/>
          <w:kern w:val="32"/>
          <w:position w:val="-12"/>
          <w:szCs w:val="32"/>
        </w:rPr>
        <w:object w:dxaOrig="1740" w:dyaOrig="360" w14:anchorId="4A28BDF7">
          <v:shape id="_x0000_i1231" type="#_x0000_t75" style="width:89.15pt;height:19.3pt" o:ole="">
            <v:imagedata r:id="rId399" o:title=""/>
          </v:shape>
          <o:OLEObject Type="Embed" ProgID="Equation.DSMT4" ShapeID="_x0000_i1231" DrawAspect="Content" ObjectID="_1726484528" r:id="rId400"/>
        </w:object>
      </w:r>
      <w:r w:rsidRPr="00AC36D6">
        <w:rPr>
          <w:rFonts w:eastAsia="Times New Roman" w:cs="Arial"/>
          <w:bCs/>
          <w:kern w:val="32"/>
          <w:szCs w:val="32"/>
        </w:rPr>
        <w:t xml:space="preserve"> </w:t>
      </w:r>
      <w:r w:rsidR="007D7ABA" w:rsidRPr="00AC36D6">
        <w:rPr>
          <w:rFonts w:eastAsia="Times New Roman" w:cs="Arial"/>
          <w:bCs/>
          <w:kern w:val="32"/>
          <w:szCs w:val="32"/>
        </w:rPr>
        <w:t xml:space="preserve">on the </w:t>
      </w:r>
      <w:r w:rsidR="007D7ABA" w:rsidRPr="00AC36D6">
        <w:rPr>
          <w:rFonts w:eastAsia="Times New Roman" w:cs="Arial"/>
          <w:bCs/>
          <w:i/>
          <w:iCs/>
          <w:kern w:val="32"/>
          <w:szCs w:val="32"/>
        </w:rPr>
        <w:t>C</w:t>
      </w:r>
      <w:r w:rsidR="007D7ABA" w:rsidRPr="00AC36D6">
        <w:rPr>
          <w:rFonts w:eastAsia="Times New Roman" w:cs="Arial"/>
          <w:bCs/>
          <w:kern w:val="32"/>
          <w:szCs w:val="32"/>
        </w:rPr>
        <w:t xml:space="preserve">-preference terms for </w:t>
      </w:r>
      <w:r w:rsidR="00DA02E7" w:rsidRPr="00AC36D6">
        <w:rPr>
          <w:rFonts w:eastAsia="Times New Roman" w:cs="Arial"/>
          <w:bCs/>
          <w:kern w:val="32"/>
          <w:szCs w:val="32"/>
        </w:rPr>
        <w:t xml:space="preserve">all </w:t>
      </w:r>
      <w:r w:rsidR="007D7ABA" w:rsidRPr="00AC36D6">
        <w:rPr>
          <w:rFonts w:eastAsia="Times New Roman" w:cs="Arial"/>
          <w:bCs/>
          <w:kern w:val="32"/>
          <w:szCs w:val="32"/>
        </w:rPr>
        <w:t xml:space="preserve">the inside goods </w:t>
      </w:r>
      <w:r w:rsidRPr="00AC36D6">
        <w:rPr>
          <w:rFonts w:eastAsia="Times New Roman" w:cs="Arial"/>
          <w:bCs/>
          <w:kern w:val="32"/>
          <w:szCs w:val="32"/>
        </w:rPr>
        <w:t xml:space="preserve">are </w:t>
      </w:r>
      <w:r w:rsidR="00F7673F" w:rsidRPr="00AC36D6">
        <w:rPr>
          <w:rFonts w:eastAsia="Times New Roman" w:cs="Arial"/>
          <w:bCs/>
          <w:kern w:val="32"/>
          <w:szCs w:val="32"/>
        </w:rPr>
        <w:t xml:space="preserve">IID </w:t>
      </w:r>
      <w:r w:rsidRPr="00AC36D6">
        <w:rPr>
          <w:rFonts w:eastAsia="Times New Roman" w:cs="Arial"/>
          <w:bCs/>
          <w:kern w:val="32"/>
          <w:szCs w:val="32"/>
        </w:rPr>
        <w:t>(</w:t>
      </w:r>
      <w:r w:rsidR="009E058D" w:rsidRPr="00AC36D6">
        <w:rPr>
          <w:rFonts w:eastAsia="Times New Roman" w:cs="Arial"/>
          <w:bCs/>
          <w:kern w:val="32"/>
          <w:szCs w:val="32"/>
        </w:rPr>
        <w:t xml:space="preserve">i.e., </w:t>
      </w:r>
      <w:r w:rsidR="00D82D2E" w:rsidRPr="00AC36D6">
        <w:rPr>
          <w:position w:val="-12"/>
        </w:rPr>
        <w:object w:dxaOrig="2640" w:dyaOrig="380" w14:anchorId="1092AFA4">
          <v:shape id="_x0000_i1232" type="#_x0000_t75" style="width:132.85pt;height:19.3pt" o:ole="">
            <v:imagedata r:id="rId401" o:title=""/>
          </v:shape>
          <o:OLEObject Type="Embed" ProgID="Equation.DSMT4" ShapeID="_x0000_i1232" DrawAspect="Content" ObjectID="_1726484529" r:id="rId402"/>
        </w:object>
      </w:r>
      <w:r w:rsidR="00D82D2E" w:rsidRPr="00AC36D6">
        <w:t xml:space="preserve"> and </w:t>
      </w:r>
      <w:r w:rsidR="009E058D" w:rsidRPr="00AC36D6">
        <w:rPr>
          <w:rFonts w:eastAsia="Times New Roman" w:cs="Arial"/>
          <w:bCs/>
          <w:kern w:val="32"/>
          <w:position w:val="-14"/>
          <w:szCs w:val="32"/>
        </w:rPr>
        <w:object w:dxaOrig="2980" w:dyaOrig="380" w14:anchorId="180C9376">
          <v:shape id="_x0000_i1233" type="#_x0000_t75" style="width:149.15pt;height:19.3pt" o:ole="">
            <v:imagedata r:id="rId403" o:title=""/>
          </v:shape>
          <o:OLEObject Type="Embed" ProgID="Equation.DSMT4" ShapeID="_x0000_i1233" DrawAspect="Content" ObjectID="_1726484530" r:id="rId404"/>
        </w:object>
      </w:r>
      <w:r w:rsidR="009E058D" w:rsidRPr="00AC36D6">
        <w:t>)</w:t>
      </w:r>
      <w:r w:rsidR="005A2AAE" w:rsidRPr="00AC36D6">
        <w:t xml:space="preserve">, and (c) </w:t>
      </w:r>
      <w:r w:rsidR="001A5BAC" w:rsidRPr="00AC36D6">
        <w:rPr>
          <w:rFonts w:eastAsia="Times New Roman" w:cs="Arial"/>
          <w:bCs/>
          <w:kern w:val="32"/>
          <w:position w:val="-12"/>
          <w:szCs w:val="32"/>
        </w:rPr>
        <w:object w:dxaOrig="1700" w:dyaOrig="360" w14:anchorId="3581CA78">
          <v:shape id="_x0000_i1234" type="#_x0000_t75" style="width:83.15pt;height:19.3pt" o:ole="">
            <v:imagedata r:id="rId405" o:title=""/>
          </v:shape>
          <o:OLEObject Type="Embed" ProgID="Equation.DSMT4" ShapeID="_x0000_i1234" DrawAspect="Content" ObjectID="_1726484531" r:id="rId406"/>
        </w:object>
      </w:r>
      <w:r w:rsidR="005A2AAE" w:rsidRPr="00AC36D6">
        <w:rPr>
          <w:rFonts w:eastAsia="Times New Roman" w:cs="Arial"/>
          <w:bCs/>
          <w:kern w:val="32"/>
          <w:szCs w:val="32"/>
        </w:rPr>
        <w:t xml:space="preserve"> </w:t>
      </w:r>
      <w:r w:rsidRPr="00AC36D6">
        <w:rPr>
          <w:rFonts w:eastAsia="Times New Roman" w:cs="Arial"/>
          <w:bCs/>
          <w:kern w:val="32"/>
          <w:szCs w:val="32"/>
        </w:rPr>
        <w:t xml:space="preserve">and </w:t>
      </w:r>
      <w:r w:rsidRPr="00AC36D6">
        <w:rPr>
          <w:rFonts w:eastAsia="Times New Roman" w:cs="Arial"/>
          <w:bCs/>
          <w:kern w:val="32"/>
          <w:position w:val="-12"/>
          <w:szCs w:val="32"/>
        </w:rPr>
        <w:object w:dxaOrig="1740" w:dyaOrig="360" w14:anchorId="4F4124B3">
          <v:shape id="_x0000_i1235" type="#_x0000_t75" style="width:89.15pt;height:19.3pt" o:ole="">
            <v:imagedata r:id="rId399" o:title=""/>
          </v:shape>
          <o:OLEObject Type="Embed" ProgID="Equation.DSMT4" ShapeID="_x0000_i1235" DrawAspect="Content" ObjectID="_1726484532" r:id="rId407"/>
        </w:object>
      </w:r>
      <w:r w:rsidRPr="00AC36D6">
        <w:rPr>
          <w:rFonts w:eastAsia="Times New Roman" w:cs="Arial"/>
          <w:bCs/>
          <w:kern w:val="32"/>
          <w:szCs w:val="32"/>
        </w:rPr>
        <w:t xml:space="preserve"> are all pairwise </w:t>
      </w:r>
      <w:r w:rsidR="001A5BAC" w:rsidRPr="00AC36D6">
        <w:rPr>
          <w:rFonts w:eastAsia="Times New Roman" w:cs="Arial"/>
          <w:bCs/>
          <w:kern w:val="32"/>
          <w:szCs w:val="32"/>
        </w:rPr>
        <w:t xml:space="preserve">uncorrelated </w:t>
      </w:r>
      <w:r w:rsidRPr="00AC36D6">
        <w:rPr>
          <w:rFonts w:eastAsia="Times New Roman" w:cs="Arial"/>
          <w:bCs/>
          <w:kern w:val="32"/>
          <w:szCs w:val="32"/>
        </w:rPr>
        <w:t>(</w:t>
      </w:r>
      <w:r w:rsidR="001A5BAC" w:rsidRPr="00AC36D6">
        <w:rPr>
          <w:rFonts w:eastAsia="Times New Roman" w:cs="Arial"/>
          <w:bCs/>
          <w:kern w:val="32"/>
          <w:szCs w:val="32"/>
        </w:rPr>
        <w:t>i.e.,</w:t>
      </w:r>
      <w:r w:rsidRPr="00AC36D6">
        <w:rPr>
          <w:rFonts w:eastAsia="Times New Roman" w:cs="Arial"/>
          <w:bCs/>
          <w:kern w:val="32"/>
          <w:szCs w:val="32"/>
        </w:rPr>
        <w:t xml:space="preserve"> </w:t>
      </w:r>
      <w:r w:rsidR="00A3456F" w:rsidRPr="00AC36D6">
        <w:rPr>
          <w:rFonts w:eastAsia="Times New Roman" w:cs="Arial"/>
          <w:bCs/>
          <w:kern w:val="32"/>
          <w:position w:val="-14"/>
          <w:szCs w:val="32"/>
        </w:rPr>
        <w:object w:dxaOrig="2420" w:dyaOrig="380" w14:anchorId="1129CF55">
          <v:shape id="_x0000_i1236" type="#_x0000_t75" style="width:121.3pt;height:19.3pt" o:ole="">
            <v:imagedata r:id="rId408" o:title=""/>
          </v:shape>
          <o:OLEObject Type="Embed" ProgID="Equation.DSMT4" ShapeID="_x0000_i1236" DrawAspect="Content" ObjectID="_1726484533" r:id="rId409"/>
        </w:object>
      </w:r>
      <w:r w:rsidRPr="00AC36D6">
        <w:rPr>
          <w:rFonts w:eastAsia="Times New Roman" w:cs="Arial"/>
          <w:bCs/>
          <w:kern w:val="32"/>
          <w:szCs w:val="32"/>
        </w:rPr>
        <w:t>, the result</w:t>
      </w:r>
      <w:r w:rsidR="00BB3881" w:rsidRPr="00AC36D6">
        <w:rPr>
          <w:rFonts w:eastAsia="Times New Roman" w:cs="Arial"/>
          <w:bCs/>
          <w:kern w:val="32"/>
          <w:szCs w:val="32"/>
        </w:rPr>
        <w:t>ing model</w:t>
      </w:r>
      <w:r w:rsidR="00141FAF" w:rsidRPr="00AC36D6">
        <w:rPr>
          <w:rFonts w:eastAsia="Times New Roman" w:cs="Arial"/>
          <w:bCs/>
          <w:kern w:val="32"/>
          <w:szCs w:val="32"/>
        </w:rPr>
        <w:t xml:space="preserve"> is</w:t>
      </w:r>
      <w:r w:rsidR="00F72D1B" w:rsidRPr="00AC36D6">
        <w:rPr>
          <w:rFonts w:eastAsia="Times New Roman" w:cs="Arial"/>
          <w:bCs/>
          <w:kern w:val="32"/>
          <w:szCs w:val="32"/>
        </w:rPr>
        <w:t xml:space="preserve"> </w:t>
      </w:r>
      <w:r w:rsidR="00141FAF" w:rsidRPr="00AC36D6">
        <w:rPr>
          <w:rFonts w:eastAsia="Times New Roman" w:cs="Arial"/>
          <w:bCs/>
          <w:kern w:val="32"/>
          <w:szCs w:val="32"/>
        </w:rPr>
        <w:t xml:space="preserve">IID </w:t>
      </w:r>
      <w:r w:rsidR="003B598D" w:rsidRPr="00AC36D6">
        <w:rPr>
          <w:rFonts w:eastAsia="Times New Roman" w:cs="Arial"/>
          <w:bCs/>
          <w:kern w:val="32"/>
          <w:szCs w:val="32"/>
        </w:rPr>
        <w:t>across all</w:t>
      </w:r>
      <w:r w:rsidR="00141FAF" w:rsidRPr="00AC36D6">
        <w:rPr>
          <w:rFonts w:eastAsia="Times New Roman" w:cs="Arial"/>
          <w:bCs/>
          <w:kern w:val="32"/>
          <w:szCs w:val="32"/>
        </w:rPr>
        <w:t xml:space="preserve"> </w:t>
      </w:r>
      <w:r w:rsidR="00141FAF" w:rsidRPr="00AC36D6">
        <w:rPr>
          <w:rFonts w:eastAsia="Times New Roman" w:cs="Arial"/>
          <w:bCs/>
          <w:i/>
          <w:iCs/>
          <w:kern w:val="32"/>
          <w:szCs w:val="32"/>
        </w:rPr>
        <w:t>D-</w:t>
      </w:r>
      <w:r w:rsidR="00141FAF" w:rsidRPr="00AC36D6">
        <w:rPr>
          <w:rFonts w:eastAsia="Times New Roman" w:cs="Arial"/>
          <w:bCs/>
          <w:kern w:val="32"/>
          <w:szCs w:val="32"/>
        </w:rPr>
        <w:t xml:space="preserve">preferences and </w:t>
      </w:r>
      <w:r w:rsidR="00141FAF" w:rsidRPr="00AC36D6">
        <w:rPr>
          <w:rFonts w:eastAsia="Times New Roman" w:cs="Arial"/>
          <w:bCs/>
          <w:i/>
          <w:iCs/>
          <w:kern w:val="32"/>
          <w:szCs w:val="32"/>
        </w:rPr>
        <w:t>C-</w:t>
      </w:r>
      <w:r w:rsidR="00141FAF" w:rsidRPr="00AC36D6">
        <w:rPr>
          <w:rFonts w:eastAsia="Times New Roman" w:cs="Arial"/>
          <w:bCs/>
          <w:kern w:val="32"/>
          <w:szCs w:val="32"/>
        </w:rPr>
        <w:t>preferences</w:t>
      </w:r>
      <w:r w:rsidRPr="00AC36D6">
        <w:rPr>
          <w:rFonts w:eastAsia="Times New Roman" w:cs="Arial"/>
          <w:bCs/>
          <w:kern w:val="32"/>
          <w:szCs w:val="32"/>
        </w:rPr>
        <w:t>.</w:t>
      </w:r>
      <w:r w:rsidR="009934DA" w:rsidRPr="00AC36D6">
        <w:rPr>
          <w:rFonts w:eastAsia="Times New Roman" w:cs="Arial"/>
          <w:bCs/>
          <w:kern w:val="32"/>
          <w:szCs w:val="32"/>
        </w:rPr>
        <w:t xml:space="preserve"> </w:t>
      </w:r>
      <w:r w:rsidR="00B16E0C" w:rsidRPr="00AC36D6">
        <w:rPr>
          <w:rFonts w:eastAsia="Times New Roman" w:cs="Arial"/>
          <w:bCs/>
          <w:kern w:val="32"/>
          <w:szCs w:val="32"/>
        </w:rPr>
        <w:t>With all these restrictions,</w:t>
      </w:r>
      <w:r w:rsidRPr="00AC36D6">
        <w:rPr>
          <w:rFonts w:eastAsia="Times New Roman" w:cs="Arial"/>
          <w:bCs/>
          <w:kern w:val="32"/>
          <w:szCs w:val="32"/>
        </w:rPr>
        <w:t xml:space="preserve"> </w:t>
      </w:r>
      <w:r w:rsidRPr="00AC36D6">
        <w:rPr>
          <w:rFonts w:eastAsia="Times New Roman" w:cs="Arial"/>
          <w:bCs/>
          <w:kern w:val="32"/>
          <w:position w:val="-10"/>
          <w:szCs w:val="32"/>
        </w:rPr>
        <w:object w:dxaOrig="1380" w:dyaOrig="320" w14:anchorId="01B8B615">
          <v:shape id="_x0000_i1237" type="#_x0000_t75" style="width:70.7pt;height:15.85pt" o:ole="">
            <v:imagedata r:id="rId410" o:title=""/>
          </v:shape>
          <o:OLEObject Type="Embed" ProgID="Equation.DSMT4" ShapeID="_x0000_i1237" DrawAspect="Content" ObjectID="_1726484534" r:id="rId411"/>
        </w:object>
      </w:r>
      <w:r w:rsidRPr="00AC36D6">
        <w:rPr>
          <w:rFonts w:eastAsia="Times New Roman" w:cs="Arial"/>
          <w:bCs/>
          <w:kern w:val="32"/>
          <w:szCs w:val="32"/>
        </w:rPr>
        <w:t xml:space="preserve"> has values of ‘1’ </w:t>
      </w:r>
      <w:r w:rsidR="00F61984" w:rsidRPr="00AC36D6">
        <w:rPr>
          <w:rFonts w:eastAsia="Times New Roman" w:cs="Arial"/>
          <w:bCs/>
          <w:kern w:val="32"/>
          <w:szCs w:val="32"/>
        </w:rPr>
        <w:t xml:space="preserve">in </w:t>
      </w:r>
      <w:r w:rsidRPr="00AC36D6">
        <w:rPr>
          <w:rFonts w:eastAsia="Times New Roman" w:cs="Arial"/>
          <w:bCs/>
          <w:kern w:val="32"/>
          <w:szCs w:val="32"/>
        </w:rPr>
        <w:t xml:space="preserve">the first (K-1) diagonal entries, values of </w:t>
      </w:r>
      <w:r w:rsidRPr="00AC36D6">
        <w:rPr>
          <w:rFonts w:eastAsia="Times New Roman" w:cs="Arial"/>
          <w:bCs/>
          <w:kern w:val="32"/>
          <w:position w:val="-10"/>
          <w:szCs w:val="32"/>
        </w:rPr>
        <w:object w:dxaOrig="1080" w:dyaOrig="360" w14:anchorId="262DE712">
          <v:shape id="_x0000_i1238" type="#_x0000_t75" style="width:54.85pt;height:19.3pt" o:ole="">
            <v:imagedata r:id="rId412" o:title=""/>
          </v:shape>
          <o:OLEObject Type="Embed" ProgID="Equation.DSMT4" ShapeID="_x0000_i1238" DrawAspect="Content" ObjectID="_1726484535" r:id="rId413"/>
        </w:object>
      </w:r>
      <w:r w:rsidRPr="00AC36D6">
        <w:rPr>
          <w:rFonts w:eastAsia="Times New Roman" w:cs="Arial"/>
          <w:bCs/>
          <w:kern w:val="32"/>
          <w:szCs w:val="32"/>
        </w:rPr>
        <w:t xml:space="preserve"> </w:t>
      </w:r>
      <w:r w:rsidR="00F61984" w:rsidRPr="00AC36D6">
        <w:rPr>
          <w:rFonts w:eastAsia="Times New Roman" w:cs="Arial"/>
          <w:bCs/>
          <w:kern w:val="32"/>
          <w:szCs w:val="32"/>
        </w:rPr>
        <w:t xml:space="preserve">in </w:t>
      </w:r>
      <w:r w:rsidRPr="00AC36D6">
        <w:rPr>
          <w:rFonts w:eastAsia="Times New Roman" w:cs="Arial"/>
          <w:bCs/>
          <w:kern w:val="32"/>
          <w:szCs w:val="32"/>
        </w:rPr>
        <w:t>the last (K-1) diagonal entries, and all other entries tak</w:t>
      </w:r>
      <w:r w:rsidR="00C2707D" w:rsidRPr="00AC36D6">
        <w:rPr>
          <w:rFonts w:eastAsia="Times New Roman" w:cs="Arial"/>
          <w:bCs/>
          <w:kern w:val="32"/>
          <w:szCs w:val="32"/>
        </w:rPr>
        <w:t>e</w:t>
      </w:r>
      <w:r w:rsidRPr="00AC36D6">
        <w:rPr>
          <w:rFonts w:eastAsia="Times New Roman" w:cs="Arial"/>
          <w:bCs/>
          <w:kern w:val="32"/>
          <w:szCs w:val="32"/>
        </w:rPr>
        <w:t xml:space="preserve"> the value of 0.5. This </w:t>
      </w:r>
      <w:r w:rsidR="002E6FD8" w:rsidRPr="00AC36D6">
        <w:rPr>
          <w:rFonts w:eastAsia="Times New Roman" w:cs="Arial"/>
          <w:bCs/>
          <w:kern w:val="32"/>
          <w:szCs w:val="32"/>
        </w:rPr>
        <w:t xml:space="preserve">covariance structure </w:t>
      </w:r>
      <w:r w:rsidRPr="00AC36D6">
        <w:rPr>
          <w:rFonts w:eastAsia="Times New Roman" w:cs="Arial"/>
          <w:bCs/>
          <w:kern w:val="32"/>
          <w:szCs w:val="32"/>
        </w:rPr>
        <w:t xml:space="preserve">is similar to </w:t>
      </w:r>
      <w:r w:rsidR="002E6FD8" w:rsidRPr="00AC36D6">
        <w:rPr>
          <w:rFonts w:eastAsia="Times New Roman" w:cs="Arial"/>
          <w:bCs/>
          <w:kern w:val="32"/>
          <w:szCs w:val="32"/>
        </w:rPr>
        <w:t xml:space="preserve">that in </w:t>
      </w:r>
      <w:r w:rsidRPr="00AC36D6">
        <w:rPr>
          <w:rFonts w:eastAsia="Times New Roman" w:cs="Arial"/>
          <w:bCs/>
          <w:kern w:val="32"/>
          <w:szCs w:val="32"/>
        </w:rPr>
        <w:t>Bhat’s (2018) flexible MDCEV</w:t>
      </w:r>
      <w:r w:rsidR="002E6FD8" w:rsidRPr="00AC36D6">
        <w:rPr>
          <w:rFonts w:eastAsia="Times New Roman" w:cs="Arial"/>
          <w:bCs/>
          <w:kern w:val="32"/>
          <w:szCs w:val="32"/>
        </w:rPr>
        <w:t xml:space="preserve"> model</w:t>
      </w:r>
      <w:r w:rsidRPr="00AC36D6">
        <w:rPr>
          <w:rFonts w:eastAsia="Times New Roman" w:cs="Arial"/>
          <w:bCs/>
          <w:kern w:val="32"/>
          <w:szCs w:val="32"/>
          <w:vertAlign w:val="superscript"/>
        </w:rPr>
        <w:footnoteReference w:id="7"/>
      </w:r>
      <w:r w:rsidR="0017019F" w:rsidRPr="00AC36D6">
        <w:rPr>
          <w:rFonts w:eastAsia="Times New Roman" w:cs="Arial"/>
          <w:bCs/>
          <w:kern w:val="32"/>
          <w:szCs w:val="32"/>
        </w:rPr>
        <w:t>.</w:t>
      </w:r>
      <w:r w:rsidRPr="00AC36D6">
        <w:rPr>
          <w:rFonts w:eastAsia="Times New Roman" w:cs="Arial"/>
          <w:bCs/>
          <w:kern w:val="32"/>
          <w:szCs w:val="32"/>
        </w:rPr>
        <w:t xml:space="preserve"> While one can use the likelihood function of Equation (15) with the restricti</w:t>
      </w:r>
      <w:r w:rsidR="0090761E" w:rsidRPr="00AC36D6">
        <w:rPr>
          <w:rFonts w:eastAsia="Times New Roman" w:cs="Arial"/>
          <w:bCs/>
          <w:kern w:val="32"/>
          <w:szCs w:val="32"/>
        </w:rPr>
        <w:t>ons on the</w:t>
      </w:r>
      <w:r w:rsidRPr="00AC36D6">
        <w:rPr>
          <w:rFonts w:eastAsia="Times New Roman" w:cs="Arial"/>
          <w:bCs/>
          <w:kern w:val="32"/>
          <w:szCs w:val="32"/>
        </w:rPr>
        <w:t xml:space="preserve"> covariance matrix, there is an easier way to estimate this model. Specifically, using the IID assumption across all the error terms, one can develop the </w:t>
      </w:r>
      <w:r w:rsidR="006909E7" w:rsidRPr="00AC36D6">
        <w:rPr>
          <w:rFonts w:eastAsia="Times New Roman" w:cs="Arial"/>
          <w:bCs/>
          <w:kern w:val="32"/>
          <w:szCs w:val="32"/>
        </w:rPr>
        <w:t>likelihood</w:t>
      </w:r>
      <w:r w:rsidRPr="00AC36D6">
        <w:rPr>
          <w:rFonts w:eastAsia="Times New Roman" w:cs="Arial"/>
          <w:bCs/>
          <w:kern w:val="32"/>
          <w:szCs w:val="32"/>
        </w:rPr>
        <w:t xml:space="preserve"> of the observed consumption pattern conditional on </w:t>
      </w:r>
      <w:r w:rsidRPr="00AC36D6">
        <w:rPr>
          <w:rFonts w:eastAsia="Times New Roman" w:cs="Arial"/>
          <w:bCs/>
          <w:kern w:val="32"/>
          <w:position w:val="-12"/>
          <w:szCs w:val="32"/>
        </w:rPr>
        <w:object w:dxaOrig="300" w:dyaOrig="360" w14:anchorId="74A31279">
          <v:shape id="_x0000_i1239" type="#_x0000_t75" style="width:17.15pt;height:19.3pt" o:ole="">
            <v:imagedata r:id="rId414" o:title=""/>
          </v:shape>
          <o:OLEObject Type="Embed" ProgID="Equation.DSMT4" ShapeID="_x0000_i1239" DrawAspect="Content" ObjectID="_1726484536" r:id="rId415"/>
        </w:object>
      </w:r>
      <w:r w:rsidR="00546AD1" w:rsidRPr="00AC36D6">
        <w:rPr>
          <w:rFonts w:eastAsia="Times New Roman" w:cs="Arial"/>
          <w:bCs/>
          <w:kern w:val="32"/>
          <w:szCs w:val="32"/>
        </w:rPr>
        <w:t xml:space="preserve"> </w:t>
      </w:r>
      <w:r w:rsidR="00B16E0C" w:rsidRPr="00AC36D6">
        <w:t xml:space="preserve">and then </w:t>
      </w:r>
      <w:r w:rsidR="0090761E" w:rsidRPr="00AC36D6">
        <w:t>integrate over the distribution of</w:t>
      </w:r>
      <w:r w:rsidR="00B16E0C" w:rsidRPr="00AC36D6">
        <w:t xml:space="preserve"> </w:t>
      </w:r>
      <w:r w:rsidR="00B16E0C" w:rsidRPr="00AC36D6">
        <w:rPr>
          <w:position w:val="-12"/>
        </w:rPr>
        <w:object w:dxaOrig="300" w:dyaOrig="360" w14:anchorId="00B3BA80">
          <v:shape id="_x0000_i1240" type="#_x0000_t75" style="width:17.15pt;height:19.3pt" o:ole="">
            <v:imagedata r:id="rId414" o:title=""/>
          </v:shape>
          <o:OLEObject Type="Embed" ProgID="Equation.DSMT4" ShapeID="_x0000_i1240" DrawAspect="Content" ObjectID="_1726484537" r:id="rId416"/>
        </w:object>
      </w:r>
      <w:r w:rsidR="00B16E0C" w:rsidRPr="00AC36D6">
        <w:t xml:space="preserve">. </w:t>
      </w:r>
      <w:r w:rsidR="0090761E" w:rsidRPr="00AC36D6">
        <w:t>Doing so results in</w:t>
      </w:r>
      <w:r w:rsidR="00B16E0C" w:rsidRPr="00AC36D6">
        <w:t xml:space="preserve"> the following likelihood expression for the </w:t>
      </w:r>
      <w:r w:rsidR="00AD2DFB" w:rsidRPr="00AC36D6">
        <w:t xml:space="preserve">flexible MDCP model with </w:t>
      </w:r>
      <w:r w:rsidR="00B16E0C" w:rsidRPr="00AC36D6">
        <w:t>IID</w:t>
      </w:r>
      <w:r w:rsidR="00622634" w:rsidRPr="00AC36D6">
        <w:t xml:space="preserve"> </w:t>
      </w:r>
      <w:r w:rsidR="00AD2DFB" w:rsidRPr="00AC36D6">
        <w:t xml:space="preserve">and </w:t>
      </w:r>
      <w:r w:rsidR="00622634" w:rsidRPr="00AC36D6">
        <w:t>uncorrelated</w:t>
      </w:r>
      <w:r w:rsidR="00B16E0C" w:rsidRPr="00AC36D6">
        <w:t xml:space="preserve"> </w:t>
      </w:r>
      <w:r w:rsidR="00B16E0C" w:rsidRPr="00AC36D6">
        <w:rPr>
          <w:i/>
        </w:rPr>
        <w:t>D-</w:t>
      </w:r>
      <w:r w:rsidR="00AD2DFB" w:rsidRPr="00AC36D6">
        <w:rPr>
          <w:i/>
        </w:rPr>
        <w:t xml:space="preserve"> </w:t>
      </w:r>
      <w:r w:rsidR="00AD2DFB" w:rsidRPr="00AC36D6">
        <w:rPr>
          <w:iCs/>
        </w:rPr>
        <w:t>and</w:t>
      </w:r>
      <w:r w:rsidR="00AD2DFB" w:rsidRPr="00AC36D6">
        <w:rPr>
          <w:i/>
        </w:rPr>
        <w:t xml:space="preserve"> </w:t>
      </w:r>
      <w:r w:rsidR="00B16E0C" w:rsidRPr="00AC36D6">
        <w:rPr>
          <w:i/>
        </w:rPr>
        <w:t>C</w:t>
      </w:r>
      <w:r w:rsidR="00AD2DFB" w:rsidRPr="00AC36D6">
        <w:rPr>
          <w:i/>
        </w:rPr>
        <w:t>-</w:t>
      </w:r>
      <w:r w:rsidR="00AD2DFB" w:rsidRPr="00AC36D6">
        <w:rPr>
          <w:iCs/>
        </w:rPr>
        <w:t>preferences</w:t>
      </w:r>
      <w:r w:rsidR="00B16E0C" w:rsidRPr="00AC36D6">
        <w:t>:</w:t>
      </w:r>
    </w:p>
    <w:p w14:paraId="417479CA" w14:textId="7F9B945A" w:rsidR="00B16E0C" w:rsidRPr="00AC36D6" w:rsidRDefault="00B16E0C" w:rsidP="00B16E0C">
      <w:pPr>
        <w:spacing w:line="360" w:lineRule="auto"/>
        <w:jc w:val="both"/>
      </w:pPr>
      <w:r w:rsidRPr="00AC36D6">
        <w:rPr>
          <w:position w:val="-152"/>
        </w:rPr>
        <w:object w:dxaOrig="8320" w:dyaOrig="2580" w14:anchorId="339F1AE0">
          <v:shape id="_x0000_i1241" type="#_x0000_t75" style="width:409.3pt;height:126.85pt" o:ole="" o:preferrelative="f">
            <v:imagedata r:id="rId417" o:title=""/>
          </v:shape>
          <o:OLEObject Type="Embed" ProgID="Equation.DSMT4" ShapeID="_x0000_i1241" DrawAspect="Content" ObjectID="_1726484538" r:id="rId418"/>
        </w:object>
      </w:r>
      <w:r w:rsidRPr="00AC36D6">
        <w:tab/>
        <w:t xml:space="preserve">  (1</w:t>
      </w:r>
      <w:r w:rsidR="007662A4" w:rsidRPr="00AC36D6">
        <w:t>8</w:t>
      </w:r>
      <w:r w:rsidRPr="00AC36D6">
        <w:t>)</w:t>
      </w:r>
    </w:p>
    <w:p w14:paraId="5E3D967E" w14:textId="54A6BEC8" w:rsidR="00CD467D" w:rsidRPr="00AC36D6" w:rsidRDefault="00926A9E" w:rsidP="00087876">
      <w:pPr>
        <w:spacing w:after="0" w:line="360" w:lineRule="auto"/>
        <w:jc w:val="both"/>
      </w:pPr>
      <w:r w:rsidRPr="00AC36D6">
        <w:t xml:space="preserve">Note that the scale </w:t>
      </w:r>
      <w:r w:rsidR="00DD3B70" w:rsidRPr="00AC36D6">
        <w:rPr>
          <w:position w:val="-6"/>
        </w:rPr>
        <w:object w:dxaOrig="240" w:dyaOrig="220" w14:anchorId="00F133D3">
          <v:shape id="_x0000_i1242" type="#_x0000_t75" style="width:11.15pt;height:11.15pt" o:ole="">
            <v:imagedata r:id="rId419" o:title=""/>
          </v:shape>
          <o:OLEObject Type="Embed" ProgID="Equation.DSMT4" ShapeID="_x0000_i1242" DrawAspect="Content" ObjectID="_1726484539" r:id="rId420"/>
        </w:object>
      </w:r>
      <w:r w:rsidR="00DD3B70" w:rsidRPr="00AC36D6">
        <w:t xml:space="preserve"> </w:t>
      </w:r>
      <w:r w:rsidRPr="00AC36D6">
        <w:t>in the above expression is eq</w:t>
      </w:r>
      <w:r w:rsidR="007E2A0E" w:rsidRPr="00AC36D6">
        <w:t>uivalent</w:t>
      </w:r>
      <w:r w:rsidRPr="00AC36D6">
        <w:t xml:space="preserve"> to </w:t>
      </w:r>
      <w:r w:rsidRPr="00AC36D6">
        <w:rPr>
          <w:rFonts w:eastAsia="Times New Roman" w:cs="Arial"/>
          <w:bCs/>
          <w:kern w:val="32"/>
          <w:position w:val="-10"/>
          <w:szCs w:val="32"/>
        </w:rPr>
        <w:object w:dxaOrig="1080" w:dyaOrig="360" w14:anchorId="09F27707">
          <v:shape id="_x0000_i1243" type="#_x0000_t75" style="width:54.85pt;height:19.3pt" o:ole="">
            <v:imagedata r:id="rId412" o:title=""/>
          </v:shape>
          <o:OLEObject Type="Embed" ProgID="Equation.DSMT4" ShapeID="_x0000_i1243" DrawAspect="Content" ObjectID="_1726484540" r:id="rId421"/>
        </w:object>
      </w:r>
      <w:r w:rsidRPr="00AC36D6">
        <w:rPr>
          <w:rFonts w:eastAsia="Times New Roman" w:cs="Arial"/>
          <w:bCs/>
          <w:kern w:val="32"/>
          <w:szCs w:val="32"/>
        </w:rPr>
        <w:t>.</w:t>
      </w:r>
      <w:r w:rsidR="007E2A0E" w:rsidRPr="00AC36D6">
        <w:t xml:space="preserve"> </w:t>
      </w:r>
      <w:r w:rsidR="00B16E0C" w:rsidRPr="00AC36D6">
        <w:t xml:space="preserve">The above likelihood function entails only a single dimensional integral, regardless of the number of alternatives, </w:t>
      </w:r>
      <w:r w:rsidR="00BE4A1B" w:rsidRPr="00AC36D6">
        <w:t xml:space="preserve">and </w:t>
      </w:r>
      <w:r w:rsidR="00B16E0C" w:rsidRPr="00AC36D6">
        <w:t xml:space="preserve">considerably </w:t>
      </w:r>
      <w:r w:rsidR="00142CF1" w:rsidRPr="00AC36D6">
        <w:t xml:space="preserve">simplifies </w:t>
      </w:r>
      <w:r w:rsidR="00B16E0C" w:rsidRPr="00AC36D6">
        <w:t>the estimation.</w:t>
      </w:r>
    </w:p>
    <w:p w14:paraId="7F0548C7" w14:textId="776C97B9" w:rsidR="0007288C" w:rsidRPr="00AC36D6" w:rsidRDefault="00B16E0C" w:rsidP="00087876">
      <w:pPr>
        <w:spacing w:after="0" w:line="360" w:lineRule="auto"/>
        <w:jc w:val="both"/>
      </w:pPr>
      <w:r w:rsidRPr="00AC36D6">
        <w:t xml:space="preserve"> </w:t>
      </w:r>
    </w:p>
    <w:p w14:paraId="3CAF6522" w14:textId="7D61CDEB" w:rsidR="00027B51" w:rsidRPr="00AC36D6" w:rsidRDefault="00695E4C" w:rsidP="00DC571A">
      <w:pPr>
        <w:pStyle w:val="ListParagraph"/>
        <w:numPr>
          <w:ilvl w:val="0"/>
          <w:numId w:val="19"/>
        </w:numPr>
        <w:spacing w:before="120" w:after="0" w:line="360" w:lineRule="auto"/>
        <w:ind w:left="567" w:hanging="567"/>
        <w:rPr>
          <w:b/>
          <w:color w:val="000000" w:themeColor="text1"/>
        </w:rPr>
      </w:pPr>
      <w:r>
        <w:rPr>
          <w:b/>
          <w:color w:val="000000" w:themeColor="text1"/>
        </w:rPr>
        <w:lastRenderedPageBreak/>
        <w:t>EMPIRICAL APPLICATION</w:t>
      </w:r>
    </w:p>
    <w:p w14:paraId="2FC79568" w14:textId="4BBF2764" w:rsidR="00027B51" w:rsidRPr="00AC36D6" w:rsidRDefault="00027B51" w:rsidP="004C7565">
      <w:pPr>
        <w:pStyle w:val="ListParagraph"/>
        <w:numPr>
          <w:ilvl w:val="1"/>
          <w:numId w:val="25"/>
        </w:numPr>
        <w:spacing w:before="120" w:after="0" w:line="360" w:lineRule="auto"/>
        <w:ind w:left="562" w:hanging="562"/>
        <w:contextualSpacing w:val="0"/>
        <w:rPr>
          <w:b/>
          <w:color w:val="000000" w:themeColor="text1"/>
        </w:rPr>
      </w:pPr>
      <w:r w:rsidRPr="00AC36D6">
        <w:rPr>
          <w:b/>
          <w:color w:val="000000" w:themeColor="text1"/>
        </w:rPr>
        <w:t>Sample Data</w:t>
      </w:r>
    </w:p>
    <w:p w14:paraId="0E6EFF54" w14:textId="2818C303" w:rsidR="00BC6412" w:rsidRPr="00AC36D6" w:rsidRDefault="00771DAF" w:rsidP="00087876">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To demonstrate an application of the proposed flexible MDCP model</w:t>
      </w:r>
      <w:r w:rsidR="00067156" w:rsidRPr="00AC36D6">
        <w:rPr>
          <w:rFonts w:eastAsia="Times New Roman" w:cs="Arial"/>
          <w:bCs/>
          <w:color w:val="000000"/>
          <w:kern w:val="32"/>
          <w:szCs w:val="32"/>
        </w:rPr>
        <w:t>,</w:t>
      </w:r>
      <w:r w:rsidRPr="00AC36D6">
        <w:rPr>
          <w:rFonts w:eastAsia="Times New Roman" w:cs="Arial"/>
          <w:bCs/>
          <w:color w:val="000000"/>
          <w:kern w:val="32"/>
          <w:szCs w:val="32"/>
        </w:rPr>
        <w:t xml:space="preserve"> we consider the case of tourism expenditures of domestic tourists in India. </w:t>
      </w:r>
      <w:r w:rsidR="00027B51" w:rsidRPr="00AC36D6">
        <w:rPr>
          <w:rFonts w:eastAsia="Times New Roman" w:cs="Arial"/>
          <w:bCs/>
          <w:color w:val="000000"/>
          <w:kern w:val="32"/>
          <w:szCs w:val="32"/>
        </w:rPr>
        <w:t xml:space="preserve">The empirical data for this analysis comes from the </w:t>
      </w:r>
      <w:r w:rsidR="00091B21" w:rsidRPr="00AC36D6">
        <w:rPr>
          <w:rFonts w:eastAsia="Times New Roman" w:cs="Arial"/>
          <w:bCs/>
          <w:color w:val="000000"/>
          <w:kern w:val="32"/>
          <w:szCs w:val="32"/>
        </w:rPr>
        <w:t>d</w:t>
      </w:r>
      <w:r w:rsidR="00027B51" w:rsidRPr="00AC36D6">
        <w:rPr>
          <w:rFonts w:eastAsia="Times New Roman" w:cs="Arial"/>
          <w:bCs/>
          <w:color w:val="000000"/>
          <w:kern w:val="32"/>
          <w:szCs w:val="32"/>
        </w:rPr>
        <w:t xml:space="preserve">omestic </w:t>
      </w:r>
      <w:r w:rsidR="00091B21" w:rsidRPr="00AC36D6">
        <w:rPr>
          <w:rFonts w:eastAsia="Times New Roman" w:cs="Arial"/>
          <w:bCs/>
          <w:color w:val="000000"/>
          <w:kern w:val="32"/>
          <w:szCs w:val="32"/>
        </w:rPr>
        <w:t>t</w:t>
      </w:r>
      <w:r w:rsidR="00027B51" w:rsidRPr="00AC36D6">
        <w:rPr>
          <w:rFonts w:eastAsia="Times New Roman" w:cs="Arial"/>
          <w:bCs/>
          <w:color w:val="000000"/>
          <w:kern w:val="32"/>
          <w:szCs w:val="32"/>
        </w:rPr>
        <w:t xml:space="preserve">ourism </w:t>
      </w:r>
      <w:r w:rsidR="00091B21" w:rsidRPr="00AC36D6">
        <w:rPr>
          <w:rFonts w:eastAsia="Times New Roman" w:cs="Arial"/>
          <w:bCs/>
          <w:color w:val="000000"/>
          <w:kern w:val="32"/>
          <w:szCs w:val="32"/>
        </w:rPr>
        <w:t>e</w:t>
      </w:r>
      <w:r w:rsidR="00027B51" w:rsidRPr="00AC36D6">
        <w:rPr>
          <w:rFonts w:eastAsia="Times New Roman" w:cs="Arial"/>
          <w:bCs/>
          <w:color w:val="000000"/>
          <w:kern w:val="32"/>
          <w:szCs w:val="32"/>
        </w:rPr>
        <w:t>xpenditure survey carried</w:t>
      </w:r>
      <w:r w:rsidR="00A2498F" w:rsidRPr="00AC36D6">
        <w:rPr>
          <w:rFonts w:eastAsia="Times New Roman" w:cs="Arial"/>
          <w:bCs/>
          <w:color w:val="000000"/>
          <w:kern w:val="32"/>
          <w:szCs w:val="32"/>
        </w:rPr>
        <w:t xml:space="preserve"> </w:t>
      </w:r>
      <w:r w:rsidR="00027B51" w:rsidRPr="00AC36D6">
        <w:rPr>
          <w:rFonts w:eastAsia="Times New Roman" w:cs="Arial"/>
          <w:bCs/>
          <w:color w:val="000000"/>
          <w:kern w:val="32"/>
          <w:szCs w:val="32"/>
        </w:rPr>
        <w:t>out by the National Sample Survey Office (NSSO)</w:t>
      </w:r>
      <w:r w:rsidR="00067156" w:rsidRPr="00AC36D6">
        <w:rPr>
          <w:rFonts w:eastAsia="Times New Roman" w:cs="Arial"/>
          <w:bCs/>
          <w:color w:val="000000"/>
          <w:kern w:val="32"/>
          <w:szCs w:val="32"/>
        </w:rPr>
        <w:t xml:space="preserve"> </w:t>
      </w:r>
      <w:r w:rsidR="00550B14" w:rsidRPr="00AC36D6">
        <w:rPr>
          <w:rFonts w:eastAsia="Times New Roman" w:cs="Arial"/>
          <w:bCs/>
          <w:color w:val="000000"/>
          <w:kern w:val="32"/>
          <w:szCs w:val="32"/>
        </w:rPr>
        <w:t>under the Ministry of Statistics and Program Implementation</w:t>
      </w:r>
      <w:r w:rsidR="00FA08F3" w:rsidRPr="00AC36D6">
        <w:rPr>
          <w:rFonts w:eastAsia="Times New Roman" w:cs="Arial"/>
          <w:bCs/>
          <w:color w:val="000000"/>
          <w:kern w:val="32"/>
          <w:szCs w:val="32"/>
        </w:rPr>
        <w:t xml:space="preserve"> (MOSPI) of the</w:t>
      </w:r>
      <w:r w:rsidR="00550B14" w:rsidRPr="00AC36D6">
        <w:rPr>
          <w:rFonts w:eastAsia="Times New Roman" w:cs="Arial"/>
          <w:bCs/>
          <w:color w:val="000000"/>
          <w:kern w:val="32"/>
          <w:szCs w:val="32"/>
        </w:rPr>
        <w:t xml:space="preserve"> Go</w:t>
      </w:r>
      <w:r w:rsidR="00FA08F3" w:rsidRPr="00AC36D6">
        <w:rPr>
          <w:rFonts w:eastAsia="Times New Roman" w:cs="Arial"/>
          <w:bCs/>
          <w:color w:val="000000"/>
          <w:kern w:val="32"/>
          <w:szCs w:val="32"/>
        </w:rPr>
        <w:t xml:space="preserve">vernment of </w:t>
      </w:r>
      <w:r w:rsidR="00550B14" w:rsidRPr="00AC36D6">
        <w:rPr>
          <w:rFonts w:eastAsia="Times New Roman" w:cs="Arial"/>
          <w:bCs/>
          <w:color w:val="000000"/>
          <w:kern w:val="32"/>
          <w:szCs w:val="32"/>
        </w:rPr>
        <w:t>I</w:t>
      </w:r>
      <w:r w:rsidR="00FA08F3" w:rsidRPr="00AC36D6">
        <w:rPr>
          <w:rFonts w:eastAsia="Times New Roman" w:cs="Arial"/>
          <w:bCs/>
          <w:color w:val="000000"/>
          <w:kern w:val="32"/>
          <w:szCs w:val="32"/>
        </w:rPr>
        <w:t>ndia</w:t>
      </w:r>
      <w:r w:rsidR="00027B51" w:rsidRPr="00AC36D6">
        <w:rPr>
          <w:rFonts w:eastAsia="Times New Roman" w:cs="Arial"/>
          <w:bCs/>
          <w:color w:val="000000"/>
          <w:kern w:val="32"/>
          <w:szCs w:val="32"/>
        </w:rPr>
        <w:t xml:space="preserve"> (</w:t>
      </w:r>
      <w:r w:rsidR="00460DC4" w:rsidRPr="00AC36D6">
        <w:rPr>
          <w:noProof/>
        </w:rPr>
        <w:t>NSS 72</w:t>
      </w:r>
      <w:r w:rsidR="00460DC4" w:rsidRPr="00AC36D6">
        <w:rPr>
          <w:noProof/>
          <w:vertAlign w:val="superscript"/>
        </w:rPr>
        <w:t>nd</w:t>
      </w:r>
      <w:r w:rsidR="00460DC4" w:rsidRPr="00AC36D6">
        <w:rPr>
          <w:noProof/>
        </w:rPr>
        <w:t xml:space="preserve"> round </w:t>
      </w:r>
      <w:r w:rsidR="00C21DCB" w:rsidRPr="00AC36D6">
        <w:rPr>
          <w:noProof/>
        </w:rPr>
        <w:t>survey carr</w:t>
      </w:r>
      <w:r w:rsidR="002655F1" w:rsidRPr="00AC36D6">
        <w:rPr>
          <w:noProof/>
        </w:rPr>
        <w:t>ie</w:t>
      </w:r>
      <w:r w:rsidR="00C21DCB" w:rsidRPr="00AC36D6">
        <w:rPr>
          <w:noProof/>
        </w:rPr>
        <w:t xml:space="preserve">d out from </w:t>
      </w:r>
      <w:r w:rsidR="00460DC4" w:rsidRPr="00AC36D6">
        <w:rPr>
          <w:noProof/>
        </w:rPr>
        <w:t xml:space="preserve">July 2014 </w:t>
      </w:r>
      <w:r w:rsidR="00713438" w:rsidRPr="00AC36D6">
        <w:rPr>
          <w:noProof/>
        </w:rPr>
        <w:t>to</w:t>
      </w:r>
      <w:r w:rsidR="00460DC4" w:rsidRPr="00AC36D6">
        <w:rPr>
          <w:noProof/>
        </w:rPr>
        <w:t xml:space="preserve"> June 2015</w:t>
      </w:r>
      <w:r w:rsidR="00027B51" w:rsidRPr="00AC36D6">
        <w:rPr>
          <w:rFonts w:eastAsia="Times New Roman" w:cs="Arial"/>
          <w:bCs/>
          <w:color w:val="000000"/>
          <w:kern w:val="32"/>
          <w:szCs w:val="32"/>
        </w:rPr>
        <w:t>).</w:t>
      </w:r>
      <w:r w:rsidRPr="00AC36D6">
        <w:rPr>
          <w:rFonts w:eastAsia="Times New Roman" w:cs="Arial"/>
          <w:bCs/>
          <w:color w:val="000000"/>
          <w:kern w:val="32"/>
          <w:szCs w:val="32"/>
        </w:rPr>
        <w:t xml:space="preserve"> The data contains information on </w:t>
      </w:r>
      <w:r w:rsidR="004A4710" w:rsidRPr="00AC36D6">
        <w:rPr>
          <w:rFonts w:eastAsia="Times New Roman" w:cs="Arial"/>
          <w:bCs/>
          <w:color w:val="000000"/>
          <w:kern w:val="32"/>
          <w:szCs w:val="32"/>
        </w:rPr>
        <w:t>domestic</w:t>
      </w:r>
      <w:r w:rsidRPr="00AC36D6">
        <w:rPr>
          <w:rFonts w:eastAsia="Times New Roman" w:cs="Arial"/>
          <w:bCs/>
          <w:color w:val="000000"/>
          <w:kern w:val="32"/>
          <w:szCs w:val="32"/>
        </w:rPr>
        <w:t xml:space="preserve"> trips </w:t>
      </w:r>
      <w:r w:rsidR="00F54CD3" w:rsidRPr="00AC36D6">
        <w:rPr>
          <w:rFonts w:eastAsia="Times New Roman" w:cs="Arial"/>
          <w:bCs/>
          <w:color w:val="000000"/>
          <w:kern w:val="32"/>
          <w:szCs w:val="32"/>
        </w:rPr>
        <w:t>(</w:t>
      </w:r>
      <w:r w:rsidRPr="00AC36D6">
        <w:rPr>
          <w:rFonts w:eastAsia="Times New Roman" w:cs="Arial"/>
          <w:bCs/>
          <w:color w:val="000000"/>
          <w:kern w:val="32"/>
          <w:szCs w:val="32"/>
        </w:rPr>
        <w:t>undertaken by Indian households</w:t>
      </w:r>
      <w:r w:rsidR="00F54CD3" w:rsidRPr="00AC36D6">
        <w:rPr>
          <w:rFonts w:eastAsia="Times New Roman" w:cs="Arial"/>
          <w:bCs/>
          <w:color w:val="000000"/>
          <w:kern w:val="32"/>
          <w:szCs w:val="32"/>
        </w:rPr>
        <w:t>)</w:t>
      </w:r>
      <w:r w:rsidRPr="00AC36D6">
        <w:rPr>
          <w:rFonts w:eastAsia="Times New Roman" w:cs="Arial"/>
          <w:bCs/>
          <w:color w:val="000000"/>
          <w:kern w:val="32"/>
          <w:szCs w:val="32"/>
        </w:rPr>
        <w:t xml:space="preserve"> </w:t>
      </w:r>
      <w:r w:rsidR="008D0EFB" w:rsidRPr="00AC36D6">
        <w:rPr>
          <w:rFonts w:eastAsia="Times New Roman" w:cs="Arial"/>
          <w:bCs/>
          <w:color w:val="000000"/>
          <w:kern w:val="32"/>
          <w:szCs w:val="32"/>
        </w:rPr>
        <w:t xml:space="preserve">that involved at least </w:t>
      </w:r>
      <w:r w:rsidR="00EE5F7A" w:rsidRPr="00AC36D6">
        <w:rPr>
          <w:rFonts w:eastAsia="Times New Roman" w:cs="Arial"/>
          <w:bCs/>
          <w:color w:val="000000"/>
          <w:kern w:val="32"/>
          <w:szCs w:val="32"/>
        </w:rPr>
        <w:t>one</w:t>
      </w:r>
      <w:r w:rsidR="008D0EFB" w:rsidRPr="00AC36D6">
        <w:rPr>
          <w:rFonts w:eastAsia="Times New Roman" w:cs="Arial"/>
          <w:bCs/>
          <w:color w:val="000000"/>
          <w:kern w:val="32"/>
          <w:szCs w:val="32"/>
        </w:rPr>
        <w:t xml:space="preserve"> overnight stay away from the households</w:t>
      </w:r>
      <w:r w:rsidR="00EA5A52" w:rsidRPr="00AC36D6">
        <w:rPr>
          <w:rFonts w:eastAsia="Times New Roman" w:cs="Arial"/>
          <w:bCs/>
          <w:color w:val="000000"/>
          <w:kern w:val="32"/>
          <w:szCs w:val="32"/>
        </w:rPr>
        <w:t>’</w:t>
      </w:r>
      <w:r w:rsidR="008D0EFB" w:rsidRPr="00AC36D6">
        <w:rPr>
          <w:rFonts w:eastAsia="Times New Roman" w:cs="Arial"/>
          <w:bCs/>
          <w:color w:val="000000"/>
          <w:kern w:val="32"/>
          <w:szCs w:val="32"/>
        </w:rPr>
        <w:t xml:space="preserve"> usual place of residence (UPR)</w:t>
      </w:r>
      <w:r w:rsidR="00536976" w:rsidRPr="00AC36D6">
        <w:rPr>
          <w:rFonts w:eastAsia="Times New Roman" w:cs="Arial"/>
          <w:bCs/>
          <w:color w:val="000000"/>
          <w:kern w:val="32"/>
          <w:szCs w:val="32"/>
        </w:rPr>
        <w:t xml:space="preserve"> for any of the following purposes: </w:t>
      </w:r>
      <w:r w:rsidR="004A4710" w:rsidRPr="00AC36D6">
        <w:rPr>
          <w:rFonts w:eastAsia="Times New Roman" w:cs="Arial"/>
          <w:bCs/>
          <w:color w:val="000000"/>
          <w:kern w:val="32"/>
          <w:szCs w:val="32"/>
        </w:rPr>
        <w:t>leisure and recreation</w:t>
      </w:r>
      <w:r w:rsidR="008344E9" w:rsidRPr="00AC36D6">
        <w:rPr>
          <w:rFonts w:eastAsia="Times New Roman" w:cs="Arial"/>
          <w:bCs/>
          <w:color w:val="000000"/>
          <w:kern w:val="32"/>
          <w:szCs w:val="32"/>
        </w:rPr>
        <w:t xml:space="preserve">, </w:t>
      </w:r>
      <w:r w:rsidR="00C23B16" w:rsidRPr="00AC36D6">
        <w:rPr>
          <w:rFonts w:eastAsia="Times New Roman" w:cs="Arial"/>
          <w:bCs/>
          <w:color w:val="000000"/>
          <w:kern w:val="32"/>
          <w:szCs w:val="32"/>
        </w:rPr>
        <w:t xml:space="preserve">shopping, </w:t>
      </w:r>
      <w:r w:rsidR="006D74EC" w:rsidRPr="00AC36D6">
        <w:rPr>
          <w:rFonts w:eastAsia="Times New Roman" w:cs="Arial"/>
          <w:bCs/>
          <w:color w:val="000000"/>
          <w:kern w:val="32"/>
          <w:szCs w:val="32"/>
        </w:rPr>
        <w:t>or</w:t>
      </w:r>
      <w:r w:rsidR="008344E9" w:rsidRPr="00AC36D6">
        <w:rPr>
          <w:rFonts w:eastAsia="Times New Roman" w:cs="Arial"/>
          <w:bCs/>
          <w:color w:val="000000"/>
          <w:kern w:val="32"/>
          <w:szCs w:val="32"/>
        </w:rPr>
        <w:t xml:space="preserve"> health and medicine</w:t>
      </w:r>
      <w:r w:rsidRPr="00AC36D6">
        <w:rPr>
          <w:rFonts w:eastAsia="Times New Roman" w:cs="Arial"/>
          <w:bCs/>
          <w:color w:val="000000"/>
          <w:kern w:val="32"/>
          <w:szCs w:val="32"/>
        </w:rPr>
        <w:t>.</w:t>
      </w:r>
      <w:r w:rsidR="00C23B16" w:rsidRPr="00AC36D6">
        <w:rPr>
          <w:rFonts w:eastAsia="Times New Roman" w:cs="Arial"/>
          <w:bCs/>
          <w:color w:val="000000"/>
          <w:kern w:val="32"/>
          <w:szCs w:val="32"/>
        </w:rPr>
        <w:t xml:space="preserve"> </w:t>
      </w:r>
      <w:r w:rsidR="00DF62B9" w:rsidRPr="00AC36D6">
        <w:rPr>
          <w:rFonts w:eastAsia="Times New Roman" w:cs="Arial"/>
          <w:bCs/>
          <w:color w:val="000000"/>
          <w:kern w:val="32"/>
          <w:szCs w:val="32"/>
        </w:rPr>
        <w:t xml:space="preserve">For each </w:t>
      </w:r>
      <w:r w:rsidR="009C7AF5" w:rsidRPr="00AC36D6">
        <w:rPr>
          <w:rFonts w:eastAsia="Times New Roman" w:cs="Arial"/>
          <w:bCs/>
          <w:color w:val="000000"/>
          <w:kern w:val="32"/>
          <w:szCs w:val="32"/>
        </w:rPr>
        <w:t>surveyed</w:t>
      </w:r>
      <w:r w:rsidR="00DF62B9" w:rsidRPr="00AC36D6">
        <w:rPr>
          <w:rFonts w:eastAsia="Times New Roman" w:cs="Arial"/>
          <w:bCs/>
          <w:color w:val="000000"/>
          <w:kern w:val="32"/>
          <w:szCs w:val="32"/>
        </w:rPr>
        <w:t xml:space="preserve"> household, a</w:t>
      </w:r>
      <w:r w:rsidR="006D74EC" w:rsidRPr="00AC36D6">
        <w:rPr>
          <w:rFonts w:eastAsia="Times New Roman" w:cs="Arial"/>
          <w:bCs/>
          <w:color w:val="000000"/>
          <w:kern w:val="32"/>
          <w:szCs w:val="32"/>
        </w:rPr>
        <w:t xml:space="preserve">ll such trips made by </w:t>
      </w:r>
      <w:r w:rsidR="00DF62B9" w:rsidRPr="00AC36D6">
        <w:rPr>
          <w:rFonts w:eastAsia="Times New Roman" w:cs="Arial"/>
          <w:bCs/>
          <w:color w:val="000000"/>
          <w:kern w:val="32"/>
          <w:szCs w:val="32"/>
        </w:rPr>
        <w:t>the</w:t>
      </w:r>
      <w:r w:rsidR="006D74EC" w:rsidRPr="00AC36D6">
        <w:rPr>
          <w:rFonts w:eastAsia="Times New Roman" w:cs="Arial"/>
          <w:bCs/>
          <w:color w:val="000000"/>
          <w:kern w:val="32"/>
          <w:szCs w:val="32"/>
        </w:rPr>
        <w:t xml:space="preserve"> household </w:t>
      </w:r>
      <w:r w:rsidR="00DF62B9" w:rsidRPr="00AC36D6">
        <w:rPr>
          <w:rFonts w:eastAsia="Times New Roman" w:cs="Arial"/>
          <w:bCs/>
          <w:color w:val="000000"/>
          <w:kern w:val="32"/>
          <w:szCs w:val="32"/>
        </w:rPr>
        <w:t>members over a period of 365 days before the survey day were recorded.</w:t>
      </w:r>
      <w:r w:rsidR="000D30F6" w:rsidRPr="00AC36D6">
        <w:rPr>
          <w:rFonts w:eastAsia="Times New Roman" w:cs="Arial"/>
          <w:bCs/>
          <w:color w:val="000000"/>
          <w:kern w:val="32"/>
          <w:szCs w:val="32"/>
        </w:rPr>
        <w:t xml:space="preserve"> </w:t>
      </w:r>
      <w:r w:rsidR="00027B51" w:rsidRPr="00AC36D6">
        <w:rPr>
          <w:rFonts w:eastAsia="Times New Roman" w:cs="Arial"/>
          <w:bCs/>
          <w:color w:val="000000"/>
          <w:kern w:val="32"/>
          <w:szCs w:val="32"/>
        </w:rPr>
        <w:t>For each domestic trip, the survey recorded expenditures across six expenditure</w:t>
      </w:r>
      <w:r w:rsidR="003D4D37" w:rsidRPr="00AC36D6">
        <w:rPr>
          <w:rFonts w:eastAsia="Times New Roman" w:cs="Arial"/>
          <w:bCs/>
          <w:color w:val="000000"/>
          <w:kern w:val="32"/>
          <w:szCs w:val="32"/>
        </w:rPr>
        <w:t xml:space="preserve"> classes:</w:t>
      </w:r>
      <w:r w:rsidR="00027B51" w:rsidRPr="00AC36D6">
        <w:rPr>
          <w:rFonts w:eastAsia="Times New Roman" w:cs="Arial"/>
          <w:bCs/>
          <w:color w:val="000000"/>
          <w:kern w:val="32"/>
          <w:szCs w:val="32"/>
        </w:rPr>
        <w:t xml:space="preserve"> </w:t>
      </w:r>
      <w:r w:rsidR="00E855B1" w:rsidRPr="00AC36D6">
        <w:rPr>
          <w:rFonts w:eastAsia="Times New Roman" w:cs="Arial"/>
          <w:bCs/>
          <w:color w:val="000000"/>
          <w:kern w:val="32"/>
          <w:szCs w:val="32"/>
        </w:rPr>
        <w:t xml:space="preserve">(a) </w:t>
      </w:r>
      <w:r w:rsidR="00027B51" w:rsidRPr="00AC36D6">
        <w:rPr>
          <w:rFonts w:eastAsia="Times New Roman" w:cs="Arial"/>
          <w:bCs/>
          <w:color w:val="000000"/>
          <w:kern w:val="32"/>
          <w:szCs w:val="32"/>
        </w:rPr>
        <w:t xml:space="preserve">transportation, </w:t>
      </w:r>
      <w:r w:rsidR="00E855B1" w:rsidRPr="00AC36D6">
        <w:rPr>
          <w:rFonts w:eastAsia="Times New Roman" w:cs="Arial"/>
          <w:bCs/>
          <w:color w:val="000000"/>
          <w:kern w:val="32"/>
          <w:szCs w:val="32"/>
        </w:rPr>
        <w:t xml:space="preserve">(b) </w:t>
      </w:r>
      <w:r w:rsidR="00027B51" w:rsidRPr="00AC36D6">
        <w:rPr>
          <w:rFonts w:eastAsia="Times New Roman" w:cs="Arial"/>
          <w:bCs/>
          <w:color w:val="000000"/>
          <w:kern w:val="32"/>
          <w:szCs w:val="32"/>
        </w:rPr>
        <w:t xml:space="preserve">accommodation, </w:t>
      </w:r>
      <w:r w:rsidR="00E855B1" w:rsidRPr="00AC36D6">
        <w:rPr>
          <w:rFonts w:eastAsia="Times New Roman" w:cs="Arial"/>
          <w:bCs/>
          <w:color w:val="000000"/>
          <w:kern w:val="32"/>
          <w:szCs w:val="32"/>
        </w:rPr>
        <w:t xml:space="preserve">(c) </w:t>
      </w:r>
      <w:r w:rsidR="00027B51" w:rsidRPr="00AC36D6">
        <w:rPr>
          <w:rFonts w:eastAsia="Times New Roman" w:cs="Arial"/>
          <w:bCs/>
          <w:color w:val="000000"/>
          <w:kern w:val="32"/>
          <w:szCs w:val="32"/>
        </w:rPr>
        <w:t xml:space="preserve">food and beverages, </w:t>
      </w:r>
      <w:r w:rsidR="00E855B1" w:rsidRPr="00AC36D6">
        <w:rPr>
          <w:rFonts w:eastAsia="Times New Roman" w:cs="Arial"/>
          <w:bCs/>
          <w:color w:val="000000"/>
          <w:kern w:val="32"/>
          <w:szCs w:val="32"/>
        </w:rPr>
        <w:t xml:space="preserve">(d) </w:t>
      </w:r>
      <w:r w:rsidR="00027B51" w:rsidRPr="00AC36D6">
        <w:rPr>
          <w:rFonts w:eastAsia="Times New Roman" w:cs="Arial"/>
          <w:bCs/>
          <w:color w:val="000000"/>
          <w:kern w:val="32"/>
          <w:szCs w:val="32"/>
        </w:rPr>
        <w:t xml:space="preserve">shopping, </w:t>
      </w:r>
      <w:r w:rsidR="00E855B1" w:rsidRPr="00AC36D6">
        <w:rPr>
          <w:rFonts w:eastAsia="Times New Roman" w:cs="Arial"/>
          <w:bCs/>
          <w:color w:val="000000"/>
          <w:kern w:val="32"/>
          <w:szCs w:val="32"/>
        </w:rPr>
        <w:t xml:space="preserve">(e) </w:t>
      </w:r>
      <w:r w:rsidR="00027B51" w:rsidRPr="00AC36D6">
        <w:rPr>
          <w:rFonts w:eastAsia="Times New Roman" w:cs="Arial"/>
          <w:bCs/>
          <w:color w:val="000000"/>
          <w:kern w:val="32"/>
          <w:szCs w:val="32"/>
        </w:rPr>
        <w:t xml:space="preserve">recreation and leisure, and </w:t>
      </w:r>
      <w:r w:rsidR="00E855B1" w:rsidRPr="00AC36D6">
        <w:rPr>
          <w:rFonts w:eastAsia="Times New Roman" w:cs="Arial"/>
          <w:bCs/>
          <w:color w:val="000000"/>
          <w:kern w:val="32"/>
          <w:szCs w:val="32"/>
        </w:rPr>
        <w:t xml:space="preserve">(f) </w:t>
      </w:r>
      <w:r w:rsidR="00027B51" w:rsidRPr="00AC36D6">
        <w:rPr>
          <w:rFonts w:eastAsia="Times New Roman" w:cs="Arial"/>
          <w:bCs/>
          <w:color w:val="000000"/>
          <w:kern w:val="32"/>
          <w:szCs w:val="32"/>
        </w:rPr>
        <w:t>health</w:t>
      </w:r>
      <w:r w:rsidR="00550B14" w:rsidRPr="00AC36D6">
        <w:rPr>
          <w:rFonts w:eastAsia="Times New Roman" w:cs="Arial"/>
          <w:bCs/>
          <w:color w:val="000000"/>
          <w:kern w:val="32"/>
          <w:szCs w:val="32"/>
        </w:rPr>
        <w:t xml:space="preserve"> and medicine</w:t>
      </w:r>
      <w:r w:rsidR="00027B51" w:rsidRPr="00AC36D6">
        <w:rPr>
          <w:rFonts w:eastAsia="Times New Roman" w:cs="Arial"/>
          <w:bCs/>
          <w:color w:val="000000"/>
          <w:kern w:val="32"/>
          <w:szCs w:val="32"/>
        </w:rPr>
        <w:t>.</w:t>
      </w:r>
      <w:r w:rsidR="006670C1" w:rsidRPr="00AC36D6">
        <w:rPr>
          <w:rFonts w:eastAsia="Times New Roman" w:cs="Arial"/>
          <w:bCs/>
          <w:color w:val="000000"/>
          <w:kern w:val="32"/>
          <w:szCs w:val="32"/>
        </w:rPr>
        <w:t xml:space="preserve"> Among the</w:t>
      </w:r>
      <w:r w:rsidR="00971A60" w:rsidRPr="00AC36D6">
        <w:rPr>
          <w:rFonts w:eastAsia="Times New Roman" w:cs="Arial"/>
          <w:bCs/>
          <w:color w:val="000000"/>
          <w:kern w:val="32"/>
          <w:szCs w:val="32"/>
        </w:rPr>
        <w:t>se</w:t>
      </w:r>
      <w:r w:rsidR="006670C1" w:rsidRPr="00AC36D6">
        <w:rPr>
          <w:rFonts w:eastAsia="Times New Roman" w:cs="Arial"/>
          <w:bCs/>
          <w:color w:val="000000"/>
          <w:kern w:val="32"/>
          <w:szCs w:val="32"/>
        </w:rPr>
        <w:t xml:space="preserve"> trips, the most recent trip </w:t>
      </w:r>
      <w:r w:rsidR="00AF52AA" w:rsidRPr="00AC36D6">
        <w:rPr>
          <w:rFonts w:eastAsia="Times New Roman" w:cs="Arial"/>
          <w:bCs/>
          <w:color w:val="000000"/>
          <w:kern w:val="32"/>
          <w:szCs w:val="32"/>
        </w:rPr>
        <w:t xml:space="preserve">of the household </w:t>
      </w:r>
      <w:r w:rsidR="008344E9" w:rsidRPr="00AC36D6">
        <w:rPr>
          <w:rFonts w:eastAsia="Times New Roman" w:cs="Arial"/>
          <w:bCs/>
          <w:color w:val="000000"/>
          <w:kern w:val="32"/>
          <w:szCs w:val="32"/>
        </w:rPr>
        <w:t>with the primary purpose of leisure and recreation</w:t>
      </w:r>
      <w:r w:rsidR="00192194" w:rsidRPr="00AC36D6">
        <w:rPr>
          <w:rFonts w:eastAsia="Times New Roman" w:cs="Arial"/>
          <w:bCs/>
          <w:color w:val="000000"/>
          <w:kern w:val="32"/>
          <w:szCs w:val="32"/>
        </w:rPr>
        <w:t xml:space="preserve"> was considered</w:t>
      </w:r>
      <w:r w:rsidR="006670C1" w:rsidRPr="00AC36D6">
        <w:rPr>
          <w:rFonts w:eastAsia="Times New Roman" w:cs="Arial"/>
          <w:bCs/>
          <w:color w:val="000000"/>
          <w:kern w:val="32"/>
          <w:szCs w:val="32"/>
        </w:rPr>
        <w:t xml:space="preserve">. </w:t>
      </w:r>
      <w:r w:rsidR="00971A60" w:rsidRPr="00AC36D6">
        <w:rPr>
          <w:rFonts w:eastAsia="Times New Roman" w:cs="Arial"/>
          <w:bCs/>
          <w:color w:val="000000"/>
          <w:kern w:val="32"/>
          <w:szCs w:val="32"/>
        </w:rPr>
        <w:t>O</w:t>
      </w:r>
      <w:r w:rsidR="006670C1" w:rsidRPr="00AC36D6">
        <w:rPr>
          <w:rFonts w:eastAsia="Times New Roman" w:cs="Arial"/>
          <w:bCs/>
          <w:color w:val="000000"/>
          <w:kern w:val="32"/>
          <w:szCs w:val="32"/>
        </w:rPr>
        <w:t>nly those trips that were not reimbursed by an employer or other source</w:t>
      </w:r>
      <w:r w:rsidR="00A07038" w:rsidRPr="00AC36D6">
        <w:rPr>
          <w:rFonts w:eastAsia="Times New Roman" w:cs="Arial"/>
          <w:bCs/>
          <w:color w:val="000000"/>
          <w:kern w:val="32"/>
          <w:szCs w:val="32"/>
        </w:rPr>
        <w:t>s</w:t>
      </w:r>
      <w:r w:rsidR="006670C1" w:rsidRPr="00AC36D6">
        <w:rPr>
          <w:rFonts w:eastAsia="Times New Roman" w:cs="Arial"/>
          <w:bCs/>
          <w:color w:val="000000"/>
          <w:kern w:val="32"/>
          <w:szCs w:val="32"/>
        </w:rPr>
        <w:t xml:space="preserve"> were considered</w:t>
      </w:r>
      <w:r w:rsidR="00971A60" w:rsidRPr="00AC36D6">
        <w:rPr>
          <w:rFonts w:eastAsia="Times New Roman" w:cs="Arial"/>
          <w:bCs/>
          <w:color w:val="000000"/>
          <w:kern w:val="32"/>
          <w:szCs w:val="32"/>
        </w:rPr>
        <w:t>;</w:t>
      </w:r>
      <w:r w:rsidR="006670C1" w:rsidRPr="00AC36D6">
        <w:rPr>
          <w:rFonts w:eastAsia="Times New Roman" w:cs="Arial"/>
          <w:bCs/>
          <w:color w:val="000000"/>
          <w:kern w:val="32"/>
          <w:szCs w:val="32"/>
        </w:rPr>
        <w:t xml:space="preserve"> package-deal trips were removed from consideration since these trips did not contain information on expenditure by category.</w:t>
      </w:r>
      <w:r w:rsidR="008344E9" w:rsidRPr="00AC36D6">
        <w:rPr>
          <w:rFonts w:eastAsia="Times New Roman" w:cs="Arial"/>
          <w:bCs/>
          <w:color w:val="000000"/>
          <w:kern w:val="32"/>
          <w:szCs w:val="32"/>
        </w:rPr>
        <w:t xml:space="preserve"> </w:t>
      </w:r>
      <w:r w:rsidR="00971A60" w:rsidRPr="00AC36D6">
        <w:rPr>
          <w:rFonts w:eastAsia="Times New Roman" w:cs="Arial"/>
          <w:bCs/>
          <w:color w:val="000000"/>
          <w:kern w:val="32"/>
          <w:szCs w:val="32"/>
        </w:rPr>
        <w:t>T</w:t>
      </w:r>
      <w:r w:rsidR="008344E9" w:rsidRPr="00AC36D6">
        <w:rPr>
          <w:rFonts w:eastAsia="Times New Roman" w:cs="Arial"/>
          <w:bCs/>
          <w:color w:val="000000"/>
          <w:kern w:val="32"/>
          <w:szCs w:val="32"/>
        </w:rPr>
        <w:t>he final sample had information on</w:t>
      </w:r>
      <w:r w:rsidR="00D67157" w:rsidRPr="00AC36D6">
        <w:rPr>
          <w:rFonts w:eastAsia="Times New Roman" w:cs="Arial"/>
          <w:bCs/>
          <w:color w:val="000000"/>
          <w:kern w:val="32"/>
          <w:szCs w:val="32"/>
        </w:rPr>
        <w:t xml:space="preserve"> the expenditure patterns of</w:t>
      </w:r>
      <w:r w:rsidR="008344E9" w:rsidRPr="00AC36D6">
        <w:rPr>
          <w:rFonts w:eastAsia="Times New Roman" w:cs="Arial"/>
          <w:bCs/>
          <w:color w:val="000000"/>
          <w:kern w:val="32"/>
          <w:szCs w:val="32"/>
        </w:rPr>
        <w:t xml:space="preserve"> </w:t>
      </w:r>
      <w:r w:rsidR="006B0685" w:rsidRPr="00AC36D6">
        <w:rPr>
          <w:rFonts w:eastAsia="Times New Roman" w:cs="Arial"/>
          <w:bCs/>
          <w:color w:val="000000"/>
          <w:kern w:val="32"/>
          <w:szCs w:val="32"/>
        </w:rPr>
        <w:t>4981</w:t>
      </w:r>
      <w:r w:rsidR="002942BC" w:rsidRPr="00AC36D6">
        <w:rPr>
          <w:rFonts w:eastAsia="Times New Roman" w:cs="Arial"/>
          <w:bCs/>
          <w:color w:val="000000"/>
          <w:kern w:val="32"/>
          <w:szCs w:val="32"/>
        </w:rPr>
        <w:t xml:space="preserve"> households</w:t>
      </w:r>
      <w:r w:rsidR="00E52301" w:rsidRPr="00AC36D6">
        <w:rPr>
          <w:rFonts w:eastAsia="Times New Roman" w:cs="Arial"/>
          <w:bCs/>
          <w:color w:val="000000"/>
          <w:kern w:val="32"/>
          <w:szCs w:val="32"/>
        </w:rPr>
        <w:t>, of which 3500 were used in model estimation</w:t>
      </w:r>
      <w:r w:rsidR="008F1C8D" w:rsidRPr="00AC36D6">
        <w:rPr>
          <w:rFonts w:eastAsia="Times New Roman" w:cs="Arial"/>
          <w:bCs/>
          <w:color w:val="000000"/>
          <w:kern w:val="32"/>
          <w:szCs w:val="32"/>
        </w:rPr>
        <w:t>,</w:t>
      </w:r>
      <w:r w:rsidR="00E52301" w:rsidRPr="00AC36D6">
        <w:rPr>
          <w:rFonts w:eastAsia="Times New Roman" w:cs="Arial"/>
          <w:bCs/>
          <w:color w:val="000000"/>
          <w:kern w:val="32"/>
          <w:szCs w:val="32"/>
        </w:rPr>
        <w:t xml:space="preserve"> </w:t>
      </w:r>
      <w:r w:rsidR="008F1C8D" w:rsidRPr="00AC36D6">
        <w:rPr>
          <w:rFonts w:eastAsia="Times New Roman" w:cs="Arial"/>
          <w:bCs/>
          <w:color w:val="000000"/>
          <w:kern w:val="32"/>
          <w:szCs w:val="32"/>
        </w:rPr>
        <w:t>and</w:t>
      </w:r>
      <w:r w:rsidR="00E52301" w:rsidRPr="00AC36D6">
        <w:rPr>
          <w:rFonts w:eastAsia="Times New Roman" w:cs="Arial"/>
          <w:bCs/>
          <w:color w:val="000000"/>
          <w:kern w:val="32"/>
          <w:szCs w:val="32"/>
        </w:rPr>
        <w:t xml:space="preserve"> the other 1481 were kept </w:t>
      </w:r>
      <w:r w:rsidR="006B7D43" w:rsidRPr="00AC36D6">
        <w:rPr>
          <w:rFonts w:eastAsia="Times New Roman" w:cs="Arial"/>
          <w:bCs/>
          <w:color w:val="000000"/>
          <w:kern w:val="32"/>
          <w:szCs w:val="32"/>
        </w:rPr>
        <w:t xml:space="preserve">aside as a </w:t>
      </w:r>
      <w:r w:rsidR="00E52301" w:rsidRPr="00AC36D6">
        <w:rPr>
          <w:rFonts w:eastAsia="Times New Roman" w:cs="Arial"/>
          <w:bCs/>
          <w:color w:val="000000"/>
          <w:kern w:val="32"/>
          <w:szCs w:val="32"/>
        </w:rPr>
        <w:t>holdout sample</w:t>
      </w:r>
      <w:r w:rsidR="00D67157" w:rsidRPr="00AC36D6">
        <w:rPr>
          <w:rFonts w:eastAsia="Times New Roman" w:cs="Arial"/>
          <w:bCs/>
          <w:color w:val="000000"/>
          <w:kern w:val="32"/>
          <w:szCs w:val="32"/>
        </w:rPr>
        <w:t xml:space="preserve">. </w:t>
      </w:r>
    </w:p>
    <w:p w14:paraId="094C43F0" w14:textId="25200771" w:rsidR="00FE738E" w:rsidRPr="00AC36D6" w:rsidRDefault="00027B51" w:rsidP="00087876">
      <w:pPr>
        <w:spacing w:after="0" w:line="360" w:lineRule="auto"/>
        <w:ind w:firstLine="720"/>
        <w:jc w:val="both"/>
        <w:rPr>
          <w:rFonts w:eastAsia="Times New Roman" w:cs="Arial"/>
          <w:bCs/>
          <w:color w:val="000000"/>
          <w:kern w:val="32"/>
          <w:szCs w:val="32"/>
        </w:rPr>
      </w:pPr>
      <w:r w:rsidRPr="00AC36D6">
        <w:rPr>
          <w:rFonts w:eastAsia="Times New Roman" w:cs="Arial"/>
          <w:bCs/>
          <w:color w:val="000000"/>
          <w:kern w:val="32"/>
          <w:szCs w:val="32"/>
        </w:rPr>
        <w:t>Table 1 reports the aggregate expenditure patterns of the</w:t>
      </w:r>
      <w:r w:rsidR="00BC6412" w:rsidRPr="00AC36D6">
        <w:rPr>
          <w:rFonts w:eastAsia="Times New Roman" w:cs="Arial"/>
          <w:bCs/>
          <w:color w:val="000000"/>
          <w:kern w:val="32"/>
          <w:szCs w:val="32"/>
        </w:rPr>
        <w:t xml:space="preserve"> above-described sample of</w:t>
      </w:r>
      <w:r w:rsidRPr="00AC36D6">
        <w:rPr>
          <w:rFonts w:eastAsia="Times New Roman" w:cs="Arial"/>
          <w:bCs/>
          <w:color w:val="000000"/>
          <w:kern w:val="32"/>
          <w:szCs w:val="32"/>
        </w:rPr>
        <w:t xml:space="preserve"> trips.</w:t>
      </w:r>
      <w:r w:rsidR="00BC6412" w:rsidRPr="00AC36D6">
        <w:rPr>
          <w:rFonts w:eastAsia="Times New Roman" w:cs="Arial"/>
          <w:bCs/>
          <w:color w:val="000000"/>
          <w:kern w:val="32"/>
          <w:szCs w:val="32"/>
        </w:rPr>
        <w:t xml:space="preserve"> </w:t>
      </w:r>
      <w:r w:rsidR="007E2A0E" w:rsidRPr="00AC36D6">
        <w:rPr>
          <w:rFonts w:eastAsia="Times New Roman" w:cs="Arial"/>
          <w:bCs/>
          <w:color w:val="000000"/>
          <w:kern w:val="32"/>
          <w:szCs w:val="32"/>
        </w:rPr>
        <w:t>Note that</w:t>
      </w:r>
      <w:r w:rsidR="00765FCB" w:rsidRPr="00AC36D6">
        <w:rPr>
          <w:rFonts w:eastAsia="Times New Roman" w:cs="Arial"/>
          <w:bCs/>
          <w:color w:val="000000"/>
          <w:kern w:val="32"/>
          <w:szCs w:val="32"/>
        </w:rPr>
        <w:t xml:space="preserve"> all trips involve </w:t>
      </w:r>
      <w:r w:rsidR="00D0390B" w:rsidRPr="00AC36D6">
        <w:rPr>
          <w:rFonts w:eastAsia="Times New Roman" w:cs="Arial"/>
          <w:bCs/>
          <w:color w:val="000000"/>
          <w:kern w:val="32"/>
          <w:szCs w:val="32"/>
        </w:rPr>
        <w:t xml:space="preserve">some </w:t>
      </w:r>
      <w:r w:rsidR="00765FCB" w:rsidRPr="00AC36D6">
        <w:rPr>
          <w:rFonts w:eastAsia="Times New Roman" w:cs="Arial"/>
          <w:bCs/>
          <w:color w:val="000000"/>
          <w:kern w:val="32"/>
          <w:szCs w:val="32"/>
        </w:rPr>
        <w:t>expenditure on transport</w:t>
      </w:r>
      <w:r w:rsidR="00DA6943" w:rsidRPr="00AC36D6">
        <w:rPr>
          <w:rFonts w:eastAsia="Times New Roman" w:cs="Arial"/>
          <w:bCs/>
          <w:color w:val="000000"/>
          <w:kern w:val="32"/>
          <w:szCs w:val="32"/>
        </w:rPr>
        <w:t>at</w:t>
      </w:r>
      <w:r w:rsidR="00765FCB" w:rsidRPr="00AC36D6">
        <w:rPr>
          <w:rFonts w:eastAsia="Times New Roman" w:cs="Arial"/>
          <w:bCs/>
          <w:color w:val="000000"/>
          <w:kern w:val="32"/>
          <w:szCs w:val="32"/>
        </w:rPr>
        <w:t>ion</w:t>
      </w:r>
      <w:r w:rsidR="007E2A0E" w:rsidRPr="00AC36D6">
        <w:rPr>
          <w:rFonts w:eastAsia="Times New Roman" w:cs="Arial"/>
          <w:bCs/>
          <w:color w:val="000000"/>
          <w:kern w:val="32"/>
          <w:szCs w:val="32"/>
        </w:rPr>
        <w:t>, and t</w:t>
      </w:r>
      <w:r w:rsidR="00765FCB" w:rsidRPr="00AC36D6">
        <w:rPr>
          <w:rFonts w:eastAsia="Times New Roman" w:cs="Arial"/>
          <w:bCs/>
          <w:color w:val="000000"/>
          <w:kern w:val="32"/>
          <w:szCs w:val="32"/>
        </w:rPr>
        <w:t xml:space="preserve">herefore, in this analysis, we consider transportation expenditures as part of the essential </w:t>
      </w:r>
      <w:r w:rsidR="00D0390B" w:rsidRPr="00AC36D6">
        <w:rPr>
          <w:rFonts w:eastAsia="Times New Roman" w:cs="Arial"/>
          <w:bCs/>
          <w:color w:val="000000"/>
          <w:kern w:val="32"/>
          <w:szCs w:val="32"/>
        </w:rPr>
        <w:t>H</w:t>
      </w:r>
      <w:r w:rsidR="00765FCB" w:rsidRPr="00AC36D6">
        <w:rPr>
          <w:rFonts w:eastAsia="Times New Roman" w:cs="Arial"/>
          <w:bCs/>
          <w:color w:val="000000"/>
          <w:kern w:val="32"/>
          <w:szCs w:val="32"/>
        </w:rPr>
        <w:t>icksian outside good. Since the model framework employs a linear-utility structure on the outside good (Bhat, 2018), the information on the total budget and</w:t>
      </w:r>
      <w:r w:rsidR="00AF7A3B" w:rsidRPr="00AC36D6">
        <w:rPr>
          <w:rFonts w:eastAsia="Times New Roman" w:cs="Arial"/>
          <w:bCs/>
          <w:color w:val="000000"/>
          <w:kern w:val="32"/>
          <w:szCs w:val="32"/>
        </w:rPr>
        <w:t xml:space="preserve"> </w:t>
      </w:r>
      <w:r w:rsidR="00765FCB" w:rsidRPr="00AC36D6">
        <w:rPr>
          <w:rFonts w:eastAsia="Times New Roman" w:cs="Arial"/>
          <w:bCs/>
          <w:color w:val="000000"/>
          <w:kern w:val="32"/>
          <w:szCs w:val="32"/>
        </w:rPr>
        <w:t xml:space="preserve">the allocation to the outside good does not become </w:t>
      </w:r>
      <w:r w:rsidR="00AF7A3B" w:rsidRPr="00AC36D6">
        <w:rPr>
          <w:rFonts w:eastAsia="Times New Roman" w:cs="Arial"/>
          <w:bCs/>
          <w:color w:val="000000"/>
          <w:kern w:val="32"/>
          <w:szCs w:val="32"/>
        </w:rPr>
        <w:t xml:space="preserve">a </w:t>
      </w:r>
      <w:r w:rsidR="00765FCB" w:rsidRPr="00AC36D6">
        <w:rPr>
          <w:rFonts w:eastAsia="Times New Roman" w:cs="Arial"/>
          <w:bCs/>
          <w:color w:val="000000"/>
          <w:kern w:val="32"/>
          <w:szCs w:val="32"/>
        </w:rPr>
        <w:t>part of the analysis</w:t>
      </w:r>
      <w:r w:rsidR="007E2A0E" w:rsidRPr="00AC36D6">
        <w:rPr>
          <w:rFonts w:eastAsia="Times New Roman" w:cs="Arial"/>
          <w:bCs/>
          <w:color w:val="000000"/>
          <w:kern w:val="32"/>
          <w:szCs w:val="32"/>
        </w:rPr>
        <w:t xml:space="preserve"> (and hence, its expenditure details are not provided in Table 1)</w:t>
      </w:r>
      <w:r w:rsidR="00765FCB" w:rsidRPr="00AC36D6">
        <w:rPr>
          <w:rFonts w:eastAsia="Times New Roman" w:cs="Arial"/>
          <w:bCs/>
          <w:color w:val="000000"/>
          <w:kern w:val="32"/>
          <w:szCs w:val="32"/>
        </w:rPr>
        <w:t xml:space="preserve">. </w:t>
      </w:r>
      <w:r w:rsidR="001C7025" w:rsidRPr="00AC36D6">
        <w:rPr>
          <w:rFonts w:eastAsia="Times New Roman" w:cs="Arial"/>
          <w:bCs/>
          <w:color w:val="000000"/>
          <w:kern w:val="32"/>
          <w:szCs w:val="32"/>
        </w:rPr>
        <w:t xml:space="preserve">As discussed in Bhat (2018) and Saxena </w:t>
      </w:r>
      <w:r w:rsidR="001C7025" w:rsidRPr="00AC36D6">
        <w:rPr>
          <w:rFonts w:eastAsia="Times New Roman" w:cs="Arial"/>
          <w:bCs/>
          <w:i/>
          <w:iCs/>
          <w:color w:val="000000"/>
          <w:kern w:val="32"/>
          <w:szCs w:val="32"/>
        </w:rPr>
        <w:t>et al.</w:t>
      </w:r>
      <w:r w:rsidR="001C7025" w:rsidRPr="00AC36D6">
        <w:rPr>
          <w:rFonts w:eastAsia="Times New Roman" w:cs="Arial"/>
          <w:bCs/>
          <w:color w:val="000000"/>
          <w:kern w:val="32"/>
          <w:szCs w:val="32"/>
        </w:rPr>
        <w:t xml:space="preserve"> (2021), </w:t>
      </w:r>
      <w:r w:rsidR="002C42A7" w:rsidRPr="00AC36D6">
        <w:rPr>
          <w:rFonts w:eastAsia="Times New Roman" w:cs="Arial"/>
          <w:bCs/>
          <w:color w:val="000000"/>
          <w:kern w:val="32"/>
          <w:szCs w:val="32"/>
        </w:rPr>
        <w:t>the linear outside good utility form</w:t>
      </w:r>
      <w:r w:rsidR="00765FCB" w:rsidRPr="00AC36D6">
        <w:rPr>
          <w:rFonts w:eastAsia="Times New Roman" w:cs="Arial"/>
          <w:bCs/>
          <w:color w:val="000000"/>
          <w:kern w:val="32"/>
          <w:szCs w:val="32"/>
        </w:rPr>
        <w:t xml:space="preserve"> is helpful </w:t>
      </w:r>
      <w:r w:rsidR="002C42A7" w:rsidRPr="00AC36D6">
        <w:rPr>
          <w:rFonts w:eastAsia="Times New Roman" w:cs="Arial"/>
          <w:bCs/>
          <w:color w:val="000000"/>
          <w:kern w:val="32"/>
          <w:szCs w:val="32"/>
        </w:rPr>
        <w:t xml:space="preserve">for </w:t>
      </w:r>
      <w:r w:rsidR="00765FCB" w:rsidRPr="00AC36D6">
        <w:rPr>
          <w:rFonts w:eastAsia="Times New Roman" w:cs="Arial"/>
          <w:bCs/>
          <w:color w:val="000000"/>
          <w:kern w:val="32"/>
          <w:szCs w:val="32"/>
        </w:rPr>
        <w:t>analy</w:t>
      </w:r>
      <w:r w:rsidR="005C450E" w:rsidRPr="00AC36D6">
        <w:rPr>
          <w:rFonts w:eastAsia="Times New Roman" w:cs="Arial"/>
          <w:bCs/>
          <w:color w:val="000000"/>
          <w:kern w:val="32"/>
          <w:szCs w:val="32"/>
        </w:rPr>
        <w:t>z</w:t>
      </w:r>
      <w:r w:rsidR="00765FCB" w:rsidRPr="00AC36D6">
        <w:rPr>
          <w:rFonts w:eastAsia="Times New Roman" w:cs="Arial"/>
          <w:bCs/>
          <w:color w:val="000000"/>
          <w:kern w:val="32"/>
          <w:szCs w:val="32"/>
        </w:rPr>
        <w:t>ing empirical situations when the total budget is not known or clearly defined</w:t>
      </w:r>
      <w:r w:rsidR="0007201D" w:rsidRPr="00AC36D6">
        <w:rPr>
          <w:rFonts w:eastAsia="Times New Roman" w:cs="Arial"/>
          <w:bCs/>
          <w:color w:val="000000"/>
          <w:kern w:val="32"/>
          <w:szCs w:val="32"/>
        </w:rPr>
        <w:t xml:space="preserve"> but can be assumed to be large compared to the allocations to inside goods</w:t>
      </w:r>
      <w:r w:rsidR="00765FCB" w:rsidRPr="00AC36D6">
        <w:rPr>
          <w:rFonts w:eastAsia="Times New Roman" w:cs="Arial"/>
          <w:bCs/>
          <w:color w:val="000000"/>
          <w:kern w:val="32"/>
          <w:szCs w:val="32"/>
        </w:rPr>
        <w:t>.</w:t>
      </w:r>
      <w:r w:rsidR="00550B14" w:rsidRPr="00AC36D6">
        <w:rPr>
          <w:rFonts w:eastAsia="Times New Roman" w:cs="Arial"/>
          <w:bCs/>
          <w:color w:val="000000"/>
          <w:kern w:val="32"/>
          <w:szCs w:val="32"/>
        </w:rPr>
        <w:t xml:space="preserve"> </w:t>
      </w:r>
      <w:r w:rsidR="002C42A7" w:rsidRPr="00AC36D6">
        <w:rPr>
          <w:rFonts w:eastAsia="Times New Roman" w:cs="Arial"/>
          <w:bCs/>
          <w:color w:val="000000"/>
          <w:kern w:val="32"/>
          <w:szCs w:val="32"/>
        </w:rPr>
        <w:t>In the current empirical context</w:t>
      </w:r>
      <w:r w:rsidR="00550B14" w:rsidRPr="00AC36D6">
        <w:rPr>
          <w:rFonts w:eastAsia="Times New Roman" w:cs="Arial"/>
          <w:bCs/>
          <w:color w:val="000000"/>
          <w:kern w:val="32"/>
          <w:szCs w:val="32"/>
        </w:rPr>
        <w:t>, since the allocation to the expenditure classes of interest is likely to be small relative to the total budget (</w:t>
      </w:r>
      <w:r w:rsidR="00F5347C" w:rsidRPr="00AC36D6">
        <w:rPr>
          <w:rFonts w:eastAsia="Times New Roman" w:cs="Arial"/>
          <w:bCs/>
          <w:color w:val="000000"/>
          <w:kern w:val="32"/>
          <w:szCs w:val="32"/>
        </w:rPr>
        <w:t>which can be</w:t>
      </w:r>
      <w:r w:rsidR="006C1A3B" w:rsidRPr="00AC36D6">
        <w:rPr>
          <w:rFonts w:eastAsia="Times New Roman" w:cs="Arial"/>
          <w:bCs/>
          <w:color w:val="000000"/>
          <w:kern w:val="32"/>
          <w:szCs w:val="32"/>
        </w:rPr>
        <w:t>,</w:t>
      </w:r>
      <w:r w:rsidR="00F5347C" w:rsidRPr="00AC36D6">
        <w:rPr>
          <w:rFonts w:eastAsia="Times New Roman" w:cs="Arial"/>
          <w:bCs/>
          <w:color w:val="000000"/>
          <w:kern w:val="32"/>
          <w:szCs w:val="32"/>
        </w:rPr>
        <w:t xml:space="preserve"> for instance</w:t>
      </w:r>
      <w:r w:rsidR="00550B14" w:rsidRPr="00AC36D6">
        <w:rPr>
          <w:rFonts w:eastAsia="Times New Roman" w:cs="Arial"/>
          <w:bCs/>
          <w:color w:val="000000"/>
          <w:kern w:val="32"/>
          <w:szCs w:val="32"/>
        </w:rPr>
        <w:t xml:space="preserve">, the total annual household expenditure) of the household, </w:t>
      </w:r>
      <w:r w:rsidR="00376503" w:rsidRPr="00AC36D6">
        <w:rPr>
          <w:rFonts w:eastAsia="Times New Roman" w:cs="Arial"/>
          <w:bCs/>
          <w:color w:val="000000"/>
          <w:kern w:val="32"/>
          <w:szCs w:val="32"/>
        </w:rPr>
        <w:t xml:space="preserve">a </w:t>
      </w:r>
      <w:r w:rsidR="00550B14" w:rsidRPr="00AC36D6">
        <w:rPr>
          <w:rFonts w:eastAsia="Times New Roman" w:cs="Arial"/>
          <w:bCs/>
          <w:color w:val="000000"/>
          <w:kern w:val="32"/>
          <w:szCs w:val="32"/>
        </w:rPr>
        <w:t>linear</w:t>
      </w:r>
      <w:r w:rsidR="00E31A94" w:rsidRPr="00AC36D6">
        <w:rPr>
          <w:rFonts w:eastAsia="Times New Roman" w:cs="Arial"/>
          <w:bCs/>
          <w:color w:val="000000"/>
          <w:kern w:val="32"/>
          <w:szCs w:val="32"/>
        </w:rPr>
        <w:t xml:space="preserve"> </w:t>
      </w:r>
      <w:r w:rsidR="00550B14" w:rsidRPr="00AC36D6">
        <w:rPr>
          <w:rFonts w:eastAsia="Times New Roman" w:cs="Arial"/>
          <w:bCs/>
          <w:color w:val="000000"/>
          <w:kern w:val="32"/>
          <w:szCs w:val="32"/>
        </w:rPr>
        <w:lastRenderedPageBreak/>
        <w:t xml:space="preserve">outside good </w:t>
      </w:r>
      <w:r w:rsidR="00E31A94" w:rsidRPr="00AC36D6">
        <w:rPr>
          <w:rFonts w:eastAsia="Times New Roman" w:cs="Arial"/>
          <w:bCs/>
          <w:color w:val="000000"/>
          <w:kern w:val="32"/>
          <w:szCs w:val="32"/>
        </w:rPr>
        <w:t xml:space="preserve">utility </w:t>
      </w:r>
      <w:r w:rsidR="00550B14" w:rsidRPr="00AC36D6">
        <w:rPr>
          <w:rFonts w:eastAsia="Times New Roman" w:cs="Arial"/>
          <w:bCs/>
          <w:color w:val="000000"/>
          <w:kern w:val="32"/>
          <w:szCs w:val="32"/>
        </w:rPr>
        <w:t xml:space="preserve">profile is </w:t>
      </w:r>
      <w:r w:rsidR="00E31A94" w:rsidRPr="00AC36D6">
        <w:rPr>
          <w:rFonts w:eastAsia="Times New Roman" w:cs="Arial"/>
          <w:bCs/>
          <w:color w:val="000000"/>
          <w:kern w:val="32"/>
          <w:szCs w:val="32"/>
        </w:rPr>
        <w:t>suitable</w:t>
      </w:r>
      <w:r w:rsidR="00550B14" w:rsidRPr="00AC36D6">
        <w:rPr>
          <w:rFonts w:eastAsia="Times New Roman" w:cs="Arial"/>
          <w:bCs/>
          <w:color w:val="000000"/>
          <w:kern w:val="32"/>
          <w:szCs w:val="32"/>
        </w:rPr>
        <w:t>.</w:t>
      </w:r>
      <w:r w:rsidR="00765FCB" w:rsidRPr="00AC36D6">
        <w:rPr>
          <w:rFonts w:eastAsia="Times New Roman" w:cs="Arial"/>
          <w:bCs/>
          <w:color w:val="000000"/>
          <w:kern w:val="32"/>
          <w:szCs w:val="32"/>
        </w:rPr>
        <w:t xml:space="preserve"> However, </w:t>
      </w:r>
      <w:r w:rsidR="000A3839" w:rsidRPr="00AC36D6">
        <w:rPr>
          <w:rFonts w:eastAsia="Times New Roman" w:cs="Arial"/>
          <w:bCs/>
          <w:color w:val="000000"/>
          <w:kern w:val="32"/>
          <w:szCs w:val="32"/>
        </w:rPr>
        <w:t>i</w:t>
      </w:r>
      <w:r w:rsidR="003757A0" w:rsidRPr="00AC36D6">
        <w:rPr>
          <w:rFonts w:eastAsia="Times New Roman" w:cs="Arial"/>
          <w:bCs/>
          <w:color w:val="000000"/>
          <w:kern w:val="32"/>
          <w:szCs w:val="32"/>
        </w:rPr>
        <w:t>f</w:t>
      </w:r>
      <w:r w:rsidR="00765FCB" w:rsidRPr="00AC36D6">
        <w:rPr>
          <w:rFonts w:eastAsia="Times New Roman" w:cs="Arial"/>
          <w:bCs/>
          <w:color w:val="000000"/>
          <w:kern w:val="32"/>
          <w:szCs w:val="32"/>
        </w:rPr>
        <w:t xml:space="preserve"> </w:t>
      </w:r>
      <w:r w:rsidR="003757A0" w:rsidRPr="00AC36D6">
        <w:rPr>
          <w:rFonts w:eastAsia="Times New Roman" w:cs="Arial"/>
          <w:bCs/>
          <w:color w:val="000000"/>
          <w:kern w:val="32"/>
          <w:szCs w:val="32"/>
        </w:rPr>
        <w:t xml:space="preserve">the </w:t>
      </w:r>
      <w:r w:rsidR="00765FCB" w:rsidRPr="00AC36D6">
        <w:rPr>
          <w:rFonts w:eastAsia="Times New Roman" w:cs="Arial"/>
          <w:bCs/>
          <w:color w:val="000000"/>
          <w:kern w:val="32"/>
          <w:szCs w:val="32"/>
        </w:rPr>
        <w:t xml:space="preserve">information on the budget is available, one can use the information </w:t>
      </w:r>
      <w:r w:rsidR="003757A0" w:rsidRPr="00AC36D6">
        <w:rPr>
          <w:rFonts w:eastAsia="Times New Roman" w:cs="Arial"/>
          <w:bCs/>
          <w:color w:val="000000"/>
          <w:kern w:val="32"/>
          <w:szCs w:val="32"/>
        </w:rPr>
        <w:t>for</w:t>
      </w:r>
      <w:r w:rsidR="00765FCB" w:rsidRPr="00AC36D6">
        <w:rPr>
          <w:rFonts w:eastAsia="Times New Roman" w:cs="Arial"/>
          <w:bCs/>
          <w:color w:val="000000"/>
          <w:kern w:val="32"/>
          <w:szCs w:val="32"/>
        </w:rPr>
        <w:t xml:space="preserve"> forecasting </w:t>
      </w:r>
      <w:r w:rsidR="003757A0" w:rsidRPr="00AC36D6">
        <w:rPr>
          <w:rFonts w:eastAsia="Times New Roman" w:cs="Arial"/>
          <w:bCs/>
          <w:color w:val="000000"/>
          <w:kern w:val="32"/>
          <w:szCs w:val="32"/>
        </w:rPr>
        <w:t>with the model</w:t>
      </w:r>
      <w:r w:rsidR="00765FCB" w:rsidRPr="00AC36D6">
        <w:rPr>
          <w:rFonts w:eastAsia="Times New Roman" w:cs="Arial"/>
          <w:bCs/>
          <w:color w:val="000000"/>
          <w:kern w:val="32"/>
          <w:szCs w:val="32"/>
        </w:rPr>
        <w:t>.</w:t>
      </w:r>
    </w:p>
    <w:p w14:paraId="36F2FBAE" w14:textId="51A107A9" w:rsidR="0008734E" w:rsidRPr="00AC36D6" w:rsidRDefault="007276CA" w:rsidP="004C7565">
      <w:pPr>
        <w:spacing w:after="0" w:line="360" w:lineRule="auto"/>
        <w:ind w:firstLine="720"/>
        <w:jc w:val="both"/>
        <w:rPr>
          <w:rFonts w:eastAsia="Times New Roman" w:cs="Arial"/>
          <w:bCs/>
          <w:color w:val="000000"/>
          <w:kern w:val="32"/>
          <w:szCs w:val="32"/>
        </w:rPr>
      </w:pPr>
      <w:r w:rsidRPr="00AC36D6">
        <w:rPr>
          <w:rFonts w:eastAsia="Times New Roman" w:cs="Arial"/>
          <w:bCs/>
          <w:color w:val="000000"/>
          <w:kern w:val="32"/>
          <w:szCs w:val="32"/>
        </w:rPr>
        <w:t>In addition to</w:t>
      </w:r>
      <w:r w:rsidR="00765FCB" w:rsidRPr="00AC36D6">
        <w:rPr>
          <w:rFonts w:eastAsia="Times New Roman" w:cs="Arial"/>
          <w:bCs/>
          <w:color w:val="000000"/>
          <w:kern w:val="32"/>
          <w:szCs w:val="32"/>
        </w:rPr>
        <w:t xml:space="preserve"> the information on </w:t>
      </w:r>
      <w:r w:rsidR="009221F6" w:rsidRPr="00AC36D6">
        <w:rPr>
          <w:rFonts w:eastAsia="Times New Roman" w:cs="Arial"/>
          <w:bCs/>
          <w:color w:val="000000"/>
          <w:kern w:val="32"/>
          <w:szCs w:val="32"/>
        </w:rPr>
        <w:t xml:space="preserve">household </w:t>
      </w:r>
      <w:r w:rsidR="00765FCB" w:rsidRPr="00AC36D6">
        <w:rPr>
          <w:rFonts w:eastAsia="Times New Roman" w:cs="Arial"/>
          <w:bCs/>
          <w:color w:val="000000"/>
          <w:kern w:val="32"/>
          <w:szCs w:val="32"/>
        </w:rPr>
        <w:t>expenditure</w:t>
      </w:r>
      <w:r w:rsidR="009221F6" w:rsidRPr="00AC36D6">
        <w:rPr>
          <w:rFonts w:eastAsia="Times New Roman" w:cs="Arial"/>
          <w:bCs/>
          <w:color w:val="000000"/>
          <w:kern w:val="32"/>
          <w:szCs w:val="32"/>
        </w:rPr>
        <w:t>s</w:t>
      </w:r>
      <w:r w:rsidR="00765FCB" w:rsidRPr="00AC36D6">
        <w:rPr>
          <w:rFonts w:eastAsia="Times New Roman" w:cs="Arial"/>
          <w:bCs/>
          <w:color w:val="000000"/>
          <w:kern w:val="32"/>
          <w:szCs w:val="32"/>
        </w:rPr>
        <w:t xml:space="preserve"> across </w:t>
      </w:r>
      <w:r w:rsidR="009221F6" w:rsidRPr="00AC36D6">
        <w:rPr>
          <w:rFonts w:eastAsia="Times New Roman" w:cs="Arial"/>
          <w:bCs/>
          <w:color w:val="000000"/>
          <w:kern w:val="32"/>
          <w:szCs w:val="32"/>
        </w:rPr>
        <w:t xml:space="preserve">different categories during </w:t>
      </w:r>
      <w:r w:rsidR="00AB311C" w:rsidRPr="00AC36D6">
        <w:rPr>
          <w:rFonts w:eastAsia="Times New Roman" w:cs="Arial"/>
          <w:bCs/>
          <w:color w:val="000000"/>
          <w:kern w:val="32"/>
          <w:szCs w:val="32"/>
        </w:rPr>
        <w:t xml:space="preserve">their </w:t>
      </w:r>
      <w:r w:rsidR="00ED4C71" w:rsidRPr="00AC36D6">
        <w:rPr>
          <w:rFonts w:eastAsia="Times New Roman" w:cs="Arial"/>
          <w:bCs/>
          <w:color w:val="000000"/>
          <w:kern w:val="32"/>
          <w:szCs w:val="32"/>
        </w:rPr>
        <w:t>trip</w:t>
      </w:r>
      <w:r w:rsidR="00765FCB" w:rsidRPr="00AC36D6">
        <w:rPr>
          <w:rFonts w:eastAsia="Times New Roman" w:cs="Arial"/>
          <w:bCs/>
          <w:color w:val="000000"/>
          <w:kern w:val="32"/>
          <w:szCs w:val="32"/>
        </w:rPr>
        <w:t>, the sample has information on socio-demographic</w:t>
      </w:r>
      <w:r w:rsidR="0017004E" w:rsidRPr="00AC36D6">
        <w:rPr>
          <w:rFonts w:eastAsia="Times New Roman" w:cs="Arial"/>
          <w:bCs/>
          <w:color w:val="000000"/>
          <w:kern w:val="32"/>
          <w:szCs w:val="32"/>
        </w:rPr>
        <w:t xml:space="preserve"> </w:t>
      </w:r>
      <w:r w:rsidR="006B30A7" w:rsidRPr="00AC36D6">
        <w:rPr>
          <w:rFonts w:eastAsia="Times New Roman" w:cs="Arial"/>
          <w:bCs/>
          <w:color w:val="000000"/>
          <w:kern w:val="32"/>
          <w:szCs w:val="32"/>
        </w:rPr>
        <w:t>factors</w:t>
      </w:r>
      <w:r w:rsidR="00765FCB" w:rsidRPr="00AC36D6">
        <w:rPr>
          <w:rFonts w:eastAsia="Times New Roman" w:cs="Arial"/>
          <w:bCs/>
          <w:color w:val="000000"/>
          <w:kern w:val="32"/>
          <w:szCs w:val="32"/>
        </w:rPr>
        <w:t xml:space="preserve">, such as household </w:t>
      </w:r>
      <w:r w:rsidR="00265D83" w:rsidRPr="00AC36D6">
        <w:rPr>
          <w:rFonts w:eastAsia="Times New Roman" w:cs="Arial"/>
          <w:bCs/>
          <w:color w:val="000000"/>
          <w:kern w:val="32"/>
          <w:szCs w:val="32"/>
        </w:rPr>
        <w:t xml:space="preserve">location </w:t>
      </w:r>
      <w:r w:rsidR="00765FCB" w:rsidRPr="00AC36D6">
        <w:rPr>
          <w:rFonts w:eastAsia="Times New Roman" w:cs="Arial"/>
          <w:bCs/>
          <w:color w:val="000000"/>
          <w:kern w:val="32"/>
          <w:szCs w:val="32"/>
        </w:rPr>
        <w:t xml:space="preserve">type (urban or rural), household income level, </w:t>
      </w:r>
      <w:r w:rsidR="00713C6C" w:rsidRPr="00AC36D6">
        <w:rPr>
          <w:rFonts w:eastAsia="Times New Roman" w:cs="Arial"/>
          <w:bCs/>
          <w:color w:val="000000"/>
          <w:kern w:val="32"/>
          <w:szCs w:val="32"/>
        </w:rPr>
        <w:t xml:space="preserve">and </w:t>
      </w:r>
      <w:r w:rsidR="00765FCB" w:rsidRPr="00AC36D6">
        <w:rPr>
          <w:rFonts w:eastAsia="Times New Roman" w:cs="Arial"/>
          <w:bCs/>
          <w:color w:val="000000"/>
          <w:kern w:val="32"/>
          <w:szCs w:val="32"/>
        </w:rPr>
        <w:t>composition of the group of members making the trip (gender</w:t>
      </w:r>
      <w:r w:rsidR="00713C6C" w:rsidRPr="00AC36D6">
        <w:rPr>
          <w:rFonts w:eastAsia="Times New Roman" w:cs="Arial"/>
          <w:bCs/>
          <w:color w:val="000000"/>
          <w:kern w:val="32"/>
          <w:szCs w:val="32"/>
        </w:rPr>
        <w:t xml:space="preserve"> and</w:t>
      </w:r>
      <w:r w:rsidR="00765FCB" w:rsidRPr="00AC36D6">
        <w:rPr>
          <w:rFonts w:eastAsia="Times New Roman" w:cs="Arial"/>
          <w:bCs/>
          <w:color w:val="000000"/>
          <w:kern w:val="32"/>
          <w:szCs w:val="32"/>
        </w:rPr>
        <w:t xml:space="preserve"> age </w:t>
      </w:r>
      <w:r w:rsidR="00713C6C" w:rsidRPr="00AC36D6">
        <w:rPr>
          <w:rFonts w:eastAsia="Times New Roman" w:cs="Arial"/>
          <w:bCs/>
          <w:color w:val="000000"/>
          <w:kern w:val="32"/>
          <w:szCs w:val="32"/>
        </w:rPr>
        <w:t>composition</w:t>
      </w:r>
      <w:r w:rsidR="00765FCB" w:rsidRPr="00AC36D6">
        <w:rPr>
          <w:rFonts w:eastAsia="Times New Roman" w:cs="Arial"/>
          <w:bCs/>
          <w:color w:val="000000"/>
          <w:kern w:val="32"/>
          <w:szCs w:val="32"/>
        </w:rPr>
        <w:t xml:space="preserve">). </w:t>
      </w:r>
      <w:r w:rsidR="00BB5F38" w:rsidRPr="00AC36D6">
        <w:rPr>
          <w:rFonts w:eastAsia="Times New Roman" w:cs="Arial"/>
          <w:bCs/>
          <w:color w:val="000000"/>
          <w:kern w:val="32"/>
          <w:szCs w:val="32"/>
        </w:rPr>
        <w:t>In addition,</w:t>
      </w:r>
      <w:r w:rsidR="00765FCB" w:rsidRPr="00AC36D6">
        <w:rPr>
          <w:rFonts w:eastAsia="Times New Roman" w:cs="Arial"/>
          <w:bCs/>
          <w:color w:val="000000"/>
          <w:kern w:val="32"/>
          <w:szCs w:val="32"/>
        </w:rPr>
        <w:t xml:space="preserve"> trip level </w:t>
      </w:r>
      <w:r w:rsidR="00BB5F38" w:rsidRPr="00AC36D6">
        <w:rPr>
          <w:rFonts w:eastAsia="Times New Roman" w:cs="Arial"/>
          <w:bCs/>
          <w:color w:val="000000"/>
          <w:kern w:val="32"/>
          <w:szCs w:val="32"/>
        </w:rPr>
        <w:t xml:space="preserve">information </w:t>
      </w:r>
      <w:r w:rsidR="00765FCB" w:rsidRPr="00AC36D6">
        <w:rPr>
          <w:rFonts w:eastAsia="Times New Roman" w:cs="Arial"/>
          <w:bCs/>
          <w:color w:val="000000"/>
          <w:kern w:val="32"/>
          <w:szCs w:val="32"/>
        </w:rPr>
        <w:t xml:space="preserve">such as </w:t>
      </w:r>
      <w:r w:rsidR="00F42094" w:rsidRPr="00AC36D6">
        <w:rPr>
          <w:rFonts w:eastAsia="Times New Roman" w:cs="Arial"/>
          <w:bCs/>
          <w:color w:val="000000"/>
          <w:kern w:val="32"/>
          <w:szCs w:val="32"/>
        </w:rPr>
        <w:t xml:space="preserve">travel mode and </w:t>
      </w:r>
      <w:r w:rsidR="00765FCB" w:rsidRPr="00AC36D6">
        <w:rPr>
          <w:rFonts w:eastAsia="Times New Roman" w:cs="Arial"/>
          <w:bCs/>
          <w:color w:val="000000"/>
          <w:kern w:val="32"/>
          <w:szCs w:val="32"/>
        </w:rPr>
        <w:t xml:space="preserve">duration of the trip </w:t>
      </w:r>
      <w:r w:rsidR="00BB5F38" w:rsidRPr="00AC36D6">
        <w:rPr>
          <w:rFonts w:eastAsia="Times New Roman" w:cs="Arial"/>
          <w:bCs/>
          <w:color w:val="000000"/>
          <w:kern w:val="32"/>
          <w:szCs w:val="32"/>
        </w:rPr>
        <w:t>was collected</w:t>
      </w:r>
      <w:r w:rsidR="00765FCB" w:rsidRPr="00AC36D6">
        <w:rPr>
          <w:rFonts w:eastAsia="Times New Roman" w:cs="Arial"/>
          <w:bCs/>
          <w:color w:val="000000"/>
          <w:kern w:val="32"/>
          <w:szCs w:val="32"/>
        </w:rPr>
        <w:t>. All these variables were explored</w:t>
      </w:r>
      <w:r w:rsidR="00FE738E" w:rsidRPr="00AC36D6">
        <w:rPr>
          <w:rFonts w:eastAsia="Times New Roman" w:cs="Arial"/>
          <w:bCs/>
          <w:color w:val="000000"/>
          <w:kern w:val="32"/>
          <w:szCs w:val="32"/>
        </w:rPr>
        <w:t xml:space="preserve"> </w:t>
      </w:r>
      <w:r w:rsidR="00765FCB" w:rsidRPr="00AC36D6">
        <w:rPr>
          <w:rFonts w:eastAsia="Times New Roman" w:cs="Arial"/>
          <w:bCs/>
          <w:color w:val="000000"/>
          <w:kern w:val="32"/>
          <w:szCs w:val="32"/>
        </w:rPr>
        <w:t>as exogenous variables in the empirical model.</w:t>
      </w:r>
      <w:r w:rsidR="00C61940" w:rsidRPr="00AC36D6">
        <w:rPr>
          <w:rFonts w:eastAsia="Times New Roman" w:cs="Arial"/>
          <w:bCs/>
          <w:color w:val="000000"/>
          <w:kern w:val="32"/>
          <w:szCs w:val="32"/>
        </w:rPr>
        <w:t xml:space="preserve"> It is worth noting </w:t>
      </w:r>
      <w:r w:rsidR="000A3839" w:rsidRPr="00AC36D6">
        <w:rPr>
          <w:rFonts w:eastAsia="Times New Roman" w:cs="Arial"/>
          <w:bCs/>
          <w:color w:val="000000"/>
          <w:kern w:val="32"/>
          <w:szCs w:val="32"/>
        </w:rPr>
        <w:t xml:space="preserve">here </w:t>
      </w:r>
      <w:r w:rsidR="00C61940" w:rsidRPr="00AC36D6">
        <w:rPr>
          <w:rFonts w:eastAsia="Times New Roman" w:cs="Arial"/>
          <w:bCs/>
          <w:color w:val="000000"/>
          <w:kern w:val="32"/>
          <w:szCs w:val="32"/>
        </w:rPr>
        <w:t xml:space="preserve">that </w:t>
      </w:r>
      <w:r w:rsidR="000A3839" w:rsidRPr="00AC36D6">
        <w:rPr>
          <w:rFonts w:eastAsia="Times New Roman" w:cs="Arial"/>
          <w:bCs/>
          <w:color w:val="000000"/>
          <w:kern w:val="32"/>
          <w:szCs w:val="32"/>
        </w:rPr>
        <w:t>th</w:t>
      </w:r>
      <w:r w:rsidR="00206D32" w:rsidRPr="00AC36D6">
        <w:rPr>
          <w:rFonts w:eastAsia="Times New Roman" w:cs="Arial"/>
          <w:bCs/>
          <w:color w:val="000000"/>
          <w:kern w:val="32"/>
          <w:szCs w:val="32"/>
        </w:rPr>
        <w:t>is</w:t>
      </w:r>
      <w:r w:rsidR="000A3839" w:rsidRPr="00AC36D6">
        <w:rPr>
          <w:rFonts w:eastAsia="Times New Roman" w:cs="Arial"/>
          <w:bCs/>
          <w:color w:val="000000"/>
          <w:kern w:val="32"/>
          <w:szCs w:val="32"/>
        </w:rPr>
        <w:t xml:space="preserve"> empirical data has been used </w:t>
      </w:r>
      <w:r w:rsidR="00C92228" w:rsidRPr="00AC36D6">
        <w:rPr>
          <w:rFonts w:eastAsia="Times New Roman" w:cs="Arial"/>
          <w:bCs/>
          <w:color w:val="000000"/>
          <w:kern w:val="32"/>
          <w:szCs w:val="32"/>
        </w:rPr>
        <w:t xml:space="preserve">earlier </w:t>
      </w:r>
      <w:r w:rsidR="000A3839" w:rsidRPr="00AC36D6">
        <w:rPr>
          <w:rFonts w:eastAsia="Times New Roman" w:cs="Arial"/>
          <w:bCs/>
          <w:color w:val="000000"/>
          <w:kern w:val="32"/>
          <w:szCs w:val="32"/>
        </w:rPr>
        <w:t xml:space="preserve">by Saxena </w:t>
      </w:r>
      <w:r w:rsidR="000A3839" w:rsidRPr="00AC36D6">
        <w:rPr>
          <w:rFonts w:eastAsia="Times New Roman" w:cs="Arial"/>
          <w:bCs/>
          <w:i/>
          <w:iCs/>
          <w:color w:val="000000"/>
          <w:kern w:val="32"/>
          <w:szCs w:val="32"/>
        </w:rPr>
        <w:t>et al.</w:t>
      </w:r>
      <w:r w:rsidR="000A3839" w:rsidRPr="00AC36D6">
        <w:rPr>
          <w:rFonts w:eastAsia="Times New Roman" w:cs="Arial"/>
          <w:bCs/>
          <w:color w:val="000000"/>
          <w:kern w:val="32"/>
          <w:szCs w:val="32"/>
        </w:rPr>
        <w:t xml:space="preserve"> (2021) to analyze </w:t>
      </w:r>
      <w:r w:rsidR="00BE129C" w:rsidRPr="00AC36D6">
        <w:rPr>
          <w:rFonts w:eastAsia="Times New Roman" w:cs="Arial"/>
          <w:bCs/>
          <w:color w:val="000000"/>
          <w:kern w:val="32"/>
          <w:szCs w:val="32"/>
        </w:rPr>
        <w:t xml:space="preserve">households’ tourism expenditures using </w:t>
      </w:r>
      <w:r w:rsidR="00206D32" w:rsidRPr="00AC36D6">
        <w:rPr>
          <w:rFonts w:eastAsia="Times New Roman" w:cs="Arial"/>
          <w:bCs/>
          <w:color w:val="000000"/>
          <w:kern w:val="32"/>
          <w:szCs w:val="32"/>
        </w:rPr>
        <w:t xml:space="preserve">MDC choice models that do not </w:t>
      </w:r>
      <w:r w:rsidR="002152A5" w:rsidRPr="00AC36D6">
        <w:rPr>
          <w:rFonts w:eastAsia="Times New Roman" w:cs="Arial"/>
          <w:bCs/>
          <w:color w:val="000000"/>
          <w:kern w:val="32"/>
          <w:szCs w:val="32"/>
        </w:rPr>
        <w:t>employ</w:t>
      </w:r>
      <w:r w:rsidR="00206D32" w:rsidRPr="00AC36D6">
        <w:rPr>
          <w:rFonts w:eastAsia="Times New Roman" w:cs="Arial"/>
          <w:bCs/>
          <w:color w:val="000000"/>
          <w:kern w:val="32"/>
          <w:szCs w:val="32"/>
        </w:rPr>
        <w:t xml:space="preserve"> the flexible utility </w:t>
      </w:r>
      <w:r w:rsidR="002152A5" w:rsidRPr="00AC36D6">
        <w:rPr>
          <w:rFonts w:eastAsia="Times New Roman" w:cs="Arial"/>
          <w:bCs/>
          <w:color w:val="000000"/>
          <w:kern w:val="32"/>
          <w:szCs w:val="32"/>
        </w:rPr>
        <w:t>form nor the non-IID error distributions.</w:t>
      </w:r>
      <w:r w:rsidR="00206D32" w:rsidRPr="00AC36D6">
        <w:rPr>
          <w:rFonts w:eastAsia="Times New Roman" w:cs="Arial"/>
          <w:bCs/>
          <w:color w:val="000000"/>
          <w:kern w:val="32"/>
          <w:szCs w:val="32"/>
        </w:rPr>
        <w:t xml:space="preserve"> </w:t>
      </w:r>
      <w:r w:rsidR="002152A5" w:rsidRPr="00AC36D6">
        <w:rPr>
          <w:rFonts w:eastAsia="Times New Roman" w:cs="Arial"/>
          <w:bCs/>
          <w:color w:val="000000"/>
          <w:kern w:val="32"/>
          <w:szCs w:val="32"/>
        </w:rPr>
        <w:t>The focus</w:t>
      </w:r>
      <w:r w:rsidR="00CB3A12" w:rsidRPr="00AC36D6">
        <w:rPr>
          <w:rFonts w:eastAsia="Times New Roman" w:cs="Arial"/>
          <w:bCs/>
          <w:color w:val="000000"/>
          <w:kern w:val="32"/>
          <w:szCs w:val="32"/>
        </w:rPr>
        <w:t xml:space="preserve"> of the current study</w:t>
      </w:r>
      <w:r w:rsidR="00C13E95" w:rsidRPr="00AC36D6">
        <w:rPr>
          <w:rFonts w:eastAsia="Times New Roman" w:cs="Arial"/>
          <w:bCs/>
          <w:color w:val="000000"/>
          <w:kern w:val="32"/>
          <w:szCs w:val="32"/>
        </w:rPr>
        <w:t>, however,</w:t>
      </w:r>
      <w:r w:rsidR="00CB3A12" w:rsidRPr="00AC36D6">
        <w:rPr>
          <w:rFonts w:eastAsia="Times New Roman" w:cs="Arial"/>
          <w:bCs/>
          <w:color w:val="000000"/>
          <w:kern w:val="32"/>
          <w:szCs w:val="32"/>
        </w:rPr>
        <w:t xml:space="preserve"> is to assess the benefits of the flexible utility form along with the non-IID error struct</w:t>
      </w:r>
      <w:r w:rsidR="009D1220" w:rsidRPr="00AC36D6">
        <w:rPr>
          <w:rFonts w:eastAsia="Times New Roman" w:cs="Arial"/>
          <w:bCs/>
          <w:color w:val="000000"/>
          <w:kern w:val="32"/>
          <w:szCs w:val="32"/>
        </w:rPr>
        <w:t>u</w:t>
      </w:r>
      <w:r w:rsidR="00CB3A12" w:rsidRPr="00AC36D6">
        <w:rPr>
          <w:rFonts w:eastAsia="Times New Roman" w:cs="Arial"/>
          <w:bCs/>
          <w:color w:val="000000"/>
          <w:kern w:val="32"/>
          <w:szCs w:val="32"/>
        </w:rPr>
        <w:t xml:space="preserve">re. </w:t>
      </w:r>
    </w:p>
    <w:p w14:paraId="62036A21" w14:textId="39984FBE" w:rsidR="00AB1D46" w:rsidRPr="00AC36D6" w:rsidRDefault="00BA4712" w:rsidP="004C7565">
      <w:pPr>
        <w:pStyle w:val="ListParagraph"/>
        <w:numPr>
          <w:ilvl w:val="1"/>
          <w:numId w:val="24"/>
        </w:numPr>
        <w:spacing w:before="120" w:after="0" w:line="360" w:lineRule="auto"/>
        <w:ind w:left="562" w:hanging="562"/>
        <w:contextualSpacing w:val="0"/>
        <w:rPr>
          <w:b/>
          <w:color w:val="000000" w:themeColor="text1"/>
        </w:rPr>
      </w:pPr>
      <w:r w:rsidRPr="00AC36D6">
        <w:rPr>
          <w:b/>
          <w:color w:val="000000" w:themeColor="text1"/>
        </w:rPr>
        <w:t>E</w:t>
      </w:r>
      <w:r w:rsidR="00AB1D46" w:rsidRPr="00AC36D6">
        <w:rPr>
          <w:b/>
          <w:color w:val="000000" w:themeColor="text1"/>
        </w:rPr>
        <w:t xml:space="preserve">stimation </w:t>
      </w:r>
      <w:r w:rsidR="00695E4C">
        <w:rPr>
          <w:b/>
          <w:color w:val="000000" w:themeColor="text1"/>
        </w:rPr>
        <w:t>R</w:t>
      </w:r>
      <w:r w:rsidR="00AB1D46" w:rsidRPr="00AC36D6">
        <w:rPr>
          <w:b/>
          <w:color w:val="000000" w:themeColor="text1"/>
        </w:rPr>
        <w:t>esults</w:t>
      </w:r>
    </w:p>
    <w:p w14:paraId="4945412A" w14:textId="67F39F4A" w:rsidR="006465EE" w:rsidRPr="00AC36D6" w:rsidRDefault="00AB1D46" w:rsidP="00087876">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 xml:space="preserve">The empirical specification was carefully built by systematically adding exogenous variables and dropping the statistically insignificant parameters from the specification. </w:t>
      </w:r>
      <w:r w:rsidR="00FE738E" w:rsidRPr="00AC36D6">
        <w:rPr>
          <w:rFonts w:eastAsia="Times New Roman" w:cs="Arial"/>
          <w:bCs/>
          <w:color w:val="000000"/>
          <w:kern w:val="32"/>
          <w:szCs w:val="32"/>
        </w:rPr>
        <w:t>In the final specification</w:t>
      </w:r>
      <w:r w:rsidRPr="00AC36D6">
        <w:rPr>
          <w:rFonts w:eastAsia="Times New Roman" w:cs="Arial"/>
          <w:bCs/>
          <w:color w:val="000000"/>
          <w:kern w:val="32"/>
          <w:szCs w:val="32"/>
        </w:rPr>
        <w:t>, parameters that provided an intuitive interpretation were retained if their t-stat</w:t>
      </w:r>
      <w:r w:rsidR="00265D83" w:rsidRPr="00AC36D6">
        <w:rPr>
          <w:rFonts w:eastAsia="Times New Roman" w:cs="Arial"/>
          <w:bCs/>
          <w:color w:val="000000"/>
          <w:kern w:val="32"/>
          <w:szCs w:val="32"/>
        </w:rPr>
        <w:t>istic</w:t>
      </w:r>
      <w:r w:rsidRPr="00AC36D6">
        <w:rPr>
          <w:rFonts w:eastAsia="Times New Roman" w:cs="Arial"/>
          <w:bCs/>
          <w:color w:val="000000"/>
          <w:kern w:val="32"/>
          <w:szCs w:val="32"/>
        </w:rPr>
        <w:t xml:space="preserve"> </w:t>
      </w:r>
      <w:r w:rsidR="00E32335" w:rsidRPr="00AC36D6">
        <w:rPr>
          <w:rFonts w:eastAsia="Times New Roman" w:cs="Arial"/>
          <w:bCs/>
          <w:color w:val="000000"/>
          <w:kern w:val="32"/>
          <w:szCs w:val="32"/>
        </w:rPr>
        <w:t xml:space="preserve">value </w:t>
      </w:r>
      <w:r w:rsidRPr="00AC36D6">
        <w:rPr>
          <w:rFonts w:eastAsia="Times New Roman" w:cs="Arial"/>
          <w:bCs/>
          <w:color w:val="000000"/>
          <w:kern w:val="32"/>
          <w:szCs w:val="32"/>
        </w:rPr>
        <w:t>was greater than 1.</w:t>
      </w:r>
      <w:r w:rsidR="006F40A7" w:rsidRPr="00AC36D6">
        <w:rPr>
          <w:rFonts w:eastAsia="Times New Roman" w:cs="Arial"/>
          <w:bCs/>
          <w:color w:val="000000"/>
          <w:kern w:val="32"/>
          <w:szCs w:val="32"/>
        </w:rPr>
        <w:t xml:space="preserve"> However, constants in the baseline preferences (both </w:t>
      </w:r>
      <w:r w:rsidR="00EB5ADC" w:rsidRPr="00AC36D6">
        <w:rPr>
          <w:rFonts w:eastAsia="Times New Roman" w:cs="Arial"/>
          <w:bCs/>
          <w:i/>
          <w:iCs/>
          <w:color w:val="000000"/>
          <w:kern w:val="32"/>
          <w:szCs w:val="32"/>
        </w:rPr>
        <w:t>D-</w:t>
      </w:r>
      <w:r w:rsidR="00EB5ADC" w:rsidRPr="00AC36D6">
        <w:rPr>
          <w:rFonts w:eastAsia="Times New Roman" w:cs="Arial"/>
          <w:bCs/>
          <w:color w:val="000000"/>
          <w:kern w:val="32"/>
          <w:szCs w:val="32"/>
        </w:rPr>
        <w:t xml:space="preserve"> and </w:t>
      </w:r>
      <w:r w:rsidR="00EB5ADC" w:rsidRPr="00AC36D6">
        <w:rPr>
          <w:rFonts w:eastAsia="Times New Roman" w:cs="Arial"/>
          <w:bCs/>
          <w:i/>
          <w:iCs/>
          <w:color w:val="000000"/>
          <w:kern w:val="32"/>
          <w:szCs w:val="32"/>
        </w:rPr>
        <w:t>C-</w:t>
      </w:r>
      <w:r w:rsidR="00EB5ADC" w:rsidRPr="00AC36D6">
        <w:rPr>
          <w:rFonts w:eastAsia="Times New Roman" w:cs="Arial"/>
          <w:bCs/>
          <w:color w:val="000000"/>
          <w:kern w:val="32"/>
          <w:szCs w:val="32"/>
        </w:rPr>
        <w:t>preferences</w:t>
      </w:r>
      <w:r w:rsidR="006F40A7" w:rsidRPr="00AC36D6">
        <w:rPr>
          <w:rFonts w:eastAsia="Times New Roman" w:cs="Arial"/>
          <w:bCs/>
          <w:color w:val="000000"/>
          <w:kern w:val="32"/>
          <w:szCs w:val="32"/>
        </w:rPr>
        <w:t>) and the satiation parameters were retained</w:t>
      </w:r>
      <w:r w:rsidR="00F66C1E" w:rsidRPr="00AC36D6">
        <w:rPr>
          <w:rFonts w:eastAsia="Times New Roman" w:cs="Arial"/>
          <w:bCs/>
          <w:color w:val="000000"/>
          <w:kern w:val="32"/>
          <w:szCs w:val="32"/>
        </w:rPr>
        <w:t xml:space="preserve"> in the final specification</w:t>
      </w:r>
      <w:r w:rsidR="006F40A7" w:rsidRPr="00AC36D6">
        <w:rPr>
          <w:rFonts w:eastAsia="Times New Roman" w:cs="Arial"/>
          <w:bCs/>
          <w:color w:val="000000"/>
          <w:kern w:val="32"/>
          <w:szCs w:val="32"/>
        </w:rPr>
        <w:t xml:space="preserve"> irrespective of their statistical significance.</w:t>
      </w:r>
      <w:r w:rsidR="004D6D6A" w:rsidRPr="00AC36D6">
        <w:rPr>
          <w:rFonts w:eastAsia="Times New Roman" w:cs="Arial"/>
          <w:bCs/>
          <w:color w:val="000000"/>
          <w:kern w:val="32"/>
          <w:szCs w:val="32"/>
        </w:rPr>
        <w:t xml:space="preserve"> </w:t>
      </w:r>
    </w:p>
    <w:p w14:paraId="73C5A681" w14:textId="16EE31D8" w:rsidR="00885829" w:rsidRPr="00AC36D6" w:rsidRDefault="004D6D6A" w:rsidP="00B15858">
      <w:pPr>
        <w:spacing w:after="0" w:line="360" w:lineRule="auto"/>
        <w:ind w:firstLine="720"/>
        <w:jc w:val="both"/>
        <w:rPr>
          <w:rFonts w:eastAsia="Times New Roman" w:cs="Arial"/>
          <w:bCs/>
          <w:color w:val="000000"/>
          <w:kern w:val="32"/>
          <w:szCs w:val="32"/>
        </w:rPr>
      </w:pPr>
      <w:r w:rsidRPr="00AC36D6">
        <w:rPr>
          <w:rFonts w:eastAsia="Times New Roman" w:cs="Arial"/>
          <w:bCs/>
          <w:color w:val="000000"/>
          <w:kern w:val="32"/>
          <w:szCs w:val="32"/>
        </w:rPr>
        <w:t>The estimation results of the proposed flexible MDCP model are reported in Table 2</w:t>
      </w:r>
      <w:r w:rsidR="00A62DFC" w:rsidRPr="00AC36D6">
        <w:rPr>
          <w:rFonts w:eastAsia="Times New Roman" w:cs="Arial"/>
          <w:bCs/>
          <w:color w:val="000000"/>
          <w:kern w:val="32"/>
          <w:szCs w:val="32"/>
        </w:rPr>
        <w:t>.</w:t>
      </w:r>
      <w:r w:rsidRPr="00AC36D6">
        <w:rPr>
          <w:rFonts w:eastAsia="Times New Roman" w:cs="Arial"/>
          <w:bCs/>
          <w:color w:val="000000"/>
          <w:kern w:val="32"/>
          <w:szCs w:val="32"/>
        </w:rPr>
        <w:t xml:space="preserve"> </w:t>
      </w:r>
      <w:r w:rsidR="00A62DFC" w:rsidRPr="00AC36D6">
        <w:rPr>
          <w:rFonts w:eastAsia="Times New Roman" w:cs="Arial"/>
          <w:bCs/>
          <w:color w:val="000000"/>
          <w:kern w:val="32"/>
          <w:szCs w:val="32"/>
        </w:rPr>
        <w:t>The</w:t>
      </w:r>
      <w:r w:rsidRPr="00AC36D6">
        <w:rPr>
          <w:rFonts w:eastAsia="Times New Roman" w:cs="Arial"/>
          <w:bCs/>
          <w:color w:val="000000"/>
          <w:kern w:val="32"/>
          <w:szCs w:val="32"/>
        </w:rPr>
        <w:t xml:space="preserve"> parameter</w:t>
      </w:r>
      <w:r w:rsidR="00A62DFC" w:rsidRPr="00AC36D6">
        <w:rPr>
          <w:rFonts w:eastAsia="Times New Roman" w:cs="Arial"/>
          <w:bCs/>
          <w:color w:val="000000"/>
          <w:kern w:val="32"/>
          <w:szCs w:val="32"/>
        </w:rPr>
        <w:t xml:space="preserve"> estimate</w:t>
      </w:r>
      <w:r w:rsidRPr="00AC36D6">
        <w:rPr>
          <w:rFonts w:eastAsia="Times New Roman" w:cs="Arial"/>
          <w:bCs/>
          <w:color w:val="000000"/>
          <w:kern w:val="32"/>
          <w:szCs w:val="32"/>
        </w:rPr>
        <w:t>s under the heading</w:t>
      </w:r>
      <w:r w:rsidR="00BE4A1B" w:rsidRPr="00AC36D6">
        <w:rPr>
          <w:rFonts w:eastAsia="Times New Roman" w:cs="Arial"/>
          <w:bCs/>
          <w:color w:val="000000"/>
          <w:kern w:val="32"/>
          <w:szCs w:val="32"/>
        </w:rPr>
        <w:t xml:space="preserve"> </w:t>
      </w:r>
      <w:r w:rsidR="00BE4A1B" w:rsidRPr="00AC36D6">
        <w:rPr>
          <w:rFonts w:eastAsia="Times New Roman" w:cs="Arial"/>
          <w:bCs/>
          <w:i/>
          <w:iCs/>
          <w:color w:val="000000"/>
          <w:kern w:val="32"/>
          <w:szCs w:val="32"/>
        </w:rPr>
        <w:t>“Discrete preferences</w:t>
      </w:r>
      <w:r w:rsidRPr="00AC36D6">
        <w:rPr>
          <w:rFonts w:eastAsia="Times New Roman" w:cs="Arial"/>
          <w:bCs/>
          <w:color w:val="000000"/>
          <w:kern w:val="32"/>
          <w:szCs w:val="32"/>
        </w:rPr>
        <w:t xml:space="preserve">” </w:t>
      </w:r>
      <w:r w:rsidR="00A62DFC" w:rsidRPr="00AC36D6">
        <w:rPr>
          <w:rFonts w:eastAsia="Times New Roman" w:cs="Arial"/>
          <w:bCs/>
          <w:color w:val="000000"/>
          <w:kern w:val="32"/>
          <w:szCs w:val="32"/>
        </w:rPr>
        <w:t>are for</w:t>
      </w:r>
      <w:r w:rsidRPr="00AC36D6">
        <w:rPr>
          <w:rFonts w:eastAsia="Times New Roman" w:cs="Arial"/>
          <w:bCs/>
          <w:color w:val="000000"/>
          <w:kern w:val="32"/>
          <w:szCs w:val="32"/>
        </w:rPr>
        <w:t xml:space="preserve"> the effects of exogenous variables on the </w:t>
      </w:r>
      <w:r w:rsidR="007276CA" w:rsidRPr="00AC36D6">
        <w:rPr>
          <w:rFonts w:eastAsia="Times New Roman" w:cs="Arial"/>
          <w:bCs/>
          <w:i/>
          <w:iCs/>
          <w:color w:val="000000"/>
          <w:kern w:val="32"/>
          <w:szCs w:val="32"/>
        </w:rPr>
        <w:t>D-</w:t>
      </w:r>
      <w:r w:rsidRPr="00AC36D6">
        <w:rPr>
          <w:rFonts w:eastAsia="Times New Roman" w:cs="Arial"/>
          <w:bCs/>
          <w:color w:val="000000"/>
          <w:kern w:val="32"/>
          <w:szCs w:val="32"/>
        </w:rPr>
        <w:t xml:space="preserve">preference </w:t>
      </w:r>
      <w:r w:rsidR="007276CA" w:rsidRPr="00AC36D6">
        <w:rPr>
          <w:rFonts w:eastAsia="Times New Roman" w:cs="Arial"/>
          <w:bCs/>
          <w:color w:val="000000"/>
          <w:kern w:val="32"/>
          <w:szCs w:val="32"/>
        </w:rPr>
        <w:t xml:space="preserve">baseline utility </w:t>
      </w:r>
      <w:r w:rsidR="00AC138E" w:rsidRPr="00AC36D6">
        <w:rPr>
          <w:rFonts w:eastAsia="Times New Roman" w:cs="Arial"/>
          <w:bCs/>
          <w:color w:val="000000"/>
          <w:kern w:val="32"/>
          <w:szCs w:val="32"/>
        </w:rPr>
        <w:t>components</w:t>
      </w:r>
      <w:r w:rsidR="00A62DFC" w:rsidRPr="00AC36D6">
        <w:rPr>
          <w:rFonts w:eastAsia="Times New Roman" w:cs="Arial"/>
          <w:bCs/>
          <w:color w:val="000000"/>
          <w:kern w:val="32"/>
          <w:szCs w:val="32"/>
        </w:rPr>
        <w:t>. T</w:t>
      </w:r>
      <w:r w:rsidRPr="00AC36D6">
        <w:rPr>
          <w:rFonts w:eastAsia="Times New Roman" w:cs="Arial"/>
          <w:bCs/>
          <w:color w:val="000000"/>
          <w:kern w:val="32"/>
          <w:szCs w:val="32"/>
        </w:rPr>
        <w:t>he parameter</w:t>
      </w:r>
      <w:r w:rsidR="00A62DFC" w:rsidRPr="00AC36D6">
        <w:rPr>
          <w:rFonts w:eastAsia="Times New Roman" w:cs="Arial"/>
          <w:bCs/>
          <w:color w:val="000000"/>
          <w:kern w:val="32"/>
          <w:szCs w:val="32"/>
        </w:rPr>
        <w:t xml:space="preserve"> estimate</w:t>
      </w:r>
      <w:r w:rsidRPr="00AC36D6">
        <w:rPr>
          <w:rFonts w:eastAsia="Times New Roman" w:cs="Arial"/>
          <w:bCs/>
          <w:color w:val="000000"/>
          <w:kern w:val="32"/>
          <w:szCs w:val="32"/>
        </w:rPr>
        <w:t>s under the</w:t>
      </w:r>
      <w:r w:rsidR="007B3643" w:rsidRPr="00AC36D6">
        <w:rPr>
          <w:rFonts w:eastAsia="Times New Roman" w:cs="Arial"/>
          <w:bCs/>
          <w:color w:val="000000"/>
          <w:kern w:val="32"/>
          <w:szCs w:val="32"/>
        </w:rPr>
        <w:t xml:space="preserve"> column</w:t>
      </w:r>
      <w:r w:rsidRPr="00AC36D6">
        <w:rPr>
          <w:rFonts w:eastAsia="Times New Roman" w:cs="Arial"/>
          <w:bCs/>
          <w:color w:val="000000"/>
          <w:kern w:val="32"/>
          <w:szCs w:val="32"/>
        </w:rPr>
        <w:t xml:space="preserve"> heading “</w:t>
      </w:r>
      <w:r w:rsidR="00BE4A1B" w:rsidRPr="00AC36D6">
        <w:rPr>
          <w:rFonts w:eastAsia="Times New Roman" w:cs="Arial"/>
          <w:bCs/>
          <w:i/>
          <w:iCs/>
          <w:color w:val="000000"/>
          <w:kern w:val="32"/>
          <w:szCs w:val="32"/>
        </w:rPr>
        <w:t>C</w:t>
      </w:r>
      <w:r w:rsidRPr="00AC36D6">
        <w:rPr>
          <w:rFonts w:eastAsia="Times New Roman" w:cs="Arial"/>
          <w:bCs/>
          <w:i/>
          <w:iCs/>
          <w:color w:val="000000"/>
          <w:kern w:val="32"/>
          <w:szCs w:val="32"/>
        </w:rPr>
        <w:t xml:space="preserve">ontinuous </w:t>
      </w:r>
      <w:r w:rsidR="00BE4A1B" w:rsidRPr="00AC36D6">
        <w:rPr>
          <w:rFonts w:eastAsia="Times New Roman" w:cs="Arial"/>
          <w:bCs/>
          <w:i/>
          <w:iCs/>
          <w:color w:val="000000"/>
          <w:kern w:val="32"/>
          <w:szCs w:val="32"/>
        </w:rPr>
        <w:t>preferences</w:t>
      </w:r>
      <w:r w:rsidRPr="00AC36D6">
        <w:rPr>
          <w:rFonts w:eastAsia="Times New Roman" w:cs="Arial"/>
          <w:bCs/>
          <w:color w:val="000000"/>
          <w:kern w:val="32"/>
          <w:szCs w:val="32"/>
        </w:rPr>
        <w:t xml:space="preserve">” report the effects of exogenous variables on the </w:t>
      </w:r>
      <w:r w:rsidRPr="00AC36D6">
        <w:rPr>
          <w:rFonts w:eastAsia="Times New Roman" w:cs="Arial"/>
          <w:bCs/>
          <w:i/>
          <w:iCs/>
          <w:color w:val="000000"/>
          <w:kern w:val="32"/>
          <w:szCs w:val="32"/>
        </w:rPr>
        <w:t>C-</w:t>
      </w:r>
      <w:r w:rsidRPr="00AC36D6">
        <w:rPr>
          <w:rFonts w:eastAsia="Times New Roman" w:cs="Arial"/>
          <w:bCs/>
          <w:color w:val="000000"/>
          <w:kern w:val="32"/>
          <w:szCs w:val="32"/>
        </w:rPr>
        <w:t>preference baseline utility</w:t>
      </w:r>
      <w:r w:rsidR="00AC138E" w:rsidRPr="00AC36D6">
        <w:rPr>
          <w:rFonts w:eastAsia="Times New Roman" w:cs="Arial"/>
          <w:bCs/>
          <w:color w:val="000000"/>
          <w:kern w:val="32"/>
          <w:szCs w:val="32"/>
        </w:rPr>
        <w:t xml:space="preserve"> components</w:t>
      </w:r>
      <w:r w:rsidRPr="00AC36D6">
        <w:rPr>
          <w:rFonts w:eastAsia="Times New Roman" w:cs="Arial"/>
          <w:bCs/>
          <w:color w:val="000000"/>
          <w:kern w:val="32"/>
          <w:szCs w:val="32"/>
        </w:rPr>
        <w:t xml:space="preserve">. Finally, </w:t>
      </w:r>
      <w:r w:rsidR="00827217" w:rsidRPr="00AC36D6">
        <w:rPr>
          <w:rFonts w:eastAsia="Times New Roman" w:cs="Arial"/>
          <w:bCs/>
          <w:color w:val="000000"/>
          <w:kern w:val="32"/>
          <w:szCs w:val="32"/>
        </w:rPr>
        <w:t>the</w:t>
      </w:r>
      <w:r w:rsidRPr="00AC36D6">
        <w:rPr>
          <w:rFonts w:eastAsia="Times New Roman" w:cs="Arial"/>
          <w:bCs/>
          <w:color w:val="000000"/>
          <w:kern w:val="32"/>
          <w:szCs w:val="32"/>
        </w:rPr>
        <w:t xml:space="preserve"> </w:t>
      </w:r>
      <w:r w:rsidR="00BE4A1B" w:rsidRPr="00AC36D6">
        <w:rPr>
          <w:rFonts w:eastAsia="Times New Roman" w:cs="Arial"/>
          <w:bCs/>
          <w:color w:val="000000"/>
          <w:kern w:val="32"/>
          <w:szCs w:val="32"/>
        </w:rPr>
        <w:t>parameter</w:t>
      </w:r>
      <w:r w:rsidR="0042221B" w:rsidRPr="00AC36D6">
        <w:rPr>
          <w:rFonts w:eastAsia="Times New Roman" w:cs="Arial"/>
          <w:bCs/>
          <w:color w:val="000000"/>
          <w:kern w:val="32"/>
          <w:szCs w:val="32"/>
        </w:rPr>
        <w:t xml:space="preserve"> estimate</w:t>
      </w:r>
      <w:r w:rsidR="00BE4A1B" w:rsidRPr="00AC36D6">
        <w:rPr>
          <w:rFonts w:eastAsia="Times New Roman" w:cs="Arial"/>
          <w:bCs/>
          <w:color w:val="000000"/>
          <w:kern w:val="32"/>
          <w:szCs w:val="32"/>
        </w:rPr>
        <w:t xml:space="preserve">s </w:t>
      </w:r>
      <w:r w:rsidR="0042221B" w:rsidRPr="00AC36D6">
        <w:rPr>
          <w:rFonts w:eastAsia="Times New Roman" w:cs="Arial"/>
          <w:bCs/>
          <w:color w:val="000000"/>
          <w:kern w:val="32"/>
          <w:szCs w:val="32"/>
        </w:rPr>
        <w:t>in the</w:t>
      </w:r>
      <w:r w:rsidR="00BE4A1B" w:rsidRPr="00AC36D6">
        <w:rPr>
          <w:rFonts w:eastAsia="Times New Roman" w:cs="Arial"/>
          <w:bCs/>
          <w:color w:val="000000"/>
          <w:kern w:val="32"/>
          <w:szCs w:val="32"/>
        </w:rPr>
        <w:t xml:space="preserve"> satiation functions are reported </w:t>
      </w:r>
      <w:r w:rsidR="00CE3705" w:rsidRPr="00AC36D6">
        <w:rPr>
          <w:rFonts w:eastAsia="Times New Roman" w:cs="Arial"/>
          <w:bCs/>
          <w:color w:val="000000"/>
          <w:kern w:val="32"/>
          <w:szCs w:val="32"/>
        </w:rPr>
        <w:t>in</w:t>
      </w:r>
      <w:r w:rsidR="00BE4A1B" w:rsidRPr="00AC36D6">
        <w:rPr>
          <w:rFonts w:eastAsia="Times New Roman" w:cs="Arial"/>
          <w:bCs/>
          <w:color w:val="000000"/>
          <w:kern w:val="32"/>
          <w:szCs w:val="32"/>
        </w:rPr>
        <w:t xml:space="preserve"> the set of rows labe</w:t>
      </w:r>
      <w:r w:rsidR="000576E6" w:rsidRPr="00AC36D6">
        <w:rPr>
          <w:rFonts w:eastAsia="Times New Roman" w:cs="Arial"/>
          <w:bCs/>
          <w:color w:val="000000"/>
          <w:kern w:val="32"/>
          <w:szCs w:val="32"/>
        </w:rPr>
        <w:t>led</w:t>
      </w:r>
      <w:r w:rsidR="00BE4A1B" w:rsidRPr="00AC36D6">
        <w:rPr>
          <w:rFonts w:eastAsia="Times New Roman" w:cs="Arial"/>
          <w:bCs/>
          <w:color w:val="000000"/>
          <w:kern w:val="32"/>
          <w:szCs w:val="32"/>
        </w:rPr>
        <w:t xml:space="preserve"> “</w:t>
      </w:r>
      <w:r w:rsidR="00BE4A1B" w:rsidRPr="00AC36D6">
        <w:rPr>
          <w:rFonts w:eastAsia="Times New Roman" w:cs="Arial"/>
          <w:bCs/>
          <w:i/>
          <w:iCs/>
          <w:color w:val="000000"/>
          <w:kern w:val="32"/>
          <w:szCs w:val="32"/>
        </w:rPr>
        <w:t xml:space="preserve">Satiation </w:t>
      </w:r>
      <w:r w:rsidR="006B5E84" w:rsidRPr="00AC36D6">
        <w:rPr>
          <w:rFonts w:eastAsia="Times New Roman" w:cs="Arial"/>
          <w:bCs/>
          <w:i/>
          <w:iCs/>
          <w:color w:val="000000"/>
          <w:kern w:val="32"/>
          <w:szCs w:val="32"/>
        </w:rPr>
        <w:t>function</w:t>
      </w:r>
      <w:r w:rsidR="00BE4A1B" w:rsidRPr="00AC36D6">
        <w:rPr>
          <w:rFonts w:eastAsia="Times New Roman" w:cs="Arial"/>
          <w:bCs/>
          <w:color w:val="000000"/>
          <w:kern w:val="32"/>
          <w:szCs w:val="32"/>
        </w:rPr>
        <w:t>”.</w:t>
      </w:r>
      <w:r w:rsidR="009B38DC" w:rsidRPr="00AC36D6">
        <w:rPr>
          <w:rFonts w:eastAsia="Times New Roman" w:cs="Arial"/>
          <w:bCs/>
          <w:color w:val="000000"/>
          <w:kern w:val="32"/>
          <w:szCs w:val="32"/>
        </w:rPr>
        <w:t xml:space="preserve"> </w:t>
      </w:r>
      <w:r w:rsidR="006B5E84" w:rsidRPr="00AC36D6">
        <w:rPr>
          <w:rFonts w:eastAsia="Times New Roman" w:cs="Arial"/>
          <w:bCs/>
          <w:color w:val="000000"/>
          <w:kern w:val="32"/>
          <w:szCs w:val="32"/>
        </w:rPr>
        <w:t>T</w:t>
      </w:r>
      <w:r w:rsidR="007D61C0" w:rsidRPr="00AC36D6">
        <w:rPr>
          <w:rFonts w:eastAsia="Times New Roman" w:cs="Arial"/>
          <w:bCs/>
          <w:color w:val="000000"/>
          <w:kern w:val="32"/>
          <w:szCs w:val="32"/>
        </w:rPr>
        <w:t>he</w:t>
      </w:r>
      <w:r w:rsidR="000576E6" w:rsidRPr="00AC36D6">
        <w:rPr>
          <w:rFonts w:eastAsia="Times New Roman" w:cs="Arial"/>
          <w:bCs/>
          <w:color w:val="000000"/>
          <w:kern w:val="32"/>
          <w:szCs w:val="32"/>
        </w:rPr>
        <w:t>se</w:t>
      </w:r>
      <w:r w:rsidR="007D61C0" w:rsidRPr="00AC36D6">
        <w:rPr>
          <w:rFonts w:eastAsia="Times New Roman" w:cs="Arial"/>
          <w:bCs/>
          <w:color w:val="000000"/>
          <w:kern w:val="32"/>
          <w:szCs w:val="32"/>
        </w:rPr>
        <w:t xml:space="preserve"> results</w:t>
      </w:r>
      <w:r w:rsidR="006B5E84" w:rsidRPr="00AC36D6">
        <w:rPr>
          <w:rFonts w:eastAsia="Times New Roman" w:cs="Arial"/>
          <w:bCs/>
          <w:color w:val="000000"/>
          <w:kern w:val="32"/>
          <w:szCs w:val="32"/>
        </w:rPr>
        <w:t xml:space="preserve"> are discussed below</w:t>
      </w:r>
      <w:r w:rsidR="007D61C0" w:rsidRPr="00AC36D6">
        <w:rPr>
          <w:rFonts w:eastAsia="Times New Roman" w:cs="Arial"/>
          <w:bCs/>
          <w:color w:val="000000"/>
          <w:kern w:val="32"/>
          <w:szCs w:val="32"/>
        </w:rPr>
        <w:t>.</w:t>
      </w:r>
    </w:p>
    <w:p w14:paraId="0B4F6A55" w14:textId="47EFA726" w:rsidR="00F66C1E" w:rsidRPr="00AC36D6" w:rsidRDefault="00AB1D46" w:rsidP="004C7565">
      <w:pPr>
        <w:pStyle w:val="ListParagraph"/>
        <w:numPr>
          <w:ilvl w:val="2"/>
          <w:numId w:val="20"/>
        </w:numPr>
        <w:spacing w:before="120" w:after="0" w:line="360" w:lineRule="auto"/>
        <w:contextualSpacing w:val="0"/>
        <w:jc w:val="both"/>
        <w:rPr>
          <w:rFonts w:eastAsia="Times New Roman" w:cs="Arial"/>
          <w:bCs/>
          <w:i/>
          <w:iCs/>
          <w:color w:val="000000"/>
          <w:kern w:val="32"/>
          <w:szCs w:val="32"/>
        </w:rPr>
      </w:pPr>
      <w:r w:rsidRPr="00AC36D6">
        <w:rPr>
          <w:rFonts w:eastAsia="Times New Roman" w:cs="Arial"/>
          <w:bCs/>
          <w:i/>
          <w:iCs/>
          <w:color w:val="000000"/>
          <w:kern w:val="32"/>
          <w:szCs w:val="32"/>
        </w:rPr>
        <w:t>Effects of exogenous variables on the D-</w:t>
      </w:r>
      <w:r w:rsidR="0042221B" w:rsidRPr="00AC36D6">
        <w:rPr>
          <w:rFonts w:eastAsia="Times New Roman" w:cs="Arial"/>
          <w:bCs/>
          <w:i/>
          <w:iCs/>
          <w:color w:val="000000"/>
          <w:kern w:val="32"/>
          <w:szCs w:val="32"/>
        </w:rPr>
        <w:t>preference</w:t>
      </w:r>
      <w:r w:rsidRPr="00AC36D6">
        <w:rPr>
          <w:rFonts w:eastAsia="Times New Roman" w:cs="Arial"/>
          <w:bCs/>
          <w:i/>
          <w:iCs/>
          <w:color w:val="000000"/>
          <w:kern w:val="32"/>
          <w:szCs w:val="32"/>
        </w:rPr>
        <w:t xml:space="preserve"> baseline utilities</w:t>
      </w:r>
    </w:p>
    <w:p w14:paraId="7E24AF5E" w14:textId="7B77CE73" w:rsidR="00E20592" w:rsidRPr="00AC36D6" w:rsidRDefault="00461D97" w:rsidP="00F66C1E">
      <w:pPr>
        <w:spacing w:after="0" w:line="360" w:lineRule="auto"/>
        <w:jc w:val="both"/>
        <w:rPr>
          <w:rFonts w:eastAsia="Times New Roman" w:cs="Arial"/>
          <w:bCs/>
          <w:color w:val="0070C0"/>
          <w:kern w:val="32"/>
          <w:szCs w:val="32"/>
        </w:rPr>
      </w:pPr>
      <w:r w:rsidRPr="00AC36D6">
        <w:rPr>
          <w:rFonts w:eastAsia="Times New Roman" w:cs="Arial"/>
          <w:bCs/>
          <w:color w:val="000000"/>
          <w:kern w:val="32"/>
          <w:szCs w:val="32"/>
        </w:rPr>
        <w:t>In the context of household</w:t>
      </w:r>
      <w:r w:rsidR="0047738D" w:rsidRPr="00AC36D6">
        <w:rPr>
          <w:rFonts w:eastAsia="Times New Roman" w:cs="Arial"/>
          <w:bCs/>
          <w:color w:val="000000"/>
          <w:kern w:val="32"/>
          <w:szCs w:val="32"/>
        </w:rPr>
        <w:t xml:space="preserve"> characteristics</w:t>
      </w:r>
      <w:r w:rsidRPr="00AC36D6">
        <w:rPr>
          <w:rFonts w:eastAsia="Times New Roman" w:cs="Arial"/>
          <w:bCs/>
          <w:color w:val="000000"/>
          <w:kern w:val="32"/>
          <w:szCs w:val="32"/>
        </w:rPr>
        <w:t>, t</w:t>
      </w:r>
      <w:r w:rsidR="00E04FC7" w:rsidRPr="00AC36D6">
        <w:rPr>
          <w:rFonts w:eastAsia="Times New Roman" w:cs="Arial"/>
          <w:bCs/>
          <w:color w:val="000000"/>
          <w:kern w:val="32"/>
          <w:szCs w:val="32"/>
        </w:rPr>
        <w:t xml:space="preserve">he </w:t>
      </w:r>
      <w:r w:rsidR="00915D3F" w:rsidRPr="00AC36D6">
        <w:rPr>
          <w:rFonts w:eastAsia="Times New Roman" w:cs="Arial"/>
          <w:bCs/>
          <w:color w:val="000000"/>
          <w:kern w:val="32"/>
          <w:szCs w:val="32"/>
        </w:rPr>
        <w:t xml:space="preserve">negative coefficient of the </w:t>
      </w:r>
      <w:r w:rsidR="00AB2AE0" w:rsidRPr="00AC36D6">
        <w:rPr>
          <w:rFonts w:eastAsia="Times New Roman" w:cs="Arial"/>
          <w:bCs/>
          <w:color w:val="000000"/>
          <w:kern w:val="32"/>
          <w:szCs w:val="32"/>
        </w:rPr>
        <w:t xml:space="preserve">“urban household” dummy variable in the </w:t>
      </w:r>
      <w:r w:rsidR="000B1A41" w:rsidRPr="00AC36D6">
        <w:rPr>
          <w:rFonts w:eastAsia="Times New Roman" w:cs="Arial"/>
          <w:bCs/>
          <w:i/>
          <w:iCs/>
          <w:color w:val="000000"/>
          <w:kern w:val="32"/>
          <w:szCs w:val="32"/>
        </w:rPr>
        <w:t>D</w:t>
      </w:r>
      <w:r w:rsidR="00AB2AE0" w:rsidRPr="00AC36D6">
        <w:rPr>
          <w:rFonts w:eastAsia="Times New Roman" w:cs="Arial"/>
          <w:bCs/>
          <w:i/>
          <w:iCs/>
          <w:color w:val="000000"/>
          <w:kern w:val="32"/>
          <w:szCs w:val="32"/>
        </w:rPr>
        <w:t>-</w:t>
      </w:r>
      <w:r w:rsidR="00AB2AE0" w:rsidRPr="00AC36D6">
        <w:rPr>
          <w:rFonts w:eastAsia="Times New Roman" w:cs="Arial"/>
          <w:bCs/>
          <w:color w:val="000000"/>
          <w:kern w:val="32"/>
          <w:szCs w:val="32"/>
        </w:rPr>
        <w:t>preference parameter for shopping</w:t>
      </w:r>
      <w:r w:rsidR="0026613B" w:rsidRPr="00AC36D6">
        <w:rPr>
          <w:rFonts w:eastAsia="Times New Roman" w:cs="Arial"/>
          <w:bCs/>
          <w:color w:val="000000"/>
          <w:kern w:val="32"/>
          <w:szCs w:val="32"/>
        </w:rPr>
        <w:t xml:space="preserve"> suggests that</w:t>
      </w:r>
      <w:r w:rsidR="007D61C0" w:rsidRPr="00AC36D6">
        <w:rPr>
          <w:rFonts w:eastAsia="Times New Roman" w:cs="Arial"/>
          <w:bCs/>
          <w:color w:val="000000"/>
          <w:kern w:val="32"/>
          <w:szCs w:val="32"/>
        </w:rPr>
        <w:t xml:space="preserve"> households </w:t>
      </w:r>
      <w:r w:rsidR="0026613B" w:rsidRPr="00AC36D6">
        <w:rPr>
          <w:rFonts w:eastAsia="Times New Roman" w:cs="Arial"/>
          <w:bCs/>
          <w:color w:val="000000"/>
          <w:kern w:val="32"/>
          <w:szCs w:val="32"/>
        </w:rPr>
        <w:t>residing</w:t>
      </w:r>
      <w:r w:rsidR="007D61C0" w:rsidRPr="00AC36D6">
        <w:rPr>
          <w:rFonts w:eastAsia="Times New Roman" w:cs="Arial"/>
          <w:bCs/>
          <w:color w:val="000000"/>
          <w:kern w:val="32"/>
          <w:szCs w:val="32"/>
        </w:rPr>
        <w:t xml:space="preserve"> </w:t>
      </w:r>
      <w:r w:rsidR="0047738D" w:rsidRPr="00AC36D6">
        <w:rPr>
          <w:rFonts w:eastAsia="Times New Roman" w:cs="Arial"/>
          <w:bCs/>
          <w:color w:val="000000"/>
          <w:kern w:val="32"/>
          <w:szCs w:val="32"/>
        </w:rPr>
        <w:t xml:space="preserve">in </w:t>
      </w:r>
      <w:r w:rsidR="007D61C0" w:rsidRPr="00AC36D6">
        <w:rPr>
          <w:rFonts w:eastAsia="Times New Roman" w:cs="Arial"/>
          <w:bCs/>
          <w:color w:val="000000"/>
          <w:kern w:val="32"/>
          <w:szCs w:val="32"/>
        </w:rPr>
        <w:t xml:space="preserve">urban </w:t>
      </w:r>
      <w:r w:rsidR="006B5E84" w:rsidRPr="00AC36D6">
        <w:rPr>
          <w:rFonts w:eastAsia="Times New Roman" w:cs="Arial"/>
          <w:bCs/>
          <w:color w:val="000000"/>
          <w:kern w:val="32"/>
          <w:szCs w:val="32"/>
        </w:rPr>
        <w:t>areas</w:t>
      </w:r>
      <w:r w:rsidR="007D61C0" w:rsidRPr="00AC36D6">
        <w:rPr>
          <w:rFonts w:eastAsia="Times New Roman" w:cs="Arial"/>
          <w:bCs/>
          <w:color w:val="000000"/>
          <w:kern w:val="32"/>
          <w:szCs w:val="32"/>
        </w:rPr>
        <w:t xml:space="preserve"> are less likely </w:t>
      </w:r>
      <w:r w:rsidR="00484242" w:rsidRPr="00AC36D6">
        <w:rPr>
          <w:rFonts w:eastAsia="Times New Roman" w:cs="Arial"/>
          <w:bCs/>
          <w:color w:val="000000"/>
          <w:kern w:val="32"/>
          <w:szCs w:val="32"/>
        </w:rPr>
        <w:t xml:space="preserve">(than those in rural </w:t>
      </w:r>
      <w:r w:rsidR="006B5E84" w:rsidRPr="00AC36D6">
        <w:rPr>
          <w:rFonts w:eastAsia="Times New Roman" w:cs="Arial"/>
          <w:bCs/>
          <w:color w:val="000000"/>
          <w:kern w:val="32"/>
          <w:szCs w:val="32"/>
        </w:rPr>
        <w:t>areas</w:t>
      </w:r>
      <w:r w:rsidR="00484242" w:rsidRPr="00AC36D6">
        <w:rPr>
          <w:rFonts w:eastAsia="Times New Roman" w:cs="Arial"/>
          <w:bCs/>
          <w:color w:val="000000"/>
          <w:kern w:val="32"/>
          <w:szCs w:val="32"/>
        </w:rPr>
        <w:t xml:space="preserve">) </w:t>
      </w:r>
      <w:r w:rsidR="007D61C0" w:rsidRPr="00AC36D6">
        <w:rPr>
          <w:rFonts w:eastAsia="Times New Roman" w:cs="Arial"/>
          <w:bCs/>
          <w:color w:val="000000"/>
          <w:kern w:val="32"/>
          <w:szCs w:val="32"/>
        </w:rPr>
        <w:t xml:space="preserve">to spend </w:t>
      </w:r>
      <w:r w:rsidR="00484242" w:rsidRPr="00AC36D6">
        <w:rPr>
          <w:rFonts w:eastAsia="Times New Roman" w:cs="Arial"/>
          <w:bCs/>
          <w:color w:val="000000"/>
          <w:kern w:val="32"/>
          <w:szCs w:val="32"/>
        </w:rPr>
        <w:t xml:space="preserve">on </w:t>
      </w:r>
      <w:r w:rsidR="007D61C0" w:rsidRPr="00AC36D6">
        <w:rPr>
          <w:rFonts w:eastAsia="Times New Roman" w:cs="Arial"/>
          <w:bCs/>
          <w:color w:val="000000"/>
          <w:kern w:val="32"/>
          <w:szCs w:val="32"/>
        </w:rPr>
        <w:t>shopping</w:t>
      </w:r>
      <w:r w:rsidR="0026613B" w:rsidRPr="00AC36D6">
        <w:rPr>
          <w:rFonts w:eastAsia="Times New Roman" w:cs="Arial"/>
          <w:bCs/>
          <w:color w:val="000000"/>
          <w:kern w:val="32"/>
          <w:szCs w:val="32"/>
        </w:rPr>
        <w:t xml:space="preserve"> </w:t>
      </w:r>
      <w:r w:rsidR="00484242" w:rsidRPr="00AC36D6">
        <w:rPr>
          <w:rFonts w:eastAsia="Times New Roman" w:cs="Arial"/>
          <w:bCs/>
          <w:color w:val="000000"/>
          <w:kern w:val="32"/>
          <w:szCs w:val="32"/>
        </w:rPr>
        <w:t>during their travel outside their usual place of residence (UPR)</w:t>
      </w:r>
      <w:r w:rsidR="007D61C0" w:rsidRPr="00AC36D6">
        <w:rPr>
          <w:rFonts w:eastAsia="Times New Roman" w:cs="Arial"/>
          <w:bCs/>
          <w:color w:val="000000"/>
          <w:kern w:val="32"/>
          <w:szCs w:val="32"/>
        </w:rPr>
        <w:t xml:space="preserve">. </w:t>
      </w:r>
      <w:r w:rsidR="00484242" w:rsidRPr="00AC36D6">
        <w:rPr>
          <w:rFonts w:eastAsia="Times New Roman" w:cs="Arial"/>
          <w:bCs/>
          <w:color w:val="000000"/>
          <w:kern w:val="32"/>
          <w:szCs w:val="32"/>
        </w:rPr>
        <w:t>This may be</w:t>
      </w:r>
      <w:r w:rsidR="007D61C0" w:rsidRPr="00AC36D6">
        <w:rPr>
          <w:rFonts w:eastAsia="Times New Roman" w:cs="Arial"/>
          <w:bCs/>
          <w:color w:val="000000"/>
          <w:kern w:val="32"/>
          <w:szCs w:val="32"/>
        </w:rPr>
        <w:t xml:space="preserve"> </w:t>
      </w:r>
      <w:r w:rsidR="00D94A23" w:rsidRPr="00AC36D6">
        <w:rPr>
          <w:rFonts w:eastAsia="Times New Roman" w:cs="Arial"/>
          <w:bCs/>
          <w:color w:val="000000"/>
          <w:kern w:val="32"/>
          <w:szCs w:val="32"/>
        </w:rPr>
        <w:t xml:space="preserve">because </w:t>
      </w:r>
      <w:r w:rsidR="007D61C0" w:rsidRPr="00AC36D6">
        <w:rPr>
          <w:rFonts w:eastAsia="Times New Roman" w:cs="Arial"/>
          <w:bCs/>
          <w:color w:val="000000"/>
          <w:kern w:val="32"/>
          <w:szCs w:val="32"/>
        </w:rPr>
        <w:t xml:space="preserve">urban households tend to have better access to shopping facilities at their UPR </w:t>
      </w:r>
      <w:r w:rsidR="00D94A23" w:rsidRPr="00AC36D6">
        <w:rPr>
          <w:rFonts w:eastAsia="Times New Roman" w:cs="Arial"/>
          <w:bCs/>
          <w:color w:val="000000"/>
          <w:kern w:val="32"/>
          <w:szCs w:val="32"/>
        </w:rPr>
        <w:t>than</w:t>
      </w:r>
      <w:r w:rsidR="007D61C0" w:rsidRPr="00AC36D6">
        <w:rPr>
          <w:rFonts w:eastAsia="Times New Roman" w:cs="Arial"/>
          <w:bCs/>
          <w:color w:val="000000"/>
          <w:kern w:val="32"/>
          <w:szCs w:val="32"/>
        </w:rPr>
        <w:t xml:space="preserve"> rural households</w:t>
      </w:r>
      <w:r w:rsidR="00DA6943" w:rsidRPr="00AC36D6">
        <w:rPr>
          <w:rFonts w:eastAsia="Times New Roman" w:cs="Arial"/>
          <w:bCs/>
          <w:color w:val="000000"/>
          <w:kern w:val="32"/>
          <w:szCs w:val="32"/>
        </w:rPr>
        <w:t xml:space="preserve"> (Venugopal, 2012</w:t>
      </w:r>
      <w:r w:rsidR="000576E6" w:rsidRPr="00AC36D6">
        <w:rPr>
          <w:rFonts w:eastAsia="Times New Roman" w:cs="Arial"/>
          <w:bCs/>
          <w:color w:val="000000"/>
          <w:kern w:val="32"/>
          <w:szCs w:val="32"/>
        </w:rPr>
        <w:t>;</w:t>
      </w:r>
      <w:r w:rsidR="00DA6943" w:rsidRPr="00AC36D6">
        <w:rPr>
          <w:rFonts w:eastAsia="Times New Roman" w:cs="Arial"/>
          <w:bCs/>
          <w:color w:val="000000"/>
          <w:kern w:val="32"/>
          <w:szCs w:val="32"/>
        </w:rPr>
        <w:t xml:space="preserve"> </w:t>
      </w:r>
      <w:r w:rsidR="00154744" w:rsidRPr="00AC36D6">
        <w:rPr>
          <w:rFonts w:eastAsia="Times New Roman" w:cs="Arial"/>
          <w:bCs/>
          <w:color w:val="000000"/>
          <w:kern w:val="32"/>
          <w:szCs w:val="32"/>
        </w:rPr>
        <w:t xml:space="preserve">Mulky, </w:t>
      </w:r>
      <w:r w:rsidR="00154744" w:rsidRPr="00AC36D6">
        <w:rPr>
          <w:rFonts w:eastAsia="Times New Roman" w:cs="Arial"/>
          <w:bCs/>
          <w:color w:val="000000"/>
          <w:kern w:val="32"/>
          <w:szCs w:val="32"/>
        </w:rPr>
        <w:lastRenderedPageBreak/>
        <w:t>2013</w:t>
      </w:r>
      <w:r w:rsidR="00DA6943" w:rsidRPr="00AC36D6">
        <w:rPr>
          <w:rFonts w:eastAsia="Times New Roman" w:cs="Arial"/>
          <w:bCs/>
          <w:color w:val="000000"/>
          <w:kern w:val="32"/>
          <w:szCs w:val="32"/>
        </w:rPr>
        <w:t>)</w:t>
      </w:r>
      <w:r w:rsidR="007D61C0" w:rsidRPr="00AC36D6">
        <w:rPr>
          <w:rFonts w:eastAsia="Times New Roman" w:cs="Arial"/>
          <w:bCs/>
          <w:color w:val="000000"/>
          <w:kern w:val="32"/>
          <w:szCs w:val="32"/>
        </w:rPr>
        <w:t>. Urban households, on the other hand</w:t>
      </w:r>
      <w:r w:rsidR="006729DE" w:rsidRPr="00AC36D6">
        <w:rPr>
          <w:rFonts w:eastAsia="Times New Roman" w:cs="Arial"/>
          <w:bCs/>
          <w:color w:val="000000"/>
          <w:kern w:val="32"/>
          <w:szCs w:val="32"/>
        </w:rPr>
        <w:t>,</w:t>
      </w:r>
      <w:r w:rsidR="007D61C0" w:rsidRPr="00AC36D6">
        <w:rPr>
          <w:rFonts w:eastAsia="Times New Roman" w:cs="Arial"/>
          <w:bCs/>
          <w:color w:val="000000"/>
          <w:kern w:val="32"/>
          <w:szCs w:val="32"/>
        </w:rPr>
        <w:t xml:space="preserve"> are more likely to spend </w:t>
      </w:r>
      <w:r w:rsidR="00D94A23" w:rsidRPr="00AC36D6">
        <w:rPr>
          <w:rFonts w:eastAsia="Times New Roman" w:cs="Arial"/>
          <w:bCs/>
          <w:color w:val="000000"/>
          <w:kern w:val="32"/>
          <w:szCs w:val="32"/>
        </w:rPr>
        <w:t xml:space="preserve">on </w:t>
      </w:r>
      <w:r w:rsidR="007D61C0" w:rsidRPr="00AC36D6">
        <w:rPr>
          <w:rFonts w:eastAsia="Times New Roman" w:cs="Arial"/>
          <w:bCs/>
          <w:color w:val="000000"/>
          <w:kern w:val="32"/>
          <w:szCs w:val="32"/>
        </w:rPr>
        <w:t>accommodation</w:t>
      </w:r>
      <w:r w:rsidR="006729DE" w:rsidRPr="00AC36D6">
        <w:rPr>
          <w:rFonts w:eastAsia="Times New Roman" w:cs="Arial"/>
          <w:bCs/>
          <w:color w:val="000000"/>
          <w:kern w:val="32"/>
          <w:szCs w:val="32"/>
        </w:rPr>
        <w:t xml:space="preserve"> as compared to their rural counterparts</w:t>
      </w:r>
      <w:r w:rsidR="00002AAC" w:rsidRPr="00AC36D6">
        <w:rPr>
          <w:rFonts w:eastAsia="Times New Roman" w:cs="Arial"/>
          <w:bCs/>
          <w:color w:val="000000"/>
          <w:kern w:val="32"/>
          <w:szCs w:val="32"/>
        </w:rPr>
        <w:t xml:space="preserve">. </w:t>
      </w:r>
    </w:p>
    <w:p w14:paraId="5DB153C9" w14:textId="01436E3D" w:rsidR="00A9128C" w:rsidRPr="00AC36D6" w:rsidRDefault="002A6780" w:rsidP="00F66C1E">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ab/>
        <w:t xml:space="preserve">Next, </w:t>
      </w:r>
      <w:r w:rsidR="00151B1D" w:rsidRPr="00AC36D6">
        <w:rPr>
          <w:rFonts w:eastAsia="Times New Roman" w:cs="Arial"/>
          <w:bCs/>
          <w:color w:val="000000"/>
          <w:kern w:val="32"/>
          <w:szCs w:val="32"/>
        </w:rPr>
        <w:t xml:space="preserve">income effects </w:t>
      </w:r>
      <w:r w:rsidR="002A1981" w:rsidRPr="00AC36D6">
        <w:rPr>
          <w:rFonts w:eastAsia="Times New Roman" w:cs="Arial"/>
          <w:bCs/>
          <w:color w:val="000000"/>
          <w:kern w:val="32"/>
          <w:szCs w:val="32"/>
        </w:rPr>
        <w:t xml:space="preserve">were explored using a surrogate variable </w:t>
      </w:r>
      <w:r w:rsidR="004F713E" w:rsidRPr="00AC36D6">
        <w:rPr>
          <w:rFonts w:eastAsia="Times New Roman" w:cs="Arial"/>
          <w:bCs/>
          <w:color w:val="000000"/>
          <w:kern w:val="32"/>
          <w:szCs w:val="32"/>
        </w:rPr>
        <w:t>associated with</w:t>
      </w:r>
      <w:r w:rsidR="002A1981" w:rsidRPr="00AC36D6">
        <w:rPr>
          <w:rFonts w:eastAsia="Times New Roman" w:cs="Arial"/>
          <w:bCs/>
          <w:color w:val="000000"/>
          <w:kern w:val="32"/>
          <w:szCs w:val="32"/>
        </w:rPr>
        <w:t xml:space="preserve"> </w:t>
      </w:r>
      <w:r w:rsidR="00A65A90" w:rsidRPr="00AC36D6">
        <w:rPr>
          <w:rFonts w:eastAsia="Times New Roman" w:cs="Arial"/>
          <w:bCs/>
          <w:color w:val="000000"/>
          <w:kern w:val="32"/>
          <w:szCs w:val="32"/>
        </w:rPr>
        <w:t>the household’s usual monthly consumer expenditure (UMCE</w:t>
      </w:r>
      <w:r w:rsidR="00A360E3" w:rsidRPr="00AC36D6">
        <w:rPr>
          <w:rFonts w:eastAsia="Times New Roman" w:cs="Arial"/>
          <w:bCs/>
          <w:color w:val="000000"/>
          <w:kern w:val="32"/>
          <w:szCs w:val="32"/>
        </w:rPr>
        <w:t xml:space="preserve">) </w:t>
      </w:r>
      <w:r w:rsidR="002B6B66" w:rsidRPr="00AC36D6">
        <w:rPr>
          <w:rFonts w:eastAsia="Times New Roman" w:cs="Arial"/>
          <w:bCs/>
          <w:color w:val="000000"/>
          <w:kern w:val="32"/>
          <w:szCs w:val="32"/>
        </w:rPr>
        <w:t>by</w:t>
      </w:r>
      <w:r w:rsidR="00A360E3" w:rsidRPr="00AC36D6">
        <w:rPr>
          <w:rFonts w:eastAsia="Times New Roman" w:cs="Arial"/>
          <w:bCs/>
          <w:color w:val="000000"/>
          <w:kern w:val="32"/>
          <w:szCs w:val="32"/>
        </w:rPr>
        <w:t xml:space="preserve"> categoriz</w:t>
      </w:r>
      <w:r w:rsidR="002B6B66" w:rsidRPr="00AC36D6">
        <w:rPr>
          <w:rFonts w:eastAsia="Times New Roman" w:cs="Arial"/>
          <w:bCs/>
          <w:color w:val="000000"/>
          <w:kern w:val="32"/>
          <w:szCs w:val="32"/>
        </w:rPr>
        <w:t>ing</w:t>
      </w:r>
      <w:r w:rsidR="00A360E3" w:rsidRPr="00AC36D6">
        <w:rPr>
          <w:rFonts w:eastAsia="Times New Roman" w:cs="Arial"/>
          <w:bCs/>
          <w:color w:val="000000"/>
          <w:kern w:val="32"/>
          <w:szCs w:val="32"/>
        </w:rPr>
        <w:t xml:space="preserve"> the</w:t>
      </w:r>
      <w:r w:rsidR="00A65A90" w:rsidRPr="00AC36D6">
        <w:rPr>
          <w:rFonts w:eastAsia="Times New Roman" w:cs="Arial"/>
          <w:bCs/>
          <w:color w:val="000000"/>
          <w:kern w:val="32"/>
          <w:szCs w:val="32"/>
        </w:rPr>
        <w:t xml:space="preserve"> households </w:t>
      </w:r>
      <w:r w:rsidR="00A360E3" w:rsidRPr="00AC36D6">
        <w:rPr>
          <w:rFonts w:eastAsia="Times New Roman" w:cs="Arial"/>
          <w:bCs/>
          <w:color w:val="000000"/>
          <w:kern w:val="32"/>
          <w:szCs w:val="32"/>
        </w:rPr>
        <w:t xml:space="preserve">into low-income (UMCE &lt; INR </w:t>
      </w:r>
      <w:r w:rsidR="00CE4FFA" w:rsidRPr="00AC36D6">
        <w:rPr>
          <w:rFonts w:eastAsia="Times New Roman" w:cs="Arial"/>
          <w:bCs/>
          <w:color w:val="000000"/>
          <w:kern w:val="32"/>
          <w:szCs w:val="32"/>
        </w:rPr>
        <w:t>1</w:t>
      </w:r>
      <w:r w:rsidR="00A360E3" w:rsidRPr="00AC36D6">
        <w:rPr>
          <w:rFonts w:eastAsia="Times New Roman" w:cs="Arial"/>
          <w:bCs/>
          <w:color w:val="000000"/>
          <w:kern w:val="32"/>
          <w:szCs w:val="32"/>
        </w:rPr>
        <w:t xml:space="preserve">0,000), medium-income (INR </w:t>
      </w:r>
      <w:r w:rsidR="00CE4FFA" w:rsidRPr="00AC36D6">
        <w:rPr>
          <w:rFonts w:eastAsia="Times New Roman" w:cs="Arial"/>
          <w:bCs/>
          <w:color w:val="000000"/>
          <w:kern w:val="32"/>
          <w:szCs w:val="32"/>
        </w:rPr>
        <w:t>1</w:t>
      </w:r>
      <w:r w:rsidR="00A360E3" w:rsidRPr="00AC36D6">
        <w:rPr>
          <w:rFonts w:eastAsia="Times New Roman" w:cs="Arial"/>
          <w:bCs/>
          <w:color w:val="000000"/>
          <w:kern w:val="32"/>
          <w:szCs w:val="32"/>
        </w:rPr>
        <w:t xml:space="preserve">0,000 to </w:t>
      </w:r>
      <w:r w:rsidR="00CE4FFA" w:rsidRPr="00AC36D6">
        <w:rPr>
          <w:rFonts w:eastAsia="Times New Roman" w:cs="Arial"/>
          <w:bCs/>
          <w:color w:val="000000"/>
          <w:kern w:val="32"/>
          <w:szCs w:val="32"/>
        </w:rPr>
        <w:t>20,000)</w:t>
      </w:r>
      <w:r w:rsidR="00A360E3" w:rsidRPr="00AC36D6">
        <w:rPr>
          <w:rFonts w:eastAsia="Times New Roman" w:cs="Arial"/>
          <w:bCs/>
          <w:color w:val="000000"/>
          <w:kern w:val="32"/>
          <w:szCs w:val="32"/>
        </w:rPr>
        <w:t xml:space="preserve">, and high-income </w:t>
      </w:r>
      <w:r w:rsidR="00CE4FFA" w:rsidRPr="00AC36D6">
        <w:rPr>
          <w:rFonts w:eastAsia="Times New Roman" w:cs="Arial"/>
          <w:bCs/>
          <w:color w:val="000000"/>
          <w:kern w:val="32"/>
          <w:szCs w:val="32"/>
        </w:rPr>
        <w:t>(UMCE &gt; INR 20,000)</w:t>
      </w:r>
      <w:r w:rsidR="003E24F8" w:rsidRPr="00AC36D6">
        <w:rPr>
          <w:rFonts w:eastAsia="Times New Roman" w:cs="Arial"/>
          <w:bCs/>
          <w:color w:val="000000"/>
          <w:kern w:val="32"/>
          <w:szCs w:val="32"/>
        </w:rPr>
        <w:t xml:space="preserve"> classes</w:t>
      </w:r>
      <w:r w:rsidR="00CE4FFA" w:rsidRPr="00AC36D6">
        <w:rPr>
          <w:rFonts w:eastAsia="Times New Roman" w:cs="Arial"/>
          <w:bCs/>
          <w:color w:val="000000"/>
          <w:kern w:val="32"/>
          <w:szCs w:val="32"/>
        </w:rPr>
        <w:t xml:space="preserve">. </w:t>
      </w:r>
      <w:r w:rsidR="00F4634C" w:rsidRPr="00AC36D6">
        <w:rPr>
          <w:rFonts w:eastAsia="Times New Roman" w:cs="Arial"/>
          <w:bCs/>
          <w:color w:val="000000"/>
          <w:kern w:val="32"/>
          <w:szCs w:val="32"/>
        </w:rPr>
        <w:t>The corresponding p</w:t>
      </w:r>
      <w:r w:rsidR="00151B1D" w:rsidRPr="00AC36D6">
        <w:rPr>
          <w:rFonts w:eastAsia="Times New Roman" w:cs="Arial"/>
          <w:bCs/>
          <w:color w:val="000000"/>
          <w:kern w:val="32"/>
          <w:szCs w:val="32"/>
        </w:rPr>
        <w:t xml:space="preserve">arameter estimates in </w:t>
      </w:r>
      <w:r w:rsidR="00223299" w:rsidRPr="00AC36D6">
        <w:rPr>
          <w:rFonts w:eastAsia="Times New Roman" w:cs="Arial"/>
          <w:bCs/>
          <w:color w:val="000000"/>
          <w:kern w:val="32"/>
          <w:szCs w:val="32"/>
        </w:rPr>
        <w:t xml:space="preserve">the </w:t>
      </w:r>
      <w:r w:rsidR="00151B1D" w:rsidRPr="00AC36D6">
        <w:rPr>
          <w:rFonts w:eastAsia="Times New Roman" w:cs="Arial"/>
          <w:bCs/>
          <w:i/>
          <w:iCs/>
          <w:color w:val="000000"/>
          <w:kern w:val="32"/>
          <w:szCs w:val="32"/>
        </w:rPr>
        <w:t>D-</w:t>
      </w:r>
      <w:r w:rsidR="00223299" w:rsidRPr="00AC36D6">
        <w:rPr>
          <w:rFonts w:eastAsia="Times New Roman" w:cs="Arial"/>
          <w:bCs/>
          <w:color w:val="000000"/>
          <w:kern w:val="32"/>
          <w:szCs w:val="32"/>
        </w:rPr>
        <w:t>preference</w:t>
      </w:r>
      <w:r w:rsidR="00151B1D" w:rsidRPr="00AC36D6">
        <w:rPr>
          <w:rFonts w:eastAsia="Times New Roman" w:cs="Arial"/>
          <w:bCs/>
          <w:color w:val="000000"/>
          <w:kern w:val="32"/>
          <w:szCs w:val="32"/>
        </w:rPr>
        <w:t>s</w:t>
      </w:r>
      <w:r w:rsidR="00223299" w:rsidRPr="00AC36D6">
        <w:rPr>
          <w:rFonts w:eastAsia="Times New Roman" w:cs="Arial"/>
          <w:bCs/>
          <w:color w:val="000000"/>
          <w:kern w:val="32"/>
          <w:szCs w:val="32"/>
        </w:rPr>
        <w:t xml:space="preserve"> </w:t>
      </w:r>
      <w:r w:rsidR="00F4634C" w:rsidRPr="00AC36D6">
        <w:rPr>
          <w:rFonts w:eastAsia="Times New Roman" w:cs="Arial"/>
          <w:bCs/>
          <w:color w:val="000000"/>
          <w:kern w:val="32"/>
          <w:szCs w:val="32"/>
        </w:rPr>
        <w:t xml:space="preserve">suggest </w:t>
      </w:r>
      <w:r w:rsidR="00AE414C" w:rsidRPr="00AC36D6">
        <w:rPr>
          <w:rFonts w:eastAsia="Times New Roman" w:cs="Arial"/>
          <w:bCs/>
          <w:color w:val="000000"/>
          <w:kern w:val="32"/>
          <w:szCs w:val="32"/>
        </w:rPr>
        <w:t>that</w:t>
      </w:r>
      <w:r w:rsidR="00223299" w:rsidRPr="00AC36D6">
        <w:rPr>
          <w:rFonts w:eastAsia="Times New Roman" w:cs="Arial"/>
          <w:bCs/>
          <w:color w:val="000000"/>
          <w:kern w:val="32"/>
          <w:szCs w:val="32"/>
        </w:rPr>
        <w:t xml:space="preserve"> low- and medium</w:t>
      </w:r>
      <w:r w:rsidR="000576E6" w:rsidRPr="00AC36D6">
        <w:rPr>
          <w:rFonts w:eastAsia="Times New Roman" w:cs="Arial"/>
          <w:bCs/>
          <w:color w:val="000000"/>
          <w:kern w:val="32"/>
          <w:szCs w:val="32"/>
        </w:rPr>
        <w:t>-</w:t>
      </w:r>
      <w:r w:rsidR="00223299" w:rsidRPr="00AC36D6">
        <w:rPr>
          <w:rFonts w:eastAsia="Times New Roman" w:cs="Arial"/>
          <w:bCs/>
          <w:color w:val="000000"/>
          <w:kern w:val="32"/>
          <w:szCs w:val="32"/>
        </w:rPr>
        <w:t xml:space="preserve">income households are less likely </w:t>
      </w:r>
      <w:r w:rsidR="00151B1D" w:rsidRPr="00AC36D6">
        <w:rPr>
          <w:rFonts w:eastAsia="Times New Roman" w:cs="Arial"/>
          <w:bCs/>
          <w:color w:val="000000"/>
          <w:kern w:val="32"/>
          <w:szCs w:val="32"/>
        </w:rPr>
        <w:t xml:space="preserve">(than high-income households) </w:t>
      </w:r>
      <w:r w:rsidR="00223299" w:rsidRPr="00AC36D6">
        <w:rPr>
          <w:rFonts w:eastAsia="Times New Roman" w:cs="Arial"/>
          <w:bCs/>
          <w:color w:val="000000"/>
          <w:kern w:val="32"/>
          <w:szCs w:val="32"/>
        </w:rPr>
        <w:t>to spend in most</w:t>
      </w:r>
      <w:r w:rsidR="00AE414C" w:rsidRPr="00AC36D6">
        <w:rPr>
          <w:rFonts w:eastAsia="Times New Roman" w:cs="Arial"/>
          <w:bCs/>
          <w:color w:val="000000"/>
          <w:kern w:val="32"/>
          <w:szCs w:val="32"/>
        </w:rPr>
        <w:t xml:space="preserve"> </w:t>
      </w:r>
      <w:r w:rsidR="00D74B58" w:rsidRPr="00AC36D6">
        <w:rPr>
          <w:rFonts w:eastAsia="Times New Roman" w:cs="Arial"/>
          <w:bCs/>
          <w:color w:val="000000"/>
          <w:kern w:val="32"/>
          <w:szCs w:val="32"/>
        </w:rPr>
        <w:t xml:space="preserve">of the </w:t>
      </w:r>
      <w:r w:rsidR="00AE414C" w:rsidRPr="00AC36D6">
        <w:rPr>
          <w:rFonts w:eastAsia="Times New Roman" w:cs="Arial"/>
          <w:bCs/>
          <w:color w:val="000000"/>
          <w:kern w:val="32"/>
          <w:szCs w:val="32"/>
        </w:rPr>
        <w:t>expenditure</w:t>
      </w:r>
      <w:r w:rsidR="00223299" w:rsidRPr="00AC36D6">
        <w:rPr>
          <w:rFonts w:eastAsia="Times New Roman" w:cs="Arial"/>
          <w:bCs/>
          <w:color w:val="000000"/>
          <w:kern w:val="32"/>
          <w:szCs w:val="32"/>
        </w:rPr>
        <w:t xml:space="preserve"> categories</w:t>
      </w:r>
      <w:r w:rsidR="00D74B58" w:rsidRPr="00AC36D6">
        <w:rPr>
          <w:rFonts w:eastAsia="Times New Roman" w:cs="Arial"/>
          <w:bCs/>
          <w:color w:val="000000"/>
          <w:kern w:val="32"/>
          <w:szCs w:val="32"/>
        </w:rPr>
        <w:t xml:space="preserve"> considered in this study</w:t>
      </w:r>
      <w:r w:rsidR="00223299" w:rsidRPr="00AC36D6">
        <w:rPr>
          <w:rFonts w:eastAsia="Times New Roman" w:cs="Arial"/>
          <w:bCs/>
          <w:color w:val="000000"/>
          <w:kern w:val="32"/>
          <w:szCs w:val="32"/>
        </w:rPr>
        <w:t>.</w:t>
      </w:r>
      <w:r w:rsidR="00687958" w:rsidRPr="00AC36D6">
        <w:rPr>
          <w:rFonts w:eastAsia="Times New Roman" w:cs="Arial"/>
          <w:bCs/>
          <w:color w:val="0070C0"/>
          <w:kern w:val="32"/>
          <w:szCs w:val="32"/>
        </w:rPr>
        <w:t xml:space="preserve"> </w:t>
      </w:r>
      <w:r w:rsidR="00687958" w:rsidRPr="00AC36D6">
        <w:rPr>
          <w:rFonts w:eastAsia="Times New Roman" w:cs="Arial"/>
          <w:bCs/>
          <w:color w:val="000000"/>
          <w:kern w:val="32"/>
          <w:szCs w:val="32"/>
        </w:rPr>
        <w:t xml:space="preserve"> </w:t>
      </w:r>
      <w:r w:rsidR="00223299" w:rsidRPr="00AC36D6">
        <w:rPr>
          <w:rFonts w:eastAsia="Times New Roman" w:cs="Arial"/>
          <w:bCs/>
          <w:color w:val="000000"/>
          <w:kern w:val="32"/>
          <w:szCs w:val="32"/>
        </w:rPr>
        <w:t xml:space="preserve"> </w:t>
      </w:r>
    </w:p>
    <w:p w14:paraId="7A80D3CC" w14:textId="1F34EC07" w:rsidR="004C1C10" w:rsidRPr="00F507E0" w:rsidRDefault="008D0847" w:rsidP="007D5FDE">
      <w:pPr>
        <w:spacing w:after="0" w:line="360" w:lineRule="auto"/>
        <w:ind w:firstLine="720"/>
        <w:jc w:val="both"/>
        <w:rPr>
          <w:rFonts w:eastAsia="Times New Roman" w:cs="Arial"/>
          <w:bCs/>
          <w:kern w:val="32"/>
          <w:szCs w:val="32"/>
        </w:rPr>
      </w:pPr>
      <w:r w:rsidRPr="00AC36D6">
        <w:rPr>
          <w:rFonts w:eastAsia="Times New Roman" w:cs="Arial"/>
          <w:bCs/>
          <w:color w:val="000000"/>
          <w:kern w:val="32"/>
          <w:szCs w:val="32"/>
        </w:rPr>
        <w:t>In the context of the variable</w:t>
      </w:r>
      <w:r w:rsidR="005868BC" w:rsidRPr="00AC36D6">
        <w:rPr>
          <w:rFonts w:eastAsia="Times New Roman" w:cs="Arial"/>
          <w:bCs/>
          <w:color w:val="000000"/>
          <w:kern w:val="32"/>
          <w:szCs w:val="32"/>
        </w:rPr>
        <w:t>s</w:t>
      </w:r>
      <w:r w:rsidRPr="00AC36D6">
        <w:rPr>
          <w:rFonts w:eastAsia="Times New Roman" w:cs="Arial"/>
          <w:bCs/>
          <w:color w:val="000000"/>
          <w:kern w:val="32"/>
          <w:szCs w:val="32"/>
        </w:rPr>
        <w:t xml:space="preserve"> describing the composition of the </w:t>
      </w:r>
      <w:r w:rsidR="00461D97" w:rsidRPr="00AC36D6">
        <w:rPr>
          <w:rFonts w:eastAsia="Times New Roman" w:cs="Arial"/>
          <w:bCs/>
          <w:color w:val="000000"/>
          <w:kern w:val="32"/>
          <w:szCs w:val="32"/>
        </w:rPr>
        <w:t xml:space="preserve">travel </w:t>
      </w:r>
      <w:r w:rsidR="006F5687" w:rsidRPr="00AC36D6">
        <w:rPr>
          <w:rFonts w:eastAsia="Times New Roman" w:cs="Arial"/>
          <w:bCs/>
          <w:color w:val="000000"/>
          <w:kern w:val="32"/>
          <w:szCs w:val="32"/>
        </w:rPr>
        <w:t>group</w:t>
      </w:r>
      <w:r w:rsidRPr="00AC36D6">
        <w:rPr>
          <w:rFonts w:eastAsia="Times New Roman" w:cs="Arial"/>
          <w:bCs/>
          <w:color w:val="000000"/>
          <w:kern w:val="32"/>
          <w:szCs w:val="32"/>
        </w:rPr>
        <w:t xml:space="preserve">, </w:t>
      </w:r>
      <w:r w:rsidR="00EA0CA9" w:rsidRPr="00AC36D6">
        <w:rPr>
          <w:rFonts w:eastAsia="Times New Roman" w:cs="Arial"/>
          <w:bCs/>
          <w:color w:val="000000"/>
          <w:kern w:val="32"/>
          <w:szCs w:val="32"/>
        </w:rPr>
        <w:t>a</w:t>
      </w:r>
      <w:r w:rsidR="006F5687" w:rsidRPr="00AC36D6">
        <w:rPr>
          <w:rFonts w:eastAsia="Times New Roman" w:cs="Arial"/>
          <w:bCs/>
          <w:color w:val="000000"/>
          <w:kern w:val="32"/>
          <w:szCs w:val="32"/>
        </w:rPr>
        <w:t>s the group size increases, people are less likely to spend on accommodation</w:t>
      </w:r>
      <w:r w:rsidR="000576E6" w:rsidRPr="00AC36D6">
        <w:rPr>
          <w:rFonts w:eastAsia="Times New Roman" w:cs="Arial"/>
          <w:bCs/>
          <w:color w:val="000000"/>
          <w:kern w:val="32"/>
          <w:szCs w:val="32"/>
        </w:rPr>
        <w:t xml:space="preserve">, as implied by </w:t>
      </w:r>
      <w:r w:rsidR="00A37955" w:rsidRPr="00AC36D6">
        <w:rPr>
          <w:rFonts w:eastAsia="Times New Roman" w:cs="Arial"/>
          <w:bCs/>
          <w:color w:val="000000"/>
          <w:kern w:val="32"/>
          <w:szCs w:val="32"/>
        </w:rPr>
        <w:t>the negative sign on its coefficient in the</w:t>
      </w:r>
      <w:r w:rsidR="00EA0CA9" w:rsidRPr="00AC36D6">
        <w:rPr>
          <w:rFonts w:eastAsia="Times New Roman" w:cs="Arial"/>
          <w:bCs/>
          <w:color w:val="000000"/>
          <w:kern w:val="32"/>
          <w:szCs w:val="32"/>
        </w:rPr>
        <w:t xml:space="preserve"> corresponding</w:t>
      </w:r>
      <w:r w:rsidR="00A37955" w:rsidRPr="00AC36D6">
        <w:rPr>
          <w:rFonts w:eastAsia="Times New Roman" w:cs="Arial"/>
          <w:bCs/>
          <w:color w:val="000000"/>
          <w:kern w:val="32"/>
          <w:szCs w:val="32"/>
        </w:rPr>
        <w:t xml:space="preserve"> </w:t>
      </w:r>
      <w:r w:rsidR="00A37955" w:rsidRPr="00AC36D6">
        <w:rPr>
          <w:rFonts w:eastAsia="Times New Roman" w:cs="Arial"/>
          <w:bCs/>
          <w:i/>
          <w:iCs/>
          <w:color w:val="000000"/>
          <w:kern w:val="32"/>
          <w:szCs w:val="32"/>
        </w:rPr>
        <w:t>D-</w:t>
      </w:r>
      <w:r w:rsidR="00A37955" w:rsidRPr="00AC36D6">
        <w:rPr>
          <w:rFonts w:eastAsia="Times New Roman" w:cs="Arial"/>
          <w:bCs/>
          <w:color w:val="000000"/>
          <w:kern w:val="32"/>
          <w:szCs w:val="32"/>
        </w:rPr>
        <w:t xml:space="preserve">preference </w:t>
      </w:r>
      <w:r w:rsidR="00C73EDE" w:rsidRPr="00AC36D6">
        <w:rPr>
          <w:rFonts w:eastAsia="Times New Roman" w:cs="Arial"/>
          <w:bCs/>
          <w:color w:val="000000"/>
          <w:kern w:val="32"/>
          <w:szCs w:val="32"/>
        </w:rPr>
        <w:t>function</w:t>
      </w:r>
      <w:r w:rsidR="00E82DC8" w:rsidRPr="00AC36D6">
        <w:rPr>
          <w:rFonts w:eastAsia="Times New Roman" w:cs="Arial"/>
          <w:bCs/>
          <w:color w:val="000000"/>
          <w:kern w:val="32"/>
          <w:szCs w:val="32"/>
        </w:rPr>
        <w:t xml:space="preserve"> for </w:t>
      </w:r>
      <w:r w:rsidR="00A37955" w:rsidRPr="00AC36D6">
        <w:rPr>
          <w:rFonts w:eastAsia="Times New Roman" w:cs="Arial"/>
          <w:bCs/>
          <w:color w:val="000000"/>
          <w:kern w:val="32"/>
          <w:szCs w:val="32"/>
        </w:rPr>
        <w:t>accommodation</w:t>
      </w:r>
      <w:r w:rsidR="006F5687" w:rsidRPr="00AC36D6">
        <w:rPr>
          <w:rFonts w:eastAsia="Times New Roman" w:cs="Arial"/>
          <w:bCs/>
          <w:color w:val="000000"/>
          <w:kern w:val="32"/>
          <w:szCs w:val="32"/>
        </w:rPr>
        <w:t xml:space="preserve">. This </w:t>
      </w:r>
      <w:r w:rsidR="006F52A5" w:rsidRPr="00AC36D6">
        <w:rPr>
          <w:rFonts w:eastAsia="Times New Roman" w:cs="Arial"/>
          <w:bCs/>
          <w:color w:val="000000"/>
          <w:kern w:val="32"/>
          <w:szCs w:val="32"/>
        </w:rPr>
        <w:t>may be because large travel</w:t>
      </w:r>
      <w:r w:rsidR="00A37955" w:rsidRPr="00AC36D6">
        <w:rPr>
          <w:rFonts w:eastAsia="Times New Roman" w:cs="Arial"/>
          <w:bCs/>
          <w:color w:val="000000"/>
          <w:kern w:val="32"/>
          <w:szCs w:val="32"/>
        </w:rPr>
        <w:t xml:space="preserve"> groups prefer</w:t>
      </w:r>
      <w:r w:rsidR="006F5687" w:rsidRPr="00AC36D6">
        <w:rPr>
          <w:rFonts w:eastAsia="Times New Roman" w:cs="Arial"/>
          <w:bCs/>
          <w:color w:val="000000"/>
          <w:kern w:val="32"/>
          <w:szCs w:val="32"/>
        </w:rPr>
        <w:t xml:space="preserve"> to stay with friends </w:t>
      </w:r>
      <w:r w:rsidR="00D42FEA" w:rsidRPr="00AC36D6">
        <w:rPr>
          <w:rFonts w:eastAsia="Times New Roman" w:cs="Arial"/>
          <w:bCs/>
          <w:color w:val="000000"/>
          <w:kern w:val="32"/>
          <w:szCs w:val="32"/>
        </w:rPr>
        <w:t>or relatives to save on accommodation costs.</w:t>
      </w:r>
      <w:r w:rsidR="004C1C10" w:rsidRPr="00AC36D6">
        <w:rPr>
          <w:rFonts w:eastAsia="Times New Roman" w:cs="Arial"/>
          <w:bCs/>
          <w:color w:val="000000"/>
          <w:kern w:val="32"/>
          <w:szCs w:val="32"/>
        </w:rPr>
        <w:t xml:space="preserve"> In addition to the size of the group, the effects of group composition </w:t>
      </w:r>
      <w:r w:rsidR="00A37955" w:rsidRPr="00AC36D6">
        <w:rPr>
          <w:rFonts w:eastAsia="Times New Roman" w:cs="Arial"/>
          <w:bCs/>
          <w:color w:val="000000"/>
          <w:kern w:val="32"/>
          <w:szCs w:val="32"/>
        </w:rPr>
        <w:t>were</w:t>
      </w:r>
      <w:r w:rsidR="004C1C10" w:rsidRPr="00AC36D6">
        <w:rPr>
          <w:rFonts w:eastAsia="Times New Roman" w:cs="Arial"/>
          <w:bCs/>
          <w:color w:val="000000"/>
          <w:kern w:val="32"/>
          <w:szCs w:val="32"/>
        </w:rPr>
        <w:t xml:space="preserve"> considered through th</w:t>
      </w:r>
      <w:r w:rsidR="00175600" w:rsidRPr="00AC36D6">
        <w:rPr>
          <w:rFonts w:eastAsia="Times New Roman" w:cs="Arial"/>
          <w:bCs/>
          <w:color w:val="000000"/>
          <w:kern w:val="32"/>
          <w:szCs w:val="32"/>
        </w:rPr>
        <w:t>r</w:t>
      </w:r>
      <w:r w:rsidR="004C1C10" w:rsidRPr="00AC36D6">
        <w:rPr>
          <w:rFonts w:eastAsia="Times New Roman" w:cs="Arial"/>
          <w:bCs/>
          <w:color w:val="000000"/>
          <w:kern w:val="32"/>
          <w:szCs w:val="32"/>
        </w:rPr>
        <w:t>e</w:t>
      </w:r>
      <w:r w:rsidR="00175600" w:rsidRPr="00AC36D6">
        <w:rPr>
          <w:rFonts w:eastAsia="Times New Roman" w:cs="Arial"/>
          <w:bCs/>
          <w:color w:val="000000"/>
          <w:kern w:val="32"/>
          <w:szCs w:val="32"/>
        </w:rPr>
        <w:t>e</w:t>
      </w:r>
      <w:r w:rsidR="00D43E34" w:rsidRPr="00AC36D6">
        <w:rPr>
          <w:rFonts w:eastAsia="Times New Roman" w:cs="Arial"/>
          <w:bCs/>
          <w:color w:val="000000"/>
          <w:kern w:val="32"/>
          <w:szCs w:val="32"/>
        </w:rPr>
        <w:t xml:space="preserve"> </w:t>
      </w:r>
      <w:r w:rsidR="00175600" w:rsidRPr="00AC36D6">
        <w:rPr>
          <w:rFonts w:eastAsia="Times New Roman" w:cs="Arial"/>
          <w:bCs/>
          <w:color w:val="000000"/>
          <w:kern w:val="32"/>
          <w:szCs w:val="32"/>
        </w:rPr>
        <w:t xml:space="preserve">variables – </w:t>
      </w:r>
      <w:r w:rsidR="00BC5D47" w:rsidRPr="00AC36D6">
        <w:rPr>
          <w:rFonts w:eastAsia="Times New Roman" w:cs="Arial"/>
          <w:bCs/>
          <w:color w:val="000000"/>
          <w:kern w:val="32"/>
          <w:szCs w:val="32"/>
        </w:rPr>
        <w:t xml:space="preserve">the </w:t>
      </w:r>
      <w:r w:rsidR="00D43E34" w:rsidRPr="00AC36D6">
        <w:rPr>
          <w:rFonts w:eastAsia="Times New Roman" w:cs="Arial"/>
          <w:bCs/>
          <w:color w:val="000000"/>
          <w:kern w:val="32"/>
          <w:szCs w:val="32"/>
        </w:rPr>
        <w:t>pr</w:t>
      </w:r>
      <w:r w:rsidR="00A37955" w:rsidRPr="00AC36D6">
        <w:rPr>
          <w:rFonts w:eastAsia="Times New Roman" w:cs="Arial"/>
          <w:bCs/>
          <w:color w:val="000000"/>
          <w:kern w:val="32"/>
          <w:szCs w:val="32"/>
        </w:rPr>
        <w:t>oportion</w:t>
      </w:r>
      <w:r w:rsidR="004C1C10" w:rsidRPr="00AC36D6">
        <w:rPr>
          <w:rFonts w:eastAsia="Times New Roman" w:cs="Arial"/>
          <w:bCs/>
          <w:color w:val="000000"/>
          <w:kern w:val="32"/>
          <w:szCs w:val="32"/>
        </w:rPr>
        <w:t xml:space="preserve"> of </w:t>
      </w:r>
      <w:r w:rsidR="003223D8" w:rsidRPr="00AC36D6">
        <w:rPr>
          <w:rFonts w:eastAsia="Times New Roman" w:cs="Arial"/>
          <w:bCs/>
          <w:color w:val="000000"/>
          <w:kern w:val="32"/>
          <w:szCs w:val="32"/>
        </w:rPr>
        <w:t>women</w:t>
      </w:r>
      <w:r w:rsidR="00175600" w:rsidRPr="00AC36D6">
        <w:rPr>
          <w:rFonts w:eastAsia="Times New Roman" w:cs="Arial"/>
          <w:bCs/>
          <w:color w:val="000000"/>
          <w:kern w:val="32"/>
          <w:szCs w:val="32"/>
        </w:rPr>
        <w:t xml:space="preserve"> in the group</w:t>
      </w:r>
      <w:r w:rsidR="004C1C10" w:rsidRPr="00AC36D6">
        <w:rPr>
          <w:rFonts w:eastAsia="Times New Roman" w:cs="Arial"/>
          <w:bCs/>
          <w:color w:val="000000"/>
          <w:kern w:val="32"/>
          <w:szCs w:val="32"/>
        </w:rPr>
        <w:t xml:space="preserve">, </w:t>
      </w:r>
      <w:r w:rsidR="00BC5D47" w:rsidRPr="00AC36D6">
        <w:rPr>
          <w:rFonts w:eastAsia="Times New Roman" w:cs="Arial"/>
          <w:bCs/>
          <w:color w:val="000000"/>
          <w:kern w:val="32"/>
          <w:szCs w:val="32"/>
        </w:rPr>
        <w:t xml:space="preserve">the </w:t>
      </w:r>
      <w:r w:rsidR="00175600" w:rsidRPr="00AC36D6">
        <w:rPr>
          <w:rFonts w:eastAsia="Times New Roman" w:cs="Arial"/>
          <w:bCs/>
          <w:color w:val="000000"/>
          <w:kern w:val="32"/>
          <w:szCs w:val="32"/>
        </w:rPr>
        <w:t xml:space="preserve">proportion of </w:t>
      </w:r>
      <w:r w:rsidR="00E97D4F" w:rsidRPr="00AC36D6">
        <w:rPr>
          <w:rFonts w:eastAsia="Times New Roman" w:cs="Arial"/>
          <w:bCs/>
          <w:color w:val="000000"/>
          <w:kern w:val="32"/>
          <w:szCs w:val="32"/>
        </w:rPr>
        <w:t xml:space="preserve">elderly </w:t>
      </w:r>
      <w:r w:rsidR="004C1C10" w:rsidRPr="00AC36D6">
        <w:rPr>
          <w:rFonts w:eastAsia="Times New Roman" w:cs="Arial"/>
          <w:bCs/>
          <w:color w:val="000000"/>
          <w:kern w:val="32"/>
          <w:szCs w:val="32"/>
        </w:rPr>
        <w:t>(</w:t>
      </w:r>
      <w:r w:rsidR="00E97D4F" w:rsidRPr="00AC36D6">
        <w:rPr>
          <w:rFonts w:eastAsia="Times New Roman" w:cs="Arial"/>
          <w:bCs/>
          <w:color w:val="000000"/>
          <w:kern w:val="32"/>
          <w:szCs w:val="32"/>
        </w:rPr>
        <w:t>&gt;</w:t>
      </w:r>
      <w:r w:rsidR="004C1C10" w:rsidRPr="00AC36D6">
        <w:rPr>
          <w:rFonts w:eastAsia="Times New Roman" w:cs="Arial"/>
          <w:bCs/>
          <w:color w:val="000000"/>
          <w:kern w:val="32"/>
          <w:szCs w:val="32"/>
        </w:rPr>
        <w:t xml:space="preserve"> 6</w:t>
      </w:r>
      <w:r w:rsidR="006B50E1" w:rsidRPr="00AC36D6">
        <w:rPr>
          <w:rFonts w:eastAsia="Times New Roman" w:cs="Arial"/>
          <w:bCs/>
          <w:color w:val="000000"/>
          <w:kern w:val="32"/>
          <w:szCs w:val="32"/>
        </w:rPr>
        <w:t>0</w:t>
      </w:r>
      <w:r w:rsidR="004C1C10" w:rsidRPr="00AC36D6">
        <w:rPr>
          <w:rFonts w:eastAsia="Times New Roman" w:cs="Arial"/>
          <w:bCs/>
          <w:color w:val="000000"/>
          <w:kern w:val="32"/>
          <w:szCs w:val="32"/>
        </w:rPr>
        <w:t xml:space="preserve"> years of age)</w:t>
      </w:r>
      <w:r w:rsidR="00175600" w:rsidRPr="00AC36D6">
        <w:rPr>
          <w:rFonts w:eastAsia="Times New Roman" w:cs="Arial"/>
          <w:bCs/>
          <w:color w:val="000000"/>
          <w:kern w:val="32"/>
          <w:szCs w:val="32"/>
        </w:rPr>
        <w:t>,</w:t>
      </w:r>
      <w:r w:rsidR="004C1C10" w:rsidRPr="00AC36D6">
        <w:rPr>
          <w:rFonts w:eastAsia="Times New Roman" w:cs="Arial"/>
          <w:bCs/>
          <w:color w:val="000000"/>
          <w:kern w:val="32"/>
          <w:szCs w:val="32"/>
        </w:rPr>
        <w:t xml:space="preserve"> and </w:t>
      </w:r>
      <w:r w:rsidR="00BC5D47" w:rsidRPr="00AC36D6">
        <w:rPr>
          <w:rFonts w:eastAsia="Times New Roman" w:cs="Arial"/>
          <w:bCs/>
          <w:color w:val="000000"/>
          <w:kern w:val="32"/>
          <w:szCs w:val="32"/>
        </w:rPr>
        <w:t xml:space="preserve">the </w:t>
      </w:r>
      <w:r w:rsidR="00175600" w:rsidRPr="00AC36D6">
        <w:rPr>
          <w:rFonts w:eastAsia="Times New Roman" w:cs="Arial"/>
          <w:bCs/>
          <w:color w:val="000000"/>
          <w:kern w:val="32"/>
          <w:szCs w:val="32"/>
        </w:rPr>
        <w:t xml:space="preserve">proportion of </w:t>
      </w:r>
      <w:r w:rsidR="004C1C10" w:rsidRPr="00AC36D6">
        <w:rPr>
          <w:rFonts w:eastAsia="Times New Roman" w:cs="Arial"/>
          <w:bCs/>
          <w:color w:val="000000"/>
          <w:kern w:val="32"/>
          <w:szCs w:val="32"/>
        </w:rPr>
        <w:t>children</w:t>
      </w:r>
      <w:r w:rsidR="00175600" w:rsidRPr="00AC36D6">
        <w:rPr>
          <w:rFonts w:eastAsia="Times New Roman" w:cs="Arial"/>
          <w:bCs/>
          <w:color w:val="000000"/>
          <w:kern w:val="32"/>
          <w:szCs w:val="32"/>
        </w:rPr>
        <w:t xml:space="preserve"> in the group</w:t>
      </w:r>
      <w:r w:rsidR="004C1C10" w:rsidRPr="00AC36D6">
        <w:rPr>
          <w:rFonts w:eastAsia="Times New Roman" w:cs="Arial"/>
          <w:bCs/>
          <w:color w:val="000000"/>
          <w:kern w:val="32"/>
          <w:szCs w:val="32"/>
        </w:rPr>
        <w:t>. While the proportion of child</w:t>
      </w:r>
      <w:r w:rsidR="00D912D0" w:rsidRPr="00AC36D6">
        <w:rPr>
          <w:rFonts w:eastAsia="Times New Roman" w:cs="Arial"/>
          <w:bCs/>
          <w:color w:val="000000"/>
          <w:kern w:val="32"/>
          <w:szCs w:val="32"/>
        </w:rPr>
        <w:t>ren in the group</w:t>
      </w:r>
      <w:r w:rsidR="004C1C10" w:rsidRPr="00AC36D6">
        <w:rPr>
          <w:rFonts w:eastAsia="Times New Roman" w:cs="Arial"/>
          <w:bCs/>
          <w:color w:val="000000"/>
          <w:kern w:val="32"/>
          <w:szCs w:val="32"/>
        </w:rPr>
        <w:t xml:space="preserve"> did</w:t>
      </w:r>
      <w:r w:rsidR="00D912D0" w:rsidRPr="00AC36D6">
        <w:rPr>
          <w:rFonts w:eastAsia="Times New Roman" w:cs="Arial"/>
          <w:bCs/>
          <w:color w:val="000000"/>
          <w:kern w:val="32"/>
          <w:szCs w:val="32"/>
        </w:rPr>
        <w:t xml:space="preserve"> not </w:t>
      </w:r>
      <w:r w:rsidR="00CB3073" w:rsidRPr="00AC36D6">
        <w:rPr>
          <w:rFonts w:eastAsia="Times New Roman" w:cs="Arial"/>
          <w:bCs/>
          <w:color w:val="000000"/>
          <w:kern w:val="32"/>
          <w:szCs w:val="32"/>
        </w:rPr>
        <w:t xml:space="preserve">show </w:t>
      </w:r>
      <w:r w:rsidR="00D912D0" w:rsidRPr="00AC36D6">
        <w:rPr>
          <w:rFonts w:eastAsia="Times New Roman" w:cs="Arial"/>
          <w:bCs/>
          <w:color w:val="000000"/>
          <w:kern w:val="32"/>
          <w:szCs w:val="32"/>
        </w:rPr>
        <w:t xml:space="preserve">a significant influence on the expenditure patterns of travelers, </w:t>
      </w:r>
      <w:r w:rsidR="00BC5D47" w:rsidRPr="00AC36D6">
        <w:rPr>
          <w:rFonts w:eastAsia="Times New Roman" w:cs="Arial"/>
          <w:bCs/>
          <w:color w:val="000000"/>
          <w:kern w:val="32"/>
          <w:szCs w:val="32"/>
        </w:rPr>
        <w:t xml:space="preserve">the </w:t>
      </w:r>
      <w:r w:rsidR="00D912D0" w:rsidRPr="00AC36D6">
        <w:rPr>
          <w:rFonts w:eastAsia="Times New Roman" w:cs="Arial"/>
          <w:bCs/>
          <w:color w:val="000000"/>
          <w:kern w:val="32"/>
          <w:szCs w:val="32"/>
        </w:rPr>
        <w:t xml:space="preserve">proportion of </w:t>
      </w:r>
      <w:r w:rsidR="003223D8" w:rsidRPr="00AC36D6">
        <w:rPr>
          <w:rFonts w:eastAsia="Times New Roman" w:cs="Arial"/>
          <w:bCs/>
          <w:color w:val="000000"/>
          <w:kern w:val="32"/>
          <w:szCs w:val="32"/>
        </w:rPr>
        <w:t>women</w:t>
      </w:r>
      <w:r w:rsidR="00D912D0" w:rsidRPr="00AC36D6">
        <w:rPr>
          <w:rFonts w:eastAsia="Times New Roman" w:cs="Arial"/>
          <w:bCs/>
          <w:color w:val="000000"/>
          <w:kern w:val="32"/>
          <w:szCs w:val="32"/>
        </w:rPr>
        <w:t xml:space="preserve"> in the group had an interesting influence. Travel groups with </w:t>
      </w:r>
      <w:r w:rsidR="00BC5D47" w:rsidRPr="00AC36D6">
        <w:rPr>
          <w:rFonts w:eastAsia="Times New Roman" w:cs="Arial"/>
          <w:bCs/>
          <w:color w:val="000000"/>
          <w:kern w:val="32"/>
          <w:szCs w:val="32"/>
        </w:rPr>
        <w:t xml:space="preserve">a </w:t>
      </w:r>
      <w:r w:rsidR="00D912D0" w:rsidRPr="00AC36D6">
        <w:rPr>
          <w:rFonts w:eastAsia="Times New Roman" w:cs="Arial"/>
          <w:bCs/>
          <w:color w:val="000000"/>
          <w:kern w:val="32"/>
          <w:szCs w:val="32"/>
        </w:rPr>
        <w:t xml:space="preserve">higher proportion of </w:t>
      </w:r>
      <w:r w:rsidR="003223D8" w:rsidRPr="00AC36D6">
        <w:rPr>
          <w:rFonts w:eastAsia="Times New Roman" w:cs="Arial"/>
          <w:bCs/>
          <w:color w:val="000000"/>
          <w:kern w:val="32"/>
          <w:szCs w:val="32"/>
        </w:rPr>
        <w:t>women</w:t>
      </w:r>
      <w:r w:rsidR="00705E00" w:rsidRPr="00AC36D6">
        <w:rPr>
          <w:rFonts w:eastAsia="Times New Roman" w:cs="Arial"/>
          <w:bCs/>
          <w:color w:val="000000"/>
          <w:kern w:val="32"/>
          <w:szCs w:val="32"/>
        </w:rPr>
        <w:t xml:space="preserve"> </w:t>
      </w:r>
      <w:r w:rsidR="00D43E34" w:rsidRPr="00AC36D6">
        <w:rPr>
          <w:rFonts w:eastAsia="Times New Roman" w:cs="Arial"/>
          <w:bCs/>
          <w:color w:val="000000"/>
          <w:kern w:val="32"/>
          <w:szCs w:val="32"/>
        </w:rPr>
        <w:t>are</w:t>
      </w:r>
      <w:r w:rsidR="00D912D0" w:rsidRPr="00AC36D6">
        <w:rPr>
          <w:rFonts w:eastAsia="Times New Roman" w:cs="Arial"/>
          <w:bCs/>
          <w:color w:val="000000"/>
          <w:kern w:val="32"/>
          <w:szCs w:val="32"/>
        </w:rPr>
        <w:t xml:space="preserve"> less likely to opt for paid accommodation</w:t>
      </w:r>
      <w:r w:rsidR="006D1E64" w:rsidRPr="00AC36D6">
        <w:rPr>
          <w:rFonts w:eastAsia="Times New Roman" w:cs="Arial"/>
          <w:bCs/>
          <w:color w:val="000000"/>
          <w:kern w:val="32"/>
          <w:szCs w:val="32"/>
        </w:rPr>
        <w:t>, possibly because such groups may prefer staying with friends or relatives</w:t>
      </w:r>
      <w:r w:rsidR="003565EC" w:rsidRPr="00AC36D6">
        <w:rPr>
          <w:rFonts w:eastAsia="Times New Roman" w:cs="Arial"/>
          <w:bCs/>
          <w:color w:val="000000"/>
          <w:kern w:val="32"/>
          <w:szCs w:val="32"/>
        </w:rPr>
        <w:t xml:space="preserve"> </w:t>
      </w:r>
      <w:r w:rsidR="00BA6F41" w:rsidRPr="00AC36D6">
        <w:rPr>
          <w:rFonts w:eastAsia="Times New Roman" w:cs="Arial"/>
          <w:bCs/>
          <w:color w:val="000000"/>
          <w:kern w:val="32"/>
          <w:szCs w:val="32"/>
        </w:rPr>
        <w:t>for</w:t>
      </w:r>
      <w:r w:rsidR="003565EC" w:rsidRPr="00AC36D6">
        <w:rPr>
          <w:rFonts w:eastAsia="Times New Roman" w:cs="Arial"/>
          <w:bCs/>
          <w:color w:val="000000"/>
          <w:kern w:val="32"/>
          <w:szCs w:val="32"/>
        </w:rPr>
        <w:t xml:space="preserve"> safety </w:t>
      </w:r>
      <w:r w:rsidR="00BA6F41" w:rsidRPr="00AC36D6">
        <w:rPr>
          <w:rFonts w:eastAsia="Times New Roman" w:cs="Arial"/>
          <w:bCs/>
          <w:color w:val="000000"/>
          <w:kern w:val="32"/>
          <w:szCs w:val="32"/>
        </w:rPr>
        <w:t>reasons</w:t>
      </w:r>
      <w:r w:rsidR="00D912D0" w:rsidRPr="00AC36D6">
        <w:rPr>
          <w:rFonts w:eastAsia="Times New Roman" w:cs="Arial"/>
          <w:bCs/>
          <w:color w:val="000000"/>
          <w:kern w:val="32"/>
          <w:szCs w:val="32"/>
        </w:rPr>
        <w:t>.</w:t>
      </w:r>
      <w:r w:rsidR="006D1E64" w:rsidRPr="00AC36D6">
        <w:rPr>
          <w:rFonts w:eastAsia="Times New Roman" w:cs="Arial"/>
          <w:bCs/>
          <w:color w:val="000000"/>
          <w:kern w:val="32"/>
          <w:szCs w:val="32"/>
        </w:rPr>
        <w:t xml:space="preserve"> Such groups are also less likely to spend on food and beverages since they </w:t>
      </w:r>
      <w:r w:rsidR="005173AA" w:rsidRPr="00AC36D6">
        <w:rPr>
          <w:rFonts w:eastAsia="Times New Roman" w:cs="Arial"/>
          <w:bCs/>
          <w:color w:val="000000"/>
          <w:kern w:val="32"/>
          <w:szCs w:val="32"/>
        </w:rPr>
        <w:t xml:space="preserve">might </w:t>
      </w:r>
      <w:r w:rsidR="006D1E64" w:rsidRPr="00AC36D6">
        <w:rPr>
          <w:rFonts w:eastAsia="Times New Roman" w:cs="Arial"/>
          <w:bCs/>
          <w:color w:val="000000"/>
          <w:kern w:val="32"/>
          <w:szCs w:val="32"/>
        </w:rPr>
        <w:t xml:space="preserve">prefer </w:t>
      </w:r>
      <w:r w:rsidR="00E46EC0" w:rsidRPr="00AC36D6">
        <w:rPr>
          <w:rFonts w:eastAsia="Times New Roman" w:cs="Arial"/>
          <w:bCs/>
          <w:color w:val="000000"/>
          <w:kern w:val="32"/>
          <w:szCs w:val="32"/>
        </w:rPr>
        <w:t xml:space="preserve">hygienic, </w:t>
      </w:r>
      <w:r w:rsidR="006D1E64" w:rsidRPr="00AC36D6">
        <w:rPr>
          <w:rFonts w:eastAsia="Times New Roman" w:cs="Arial"/>
          <w:bCs/>
          <w:color w:val="000000"/>
          <w:kern w:val="32"/>
          <w:szCs w:val="32"/>
        </w:rPr>
        <w:t>home</w:t>
      </w:r>
      <w:r w:rsidR="008960A3" w:rsidRPr="00AC36D6">
        <w:rPr>
          <w:rFonts w:eastAsia="Times New Roman" w:cs="Arial"/>
          <w:bCs/>
          <w:color w:val="000000"/>
          <w:kern w:val="32"/>
          <w:szCs w:val="32"/>
        </w:rPr>
        <w:t>-</w:t>
      </w:r>
      <w:r w:rsidR="006D1E64" w:rsidRPr="00AC36D6">
        <w:rPr>
          <w:rFonts w:eastAsia="Times New Roman" w:cs="Arial"/>
          <w:bCs/>
          <w:color w:val="000000"/>
          <w:kern w:val="32"/>
          <w:szCs w:val="32"/>
        </w:rPr>
        <w:t>cooked meals</w:t>
      </w:r>
      <w:r w:rsidR="00A37955" w:rsidRPr="00AC36D6">
        <w:rPr>
          <w:rFonts w:eastAsia="Times New Roman" w:cs="Arial"/>
          <w:bCs/>
          <w:color w:val="000000"/>
          <w:kern w:val="32"/>
          <w:szCs w:val="32"/>
        </w:rPr>
        <w:t xml:space="preserve"> than eat</w:t>
      </w:r>
      <w:r w:rsidR="005173AA" w:rsidRPr="00AC36D6">
        <w:rPr>
          <w:rFonts w:eastAsia="Times New Roman" w:cs="Arial"/>
          <w:bCs/>
          <w:color w:val="000000"/>
          <w:kern w:val="32"/>
          <w:szCs w:val="32"/>
        </w:rPr>
        <w:t>ing</w:t>
      </w:r>
      <w:r w:rsidR="00A37955" w:rsidRPr="00AC36D6">
        <w:rPr>
          <w:rFonts w:eastAsia="Times New Roman" w:cs="Arial"/>
          <w:bCs/>
          <w:color w:val="000000"/>
          <w:kern w:val="32"/>
          <w:szCs w:val="32"/>
        </w:rPr>
        <w:t xml:space="preserve"> out</w:t>
      </w:r>
      <w:r w:rsidR="008D5BB5" w:rsidRPr="00AC36D6">
        <w:rPr>
          <w:rFonts w:eastAsia="Times New Roman" w:cs="Arial"/>
          <w:bCs/>
          <w:color w:val="000000"/>
          <w:kern w:val="32"/>
          <w:szCs w:val="32"/>
        </w:rPr>
        <w:t xml:space="preserve"> at </w:t>
      </w:r>
      <w:r w:rsidR="008D5BB5" w:rsidRPr="00F507E0">
        <w:rPr>
          <w:rFonts w:eastAsia="Times New Roman" w:cs="Arial"/>
          <w:bCs/>
          <w:kern w:val="32"/>
          <w:szCs w:val="32"/>
        </w:rPr>
        <w:t>unfamiliar locations</w:t>
      </w:r>
      <w:r w:rsidR="006D1E64" w:rsidRPr="00F507E0">
        <w:rPr>
          <w:rFonts w:eastAsia="Times New Roman" w:cs="Arial"/>
          <w:bCs/>
          <w:kern w:val="32"/>
          <w:szCs w:val="32"/>
        </w:rPr>
        <w:t>.</w:t>
      </w:r>
      <w:r w:rsidR="00D43E34" w:rsidRPr="00F507E0">
        <w:rPr>
          <w:rFonts w:eastAsia="Times New Roman" w:cs="Arial"/>
          <w:bCs/>
          <w:kern w:val="32"/>
          <w:szCs w:val="32"/>
        </w:rPr>
        <w:t xml:space="preserve"> </w:t>
      </w:r>
      <w:r w:rsidR="006D1E64" w:rsidRPr="00F507E0">
        <w:rPr>
          <w:rFonts w:eastAsia="Times New Roman" w:cs="Arial"/>
          <w:bCs/>
          <w:kern w:val="32"/>
          <w:szCs w:val="32"/>
        </w:rPr>
        <w:t xml:space="preserve">On the other hand, groups </w:t>
      </w:r>
      <w:r w:rsidR="005F3212" w:rsidRPr="00F507E0">
        <w:rPr>
          <w:rFonts w:eastAsia="Times New Roman" w:cs="Arial"/>
          <w:bCs/>
          <w:kern w:val="32"/>
          <w:szCs w:val="32"/>
        </w:rPr>
        <w:t xml:space="preserve">constituting </w:t>
      </w:r>
      <w:r w:rsidR="008D5BB5" w:rsidRPr="00F507E0">
        <w:rPr>
          <w:rFonts w:eastAsia="Times New Roman" w:cs="Arial"/>
          <w:bCs/>
          <w:kern w:val="32"/>
          <w:szCs w:val="32"/>
        </w:rPr>
        <w:t>more</w:t>
      </w:r>
      <w:r w:rsidR="006D1E64" w:rsidRPr="00F507E0">
        <w:rPr>
          <w:rFonts w:eastAsia="Times New Roman" w:cs="Arial"/>
          <w:bCs/>
          <w:kern w:val="32"/>
          <w:szCs w:val="32"/>
        </w:rPr>
        <w:t xml:space="preserve"> </w:t>
      </w:r>
      <w:r w:rsidR="003223D8" w:rsidRPr="00F507E0">
        <w:rPr>
          <w:rFonts w:eastAsia="Times New Roman" w:cs="Arial"/>
          <w:bCs/>
          <w:kern w:val="32"/>
          <w:szCs w:val="32"/>
        </w:rPr>
        <w:t>women</w:t>
      </w:r>
      <w:r w:rsidR="006D1E64" w:rsidRPr="00F507E0">
        <w:rPr>
          <w:rFonts w:eastAsia="Times New Roman" w:cs="Arial"/>
          <w:bCs/>
          <w:kern w:val="32"/>
          <w:szCs w:val="32"/>
        </w:rPr>
        <w:t xml:space="preserve"> are more likely to spend </w:t>
      </w:r>
      <w:r w:rsidR="00337274" w:rsidRPr="00F507E0">
        <w:rPr>
          <w:rFonts w:eastAsia="Times New Roman" w:cs="Arial"/>
          <w:bCs/>
          <w:kern w:val="32"/>
          <w:szCs w:val="32"/>
        </w:rPr>
        <w:t xml:space="preserve">on </w:t>
      </w:r>
      <w:r w:rsidR="006D1E64" w:rsidRPr="00F507E0">
        <w:rPr>
          <w:rFonts w:eastAsia="Times New Roman" w:cs="Arial"/>
          <w:bCs/>
          <w:kern w:val="32"/>
          <w:szCs w:val="32"/>
        </w:rPr>
        <w:t xml:space="preserve">shopping, possibly because </w:t>
      </w:r>
      <w:r w:rsidR="003223D8" w:rsidRPr="00F507E0">
        <w:rPr>
          <w:rFonts w:eastAsia="Times New Roman" w:cs="Arial"/>
          <w:bCs/>
          <w:kern w:val="32"/>
          <w:szCs w:val="32"/>
        </w:rPr>
        <w:t>women</w:t>
      </w:r>
      <w:r w:rsidR="00497316" w:rsidRPr="00F507E0">
        <w:rPr>
          <w:rFonts w:eastAsia="Times New Roman" w:cs="Arial"/>
          <w:bCs/>
          <w:kern w:val="32"/>
          <w:szCs w:val="32"/>
        </w:rPr>
        <w:t xml:space="preserve"> </w:t>
      </w:r>
      <w:r w:rsidR="00980061" w:rsidRPr="00F507E0">
        <w:rPr>
          <w:rFonts w:eastAsia="Times New Roman" w:cs="Arial"/>
          <w:bCs/>
          <w:kern w:val="32"/>
          <w:szCs w:val="32"/>
        </w:rPr>
        <w:t xml:space="preserve">derive </w:t>
      </w:r>
      <w:r w:rsidR="006D1E64" w:rsidRPr="00F507E0">
        <w:rPr>
          <w:rFonts w:eastAsia="Times New Roman" w:cs="Arial"/>
          <w:bCs/>
          <w:kern w:val="32"/>
          <w:szCs w:val="32"/>
        </w:rPr>
        <w:t xml:space="preserve">greater satisfaction </w:t>
      </w:r>
      <w:r w:rsidR="009040DB" w:rsidRPr="00F507E0">
        <w:rPr>
          <w:rFonts w:eastAsia="Times New Roman" w:cs="Arial"/>
          <w:bCs/>
          <w:kern w:val="32"/>
          <w:szCs w:val="32"/>
        </w:rPr>
        <w:t xml:space="preserve">from </w:t>
      </w:r>
      <w:r w:rsidR="006D1E64" w:rsidRPr="00F507E0">
        <w:rPr>
          <w:rFonts w:eastAsia="Times New Roman" w:cs="Arial"/>
          <w:bCs/>
          <w:kern w:val="32"/>
          <w:szCs w:val="32"/>
        </w:rPr>
        <w:t xml:space="preserve">shopping than </w:t>
      </w:r>
      <w:r w:rsidR="009040DB" w:rsidRPr="00F507E0">
        <w:rPr>
          <w:rFonts w:eastAsia="Times New Roman" w:cs="Arial"/>
          <w:bCs/>
          <w:kern w:val="32"/>
          <w:szCs w:val="32"/>
        </w:rPr>
        <w:t xml:space="preserve">men </w:t>
      </w:r>
      <w:r w:rsidR="00FF21F5" w:rsidRPr="00F507E0">
        <w:fldChar w:fldCharType="begin" w:fldLock="1"/>
      </w:r>
      <w:r w:rsidR="00FF21F5" w:rsidRPr="00F507E0">
        <w:instrText>ADDIN CSL_CITATION {"citationItems":[{"id":"ITEM-1","itemData":{"DOI":"10.1108/IJRDM-03-2013-0066","ISSN":"09590552","abstract":"Purpose - Research suggests that women demonstrate higher levels of shopping satisfaction, recommendation, return intentions, and hedonic shopping than men. However, is it possible to reduce the effects of gender on shopping behaviour? The purpose of this paper is to explore how the interaction between gender and emotions affects consumers’ shopping behaviour outcomes. Design/methodology/approach-Two studies show the effects of gender and emotions on shopping behaviour outcomes. Study 1 is a field experiment that tests the effects of gender and emotions (positive vs neutral) on consumer satisfaction, recommendation, and return intentions. Study 2 is a laboratory experiment that explores the effects of gender and emotions (positive, neutral, and negative) on hedonic shopping. Findings-Results demonstrate that positive (vs neutral) emotions increase shopping behaviour outcomes for men, to reach the same level as for women. The findings also indicate that retail environment perception mediates the effects. Moreover, the results show that positive emotions increase levels of hedonic shopping for men and that negative emotions reduce levels of hedonic shopping for women. Practical implications-This paper helps retailers enhance shopping behaviour outcomes in retail environments. From a managerial perspective, the findings also provide insights on how to improve shopping behaviour outcomes for male consumers. Originality/value-This paper shows how to reduce gender effects on consumer shopping behaviour outcomes by activating specific emotions in retail environments. This research also demonstrates the mediating role of retail environment perception.","author":[{"dropping-particle":"","family":"Herter","given":"Márcia Maurer","non-dropping-particle":"","parse-names":false,"suffix":""},{"dropping-particle":"","family":"Santos","given":"Cristiane Pizzutti","non-dropping-particle":"dos","parse-names":false,"suffix":""},{"dropping-particle":"","family":"Pinto","given":"Diego Costa","non-dropping-particle":"","parse-names":false,"suffix":""}],"container-title":"International Journal of Retail and Distribution Management","id":"ITEM-1","issue":"9","issued":{"date-parts":[["2014"]]},"page":"780-804","title":"“Man, I shop like a woman!” The effects of gender and emotions on consumer shopping behaviour outcomes","type":"article-journal","volume":"42"},"uris":["http://www.mendeley.com/documents/?uuid=48216d79-5942-4fc1-97ad-283a8d1ae7a9"]}],"mendeley":{"formattedCitation":"(Herter, dos Santos, and Pinto 2014)","manualFormatting":"(Herter et al., 2014)","plainTextFormattedCitation":"(Herter, dos Santos, and Pinto 2014)","previouslyFormattedCitation":"(Herter, dos Santos, and Pinto 2014)"},"properties":{"noteIndex":0},"schema":"https://github.com/citation-style-language/schema/raw/master/csl-citation.json"}</w:instrText>
      </w:r>
      <w:r w:rsidR="00FF21F5" w:rsidRPr="00F507E0">
        <w:fldChar w:fldCharType="separate"/>
      </w:r>
      <w:r w:rsidR="00FF21F5" w:rsidRPr="00F507E0">
        <w:rPr>
          <w:noProof/>
        </w:rPr>
        <w:t xml:space="preserve">(Herter </w:t>
      </w:r>
      <w:r w:rsidR="00FF21F5" w:rsidRPr="00F507E0">
        <w:rPr>
          <w:i/>
          <w:iCs/>
          <w:noProof/>
        </w:rPr>
        <w:t>et al.,</w:t>
      </w:r>
      <w:r w:rsidR="00FF21F5" w:rsidRPr="00F507E0">
        <w:rPr>
          <w:noProof/>
        </w:rPr>
        <w:t xml:space="preserve"> 2014)</w:t>
      </w:r>
      <w:r w:rsidR="00FF21F5" w:rsidRPr="00F507E0">
        <w:fldChar w:fldCharType="end"/>
      </w:r>
      <w:r w:rsidR="006D1E64" w:rsidRPr="00F507E0">
        <w:rPr>
          <w:rFonts w:eastAsia="Times New Roman" w:cs="Arial"/>
          <w:bCs/>
          <w:kern w:val="32"/>
          <w:szCs w:val="32"/>
        </w:rPr>
        <w:t>.</w:t>
      </w:r>
      <w:r w:rsidR="00687958" w:rsidRPr="00F507E0">
        <w:rPr>
          <w:rFonts w:eastAsia="Times New Roman" w:cs="Arial"/>
          <w:bCs/>
          <w:kern w:val="32"/>
          <w:szCs w:val="32"/>
        </w:rPr>
        <w:t xml:space="preserve"> Interestingly, female travelers are associated with greater spending </w:t>
      </w:r>
      <w:r w:rsidR="008764B3" w:rsidRPr="00F507E0">
        <w:rPr>
          <w:rFonts w:eastAsia="Times New Roman" w:cs="Arial"/>
          <w:bCs/>
          <w:kern w:val="32"/>
          <w:szCs w:val="32"/>
        </w:rPr>
        <w:t xml:space="preserve">than male travelers </w:t>
      </w:r>
      <w:r w:rsidR="00687958" w:rsidRPr="00F507E0">
        <w:rPr>
          <w:rFonts w:eastAsia="Times New Roman" w:cs="Arial"/>
          <w:bCs/>
          <w:kern w:val="32"/>
          <w:szCs w:val="32"/>
        </w:rPr>
        <w:t xml:space="preserve">(Brida and Scuderi, 2013; Wang and Davidson, 2010). However, our finding indicates such spending patterns are not consistent across </w:t>
      </w:r>
      <w:r w:rsidR="00364854" w:rsidRPr="00F507E0">
        <w:rPr>
          <w:rFonts w:eastAsia="Times New Roman" w:cs="Arial"/>
          <w:bCs/>
          <w:kern w:val="32"/>
          <w:szCs w:val="32"/>
        </w:rPr>
        <w:t>different expenditure categories.</w:t>
      </w:r>
      <w:r w:rsidR="00D912D0" w:rsidRPr="00F507E0">
        <w:rPr>
          <w:rFonts w:eastAsia="Times New Roman" w:cs="Arial"/>
          <w:bCs/>
          <w:kern w:val="32"/>
          <w:szCs w:val="32"/>
        </w:rPr>
        <w:t xml:space="preserve"> </w:t>
      </w:r>
      <w:r w:rsidR="006D1E64" w:rsidRPr="00F507E0">
        <w:rPr>
          <w:rFonts w:eastAsia="Times New Roman" w:cs="Arial"/>
          <w:bCs/>
          <w:kern w:val="32"/>
          <w:szCs w:val="32"/>
        </w:rPr>
        <w:t xml:space="preserve">Another intuitive finding was that </w:t>
      </w:r>
      <w:r w:rsidR="00571D6E" w:rsidRPr="00F507E0">
        <w:rPr>
          <w:rFonts w:eastAsia="Times New Roman" w:cs="Arial"/>
          <w:bCs/>
          <w:kern w:val="32"/>
          <w:szCs w:val="32"/>
        </w:rPr>
        <w:t xml:space="preserve">travel </w:t>
      </w:r>
      <w:r w:rsidR="006D1E64" w:rsidRPr="00F507E0">
        <w:rPr>
          <w:rFonts w:eastAsia="Times New Roman" w:cs="Arial"/>
          <w:bCs/>
          <w:kern w:val="32"/>
          <w:szCs w:val="32"/>
        </w:rPr>
        <w:t xml:space="preserve">groups with </w:t>
      </w:r>
      <w:r w:rsidR="008960A3" w:rsidRPr="00F507E0">
        <w:rPr>
          <w:rFonts w:eastAsia="Times New Roman" w:cs="Arial"/>
          <w:bCs/>
          <w:kern w:val="32"/>
          <w:szCs w:val="32"/>
        </w:rPr>
        <w:t xml:space="preserve">a </w:t>
      </w:r>
      <w:r w:rsidR="006D1E64" w:rsidRPr="00F507E0">
        <w:rPr>
          <w:rFonts w:eastAsia="Times New Roman" w:cs="Arial"/>
          <w:bCs/>
          <w:kern w:val="32"/>
          <w:szCs w:val="32"/>
        </w:rPr>
        <w:t xml:space="preserve">higher proportion of </w:t>
      </w:r>
      <w:r w:rsidR="00980061" w:rsidRPr="00F507E0">
        <w:rPr>
          <w:rFonts w:eastAsia="Times New Roman" w:cs="Arial"/>
          <w:bCs/>
          <w:kern w:val="32"/>
          <w:szCs w:val="32"/>
        </w:rPr>
        <w:t xml:space="preserve">elderly individuals </w:t>
      </w:r>
      <w:r w:rsidR="00D43E34" w:rsidRPr="00F507E0">
        <w:rPr>
          <w:rFonts w:eastAsia="Times New Roman" w:cs="Arial"/>
          <w:bCs/>
          <w:kern w:val="32"/>
          <w:szCs w:val="32"/>
        </w:rPr>
        <w:t>are</w:t>
      </w:r>
      <w:r w:rsidR="006D1E64" w:rsidRPr="00F507E0">
        <w:rPr>
          <w:rFonts w:eastAsia="Times New Roman" w:cs="Arial"/>
          <w:bCs/>
          <w:kern w:val="32"/>
          <w:szCs w:val="32"/>
        </w:rPr>
        <w:t xml:space="preserve"> more likely to spend in </w:t>
      </w:r>
      <w:r w:rsidR="00980061" w:rsidRPr="00F507E0">
        <w:rPr>
          <w:rFonts w:eastAsia="Times New Roman" w:cs="Arial"/>
          <w:bCs/>
          <w:kern w:val="32"/>
          <w:szCs w:val="32"/>
        </w:rPr>
        <w:t xml:space="preserve">the </w:t>
      </w:r>
      <w:r w:rsidR="006D1E64" w:rsidRPr="00F507E0">
        <w:rPr>
          <w:rFonts w:eastAsia="Times New Roman" w:cs="Arial"/>
          <w:bCs/>
          <w:kern w:val="32"/>
          <w:szCs w:val="32"/>
        </w:rPr>
        <w:t>health and medicine category</w:t>
      </w:r>
      <w:r w:rsidR="00571D6E" w:rsidRPr="00F507E0">
        <w:rPr>
          <w:rFonts w:eastAsia="Times New Roman" w:cs="Arial"/>
          <w:bCs/>
          <w:kern w:val="32"/>
          <w:szCs w:val="32"/>
        </w:rPr>
        <w:t>.</w:t>
      </w:r>
    </w:p>
    <w:p w14:paraId="0E3D0AE2" w14:textId="067B8C3B" w:rsidR="00497316" w:rsidRPr="00AC36D6" w:rsidRDefault="00497316" w:rsidP="00946C79">
      <w:pPr>
        <w:spacing w:after="0" w:line="360" w:lineRule="auto"/>
        <w:jc w:val="both"/>
        <w:rPr>
          <w:rFonts w:eastAsia="Times New Roman" w:cs="Arial"/>
          <w:bCs/>
          <w:color w:val="000000"/>
          <w:kern w:val="32"/>
          <w:szCs w:val="32"/>
        </w:rPr>
      </w:pPr>
      <w:r w:rsidRPr="00F507E0">
        <w:rPr>
          <w:rFonts w:eastAsia="Times New Roman" w:cs="Arial"/>
          <w:bCs/>
          <w:kern w:val="32"/>
          <w:szCs w:val="32"/>
        </w:rPr>
        <w:tab/>
        <w:t xml:space="preserve">Next, </w:t>
      </w:r>
      <w:r w:rsidR="00AA6727" w:rsidRPr="00F507E0">
        <w:rPr>
          <w:rFonts w:eastAsia="Times New Roman" w:cs="Arial"/>
          <w:bCs/>
          <w:kern w:val="32"/>
          <w:szCs w:val="32"/>
        </w:rPr>
        <w:t>two</w:t>
      </w:r>
      <w:r w:rsidRPr="00F507E0">
        <w:rPr>
          <w:rFonts w:eastAsia="Times New Roman" w:cs="Arial"/>
          <w:bCs/>
          <w:kern w:val="32"/>
          <w:szCs w:val="32"/>
        </w:rPr>
        <w:t xml:space="preserve"> trip</w:t>
      </w:r>
      <w:r w:rsidR="00A37955" w:rsidRPr="00F507E0">
        <w:rPr>
          <w:rFonts w:eastAsia="Times New Roman" w:cs="Arial"/>
          <w:bCs/>
          <w:kern w:val="32"/>
          <w:szCs w:val="32"/>
        </w:rPr>
        <w:t xml:space="preserve"> </w:t>
      </w:r>
      <w:r w:rsidRPr="00F507E0">
        <w:rPr>
          <w:rFonts w:eastAsia="Times New Roman" w:cs="Arial"/>
          <w:bCs/>
          <w:kern w:val="32"/>
          <w:szCs w:val="32"/>
        </w:rPr>
        <w:t xml:space="preserve">specific variables </w:t>
      </w:r>
      <w:r w:rsidR="00AA6727" w:rsidRPr="00F507E0">
        <w:rPr>
          <w:rFonts w:eastAsia="Times New Roman" w:cs="Arial"/>
          <w:bCs/>
          <w:kern w:val="32"/>
          <w:szCs w:val="32"/>
        </w:rPr>
        <w:t xml:space="preserve">were </w:t>
      </w:r>
      <w:r w:rsidRPr="00F507E0">
        <w:rPr>
          <w:rFonts w:eastAsia="Times New Roman" w:cs="Arial"/>
          <w:bCs/>
          <w:kern w:val="32"/>
          <w:szCs w:val="32"/>
        </w:rPr>
        <w:t>considered</w:t>
      </w:r>
      <w:r w:rsidRPr="00AC36D6">
        <w:rPr>
          <w:rFonts w:eastAsia="Times New Roman" w:cs="Arial"/>
          <w:bCs/>
          <w:color w:val="000000"/>
          <w:kern w:val="32"/>
          <w:szCs w:val="32"/>
        </w:rPr>
        <w:t xml:space="preserve"> </w:t>
      </w:r>
      <w:r w:rsidR="00AA6727" w:rsidRPr="00AC36D6">
        <w:rPr>
          <w:rFonts w:eastAsia="Times New Roman" w:cs="Arial"/>
          <w:bCs/>
          <w:color w:val="000000"/>
          <w:kern w:val="32"/>
          <w:szCs w:val="32"/>
        </w:rPr>
        <w:t xml:space="preserve">in </w:t>
      </w:r>
      <w:r w:rsidRPr="00AC36D6">
        <w:rPr>
          <w:rFonts w:eastAsia="Times New Roman" w:cs="Arial"/>
          <w:bCs/>
          <w:color w:val="000000"/>
          <w:kern w:val="32"/>
          <w:szCs w:val="32"/>
        </w:rPr>
        <w:t>the</w:t>
      </w:r>
      <w:r w:rsidR="00AA6727" w:rsidRPr="00AC36D6">
        <w:rPr>
          <w:rFonts w:eastAsia="Times New Roman" w:cs="Arial"/>
          <w:bCs/>
          <w:color w:val="000000"/>
          <w:kern w:val="32"/>
          <w:szCs w:val="32"/>
        </w:rPr>
        <w:t xml:space="preserve"> model:</w:t>
      </w:r>
      <w:r w:rsidRPr="00AC36D6">
        <w:rPr>
          <w:rFonts w:eastAsia="Times New Roman" w:cs="Arial"/>
          <w:bCs/>
          <w:color w:val="000000"/>
          <w:kern w:val="32"/>
          <w:szCs w:val="32"/>
        </w:rPr>
        <w:t xml:space="preserve"> </w:t>
      </w:r>
      <w:r w:rsidR="00AA6727" w:rsidRPr="00AC36D6">
        <w:rPr>
          <w:rFonts w:eastAsia="Times New Roman" w:cs="Arial"/>
          <w:bCs/>
          <w:color w:val="000000"/>
          <w:kern w:val="32"/>
          <w:szCs w:val="32"/>
        </w:rPr>
        <w:t xml:space="preserve">(a) </w:t>
      </w:r>
      <w:r w:rsidRPr="00AC36D6">
        <w:rPr>
          <w:rFonts w:eastAsia="Times New Roman" w:cs="Arial"/>
          <w:bCs/>
          <w:color w:val="000000"/>
          <w:kern w:val="32"/>
          <w:szCs w:val="32"/>
        </w:rPr>
        <w:t xml:space="preserve">duration of </w:t>
      </w:r>
      <w:r w:rsidR="00AA6727" w:rsidRPr="00AC36D6">
        <w:rPr>
          <w:rFonts w:eastAsia="Times New Roman" w:cs="Arial"/>
          <w:bCs/>
          <w:color w:val="000000"/>
          <w:kern w:val="32"/>
          <w:szCs w:val="32"/>
        </w:rPr>
        <w:t xml:space="preserve">the trip </w:t>
      </w:r>
      <w:r w:rsidRPr="00AC36D6">
        <w:rPr>
          <w:rFonts w:eastAsia="Times New Roman" w:cs="Arial"/>
          <w:bCs/>
          <w:color w:val="000000"/>
          <w:kern w:val="32"/>
          <w:szCs w:val="32"/>
        </w:rPr>
        <w:t>(</w:t>
      </w:r>
      <w:r w:rsidRPr="00AC36D6">
        <w:rPr>
          <w:rFonts w:eastAsia="Times New Roman" w:cs="Arial"/>
          <w:bCs/>
          <w:i/>
          <w:iCs/>
          <w:color w:val="000000"/>
          <w:kern w:val="32"/>
          <w:szCs w:val="32"/>
        </w:rPr>
        <w:t>i.e.,</w:t>
      </w:r>
      <w:r w:rsidRPr="00AC36D6">
        <w:rPr>
          <w:rFonts w:eastAsia="Times New Roman" w:cs="Arial"/>
          <w:bCs/>
          <w:color w:val="000000"/>
          <w:kern w:val="32"/>
          <w:szCs w:val="32"/>
        </w:rPr>
        <w:t xml:space="preserve"> </w:t>
      </w:r>
      <w:r w:rsidR="0076262E" w:rsidRPr="00AC36D6">
        <w:rPr>
          <w:rFonts w:eastAsia="Times New Roman" w:cs="Arial"/>
          <w:bCs/>
          <w:color w:val="000000"/>
          <w:kern w:val="32"/>
          <w:szCs w:val="32"/>
        </w:rPr>
        <w:t xml:space="preserve">the </w:t>
      </w:r>
      <w:r w:rsidRPr="00AC36D6">
        <w:rPr>
          <w:rFonts w:eastAsia="Times New Roman" w:cs="Arial"/>
          <w:bCs/>
          <w:color w:val="000000"/>
          <w:kern w:val="32"/>
          <w:szCs w:val="32"/>
        </w:rPr>
        <w:t xml:space="preserve">number of nights </w:t>
      </w:r>
      <w:r w:rsidR="0076262E" w:rsidRPr="00AC36D6">
        <w:rPr>
          <w:rFonts w:eastAsia="Times New Roman" w:cs="Arial"/>
          <w:bCs/>
          <w:color w:val="000000"/>
          <w:kern w:val="32"/>
          <w:szCs w:val="32"/>
        </w:rPr>
        <w:t xml:space="preserve">spent </w:t>
      </w:r>
      <w:r w:rsidRPr="00AC36D6">
        <w:rPr>
          <w:rFonts w:eastAsia="Times New Roman" w:cs="Arial"/>
          <w:bCs/>
          <w:color w:val="000000"/>
          <w:kern w:val="32"/>
          <w:szCs w:val="32"/>
        </w:rPr>
        <w:t xml:space="preserve">outside the UPR) and </w:t>
      </w:r>
      <w:r w:rsidR="00AA6727" w:rsidRPr="00AC36D6">
        <w:rPr>
          <w:rFonts w:eastAsia="Times New Roman" w:cs="Arial"/>
          <w:bCs/>
          <w:color w:val="000000"/>
          <w:kern w:val="32"/>
          <w:szCs w:val="32"/>
        </w:rPr>
        <w:t xml:space="preserve">(b) </w:t>
      </w:r>
      <w:r w:rsidRPr="00AC36D6">
        <w:rPr>
          <w:rFonts w:eastAsia="Times New Roman" w:cs="Arial"/>
          <w:bCs/>
          <w:color w:val="000000"/>
          <w:kern w:val="32"/>
          <w:szCs w:val="32"/>
        </w:rPr>
        <w:t xml:space="preserve">the </w:t>
      </w:r>
      <w:r w:rsidR="0076262E" w:rsidRPr="00AC36D6">
        <w:rPr>
          <w:rFonts w:eastAsia="Times New Roman" w:cs="Arial"/>
          <w:bCs/>
          <w:color w:val="000000"/>
          <w:kern w:val="32"/>
          <w:szCs w:val="32"/>
        </w:rPr>
        <w:t>type</w:t>
      </w:r>
      <w:r w:rsidR="00BC1563" w:rsidRPr="00AC36D6">
        <w:rPr>
          <w:rFonts w:eastAsia="Times New Roman" w:cs="Arial"/>
          <w:bCs/>
          <w:color w:val="000000"/>
          <w:kern w:val="32"/>
          <w:szCs w:val="32"/>
        </w:rPr>
        <w:t xml:space="preserve"> of trip</w:t>
      </w:r>
      <w:r w:rsidRPr="00AC36D6">
        <w:rPr>
          <w:rFonts w:eastAsia="Times New Roman" w:cs="Arial"/>
          <w:bCs/>
          <w:color w:val="000000"/>
          <w:kern w:val="32"/>
          <w:szCs w:val="32"/>
        </w:rPr>
        <w:t xml:space="preserve"> destination (</w:t>
      </w:r>
      <w:r w:rsidRPr="00AC36D6">
        <w:rPr>
          <w:rFonts w:eastAsia="Times New Roman" w:cs="Arial"/>
          <w:bCs/>
          <w:i/>
          <w:iCs/>
          <w:color w:val="000000"/>
          <w:kern w:val="32"/>
          <w:szCs w:val="32"/>
        </w:rPr>
        <w:t>i.e.,</w:t>
      </w:r>
      <w:r w:rsidRPr="00AC36D6">
        <w:rPr>
          <w:rFonts w:eastAsia="Times New Roman" w:cs="Arial"/>
          <w:bCs/>
          <w:color w:val="000000"/>
          <w:kern w:val="32"/>
          <w:szCs w:val="32"/>
        </w:rPr>
        <w:t xml:space="preserve"> within the same district as the UPR, outside the </w:t>
      </w:r>
      <w:r w:rsidR="00D62F06" w:rsidRPr="00AC36D6">
        <w:rPr>
          <w:rFonts w:eastAsia="Times New Roman" w:cs="Arial"/>
          <w:bCs/>
          <w:color w:val="000000"/>
          <w:kern w:val="32"/>
          <w:szCs w:val="32"/>
        </w:rPr>
        <w:t>district of the UPR but within the same state, and outside the state of the UPR).</w:t>
      </w:r>
      <w:r w:rsidR="006F3E02" w:rsidRPr="00AC36D6">
        <w:rPr>
          <w:rFonts w:eastAsia="Times New Roman" w:cs="Arial"/>
          <w:bCs/>
          <w:color w:val="000000"/>
          <w:kern w:val="32"/>
          <w:szCs w:val="32"/>
        </w:rPr>
        <w:t xml:space="preserve"> </w:t>
      </w:r>
      <w:r w:rsidR="00A121F1" w:rsidRPr="00AC36D6">
        <w:rPr>
          <w:rFonts w:eastAsia="Times New Roman" w:cs="Arial"/>
          <w:bCs/>
          <w:color w:val="000000"/>
          <w:kern w:val="32"/>
          <w:szCs w:val="32"/>
        </w:rPr>
        <w:t>Trip duration</w:t>
      </w:r>
      <w:r w:rsidR="00B8136E" w:rsidRPr="00AC36D6">
        <w:rPr>
          <w:rFonts w:eastAsia="Times New Roman" w:cs="Arial"/>
          <w:bCs/>
          <w:color w:val="000000"/>
          <w:kern w:val="32"/>
          <w:szCs w:val="32"/>
        </w:rPr>
        <w:t xml:space="preserve"> shows a positive association with the likelihood of </w:t>
      </w:r>
      <w:r w:rsidR="00B8136E" w:rsidRPr="00AC36D6">
        <w:rPr>
          <w:rFonts w:eastAsia="Times New Roman" w:cs="Arial"/>
          <w:bCs/>
          <w:color w:val="000000"/>
          <w:kern w:val="32"/>
          <w:szCs w:val="32"/>
        </w:rPr>
        <w:lastRenderedPageBreak/>
        <w:t xml:space="preserve">spending </w:t>
      </w:r>
      <w:r w:rsidR="0000753D" w:rsidRPr="00AC36D6">
        <w:rPr>
          <w:rFonts w:eastAsia="Times New Roman" w:cs="Arial"/>
          <w:bCs/>
          <w:color w:val="000000"/>
          <w:kern w:val="32"/>
          <w:szCs w:val="32"/>
        </w:rPr>
        <w:t>on</w:t>
      </w:r>
      <w:r w:rsidR="00B8136E" w:rsidRPr="00AC36D6">
        <w:rPr>
          <w:rFonts w:eastAsia="Times New Roman" w:cs="Arial"/>
          <w:bCs/>
          <w:color w:val="000000"/>
          <w:kern w:val="32"/>
          <w:szCs w:val="32"/>
        </w:rPr>
        <w:t xml:space="preserve"> </w:t>
      </w:r>
      <w:r w:rsidR="00A425F4" w:rsidRPr="00AC36D6">
        <w:rPr>
          <w:rFonts w:eastAsia="Times New Roman" w:cs="Arial"/>
          <w:bCs/>
          <w:color w:val="000000"/>
          <w:kern w:val="32"/>
          <w:szCs w:val="32"/>
        </w:rPr>
        <w:t>health and medicine</w:t>
      </w:r>
      <w:r w:rsidR="0000753D" w:rsidRPr="00AC36D6">
        <w:rPr>
          <w:rFonts w:eastAsia="Times New Roman" w:cs="Arial"/>
          <w:bCs/>
          <w:color w:val="000000"/>
          <w:kern w:val="32"/>
          <w:szCs w:val="32"/>
        </w:rPr>
        <w:t xml:space="preserve">. This result is </w:t>
      </w:r>
      <w:r w:rsidR="002876DC" w:rsidRPr="00AC36D6">
        <w:rPr>
          <w:rFonts w:eastAsia="Times New Roman" w:cs="Arial"/>
          <w:bCs/>
          <w:color w:val="000000"/>
          <w:kern w:val="32"/>
          <w:szCs w:val="32"/>
        </w:rPr>
        <w:t>unlikely</w:t>
      </w:r>
      <w:r w:rsidR="0000753D" w:rsidRPr="00AC36D6">
        <w:rPr>
          <w:rFonts w:eastAsia="Times New Roman" w:cs="Arial"/>
          <w:bCs/>
          <w:color w:val="000000"/>
          <w:kern w:val="32"/>
          <w:szCs w:val="32"/>
        </w:rPr>
        <w:t xml:space="preserve"> due to a causal effect of </w:t>
      </w:r>
      <w:r w:rsidR="00386166" w:rsidRPr="00AC36D6">
        <w:rPr>
          <w:rFonts w:eastAsia="Times New Roman" w:cs="Arial"/>
          <w:bCs/>
          <w:color w:val="000000"/>
          <w:kern w:val="32"/>
          <w:szCs w:val="32"/>
        </w:rPr>
        <w:t xml:space="preserve">the </w:t>
      </w:r>
      <w:r w:rsidR="002876DC" w:rsidRPr="00AC36D6">
        <w:rPr>
          <w:rFonts w:eastAsia="Times New Roman" w:cs="Arial"/>
          <w:bCs/>
          <w:color w:val="000000"/>
          <w:kern w:val="32"/>
          <w:szCs w:val="32"/>
        </w:rPr>
        <w:t>trip duration</w:t>
      </w:r>
      <w:r w:rsidR="00386166" w:rsidRPr="00AC36D6">
        <w:rPr>
          <w:rFonts w:eastAsia="Times New Roman" w:cs="Arial"/>
          <w:bCs/>
          <w:color w:val="000000"/>
          <w:kern w:val="32"/>
          <w:szCs w:val="32"/>
        </w:rPr>
        <w:t xml:space="preserve"> on health and medica</w:t>
      </w:r>
      <w:r w:rsidR="009B7546" w:rsidRPr="00AC36D6">
        <w:rPr>
          <w:rFonts w:eastAsia="Times New Roman" w:cs="Arial"/>
          <w:bCs/>
          <w:color w:val="000000"/>
          <w:kern w:val="32"/>
          <w:szCs w:val="32"/>
        </w:rPr>
        <w:t>l</w:t>
      </w:r>
      <w:r w:rsidR="00386166" w:rsidRPr="00AC36D6">
        <w:rPr>
          <w:rFonts w:eastAsia="Times New Roman" w:cs="Arial"/>
          <w:bCs/>
          <w:color w:val="000000"/>
          <w:kern w:val="32"/>
          <w:szCs w:val="32"/>
        </w:rPr>
        <w:t xml:space="preserve"> needs. </w:t>
      </w:r>
      <w:r w:rsidR="00177982" w:rsidRPr="00AC36D6">
        <w:rPr>
          <w:rFonts w:eastAsia="Times New Roman" w:cs="Arial"/>
          <w:bCs/>
          <w:color w:val="000000"/>
          <w:kern w:val="32"/>
          <w:szCs w:val="32"/>
        </w:rPr>
        <w:t xml:space="preserve">Instead, this result </w:t>
      </w:r>
      <w:r w:rsidR="009B7546" w:rsidRPr="00AC36D6">
        <w:rPr>
          <w:rFonts w:eastAsia="Times New Roman" w:cs="Arial"/>
          <w:bCs/>
          <w:color w:val="000000"/>
          <w:kern w:val="32"/>
          <w:szCs w:val="32"/>
        </w:rPr>
        <w:t>is likely due to</w:t>
      </w:r>
      <w:r w:rsidR="00177982" w:rsidRPr="00AC36D6">
        <w:rPr>
          <w:rFonts w:eastAsia="Times New Roman" w:cs="Arial"/>
          <w:bCs/>
          <w:color w:val="000000"/>
          <w:kern w:val="32"/>
          <w:szCs w:val="32"/>
        </w:rPr>
        <w:t xml:space="preserve"> an endogenous effect </w:t>
      </w:r>
      <w:r w:rsidR="00A121F1" w:rsidRPr="00AC36D6">
        <w:rPr>
          <w:rFonts w:eastAsia="Times New Roman" w:cs="Arial"/>
          <w:bCs/>
          <w:color w:val="000000"/>
          <w:kern w:val="32"/>
          <w:szCs w:val="32"/>
        </w:rPr>
        <w:t>where</w:t>
      </w:r>
      <w:r w:rsidR="00177982" w:rsidRPr="00AC36D6">
        <w:rPr>
          <w:rFonts w:eastAsia="Times New Roman" w:cs="Arial"/>
          <w:bCs/>
          <w:color w:val="000000"/>
          <w:kern w:val="32"/>
          <w:szCs w:val="32"/>
        </w:rPr>
        <w:t xml:space="preserve"> trips involving health and medical </w:t>
      </w:r>
      <w:r w:rsidR="00DB6009" w:rsidRPr="00AC36D6">
        <w:rPr>
          <w:rFonts w:eastAsia="Times New Roman" w:cs="Arial"/>
          <w:bCs/>
          <w:color w:val="000000"/>
          <w:kern w:val="32"/>
          <w:szCs w:val="32"/>
        </w:rPr>
        <w:t>activities tend to be longer than other trips.</w:t>
      </w:r>
      <w:r w:rsidR="00CE2831" w:rsidRPr="00AC36D6">
        <w:rPr>
          <w:rFonts w:eastAsia="Times New Roman" w:cs="Arial"/>
          <w:bCs/>
          <w:color w:val="000000"/>
          <w:kern w:val="32"/>
          <w:szCs w:val="32"/>
        </w:rPr>
        <w:t xml:space="preserve"> Interestingly, t</w:t>
      </w:r>
      <w:r w:rsidR="00F90EC8" w:rsidRPr="00AC36D6">
        <w:rPr>
          <w:rFonts w:eastAsia="Times New Roman" w:cs="Arial"/>
          <w:bCs/>
          <w:color w:val="000000"/>
          <w:kern w:val="32"/>
          <w:szCs w:val="32"/>
        </w:rPr>
        <w:t xml:space="preserve">he </w:t>
      </w:r>
      <w:r w:rsidR="00D4798F" w:rsidRPr="00AC36D6">
        <w:rPr>
          <w:rFonts w:eastAsia="Times New Roman" w:cs="Arial"/>
          <w:bCs/>
          <w:color w:val="000000"/>
          <w:kern w:val="32"/>
          <w:szCs w:val="32"/>
        </w:rPr>
        <w:t xml:space="preserve">trip </w:t>
      </w:r>
      <w:r w:rsidR="00CE2831" w:rsidRPr="00AC36D6">
        <w:rPr>
          <w:rFonts w:eastAsia="Times New Roman" w:cs="Arial"/>
          <w:bCs/>
          <w:color w:val="000000"/>
          <w:kern w:val="32"/>
          <w:szCs w:val="32"/>
        </w:rPr>
        <w:t xml:space="preserve">duration </w:t>
      </w:r>
      <w:r w:rsidR="00F90EC8" w:rsidRPr="00AC36D6">
        <w:rPr>
          <w:rFonts w:eastAsia="Times New Roman" w:cs="Arial"/>
          <w:bCs/>
          <w:color w:val="000000"/>
          <w:kern w:val="32"/>
          <w:szCs w:val="32"/>
        </w:rPr>
        <w:t xml:space="preserve">did not affect the discrete </w:t>
      </w:r>
      <w:r w:rsidR="007B1060" w:rsidRPr="00AC36D6">
        <w:rPr>
          <w:rFonts w:eastAsia="Times New Roman" w:cs="Arial"/>
          <w:bCs/>
          <w:color w:val="000000"/>
          <w:kern w:val="32"/>
          <w:szCs w:val="32"/>
        </w:rPr>
        <w:t xml:space="preserve">choice </w:t>
      </w:r>
      <w:r w:rsidR="00F90EC8" w:rsidRPr="00AC36D6">
        <w:rPr>
          <w:rFonts w:eastAsia="Times New Roman" w:cs="Arial"/>
          <w:bCs/>
          <w:color w:val="000000"/>
          <w:kern w:val="32"/>
          <w:szCs w:val="32"/>
        </w:rPr>
        <w:t xml:space="preserve">to spend in other </w:t>
      </w:r>
      <w:r w:rsidR="00B94D58" w:rsidRPr="00AC36D6">
        <w:rPr>
          <w:rFonts w:eastAsia="Times New Roman" w:cs="Arial"/>
          <w:bCs/>
          <w:color w:val="000000"/>
          <w:kern w:val="32"/>
          <w:szCs w:val="32"/>
        </w:rPr>
        <w:t>expense categories</w:t>
      </w:r>
      <w:r w:rsidR="00F90EC8" w:rsidRPr="00AC36D6">
        <w:rPr>
          <w:rFonts w:eastAsia="Times New Roman" w:cs="Arial"/>
          <w:bCs/>
          <w:color w:val="000000"/>
          <w:kern w:val="32"/>
          <w:szCs w:val="32"/>
        </w:rPr>
        <w:t>, except accommodation.</w:t>
      </w:r>
      <w:r w:rsidR="00A37955" w:rsidRPr="00AC36D6">
        <w:rPr>
          <w:rFonts w:eastAsia="Times New Roman" w:cs="Arial"/>
          <w:bCs/>
          <w:color w:val="000000"/>
          <w:kern w:val="32"/>
          <w:szCs w:val="32"/>
        </w:rPr>
        <w:t xml:space="preserve"> </w:t>
      </w:r>
      <w:r w:rsidR="00A425F4" w:rsidRPr="00AC36D6">
        <w:rPr>
          <w:rFonts w:eastAsia="Times New Roman" w:cs="Arial"/>
          <w:bCs/>
          <w:color w:val="000000"/>
          <w:kern w:val="32"/>
          <w:szCs w:val="32"/>
        </w:rPr>
        <w:t xml:space="preserve">The effect of </w:t>
      </w:r>
      <w:r w:rsidR="00B94D58" w:rsidRPr="00AC36D6">
        <w:rPr>
          <w:rFonts w:eastAsia="Times New Roman" w:cs="Arial"/>
          <w:bCs/>
          <w:color w:val="000000"/>
          <w:kern w:val="32"/>
          <w:szCs w:val="32"/>
        </w:rPr>
        <w:t>trip duration</w:t>
      </w:r>
      <w:r w:rsidR="00A425F4" w:rsidRPr="00AC36D6">
        <w:rPr>
          <w:rFonts w:eastAsia="Times New Roman" w:cs="Arial"/>
          <w:bCs/>
          <w:color w:val="000000"/>
          <w:kern w:val="32"/>
          <w:szCs w:val="32"/>
        </w:rPr>
        <w:t xml:space="preserve"> on</w:t>
      </w:r>
      <w:r w:rsidR="004E3F86" w:rsidRPr="00AC36D6">
        <w:rPr>
          <w:rFonts w:eastAsia="Times New Roman" w:cs="Arial"/>
          <w:bCs/>
          <w:color w:val="000000"/>
          <w:kern w:val="32"/>
          <w:szCs w:val="32"/>
        </w:rPr>
        <w:t xml:space="preserve"> </w:t>
      </w:r>
      <w:r w:rsidR="00A5105E" w:rsidRPr="00AC36D6">
        <w:rPr>
          <w:rFonts w:eastAsia="Times New Roman" w:cs="Arial"/>
          <w:bCs/>
          <w:color w:val="000000"/>
          <w:kern w:val="32"/>
          <w:szCs w:val="32"/>
        </w:rPr>
        <w:t xml:space="preserve">a household’s likelihood of spending </w:t>
      </w:r>
      <w:r w:rsidR="004E3F86" w:rsidRPr="00AC36D6">
        <w:rPr>
          <w:rFonts w:eastAsia="Times New Roman" w:cs="Arial"/>
          <w:bCs/>
          <w:color w:val="000000"/>
          <w:kern w:val="32"/>
          <w:szCs w:val="32"/>
        </w:rPr>
        <w:t>on</w:t>
      </w:r>
      <w:r w:rsidR="00A425F4" w:rsidRPr="00AC36D6">
        <w:rPr>
          <w:rFonts w:eastAsia="Times New Roman" w:cs="Arial"/>
          <w:bCs/>
          <w:color w:val="000000"/>
          <w:kern w:val="32"/>
          <w:szCs w:val="32"/>
        </w:rPr>
        <w:t xml:space="preserve"> accommodation </w:t>
      </w:r>
      <w:r w:rsidR="00097462" w:rsidRPr="00AC36D6">
        <w:rPr>
          <w:rFonts w:eastAsia="Times New Roman" w:cs="Arial"/>
          <w:bCs/>
          <w:color w:val="000000"/>
          <w:kern w:val="32"/>
          <w:szCs w:val="32"/>
        </w:rPr>
        <w:t xml:space="preserve">was captured through a non-linear </w:t>
      </w:r>
      <w:r w:rsidR="00A5105E" w:rsidRPr="00AC36D6">
        <w:rPr>
          <w:rFonts w:eastAsia="Times New Roman" w:cs="Arial"/>
          <w:bCs/>
          <w:color w:val="000000"/>
          <w:kern w:val="32"/>
          <w:szCs w:val="32"/>
        </w:rPr>
        <w:t xml:space="preserve">(category variable) </w:t>
      </w:r>
      <w:r w:rsidR="00097462" w:rsidRPr="00AC36D6">
        <w:rPr>
          <w:rFonts w:eastAsia="Times New Roman" w:cs="Arial"/>
          <w:bCs/>
          <w:color w:val="000000"/>
          <w:kern w:val="32"/>
          <w:szCs w:val="32"/>
        </w:rPr>
        <w:t>specification</w:t>
      </w:r>
      <w:r w:rsidR="009F2648" w:rsidRPr="00AC36D6">
        <w:rPr>
          <w:rFonts w:eastAsia="Times New Roman" w:cs="Arial"/>
          <w:bCs/>
          <w:color w:val="000000"/>
          <w:kern w:val="32"/>
          <w:szCs w:val="32"/>
        </w:rPr>
        <w:t xml:space="preserve">. </w:t>
      </w:r>
      <w:r w:rsidR="007B1060" w:rsidRPr="00AC36D6">
        <w:rPr>
          <w:rFonts w:eastAsia="Times New Roman" w:cs="Arial"/>
          <w:bCs/>
          <w:color w:val="000000"/>
          <w:kern w:val="32"/>
          <w:szCs w:val="32"/>
        </w:rPr>
        <w:t>Specifically, t</w:t>
      </w:r>
      <w:r w:rsidR="009F2648" w:rsidRPr="00AC36D6">
        <w:rPr>
          <w:rFonts w:eastAsia="Times New Roman" w:cs="Arial"/>
          <w:bCs/>
          <w:color w:val="000000"/>
          <w:kern w:val="32"/>
          <w:szCs w:val="32"/>
        </w:rPr>
        <w:t xml:space="preserve">ravelers are more </w:t>
      </w:r>
      <w:r w:rsidR="009F2648" w:rsidRPr="00F507E0">
        <w:rPr>
          <w:rFonts w:eastAsia="Times New Roman" w:cs="Arial"/>
          <w:bCs/>
          <w:kern w:val="32"/>
          <w:szCs w:val="32"/>
        </w:rPr>
        <w:t>inclined to opt for</w:t>
      </w:r>
      <w:r w:rsidR="004E3F86" w:rsidRPr="00F507E0">
        <w:rPr>
          <w:rFonts w:eastAsia="Times New Roman" w:cs="Arial"/>
          <w:bCs/>
          <w:kern w:val="32"/>
          <w:szCs w:val="32"/>
        </w:rPr>
        <w:t xml:space="preserve"> paid accommodation for</w:t>
      </w:r>
      <w:r w:rsidR="009F2648" w:rsidRPr="00F507E0">
        <w:rPr>
          <w:rFonts w:eastAsia="Times New Roman" w:cs="Arial"/>
          <w:bCs/>
          <w:kern w:val="32"/>
          <w:szCs w:val="32"/>
        </w:rPr>
        <w:t xml:space="preserve"> short</w:t>
      </w:r>
      <w:r w:rsidR="00E018EA" w:rsidRPr="00F507E0">
        <w:rPr>
          <w:rFonts w:eastAsia="Times New Roman" w:cs="Arial"/>
          <w:bCs/>
          <w:kern w:val="32"/>
          <w:szCs w:val="32"/>
        </w:rPr>
        <w:t>-</w:t>
      </w:r>
      <w:r w:rsidR="009F2648" w:rsidRPr="00F507E0">
        <w:rPr>
          <w:rFonts w:eastAsia="Times New Roman" w:cs="Arial"/>
          <w:bCs/>
          <w:kern w:val="32"/>
          <w:szCs w:val="32"/>
        </w:rPr>
        <w:t xml:space="preserve"> and medium</w:t>
      </w:r>
      <w:r w:rsidR="00E018EA" w:rsidRPr="00F507E0">
        <w:rPr>
          <w:rFonts w:eastAsia="Times New Roman" w:cs="Arial"/>
          <w:bCs/>
          <w:kern w:val="32"/>
          <w:szCs w:val="32"/>
        </w:rPr>
        <w:t>-</w:t>
      </w:r>
      <w:r w:rsidR="009F2648" w:rsidRPr="00F507E0">
        <w:rPr>
          <w:rFonts w:eastAsia="Times New Roman" w:cs="Arial"/>
          <w:bCs/>
          <w:kern w:val="32"/>
          <w:szCs w:val="32"/>
        </w:rPr>
        <w:t>duration trips (</w:t>
      </w:r>
      <w:r w:rsidR="004F2345" w:rsidRPr="00F507E0">
        <w:rPr>
          <w:rFonts w:eastAsia="Times New Roman" w:cs="Arial"/>
          <w:bCs/>
          <w:kern w:val="32"/>
          <w:szCs w:val="32"/>
        </w:rPr>
        <w:t xml:space="preserve">i.e., trips of </w:t>
      </w:r>
      <w:r w:rsidR="00BB0718" w:rsidRPr="00F507E0">
        <w:rPr>
          <w:rFonts w:eastAsia="Times New Roman" w:cs="Arial"/>
          <w:bCs/>
          <w:kern w:val="32"/>
          <w:szCs w:val="32"/>
        </w:rPr>
        <w:t xml:space="preserve">a </w:t>
      </w:r>
      <w:r w:rsidR="004F2345" w:rsidRPr="00F507E0">
        <w:rPr>
          <w:rFonts w:eastAsia="Times New Roman" w:cs="Arial"/>
          <w:bCs/>
          <w:kern w:val="32"/>
          <w:szCs w:val="32"/>
        </w:rPr>
        <w:t>duration</w:t>
      </w:r>
      <w:r w:rsidR="00E018EA" w:rsidRPr="00F507E0">
        <w:rPr>
          <w:rFonts w:eastAsia="Times New Roman" w:cs="Arial"/>
          <w:bCs/>
          <w:kern w:val="32"/>
          <w:szCs w:val="32"/>
        </w:rPr>
        <w:t xml:space="preserve"> of 10 days or shorter</w:t>
      </w:r>
      <w:r w:rsidR="004E3F86" w:rsidRPr="00F507E0">
        <w:rPr>
          <w:rFonts w:eastAsia="Times New Roman" w:cs="Arial"/>
          <w:bCs/>
          <w:kern w:val="32"/>
          <w:szCs w:val="32"/>
        </w:rPr>
        <w:t>)</w:t>
      </w:r>
      <w:r w:rsidR="009F2648" w:rsidRPr="00F507E0">
        <w:rPr>
          <w:rFonts w:eastAsia="Times New Roman" w:cs="Arial"/>
          <w:bCs/>
          <w:kern w:val="32"/>
          <w:szCs w:val="32"/>
        </w:rPr>
        <w:t xml:space="preserve"> </w:t>
      </w:r>
      <w:r w:rsidR="00127A0B" w:rsidRPr="00F507E0">
        <w:rPr>
          <w:rFonts w:eastAsia="Times New Roman" w:cs="Arial"/>
          <w:bCs/>
          <w:kern w:val="32"/>
          <w:szCs w:val="32"/>
        </w:rPr>
        <w:t>than</w:t>
      </w:r>
      <w:r w:rsidR="004E3F86" w:rsidRPr="00F507E0">
        <w:rPr>
          <w:rFonts w:eastAsia="Times New Roman" w:cs="Arial"/>
          <w:bCs/>
          <w:kern w:val="32"/>
          <w:szCs w:val="32"/>
        </w:rPr>
        <w:t xml:space="preserve"> trips </w:t>
      </w:r>
      <w:r w:rsidR="00A81D4F" w:rsidRPr="00F507E0">
        <w:rPr>
          <w:rFonts w:eastAsia="Times New Roman" w:cs="Arial"/>
          <w:bCs/>
          <w:kern w:val="32"/>
          <w:szCs w:val="32"/>
        </w:rPr>
        <w:t>longer than</w:t>
      </w:r>
      <w:r w:rsidR="004E3F86" w:rsidRPr="00F507E0">
        <w:rPr>
          <w:rFonts w:eastAsia="Times New Roman" w:cs="Arial"/>
          <w:bCs/>
          <w:kern w:val="32"/>
          <w:szCs w:val="32"/>
        </w:rPr>
        <w:t xml:space="preserve"> </w:t>
      </w:r>
      <w:r w:rsidR="00BB0718" w:rsidRPr="00F507E0">
        <w:rPr>
          <w:rFonts w:eastAsia="Times New Roman" w:cs="Arial"/>
          <w:bCs/>
          <w:kern w:val="32"/>
          <w:szCs w:val="32"/>
        </w:rPr>
        <w:t>ten</w:t>
      </w:r>
      <w:r w:rsidR="004E3F86" w:rsidRPr="00F507E0">
        <w:rPr>
          <w:rFonts w:eastAsia="Times New Roman" w:cs="Arial"/>
          <w:bCs/>
          <w:kern w:val="32"/>
          <w:szCs w:val="32"/>
        </w:rPr>
        <w:t xml:space="preserve"> days.</w:t>
      </w:r>
      <w:r w:rsidR="00364854" w:rsidRPr="00F507E0">
        <w:rPr>
          <w:rFonts w:eastAsia="Times New Roman" w:cs="Arial"/>
          <w:bCs/>
          <w:kern w:val="32"/>
          <w:szCs w:val="32"/>
        </w:rPr>
        <w:t xml:space="preserve"> This is not surprising, since short</w:t>
      </w:r>
      <w:r w:rsidR="008764B3" w:rsidRPr="00F507E0">
        <w:rPr>
          <w:rFonts w:eastAsia="Times New Roman" w:cs="Arial"/>
          <w:bCs/>
          <w:kern w:val="32"/>
          <w:szCs w:val="32"/>
        </w:rPr>
        <w:t>er</w:t>
      </w:r>
      <w:r w:rsidR="00364854" w:rsidRPr="00F507E0">
        <w:rPr>
          <w:rFonts w:eastAsia="Times New Roman" w:cs="Arial"/>
          <w:bCs/>
          <w:kern w:val="32"/>
          <w:szCs w:val="32"/>
        </w:rPr>
        <w:t xml:space="preserve"> duration trips are associated with higher daily expenditures (Ya</w:t>
      </w:r>
      <w:r w:rsidR="00AD645D" w:rsidRPr="00F507E0">
        <w:rPr>
          <w:rFonts w:eastAsia="Times New Roman" w:cs="Arial"/>
          <w:bCs/>
          <w:kern w:val="32"/>
          <w:szCs w:val="32"/>
        </w:rPr>
        <w:t xml:space="preserve">ng </w:t>
      </w:r>
      <w:r w:rsidR="00364854" w:rsidRPr="00F507E0">
        <w:rPr>
          <w:rFonts w:eastAsia="Times New Roman" w:cs="Arial"/>
          <w:bCs/>
          <w:kern w:val="32"/>
          <w:szCs w:val="32"/>
        </w:rPr>
        <w:t>et</w:t>
      </w:r>
      <w:r w:rsidR="00AD645D" w:rsidRPr="00F507E0">
        <w:rPr>
          <w:rFonts w:eastAsia="Times New Roman" w:cs="Arial"/>
          <w:bCs/>
          <w:kern w:val="32"/>
          <w:szCs w:val="32"/>
        </w:rPr>
        <w:t xml:space="preserve"> </w:t>
      </w:r>
      <w:r w:rsidR="00364854" w:rsidRPr="00F507E0">
        <w:rPr>
          <w:rFonts w:eastAsia="Times New Roman" w:cs="Arial"/>
          <w:bCs/>
          <w:kern w:val="32"/>
          <w:szCs w:val="32"/>
        </w:rPr>
        <w:t>al., 20</w:t>
      </w:r>
      <w:r w:rsidR="00AD645D" w:rsidRPr="00F507E0">
        <w:rPr>
          <w:rFonts w:eastAsia="Times New Roman" w:cs="Arial"/>
          <w:bCs/>
          <w:kern w:val="32"/>
          <w:szCs w:val="32"/>
        </w:rPr>
        <w:t>21</w:t>
      </w:r>
      <w:r w:rsidR="00364854" w:rsidRPr="00F507E0">
        <w:rPr>
          <w:rFonts w:eastAsia="Times New Roman" w:cs="Arial"/>
          <w:bCs/>
          <w:kern w:val="32"/>
          <w:szCs w:val="32"/>
        </w:rPr>
        <w:t>).</w:t>
      </w:r>
      <w:r w:rsidR="004E3F86" w:rsidRPr="00F507E0">
        <w:rPr>
          <w:rFonts w:eastAsia="Times New Roman" w:cs="Arial"/>
          <w:bCs/>
          <w:kern w:val="32"/>
          <w:szCs w:val="32"/>
        </w:rPr>
        <w:t xml:space="preserve"> </w:t>
      </w:r>
      <w:r w:rsidR="00364854" w:rsidRPr="00F507E0">
        <w:rPr>
          <w:rFonts w:eastAsia="Times New Roman" w:cs="Arial"/>
          <w:bCs/>
          <w:kern w:val="32"/>
          <w:szCs w:val="32"/>
        </w:rPr>
        <w:t xml:space="preserve">Also, </w:t>
      </w:r>
      <w:r w:rsidR="008764B3" w:rsidRPr="00F507E0">
        <w:rPr>
          <w:rFonts w:eastAsia="Times New Roman" w:cs="Arial"/>
          <w:bCs/>
          <w:kern w:val="32"/>
          <w:szCs w:val="32"/>
        </w:rPr>
        <w:t>on</w:t>
      </w:r>
      <w:r w:rsidR="004E3F86" w:rsidRPr="00F507E0">
        <w:rPr>
          <w:rFonts w:eastAsia="Times New Roman" w:cs="Arial"/>
          <w:bCs/>
          <w:kern w:val="32"/>
          <w:szCs w:val="32"/>
        </w:rPr>
        <w:t xml:space="preserve"> long</w:t>
      </w:r>
      <w:r w:rsidR="00235D45" w:rsidRPr="00F507E0">
        <w:rPr>
          <w:rFonts w:eastAsia="Times New Roman" w:cs="Arial"/>
          <w:bCs/>
          <w:kern w:val="32"/>
          <w:szCs w:val="32"/>
        </w:rPr>
        <w:t>-</w:t>
      </w:r>
      <w:r w:rsidR="004E3F86" w:rsidRPr="00F507E0">
        <w:rPr>
          <w:rFonts w:eastAsia="Times New Roman" w:cs="Arial"/>
          <w:bCs/>
          <w:kern w:val="32"/>
          <w:szCs w:val="32"/>
        </w:rPr>
        <w:t>duration trips</w:t>
      </w:r>
      <w:r w:rsidR="00F30105" w:rsidRPr="00F507E0">
        <w:rPr>
          <w:rFonts w:eastAsia="Times New Roman" w:cs="Arial"/>
          <w:bCs/>
          <w:kern w:val="32"/>
          <w:szCs w:val="32"/>
        </w:rPr>
        <w:t>,</w:t>
      </w:r>
      <w:r w:rsidR="004E3F86" w:rsidRPr="00F507E0">
        <w:rPr>
          <w:rFonts w:eastAsia="Times New Roman" w:cs="Arial"/>
          <w:bCs/>
          <w:kern w:val="32"/>
          <w:szCs w:val="32"/>
        </w:rPr>
        <w:t xml:space="preserve"> travelers are likely to stay with friends or relatives to save on high accommodation costs</w:t>
      </w:r>
      <w:r w:rsidR="00115402" w:rsidRPr="00F507E0">
        <w:rPr>
          <w:rFonts w:eastAsia="Times New Roman" w:cs="Arial"/>
          <w:bCs/>
          <w:kern w:val="32"/>
          <w:szCs w:val="32"/>
        </w:rPr>
        <w:t xml:space="preserve"> (see Pellegrini </w:t>
      </w:r>
      <w:r w:rsidR="00115402" w:rsidRPr="00F507E0">
        <w:rPr>
          <w:rFonts w:eastAsia="Times New Roman" w:cs="Arial"/>
          <w:bCs/>
          <w:i/>
          <w:iCs/>
          <w:kern w:val="32"/>
          <w:szCs w:val="32"/>
        </w:rPr>
        <w:t>et al.,</w:t>
      </w:r>
      <w:r w:rsidR="00115402" w:rsidRPr="00F507E0">
        <w:rPr>
          <w:rFonts w:eastAsia="Times New Roman" w:cs="Arial"/>
          <w:bCs/>
          <w:kern w:val="32"/>
          <w:szCs w:val="32"/>
        </w:rPr>
        <w:t xml:space="preserve"> 2014 for a similar finding)</w:t>
      </w:r>
      <w:r w:rsidR="004E3F86" w:rsidRPr="00F507E0">
        <w:rPr>
          <w:rFonts w:eastAsia="Times New Roman" w:cs="Arial"/>
          <w:bCs/>
          <w:kern w:val="32"/>
          <w:szCs w:val="32"/>
        </w:rPr>
        <w:t xml:space="preserve">. </w:t>
      </w:r>
      <w:r w:rsidR="0062405E" w:rsidRPr="00F507E0">
        <w:rPr>
          <w:rFonts w:eastAsia="Times New Roman" w:cs="Arial"/>
          <w:bCs/>
          <w:kern w:val="32"/>
          <w:szCs w:val="32"/>
        </w:rPr>
        <w:t>Finally, the trip destination had a</w:t>
      </w:r>
      <w:r w:rsidR="001C78A6" w:rsidRPr="00F507E0">
        <w:rPr>
          <w:rFonts w:eastAsia="Times New Roman" w:cs="Arial"/>
          <w:bCs/>
          <w:kern w:val="32"/>
          <w:szCs w:val="32"/>
        </w:rPr>
        <w:t>n expected</w:t>
      </w:r>
      <w:r w:rsidR="0062405E" w:rsidRPr="00F507E0">
        <w:rPr>
          <w:rFonts w:eastAsia="Times New Roman" w:cs="Arial"/>
          <w:bCs/>
          <w:kern w:val="32"/>
          <w:szCs w:val="32"/>
        </w:rPr>
        <w:t xml:space="preserve"> impact on the</w:t>
      </w:r>
      <w:r w:rsidR="00DB3A98" w:rsidRPr="00F507E0">
        <w:rPr>
          <w:rFonts w:eastAsia="Times New Roman" w:cs="Arial"/>
          <w:bCs/>
          <w:kern w:val="32"/>
          <w:szCs w:val="32"/>
        </w:rPr>
        <w:t xml:space="preserve"> decision of spending </w:t>
      </w:r>
      <w:r w:rsidR="002F6542" w:rsidRPr="00F507E0">
        <w:rPr>
          <w:rFonts w:eastAsia="Times New Roman" w:cs="Arial"/>
          <w:bCs/>
          <w:kern w:val="32"/>
          <w:szCs w:val="32"/>
        </w:rPr>
        <w:t>in</w:t>
      </w:r>
      <w:r w:rsidR="00DB3A98" w:rsidRPr="00F507E0">
        <w:rPr>
          <w:rFonts w:eastAsia="Times New Roman" w:cs="Arial"/>
          <w:bCs/>
          <w:kern w:val="32"/>
          <w:szCs w:val="32"/>
        </w:rPr>
        <w:t xml:space="preserve"> all expenditure classes. Specifically, trips </w:t>
      </w:r>
      <w:r w:rsidR="00C01583" w:rsidRPr="00F507E0">
        <w:rPr>
          <w:rFonts w:eastAsia="Times New Roman" w:cs="Arial"/>
          <w:bCs/>
          <w:kern w:val="32"/>
          <w:szCs w:val="32"/>
        </w:rPr>
        <w:t xml:space="preserve">farther from </w:t>
      </w:r>
      <w:r w:rsidR="00DB3A98" w:rsidRPr="00F507E0">
        <w:rPr>
          <w:rFonts w:eastAsia="Times New Roman" w:cs="Arial"/>
          <w:bCs/>
          <w:kern w:val="32"/>
          <w:szCs w:val="32"/>
        </w:rPr>
        <w:t xml:space="preserve">the </w:t>
      </w:r>
      <w:r w:rsidR="00C01583" w:rsidRPr="00F507E0">
        <w:rPr>
          <w:rFonts w:eastAsia="Times New Roman" w:cs="Arial"/>
          <w:bCs/>
          <w:kern w:val="32"/>
          <w:szCs w:val="32"/>
        </w:rPr>
        <w:t xml:space="preserve">household’s UPR </w:t>
      </w:r>
      <w:r w:rsidR="004D1AD7" w:rsidRPr="00F507E0">
        <w:rPr>
          <w:rFonts w:eastAsia="Times New Roman" w:cs="Arial"/>
          <w:bCs/>
          <w:kern w:val="32"/>
          <w:szCs w:val="32"/>
        </w:rPr>
        <w:t xml:space="preserve">(i.e., those with a destination outside the </w:t>
      </w:r>
      <w:r w:rsidR="00DA5D39" w:rsidRPr="00F507E0">
        <w:rPr>
          <w:rFonts w:eastAsia="Times New Roman" w:cs="Arial"/>
          <w:bCs/>
          <w:kern w:val="32"/>
          <w:szCs w:val="32"/>
        </w:rPr>
        <w:t>district of the household’s UPR</w:t>
      </w:r>
      <w:r w:rsidR="00F17C2D" w:rsidRPr="00F507E0">
        <w:rPr>
          <w:rFonts w:eastAsia="Times New Roman" w:cs="Arial"/>
          <w:bCs/>
          <w:kern w:val="32"/>
          <w:szCs w:val="32"/>
        </w:rPr>
        <w:t xml:space="preserve"> or outside the state of</w:t>
      </w:r>
      <w:r w:rsidR="00F17C2D" w:rsidRPr="00AC36D6">
        <w:rPr>
          <w:rFonts w:eastAsia="Times New Roman" w:cs="Arial"/>
          <w:bCs/>
          <w:color w:val="000000"/>
          <w:kern w:val="32"/>
          <w:szCs w:val="32"/>
        </w:rPr>
        <w:t xml:space="preserve"> the UPR</w:t>
      </w:r>
      <w:r w:rsidR="00DA5D39" w:rsidRPr="00AC36D6">
        <w:rPr>
          <w:rFonts w:eastAsia="Times New Roman" w:cs="Arial"/>
          <w:bCs/>
          <w:color w:val="000000"/>
          <w:kern w:val="32"/>
          <w:szCs w:val="32"/>
        </w:rPr>
        <w:t xml:space="preserve">) </w:t>
      </w:r>
      <w:r w:rsidR="00DB3A98" w:rsidRPr="00AC36D6">
        <w:rPr>
          <w:rFonts w:eastAsia="Times New Roman" w:cs="Arial"/>
          <w:bCs/>
          <w:color w:val="000000"/>
          <w:kern w:val="32"/>
          <w:szCs w:val="32"/>
        </w:rPr>
        <w:t xml:space="preserve">are associated with </w:t>
      </w:r>
      <w:r w:rsidR="00C01583" w:rsidRPr="00AC36D6">
        <w:rPr>
          <w:rFonts w:eastAsia="Times New Roman" w:cs="Arial"/>
          <w:bCs/>
          <w:color w:val="000000"/>
          <w:kern w:val="32"/>
          <w:szCs w:val="32"/>
        </w:rPr>
        <w:t xml:space="preserve">a greater </w:t>
      </w:r>
      <w:r w:rsidR="00DB3A98" w:rsidRPr="00AC36D6">
        <w:rPr>
          <w:rFonts w:eastAsia="Times New Roman" w:cs="Arial"/>
          <w:bCs/>
          <w:color w:val="000000"/>
          <w:kern w:val="32"/>
          <w:szCs w:val="32"/>
        </w:rPr>
        <w:t xml:space="preserve">likelihood of expenditure </w:t>
      </w:r>
      <w:r w:rsidR="00C01583" w:rsidRPr="00AC36D6">
        <w:rPr>
          <w:rFonts w:eastAsia="Times New Roman" w:cs="Arial"/>
          <w:bCs/>
          <w:color w:val="000000"/>
          <w:kern w:val="32"/>
          <w:szCs w:val="32"/>
        </w:rPr>
        <w:t xml:space="preserve">in </w:t>
      </w:r>
      <w:r w:rsidR="00DB3A98" w:rsidRPr="00AC36D6">
        <w:rPr>
          <w:rFonts w:eastAsia="Times New Roman" w:cs="Arial"/>
          <w:bCs/>
          <w:color w:val="000000"/>
          <w:kern w:val="32"/>
          <w:szCs w:val="32"/>
        </w:rPr>
        <w:t xml:space="preserve">all expenditure categories as compared to trips </w:t>
      </w:r>
      <w:r w:rsidR="004B74C9" w:rsidRPr="00AC36D6">
        <w:rPr>
          <w:rFonts w:eastAsia="Times New Roman" w:cs="Arial"/>
          <w:bCs/>
          <w:color w:val="000000"/>
          <w:kern w:val="32"/>
          <w:szCs w:val="32"/>
        </w:rPr>
        <w:t>to</w:t>
      </w:r>
      <w:r w:rsidR="00DB3A98" w:rsidRPr="00AC36D6">
        <w:rPr>
          <w:rFonts w:eastAsia="Times New Roman" w:cs="Arial"/>
          <w:bCs/>
          <w:color w:val="000000"/>
          <w:kern w:val="32"/>
          <w:szCs w:val="32"/>
        </w:rPr>
        <w:t xml:space="preserve"> </w:t>
      </w:r>
      <w:r w:rsidR="004B74C9" w:rsidRPr="00AC36D6">
        <w:rPr>
          <w:rFonts w:eastAsia="Times New Roman" w:cs="Arial"/>
          <w:bCs/>
          <w:color w:val="000000"/>
          <w:kern w:val="32"/>
          <w:szCs w:val="32"/>
        </w:rPr>
        <w:t xml:space="preserve">a </w:t>
      </w:r>
      <w:r w:rsidR="00DB3A98" w:rsidRPr="00AC36D6">
        <w:rPr>
          <w:rFonts w:eastAsia="Times New Roman" w:cs="Arial"/>
          <w:bCs/>
          <w:color w:val="000000"/>
          <w:kern w:val="32"/>
          <w:szCs w:val="32"/>
        </w:rPr>
        <w:t>destination within the same district of the UPR.</w:t>
      </w:r>
    </w:p>
    <w:p w14:paraId="2F1B5C0F" w14:textId="0D0EF79D" w:rsidR="00F44591" w:rsidRPr="00AC36D6" w:rsidRDefault="00DB3A98" w:rsidP="004C7565">
      <w:pPr>
        <w:pStyle w:val="ListParagraph"/>
        <w:numPr>
          <w:ilvl w:val="2"/>
          <w:numId w:val="20"/>
        </w:numPr>
        <w:spacing w:before="120" w:after="0" w:line="360" w:lineRule="auto"/>
        <w:contextualSpacing w:val="0"/>
        <w:jc w:val="both"/>
        <w:rPr>
          <w:rFonts w:eastAsia="Times New Roman" w:cs="Arial"/>
          <w:bCs/>
          <w:i/>
          <w:iCs/>
          <w:color w:val="000000"/>
          <w:kern w:val="32"/>
          <w:szCs w:val="32"/>
        </w:rPr>
      </w:pPr>
      <w:r w:rsidRPr="00AC36D6">
        <w:rPr>
          <w:rFonts w:eastAsia="Times New Roman" w:cs="Arial"/>
          <w:bCs/>
          <w:i/>
          <w:iCs/>
          <w:color w:val="000000"/>
          <w:kern w:val="32"/>
          <w:szCs w:val="32"/>
        </w:rPr>
        <w:t xml:space="preserve">Effects of exogenous variables on the </w:t>
      </w:r>
      <w:r w:rsidR="00A9128C" w:rsidRPr="00AC36D6">
        <w:rPr>
          <w:rFonts w:eastAsia="Times New Roman" w:cs="Arial"/>
          <w:bCs/>
          <w:i/>
          <w:iCs/>
          <w:color w:val="000000"/>
          <w:kern w:val="32"/>
          <w:szCs w:val="32"/>
        </w:rPr>
        <w:t xml:space="preserve">C-preference and </w:t>
      </w:r>
      <w:r w:rsidR="00AA0E5E" w:rsidRPr="00AC36D6">
        <w:rPr>
          <w:rFonts w:eastAsia="Times New Roman" w:cs="Arial"/>
          <w:bCs/>
          <w:i/>
          <w:iCs/>
          <w:color w:val="000000"/>
          <w:kern w:val="32"/>
          <w:szCs w:val="32"/>
        </w:rPr>
        <w:t>satiation parameters</w:t>
      </w:r>
    </w:p>
    <w:p w14:paraId="51561403" w14:textId="0EB3B6AB" w:rsidR="00EB1CA6" w:rsidRPr="00AC36D6" w:rsidRDefault="00EA6F4D" w:rsidP="00F66C1E">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Note that b</w:t>
      </w:r>
      <w:r w:rsidR="00905F6B" w:rsidRPr="00AC36D6">
        <w:rPr>
          <w:rFonts w:eastAsia="Times New Roman" w:cs="Arial"/>
          <w:bCs/>
          <w:color w:val="000000"/>
          <w:kern w:val="32"/>
          <w:szCs w:val="32"/>
        </w:rPr>
        <w:t xml:space="preserve">oth the </w:t>
      </w:r>
      <w:r w:rsidR="00905F6B" w:rsidRPr="00AC36D6">
        <w:rPr>
          <w:rFonts w:eastAsia="Times New Roman" w:cs="Arial"/>
          <w:bCs/>
          <w:i/>
          <w:iCs/>
          <w:color w:val="000000"/>
          <w:kern w:val="32"/>
          <w:szCs w:val="32"/>
        </w:rPr>
        <w:t>C-</w:t>
      </w:r>
      <w:r w:rsidR="00905F6B" w:rsidRPr="00AC36D6">
        <w:rPr>
          <w:rFonts w:eastAsia="Times New Roman" w:cs="Arial"/>
          <w:bCs/>
          <w:color w:val="000000"/>
          <w:kern w:val="32"/>
          <w:szCs w:val="32"/>
        </w:rPr>
        <w:t xml:space="preserve">preference parameters and the satiation parameters </w:t>
      </w:r>
      <w:r w:rsidRPr="00AC36D6">
        <w:rPr>
          <w:rFonts w:eastAsia="Times New Roman" w:cs="Arial"/>
          <w:bCs/>
          <w:color w:val="000000"/>
          <w:kern w:val="32"/>
          <w:szCs w:val="32"/>
        </w:rPr>
        <w:t>influence</w:t>
      </w:r>
      <w:r w:rsidR="00905F6B" w:rsidRPr="00AC36D6">
        <w:rPr>
          <w:rFonts w:eastAsia="Times New Roman" w:cs="Arial"/>
          <w:bCs/>
          <w:color w:val="000000"/>
          <w:kern w:val="32"/>
          <w:szCs w:val="32"/>
        </w:rPr>
        <w:t xml:space="preserve"> the extent of expenditure</w:t>
      </w:r>
      <w:r w:rsidR="00855167" w:rsidRPr="00AC36D6">
        <w:rPr>
          <w:rFonts w:eastAsia="Times New Roman" w:cs="Arial"/>
          <w:bCs/>
          <w:color w:val="000000"/>
          <w:kern w:val="32"/>
          <w:szCs w:val="32"/>
        </w:rPr>
        <w:t xml:space="preserve"> allocation to</w:t>
      </w:r>
      <w:r w:rsidR="00905F6B" w:rsidRPr="00AC36D6">
        <w:rPr>
          <w:rFonts w:eastAsia="Times New Roman" w:cs="Arial"/>
          <w:bCs/>
          <w:color w:val="000000"/>
          <w:kern w:val="32"/>
          <w:szCs w:val="32"/>
        </w:rPr>
        <w:t xml:space="preserve"> each of the inside </w:t>
      </w:r>
      <w:r w:rsidR="00855167" w:rsidRPr="00AC36D6">
        <w:rPr>
          <w:rFonts w:eastAsia="Times New Roman" w:cs="Arial"/>
          <w:bCs/>
          <w:color w:val="000000"/>
          <w:kern w:val="32"/>
          <w:szCs w:val="32"/>
        </w:rPr>
        <w:t>alternatives</w:t>
      </w:r>
      <w:r w:rsidR="00905F6B" w:rsidRPr="00AC36D6">
        <w:rPr>
          <w:rFonts w:eastAsia="Times New Roman" w:cs="Arial"/>
          <w:bCs/>
          <w:color w:val="000000"/>
          <w:kern w:val="32"/>
          <w:szCs w:val="32"/>
        </w:rPr>
        <w:t>. This is a reason why</w:t>
      </w:r>
      <w:r w:rsidR="00F44591" w:rsidRPr="00AC36D6">
        <w:rPr>
          <w:rFonts w:eastAsia="Times New Roman" w:cs="Arial"/>
          <w:bCs/>
          <w:color w:val="000000"/>
          <w:kern w:val="32"/>
          <w:szCs w:val="32"/>
        </w:rPr>
        <w:t xml:space="preserve"> the satiation parameters are estimated</w:t>
      </w:r>
      <w:r w:rsidR="002E4915" w:rsidRPr="00AC36D6">
        <w:rPr>
          <w:rFonts w:eastAsia="Times New Roman" w:cs="Arial"/>
          <w:bCs/>
          <w:color w:val="000000"/>
          <w:kern w:val="32"/>
          <w:szCs w:val="32"/>
        </w:rPr>
        <w:t xml:space="preserve"> with</w:t>
      </w:r>
      <w:r w:rsidR="00F44591" w:rsidRPr="00AC36D6">
        <w:rPr>
          <w:rFonts w:eastAsia="Times New Roman" w:cs="Arial"/>
          <w:bCs/>
          <w:color w:val="000000"/>
          <w:kern w:val="32"/>
          <w:szCs w:val="32"/>
        </w:rPr>
        <w:t xml:space="preserve"> a low</w:t>
      </w:r>
      <w:r w:rsidR="009A252C" w:rsidRPr="00AC36D6">
        <w:rPr>
          <w:rFonts w:eastAsia="Times New Roman" w:cs="Arial"/>
          <w:bCs/>
          <w:color w:val="000000"/>
          <w:kern w:val="32"/>
          <w:szCs w:val="32"/>
        </w:rPr>
        <w:t>er</w:t>
      </w:r>
      <w:r w:rsidR="00F44591" w:rsidRPr="00AC36D6">
        <w:rPr>
          <w:rFonts w:eastAsia="Times New Roman" w:cs="Arial"/>
          <w:bCs/>
          <w:color w:val="000000"/>
          <w:kern w:val="32"/>
          <w:szCs w:val="32"/>
        </w:rPr>
        <w:t xml:space="preserve"> </w:t>
      </w:r>
      <w:r w:rsidR="00D26EA7" w:rsidRPr="00AC36D6">
        <w:rPr>
          <w:rFonts w:eastAsia="Times New Roman" w:cs="Arial"/>
          <w:bCs/>
          <w:color w:val="000000"/>
          <w:kern w:val="32"/>
          <w:szCs w:val="32"/>
        </w:rPr>
        <w:t xml:space="preserve">statistical </w:t>
      </w:r>
      <w:r w:rsidR="00F44591" w:rsidRPr="00AC36D6">
        <w:rPr>
          <w:rFonts w:eastAsia="Times New Roman" w:cs="Arial"/>
          <w:bCs/>
          <w:color w:val="000000"/>
          <w:kern w:val="32"/>
          <w:szCs w:val="32"/>
        </w:rPr>
        <w:t xml:space="preserve">significance </w:t>
      </w:r>
      <w:r w:rsidR="002E4915" w:rsidRPr="00AC36D6">
        <w:rPr>
          <w:rFonts w:eastAsia="Times New Roman" w:cs="Arial"/>
          <w:bCs/>
          <w:color w:val="000000"/>
          <w:kern w:val="32"/>
          <w:szCs w:val="32"/>
        </w:rPr>
        <w:t xml:space="preserve">as compared to </w:t>
      </w:r>
      <w:r w:rsidR="00533765" w:rsidRPr="00AC36D6">
        <w:rPr>
          <w:rFonts w:eastAsia="Times New Roman" w:cs="Arial"/>
          <w:bCs/>
          <w:color w:val="000000"/>
          <w:kern w:val="32"/>
          <w:szCs w:val="32"/>
        </w:rPr>
        <w:t xml:space="preserve">those in </w:t>
      </w:r>
      <w:r w:rsidR="002E4915" w:rsidRPr="00AC36D6">
        <w:rPr>
          <w:rFonts w:eastAsia="Times New Roman" w:cs="Arial"/>
          <w:bCs/>
          <w:color w:val="000000"/>
          <w:kern w:val="32"/>
          <w:szCs w:val="32"/>
        </w:rPr>
        <w:t xml:space="preserve">the traditional MDC models. </w:t>
      </w:r>
      <w:r w:rsidR="00F31A9A" w:rsidRPr="00AC36D6">
        <w:rPr>
          <w:rFonts w:eastAsia="Times New Roman" w:cs="Arial"/>
          <w:bCs/>
          <w:color w:val="000000"/>
          <w:kern w:val="32"/>
          <w:szCs w:val="32"/>
        </w:rPr>
        <w:t xml:space="preserve">For the same reason, not many covariates have a </w:t>
      </w:r>
      <w:r w:rsidR="00022228" w:rsidRPr="00AC36D6">
        <w:rPr>
          <w:rFonts w:eastAsia="Times New Roman" w:cs="Arial"/>
          <w:bCs/>
          <w:color w:val="000000"/>
          <w:kern w:val="32"/>
          <w:szCs w:val="32"/>
        </w:rPr>
        <w:t xml:space="preserve">significant </w:t>
      </w:r>
      <w:r w:rsidR="005D37B7" w:rsidRPr="00AC36D6">
        <w:rPr>
          <w:rFonts w:eastAsia="Times New Roman" w:cs="Arial"/>
          <w:bCs/>
          <w:color w:val="000000"/>
          <w:kern w:val="32"/>
          <w:szCs w:val="32"/>
        </w:rPr>
        <w:t>influence</w:t>
      </w:r>
      <w:r w:rsidR="00022228" w:rsidRPr="00AC36D6">
        <w:rPr>
          <w:rFonts w:eastAsia="Times New Roman" w:cs="Arial"/>
          <w:bCs/>
          <w:color w:val="000000"/>
          <w:kern w:val="32"/>
          <w:szCs w:val="32"/>
        </w:rPr>
        <w:t xml:space="preserve"> </w:t>
      </w:r>
      <w:r w:rsidR="00C06DDC" w:rsidRPr="00AC36D6">
        <w:rPr>
          <w:rFonts w:eastAsia="Times New Roman" w:cs="Arial"/>
          <w:bCs/>
          <w:color w:val="000000"/>
          <w:kern w:val="32"/>
          <w:szCs w:val="32"/>
        </w:rPr>
        <w:t>o</w:t>
      </w:r>
      <w:r w:rsidR="00022228" w:rsidRPr="00AC36D6">
        <w:rPr>
          <w:rFonts w:eastAsia="Times New Roman" w:cs="Arial"/>
          <w:bCs/>
          <w:color w:val="000000"/>
          <w:kern w:val="32"/>
          <w:szCs w:val="32"/>
        </w:rPr>
        <w:t xml:space="preserve">n the satiation functions (as they already influence the </w:t>
      </w:r>
      <w:r w:rsidR="00022228" w:rsidRPr="00AC36D6">
        <w:rPr>
          <w:rFonts w:eastAsia="Times New Roman" w:cs="Arial"/>
          <w:bCs/>
          <w:i/>
          <w:iCs/>
          <w:color w:val="000000"/>
          <w:kern w:val="32"/>
          <w:szCs w:val="32"/>
        </w:rPr>
        <w:t>C-</w:t>
      </w:r>
      <w:r w:rsidR="00022228" w:rsidRPr="00AC36D6">
        <w:rPr>
          <w:rFonts w:eastAsia="Times New Roman" w:cs="Arial"/>
          <w:bCs/>
          <w:color w:val="000000"/>
          <w:kern w:val="32"/>
          <w:szCs w:val="32"/>
        </w:rPr>
        <w:t xml:space="preserve">preference functions). </w:t>
      </w:r>
      <w:r w:rsidR="00FF4ACB" w:rsidRPr="00AC36D6">
        <w:rPr>
          <w:rFonts w:eastAsia="Times New Roman" w:cs="Arial"/>
          <w:bCs/>
          <w:color w:val="000000"/>
          <w:kern w:val="32"/>
          <w:szCs w:val="32"/>
        </w:rPr>
        <w:t>In this context, a</w:t>
      </w:r>
      <w:r w:rsidR="009F689A" w:rsidRPr="00AC36D6">
        <w:rPr>
          <w:rFonts w:eastAsia="Times New Roman" w:cs="Arial"/>
          <w:bCs/>
          <w:color w:val="000000"/>
          <w:kern w:val="32"/>
          <w:szCs w:val="32"/>
        </w:rPr>
        <w:t xml:space="preserve">lthough the results of a traditional MDCP model </w:t>
      </w:r>
      <w:r w:rsidR="00FF4ACB" w:rsidRPr="00AC36D6">
        <w:rPr>
          <w:rFonts w:eastAsia="Times New Roman" w:cs="Arial"/>
          <w:bCs/>
          <w:color w:val="000000"/>
          <w:kern w:val="32"/>
          <w:szCs w:val="32"/>
        </w:rPr>
        <w:t xml:space="preserve">are not reported </w:t>
      </w:r>
      <w:r w:rsidR="009F689A" w:rsidRPr="00AC36D6">
        <w:rPr>
          <w:rFonts w:eastAsia="Times New Roman" w:cs="Arial"/>
          <w:bCs/>
          <w:color w:val="000000"/>
          <w:kern w:val="32"/>
          <w:szCs w:val="32"/>
        </w:rPr>
        <w:t xml:space="preserve">in the paper, the </w:t>
      </w:r>
      <w:r w:rsidR="00941FE1" w:rsidRPr="00AC36D6">
        <w:rPr>
          <w:rFonts w:eastAsia="Times New Roman" w:cs="Arial"/>
          <w:bCs/>
          <w:color w:val="000000"/>
          <w:kern w:val="32"/>
          <w:szCs w:val="32"/>
        </w:rPr>
        <w:t xml:space="preserve">satiation </w:t>
      </w:r>
      <w:r w:rsidR="009F689A" w:rsidRPr="00AC36D6">
        <w:rPr>
          <w:rFonts w:eastAsia="Times New Roman" w:cs="Arial"/>
          <w:bCs/>
          <w:color w:val="000000"/>
          <w:kern w:val="32"/>
          <w:szCs w:val="32"/>
        </w:rPr>
        <w:t>p</w:t>
      </w:r>
      <w:r w:rsidR="00941FE1" w:rsidRPr="00AC36D6">
        <w:rPr>
          <w:rFonts w:eastAsia="Times New Roman" w:cs="Arial"/>
          <w:bCs/>
          <w:color w:val="000000"/>
          <w:kern w:val="32"/>
          <w:szCs w:val="32"/>
        </w:rPr>
        <w:t xml:space="preserve">arameter estimates of such a model had </w:t>
      </w:r>
      <w:r w:rsidR="00C91C62" w:rsidRPr="00AC36D6">
        <w:rPr>
          <w:rFonts w:eastAsia="Times New Roman" w:cs="Arial"/>
          <w:bCs/>
          <w:color w:val="000000"/>
          <w:kern w:val="32"/>
          <w:szCs w:val="32"/>
        </w:rPr>
        <w:t>higher</w:t>
      </w:r>
      <w:r w:rsidR="002234DD" w:rsidRPr="00AC36D6">
        <w:rPr>
          <w:rFonts w:eastAsia="Times New Roman" w:cs="Arial"/>
          <w:bCs/>
          <w:color w:val="000000"/>
          <w:kern w:val="32"/>
          <w:szCs w:val="32"/>
        </w:rPr>
        <w:t xml:space="preserve"> t-statistic values than those in the</w:t>
      </w:r>
      <w:r w:rsidR="00C21392" w:rsidRPr="00AC36D6">
        <w:rPr>
          <w:rFonts w:eastAsia="Times New Roman" w:cs="Arial"/>
          <w:bCs/>
          <w:color w:val="000000"/>
          <w:kern w:val="32"/>
          <w:szCs w:val="32"/>
        </w:rPr>
        <w:t xml:space="preserve"> flexible MDCP model reported in Table 2. </w:t>
      </w:r>
    </w:p>
    <w:p w14:paraId="37CC9F85" w14:textId="05FC72B9" w:rsidR="00F4069A" w:rsidRPr="00AC36D6" w:rsidRDefault="00EB1CA6" w:rsidP="00947EBF">
      <w:pPr>
        <w:spacing w:after="0" w:line="360" w:lineRule="auto"/>
        <w:jc w:val="both"/>
        <w:rPr>
          <w:rFonts w:eastAsia="Times New Roman" w:cs="Arial"/>
          <w:bCs/>
          <w:color w:val="000000"/>
          <w:kern w:val="32"/>
          <w:szCs w:val="32"/>
        </w:rPr>
      </w:pPr>
      <w:r w:rsidRPr="00AC36D6">
        <w:rPr>
          <w:rFonts w:eastAsia="Times New Roman" w:cs="Arial"/>
          <w:bCs/>
          <w:color w:val="000000"/>
          <w:kern w:val="32"/>
          <w:szCs w:val="32"/>
        </w:rPr>
        <w:tab/>
        <w:t xml:space="preserve">In the context of </w:t>
      </w:r>
      <w:r w:rsidRPr="00AC36D6">
        <w:rPr>
          <w:rFonts w:eastAsia="Times New Roman" w:cs="Arial"/>
          <w:bCs/>
          <w:i/>
          <w:iCs/>
          <w:color w:val="000000"/>
          <w:kern w:val="32"/>
          <w:szCs w:val="32"/>
        </w:rPr>
        <w:t>C-</w:t>
      </w:r>
      <w:r w:rsidRPr="00AC36D6">
        <w:rPr>
          <w:rFonts w:eastAsia="Times New Roman" w:cs="Arial"/>
          <w:bCs/>
          <w:color w:val="000000"/>
          <w:kern w:val="32"/>
          <w:szCs w:val="32"/>
        </w:rPr>
        <w:t>preference</w:t>
      </w:r>
      <w:r w:rsidR="00F374B4" w:rsidRPr="00AC36D6">
        <w:rPr>
          <w:rFonts w:eastAsia="Times New Roman" w:cs="Arial"/>
          <w:bCs/>
          <w:color w:val="000000"/>
          <w:kern w:val="32"/>
          <w:szCs w:val="32"/>
        </w:rPr>
        <w:t xml:space="preserve">s, households </w:t>
      </w:r>
      <w:r w:rsidR="000B42CC" w:rsidRPr="00AC36D6">
        <w:rPr>
          <w:rFonts w:eastAsia="Times New Roman" w:cs="Arial"/>
          <w:bCs/>
          <w:color w:val="000000"/>
          <w:kern w:val="32"/>
          <w:szCs w:val="32"/>
        </w:rPr>
        <w:t>from</w:t>
      </w:r>
      <w:r w:rsidR="00F374B4" w:rsidRPr="00AC36D6">
        <w:rPr>
          <w:rFonts w:eastAsia="Times New Roman" w:cs="Arial"/>
          <w:bCs/>
          <w:color w:val="000000"/>
          <w:kern w:val="32"/>
          <w:szCs w:val="32"/>
        </w:rPr>
        <w:t xml:space="preserve"> urban areas </w:t>
      </w:r>
      <w:r w:rsidR="000B42CC" w:rsidRPr="00AC36D6">
        <w:rPr>
          <w:rFonts w:eastAsia="Times New Roman" w:cs="Arial"/>
          <w:bCs/>
          <w:color w:val="000000"/>
          <w:kern w:val="32"/>
          <w:szCs w:val="32"/>
        </w:rPr>
        <w:t xml:space="preserve">show higher expenditures </w:t>
      </w:r>
      <w:r w:rsidR="005C5903" w:rsidRPr="00AC36D6">
        <w:rPr>
          <w:rFonts w:eastAsia="Times New Roman" w:cs="Arial"/>
          <w:bCs/>
          <w:color w:val="000000"/>
          <w:kern w:val="32"/>
          <w:szCs w:val="32"/>
        </w:rPr>
        <w:t>on</w:t>
      </w:r>
      <w:r w:rsidR="000B42CC" w:rsidRPr="00AC36D6">
        <w:rPr>
          <w:rFonts w:eastAsia="Times New Roman" w:cs="Arial"/>
          <w:bCs/>
          <w:color w:val="000000"/>
          <w:kern w:val="32"/>
          <w:szCs w:val="32"/>
        </w:rPr>
        <w:t xml:space="preserve"> accommodation and shopping than those from rural areas.</w:t>
      </w:r>
      <w:r w:rsidR="002E4915" w:rsidRPr="00AC36D6">
        <w:rPr>
          <w:rFonts w:eastAsia="Times New Roman" w:cs="Arial"/>
          <w:bCs/>
          <w:color w:val="000000"/>
          <w:kern w:val="32"/>
          <w:szCs w:val="32"/>
        </w:rPr>
        <w:t xml:space="preserve"> </w:t>
      </w:r>
      <w:r w:rsidR="000B42CC" w:rsidRPr="00AC36D6">
        <w:rPr>
          <w:rFonts w:eastAsia="Times New Roman" w:cs="Arial"/>
          <w:bCs/>
          <w:color w:val="000000"/>
          <w:kern w:val="32"/>
          <w:szCs w:val="32"/>
        </w:rPr>
        <w:t xml:space="preserve">Recall from </w:t>
      </w:r>
      <w:r w:rsidR="005849E9" w:rsidRPr="00AC36D6">
        <w:rPr>
          <w:rFonts w:eastAsia="Times New Roman" w:cs="Arial"/>
          <w:bCs/>
          <w:color w:val="000000"/>
          <w:kern w:val="32"/>
          <w:szCs w:val="32"/>
        </w:rPr>
        <w:t xml:space="preserve">the </w:t>
      </w:r>
      <w:r w:rsidR="000B42CC" w:rsidRPr="00AC36D6">
        <w:rPr>
          <w:rFonts w:eastAsia="Times New Roman" w:cs="Arial"/>
          <w:bCs/>
          <w:color w:val="000000"/>
          <w:kern w:val="32"/>
          <w:szCs w:val="32"/>
        </w:rPr>
        <w:t xml:space="preserve">earlier discussion that households from urban areas </w:t>
      </w:r>
      <w:r w:rsidR="00087537" w:rsidRPr="00AC36D6">
        <w:rPr>
          <w:rFonts w:eastAsia="Times New Roman" w:cs="Arial"/>
          <w:bCs/>
          <w:color w:val="000000"/>
          <w:kern w:val="32"/>
          <w:szCs w:val="32"/>
        </w:rPr>
        <w:t xml:space="preserve">were found to be less likely to spend </w:t>
      </w:r>
      <w:r w:rsidR="003D1AA1" w:rsidRPr="00AC36D6">
        <w:rPr>
          <w:rFonts w:eastAsia="Times New Roman" w:cs="Arial"/>
          <w:bCs/>
          <w:color w:val="000000"/>
          <w:kern w:val="32"/>
          <w:szCs w:val="32"/>
        </w:rPr>
        <w:t xml:space="preserve">on shopping. However, if they </w:t>
      </w:r>
      <w:r w:rsidR="005849E9" w:rsidRPr="00AC36D6">
        <w:rPr>
          <w:rFonts w:eastAsia="Times New Roman" w:cs="Arial"/>
          <w:bCs/>
          <w:color w:val="000000"/>
          <w:kern w:val="32"/>
          <w:szCs w:val="32"/>
        </w:rPr>
        <w:t>spend</w:t>
      </w:r>
      <w:r w:rsidR="003D1AA1" w:rsidRPr="00AC36D6">
        <w:rPr>
          <w:rFonts w:eastAsia="Times New Roman" w:cs="Arial"/>
          <w:bCs/>
          <w:color w:val="000000"/>
          <w:kern w:val="32"/>
          <w:szCs w:val="32"/>
        </w:rPr>
        <w:t xml:space="preserve"> on shopping or accommodation, urban households are likely to spend more than </w:t>
      </w:r>
      <w:r w:rsidR="009922CE" w:rsidRPr="00AC36D6">
        <w:rPr>
          <w:rFonts w:eastAsia="Times New Roman" w:cs="Arial"/>
          <w:bCs/>
          <w:color w:val="000000"/>
          <w:kern w:val="32"/>
          <w:szCs w:val="32"/>
        </w:rPr>
        <w:t>rural households.</w:t>
      </w:r>
      <w:r w:rsidR="002F0385" w:rsidRPr="00AC36D6">
        <w:rPr>
          <w:rFonts w:eastAsia="Times New Roman" w:cs="Arial"/>
          <w:bCs/>
          <w:color w:val="000000"/>
          <w:kern w:val="32"/>
          <w:szCs w:val="32"/>
        </w:rPr>
        <w:t xml:space="preserve"> The flexible MDCP model, due to </w:t>
      </w:r>
      <w:r w:rsidR="00F4069A" w:rsidRPr="00AC36D6">
        <w:rPr>
          <w:rFonts w:eastAsia="Times New Roman" w:cs="Arial"/>
          <w:bCs/>
          <w:color w:val="000000"/>
          <w:kern w:val="32"/>
          <w:szCs w:val="32"/>
        </w:rPr>
        <w:t>separat</w:t>
      </w:r>
      <w:r w:rsidR="00EB4137" w:rsidRPr="00AC36D6">
        <w:rPr>
          <w:rFonts w:eastAsia="Times New Roman" w:cs="Arial"/>
          <w:bCs/>
          <w:color w:val="000000"/>
          <w:kern w:val="32"/>
          <w:szCs w:val="32"/>
        </w:rPr>
        <w:t>ing</w:t>
      </w:r>
      <w:r w:rsidR="00F4069A" w:rsidRPr="00AC36D6">
        <w:rPr>
          <w:rFonts w:eastAsia="Times New Roman" w:cs="Arial"/>
          <w:bCs/>
          <w:color w:val="000000"/>
          <w:kern w:val="32"/>
          <w:szCs w:val="32"/>
        </w:rPr>
        <w:t xml:space="preserve"> the influence of covariates on discrete </w:t>
      </w:r>
      <w:r w:rsidR="00CA7F4D" w:rsidRPr="00AC36D6">
        <w:rPr>
          <w:rFonts w:eastAsia="Times New Roman" w:cs="Arial"/>
          <w:bCs/>
          <w:color w:val="000000"/>
          <w:kern w:val="32"/>
          <w:szCs w:val="32"/>
        </w:rPr>
        <w:lastRenderedPageBreak/>
        <w:t>and continuous</w:t>
      </w:r>
      <w:r w:rsidR="00F4069A" w:rsidRPr="00AC36D6">
        <w:rPr>
          <w:rFonts w:eastAsia="Times New Roman" w:cs="Arial"/>
          <w:bCs/>
          <w:color w:val="000000"/>
          <w:kern w:val="32"/>
          <w:szCs w:val="32"/>
        </w:rPr>
        <w:t xml:space="preserve"> choice</w:t>
      </w:r>
      <w:r w:rsidR="00CA7F4D" w:rsidRPr="00AC36D6">
        <w:rPr>
          <w:rFonts w:eastAsia="Times New Roman" w:cs="Arial"/>
          <w:bCs/>
          <w:color w:val="000000"/>
          <w:kern w:val="32"/>
          <w:szCs w:val="32"/>
        </w:rPr>
        <w:t>s</w:t>
      </w:r>
      <w:r w:rsidR="00F4069A" w:rsidRPr="00AC36D6">
        <w:rPr>
          <w:rFonts w:eastAsia="Times New Roman" w:cs="Arial"/>
          <w:bCs/>
          <w:color w:val="000000"/>
          <w:kern w:val="32"/>
          <w:szCs w:val="32"/>
        </w:rPr>
        <w:t xml:space="preserve">, </w:t>
      </w:r>
      <w:r w:rsidR="00AB76B6" w:rsidRPr="00AC36D6">
        <w:rPr>
          <w:rFonts w:eastAsia="Times New Roman" w:cs="Arial"/>
          <w:bCs/>
          <w:color w:val="000000"/>
          <w:kern w:val="32"/>
          <w:szCs w:val="32"/>
        </w:rPr>
        <w:t>makes it easier than the traditional MDC choice models</w:t>
      </w:r>
      <w:r w:rsidR="00BF7B5B" w:rsidRPr="00AC36D6">
        <w:rPr>
          <w:rFonts w:eastAsia="Times New Roman" w:cs="Arial"/>
          <w:bCs/>
          <w:color w:val="000000"/>
          <w:kern w:val="32"/>
          <w:szCs w:val="32"/>
        </w:rPr>
        <w:t xml:space="preserve"> to estimate such opposite effects on </w:t>
      </w:r>
      <w:r w:rsidR="00075536" w:rsidRPr="00AC36D6">
        <w:rPr>
          <w:rFonts w:eastAsia="Times New Roman" w:cs="Arial"/>
          <w:bCs/>
          <w:color w:val="000000"/>
          <w:kern w:val="32"/>
          <w:szCs w:val="32"/>
        </w:rPr>
        <w:t>discrete and continuous choices</w:t>
      </w:r>
      <w:r w:rsidR="00BF7B5B" w:rsidRPr="00AC36D6">
        <w:rPr>
          <w:rFonts w:eastAsia="Times New Roman" w:cs="Arial"/>
          <w:bCs/>
          <w:color w:val="000000"/>
          <w:kern w:val="32"/>
          <w:szCs w:val="32"/>
        </w:rPr>
        <w:t>.</w:t>
      </w:r>
      <w:r w:rsidR="00AB76B6" w:rsidRPr="00AC36D6">
        <w:rPr>
          <w:rFonts w:eastAsia="Times New Roman" w:cs="Arial"/>
          <w:bCs/>
          <w:color w:val="000000"/>
          <w:kern w:val="32"/>
          <w:szCs w:val="32"/>
        </w:rPr>
        <w:t xml:space="preserve"> </w:t>
      </w:r>
    </w:p>
    <w:p w14:paraId="7493DA5B" w14:textId="1AE5DB23" w:rsidR="004D3390" w:rsidRPr="00F507E0" w:rsidRDefault="00F651EA" w:rsidP="004D3390">
      <w:pPr>
        <w:spacing w:after="0" w:line="360" w:lineRule="auto"/>
        <w:ind w:firstLine="720"/>
        <w:jc w:val="both"/>
        <w:rPr>
          <w:rFonts w:eastAsia="Times New Roman" w:cs="Arial"/>
          <w:bCs/>
          <w:kern w:val="32"/>
          <w:szCs w:val="32"/>
        </w:rPr>
      </w:pPr>
      <w:r w:rsidRPr="00AC36D6">
        <w:rPr>
          <w:rFonts w:eastAsia="Times New Roman" w:cs="Arial"/>
          <w:bCs/>
          <w:color w:val="000000"/>
          <w:kern w:val="32"/>
          <w:szCs w:val="32"/>
        </w:rPr>
        <w:t xml:space="preserve">The negative coefficients </w:t>
      </w:r>
      <w:r w:rsidR="00603C55" w:rsidRPr="00AC36D6">
        <w:rPr>
          <w:rFonts w:eastAsia="Times New Roman" w:cs="Arial"/>
          <w:bCs/>
          <w:color w:val="000000"/>
          <w:kern w:val="32"/>
          <w:szCs w:val="32"/>
        </w:rPr>
        <w:t xml:space="preserve">on the </w:t>
      </w:r>
      <w:r w:rsidRPr="00AC36D6">
        <w:rPr>
          <w:rFonts w:eastAsia="Times New Roman" w:cs="Arial"/>
          <w:bCs/>
          <w:color w:val="000000"/>
          <w:kern w:val="32"/>
          <w:szCs w:val="32"/>
        </w:rPr>
        <w:t xml:space="preserve">income dummy variables in the </w:t>
      </w:r>
      <w:r w:rsidRPr="00AC36D6">
        <w:rPr>
          <w:rFonts w:eastAsia="Times New Roman" w:cs="Arial"/>
          <w:bCs/>
          <w:i/>
          <w:iCs/>
          <w:color w:val="000000"/>
          <w:kern w:val="32"/>
          <w:szCs w:val="32"/>
        </w:rPr>
        <w:t>C-</w:t>
      </w:r>
      <w:r w:rsidRPr="00AC36D6">
        <w:rPr>
          <w:rFonts w:eastAsia="Times New Roman" w:cs="Arial"/>
          <w:bCs/>
          <w:color w:val="000000"/>
          <w:kern w:val="32"/>
          <w:szCs w:val="32"/>
        </w:rPr>
        <w:t>preference</w:t>
      </w:r>
      <w:r w:rsidR="00603C55" w:rsidRPr="00AC36D6">
        <w:rPr>
          <w:rFonts w:eastAsia="Times New Roman" w:cs="Arial"/>
          <w:bCs/>
          <w:color w:val="000000"/>
          <w:kern w:val="32"/>
          <w:szCs w:val="32"/>
        </w:rPr>
        <w:t xml:space="preserve"> specification</w:t>
      </w:r>
      <w:r w:rsidRPr="00AC36D6">
        <w:rPr>
          <w:rFonts w:eastAsia="Times New Roman" w:cs="Arial"/>
          <w:bCs/>
          <w:color w:val="000000"/>
          <w:kern w:val="32"/>
          <w:szCs w:val="32"/>
        </w:rPr>
        <w:t xml:space="preserve"> suggest that low- and medium-income households</w:t>
      </w:r>
      <w:r w:rsidRPr="00AC36D6" w:rsidDel="004D3390">
        <w:rPr>
          <w:rFonts w:eastAsia="Times New Roman" w:cs="Arial"/>
          <w:bCs/>
          <w:color w:val="000000"/>
          <w:kern w:val="32"/>
          <w:szCs w:val="32"/>
        </w:rPr>
        <w:t xml:space="preserve"> </w:t>
      </w:r>
      <w:r w:rsidR="00F7681F" w:rsidRPr="00AC36D6">
        <w:rPr>
          <w:rFonts w:eastAsia="Times New Roman" w:cs="Arial"/>
          <w:bCs/>
          <w:color w:val="000000"/>
          <w:kern w:val="32"/>
          <w:szCs w:val="32"/>
        </w:rPr>
        <w:t xml:space="preserve">tend to </w:t>
      </w:r>
      <w:r w:rsidR="004D3390" w:rsidRPr="00AC36D6">
        <w:rPr>
          <w:rFonts w:eastAsia="Times New Roman" w:cs="Arial"/>
          <w:bCs/>
          <w:color w:val="000000"/>
          <w:kern w:val="32"/>
          <w:szCs w:val="32"/>
        </w:rPr>
        <w:t xml:space="preserve">spend </w:t>
      </w:r>
      <w:r w:rsidR="00CE3443" w:rsidRPr="00AC36D6">
        <w:rPr>
          <w:rFonts w:eastAsia="Times New Roman" w:cs="Arial"/>
          <w:bCs/>
          <w:color w:val="000000"/>
          <w:kern w:val="32"/>
          <w:szCs w:val="32"/>
        </w:rPr>
        <w:t>less than high-income households</w:t>
      </w:r>
      <w:r w:rsidR="00922CDD" w:rsidRPr="00AC36D6">
        <w:rPr>
          <w:rFonts w:eastAsia="Times New Roman" w:cs="Arial"/>
          <w:bCs/>
          <w:color w:val="000000"/>
          <w:kern w:val="32"/>
          <w:szCs w:val="32"/>
        </w:rPr>
        <w:t xml:space="preserve"> on their </w:t>
      </w:r>
      <w:r w:rsidR="00AB4573" w:rsidRPr="00F507E0">
        <w:rPr>
          <w:rFonts w:eastAsia="Times New Roman" w:cs="Arial"/>
          <w:bCs/>
          <w:kern w:val="32"/>
          <w:szCs w:val="32"/>
        </w:rPr>
        <w:t>recreational and leisure trips</w:t>
      </w:r>
      <w:r w:rsidR="004D3390" w:rsidRPr="00F507E0">
        <w:rPr>
          <w:rFonts w:eastAsia="Times New Roman" w:cs="Arial"/>
          <w:bCs/>
          <w:kern w:val="32"/>
          <w:szCs w:val="32"/>
        </w:rPr>
        <w:t>. Th</w:t>
      </w:r>
      <w:r w:rsidR="00D869B7" w:rsidRPr="00F507E0">
        <w:rPr>
          <w:rFonts w:eastAsia="Times New Roman" w:cs="Arial"/>
          <w:bCs/>
          <w:kern w:val="32"/>
          <w:szCs w:val="32"/>
        </w:rPr>
        <w:t>is</w:t>
      </w:r>
      <w:r w:rsidR="004D3390" w:rsidRPr="00F507E0">
        <w:rPr>
          <w:rFonts w:eastAsia="Times New Roman" w:cs="Arial"/>
          <w:bCs/>
          <w:kern w:val="32"/>
          <w:szCs w:val="32"/>
        </w:rPr>
        <w:t xml:space="preserve"> </w:t>
      </w:r>
      <w:r w:rsidR="00AB064B" w:rsidRPr="00F507E0">
        <w:rPr>
          <w:rFonts w:eastAsia="Times New Roman" w:cs="Arial"/>
          <w:bCs/>
          <w:kern w:val="32"/>
          <w:szCs w:val="32"/>
        </w:rPr>
        <w:t>is presumably</w:t>
      </w:r>
      <w:r w:rsidR="00436B99" w:rsidRPr="00F507E0">
        <w:rPr>
          <w:rFonts w:eastAsia="Times New Roman" w:cs="Arial"/>
          <w:bCs/>
          <w:kern w:val="32"/>
          <w:szCs w:val="32"/>
        </w:rPr>
        <w:t xml:space="preserve"> because</w:t>
      </w:r>
      <w:r w:rsidR="004D3390" w:rsidRPr="00F507E0">
        <w:rPr>
          <w:rFonts w:eastAsia="Times New Roman" w:cs="Arial"/>
          <w:bCs/>
          <w:kern w:val="32"/>
          <w:szCs w:val="32"/>
        </w:rPr>
        <w:t xml:space="preserve"> </w:t>
      </w:r>
      <w:r w:rsidR="00AB4573" w:rsidRPr="00F507E0">
        <w:rPr>
          <w:rFonts w:eastAsia="Times New Roman" w:cs="Arial"/>
          <w:bCs/>
          <w:kern w:val="32"/>
          <w:szCs w:val="32"/>
        </w:rPr>
        <w:t xml:space="preserve">high-income </w:t>
      </w:r>
      <w:r w:rsidR="004D3390" w:rsidRPr="00F507E0">
        <w:rPr>
          <w:rFonts w:eastAsia="Times New Roman" w:cs="Arial"/>
          <w:bCs/>
          <w:kern w:val="32"/>
          <w:szCs w:val="32"/>
        </w:rPr>
        <w:t xml:space="preserve">households tend to possess </w:t>
      </w:r>
      <w:r w:rsidR="00D869B7" w:rsidRPr="00F507E0">
        <w:rPr>
          <w:rFonts w:eastAsia="Times New Roman" w:cs="Arial"/>
          <w:bCs/>
          <w:kern w:val="32"/>
          <w:szCs w:val="32"/>
        </w:rPr>
        <w:t xml:space="preserve">a </w:t>
      </w:r>
      <w:r w:rsidR="004D3390" w:rsidRPr="00F507E0">
        <w:rPr>
          <w:rFonts w:eastAsia="Times New Roman" w:cs="Arial"/>
          <w:bCs/>
          <w:kern w:val="32"/>
          <w:szCs w:val="32"/>
        </w:rPr>
        <w:t>greater spending capabilit</w:t>
      </w:r>
      <w:r w:rsidR="00AB4573" w:rsidRPr="00F507E0">
        <w:rPr>
          <w:rFonts w:eastAsia="Times New Roman" w:cs="Arial"/>
          <w:bCs/>
          <w:kern w:val="32"/>
          <w:szCs w:val="32"/>
        </w:rPr>
        <w:t>y</w:t>
      </w:r>
      <w:r w:rsidR="004D3390" w:rsidRPr="00F507E0">
        <w:rPr>
          <w:rFonts w:eastAsia="Times New Roman" w:cs="Arial"/>
          <w:bCs/>
          <w:kern w:val="32"/>
          <w:szCs w:val="32"/>
        </w:rPr>
        <w:t xml:space="preserve"> owing to a larger disposable income</w:t>
      </w:r>
      <w:r w:rsidR="00D869B7" w:rsidRPr="00F507E0">
        <w:rPr>
          <w:rFonts w:eastAsia="Times New Roman" w:cs="Arial"/>
          <w:bCs/>
          <w:kern w:val="32"/>
          <w:szCs w:val="32"/>
        </w:rPr>
        <w:t xml:space="preserve"> than lower-income households</w:t>
      </w:r>
      <w:r w:rsidR="004D3390" w:rsidRPr="00F507E0">
        <w:rPr>
          <w:rFonts w:eastAsia="Times New Roman" w:cs="Arial"/>
          <w:bCs/>
          <w:kern w:val="32"/>
          <w:szCs w:val="32"/>
        </w:rPr>
        <w:t>.</w:t>
      </w:r>
      <w:r w:rsidR="007577B8" w:rsidRPr="00F507E0">
        <w:rPr>
          <w:rFonts w:eastAsia="Times New Roman" w:cs="Arial"/>
          <w:bCs/>
          <w:kern w:val="32"/>
          <w:szCs w:val="32"/>
        </w:rPr>
        <w:t xml:space="preserve"> These findings are consistent </w:t>
      </w:r>
      <w:r w:rsidR="00B12893" w:rsidRPr="00F507E0">
        <w:rPr>
          <w:rFonts w:eastAsia="Times New Roman" w:cs="Arial"/>
          <w:bCs/>
          <w:kern w:val="32"/>
          <w:szCs w:val="32"/>
        </w:rPr>
        <w:t xml:space="preserve">with the findings </w:t>
      </w:r>
      <w:r w:rsidR="007577B8" w:rsidRPr="00F507E0">
        <w:rPr>
          <w:rFonts w:eastAsia="Times New Roman" w:cs="Arial"/>
          <w:bCs/>
          <w:kern w:val="32"/>
          <w:szCs w:val="32"/>
        </w:rPr>
        <w:t xml:space="preserve">from other </w:t>
      </w:r>
      <w:r w:rsidR="00B12893" w:rsidRPr="00F507E0">
        <w:rPr>
          <w:rFonts w:eastAsia="Times New Roman" w:cs="Arial"/>
          <w:bCs/>
          <w:kern w:val="32"/>
          <w:szCs w:val="32"/>
        </w:rPr>
        <w:t>countries</w:t>
      </w:r>
      <w:r w:rsidR="007577B8" w:rsidRPr="00F507E0">
        <w:rPr>
          <w:rFonts w:eastAsia="Times New Roman" w:cs="Arial"/>
          <w:bCs/>
          <w:kern w:val="32"/>
          <w:szCs w:val="32"/>
        </w:rPr>
        <w:t xml:space="preserve">. For instance, a study by Asgary et al. (1997) revealed that </w:t>
      </w:r>
      <w:r w:rsidR="00A90434" w:rsidRPr="00F507E0">
        <w:rPr>
          <w:rFonts w:eastAsia="Times New Roman" w:cs="Arial"/>
          <w:bCs/>
          <w:kern w:val="32"/>
          <w:szCs w:val="32"/>
        </w:rPr>
        <w:t xml:space="preserve">high </w:t>
      </w:r>
      <w:r w:rsidR="007577B8" w:rsidRPr="00F507E0">
        <w:rPr>
          <w:rFonts w:eastAsia="Times New Roman" w:cs="Arial"/>
          <w:bCs/>
          <w:kern w:val="32"/>
          <w:szCs w:val="32"/>
        </w:rPr>
        <w:t>income</w:t>
      </w:r>
      <w:r w:rsidR="00A90434" w:rsidRPr="00F507E0">
        <w:rPr>
          <w:rFonts w:eastAsia="Times New Roman" w:cs="Arial"/>
          <w:bCs/>
          <w:kern w:val="32"/>
          <w:szCs w:val="32"/>
        </w:rPr>
        <w:t>s</w:t>
      </w:r>
      <w:r w:rsidR="007577B8" w:rsidRPr="00F507E0">
        <w:rPr>
          <w:rFonts w:eastAsia="Times New Roman" w:cs="Arial"/>
          <w:bCs/>
          <w:kern w:val="32"/>
          <w:szCs w:val="32"/>
        </w:rPr>
        <w:t xml:space="preserve"> in Mexican travelers boosted their tourism expenditures. In a similar study</w:t>
      </w:r>
      <w:r w:rsidR="00A90434" w:rsidRPr="00F507E0">
        <w:rPr>
          <w:rFonts w:eastAsia="Times New Roman" w:cs="Arial"/>
          <w:bCs/>
          <w:kern w:val="32"/>
          <w:szCs w:val="32"/>
        </w:rPr>
        <w:t xml:space="preserve"> in Spain</w:t>
      </w:r>
      <w:r w:rsidR="007577B8" w:rsidRPr="00F507E0">
        <w:rPr>
          <w:rFonts w:eastAsia="Times New Roman" w:cs="Arial"/>
          <w:bCs/>
          <w:kern w:val="32"/>
          <w:szCs w:val="32"/>
        </w:rPr>
        <w:t xml:space="preserve">, Nicolau and Mas (2005) reported that higher income </w:t>
      </w:r>
      <w:r w:rsidR="003C568F" w:rsidRPr="00F507E0">
        <w:rPr>
          <w:rFonts w:eastAsia="Times New Roman" w:cs="Arial"/>
          <w:bCs/>
          <w:kern w:val="32"/>
          <w:szCs w:val="32"/>
        </w:rPr>
        <w:t>were associated with</w:t>
      </w:r>
      <w:r w:rsidR="007577B8" w:rsidRPr="00F507E0">
        <w:rPr>
          <w:rFonts w:eastAsia="Times New Roman" w:cs="Arial"/>
          <w:bCs/>
          <w:kern w:val="32"/>
          <w:szCs w:val="32"/>
        </w:rPr>
        <w:t xml:space="preserve"> </w:t>
      </w:r>
      <w:r w:rsidR="001D3639" w:rsidRPr="00F507E0">
        <w:rPr>
          <w:rFonts w:eastAsia="Times New Roman" w:cs="Arial"/>
          <w:bCs/>
          <w:kern w:val="32"/>
          <w:szCs w:val="32"/>
        </w:rPr>
        <w:t xml:space="preserve">greater </w:t>
      </w:r>
      <w:r w:rsidR="007577B8" w:rsidRPr="00F507E0">
        <w:rPr>
          <w:rFonts w:eastAsia="Times New Roman" w:cs="Arial"/>
          <w:bCs/>
          <w:kern w:val="32"/>
          <w:szCs w:val="32"/>
        </w:rPr>
        <w:t>tourism expenditure</w:t>
      </w:r>
      <w:r w:rsidR="00A90434" w:rsidRPr="00F507E0">
        <w:rPr>
          <w:rFonts w:eastAsia="Times New Roman" w:cs="Arial"/>
          <w:bCs/>
          <w:kern w:val="32"/>
          <w:szCs w:val="32"/>
        </w:rPr>
        <w:t>s</w:t>
      </w:r>
      <w:r w:rsidR="007577B8" w:rsidRPr="00F507E0">
        <w:rPr>
          <w:rFonts w:eastAsia="Times New Roman" w:cs="Arial"/>
          <w:bCs/>
          <w:kern w:val="32"/>
          <w:szCs w:val="32"/>
        </w:rPr>
        <w:t>.</w:t>
      </w:r>
    </w:p>
    <w:p w14:paraId="0262B8D7" w14:textId="5CA1BE41" w:rsidR="00840D8E" w:rsidRPr="00AC36D6" w:rsidRDefault="00A7341E" w:rsidP="00A7341E">
      <w:pPr>
        <w:spacing w:after="0" w:line="360" w:lineRule="auto"/>
        <w:jc w:val="both"/>
        <w:rPr>
          <w:rFonts w:eastAsia="Times New Roman" w:cs="Arial"/>
          <w:bCs/>
          <w:color w:val="000000"/>
          <w:kern w:val="32"/>
          <w:szCs w:val="32"/>
        </w:rPr>
      </w:pPr>
      <w:r w:rsidRPr="00AC36D6">
        <w:tab/>
        <w:t xml:space="preserve">Next, </w:t>
      </w:r>
      <w:r w:rsidRPr="00AC36D6">
        <w:rPr>
          <w:rFonts w:eastAsia="Times New Roman" w:cs="Arial"/>
          <w:bCs/>
          <w:color w:val="000000"/>
          <w:kern w:val="32"/>
          <w:szCs w:val="32"/>
        </w:rPr>
        <w:t xml:space="preserve">recall </w:t>
      </w:r>
      <w:r w:rsidR="009E2C32" w:rsidRPr="00AC36D6">
        <w:rPr>
          <w:rFonts w:eastAsia="Times New Roman" w:cs="Arial"/>
          <w:bCs/>
          <w:color w:val="000000"/>
          <w:kern w:val="32"/>
          <w:szCs w:val="32"/>
        </w:rPr>
        <w:t xml:space="preserve">from the discussion on </w:t>
      </w:r>
      <w:r w:rsidR="009E2C32" w:rsidRPr="00AC36D6">
        <w:rPr>
          <w:rFonts w:eastAsia="Times New Roman" w:cs="Arial"/>
          <w:bCs/>
          <w:i/>
          <w:iCs/>
          <w:color w:val="000000"/>
          <w:kern w:val="32"/>
          <w:szCs w:val="32"/>
        </w:rPr>
        <w:t>D-</w:t>
      </w:r>
      <w:r w:rsidR="009E2C32" w:rsidRPr="00AC36D6">
        <w:rPr>
          <w:rFonts w:eastAsia="Times New Roman" w:cs="Arial"/>
          <w:bCs/>
          <w:color w:val="000000"/>
          <w:kern w:val="32"/>
          <w:szCs w:val="32"/>
        </w:rPr>
        <w:t>preference</w:t>
      </w:r>
      <w:r w:rsidR="00CE51CA" w:rsidRPr="00AC36D6">
        <w:rPr>
          <w:rFonts w:eastAsia="Times New Roman" w:cs="Arial"/>
          <w:bCs/>
          <w:color w:val="000000"/>
          <w:kern w:val="32"/>
          <w:szCs w:val="32"/>
        </w:rPr>
        <w:t>s</w:t>
      </w:r>
      <w:r w:rsidR="009E2C32" w:rsidRPr="00AC36D6">
        <w:rPr>
          <w:rFonts w:eastAsia="Times New Roman" w:cs="Arial"/>
          <w:bCs/>
          <w:color w:val="000000"/>
          <w:kern w:val="32"/>
          <w:szCs w:val="32"/>
        </w:rPr>
        <w:t xml:space="preserve"> </w:t>
      </w:r>
      <w:r w:rsidRPr="00AC36D6">
        <w:rPr>
          <w:rFonts w:eastAsia="Times New Roman" w:cs="Arial"/>
          <w:bCs/>
          <w:color w:val="000000"/>
          <w:kern w:val="32"/>
          <w:szCs w:val="32"/>
        </w:rPr>
        <w:t>that</w:t>
      </w:r>
      <w:r w:rsidR="00A51775" w:rsidRPr="00AC36D6">
        <w:rPr>
          <w:rFonts w:eastAsia="Times New Roman" w:cs="Arial"/>
          <w:bCs/>
          <w:color w:val="000000"/>
          <w:kern w:val="32"/>
          <w:szCs w:val="32"/>
        </w:rPr>
        <w:t xml:space="preserve"> the </w:t>
      </w:r>
      <w:r w:rsidRPr="00AC36D6">
        <w:rPr>
          <w:rFonts w:eastAsia="Times New Roman" w:cs="Arial"/>
          <w:bCs/>
          <w:color w:val="000000"/>
          <w:kern w:val="32"/>
          <w:szCs w:val="32"/>
        </w:rPr>
        <w:t xml:space="preserve">travel </w:t>
      </w:r>
      <w:r w:rsidR="00A51775" w:rsidRPr="00AC36D6">
        <w:rPr>
          <w:rFonts w:eastAsia="Times New Roman" w:cs="Arial"/>
          <w:bCs/>
          <w:color w:val="000000"/>
          <w:kern w:val="32"/>
          <w:szCs w:val="32"/>
        </w:rPr>
        <w:t xml:space="preserve">group size </w:t>
      </w:r>
      <w:r w:rsidR="001C419D" w:rsidRPr="00AC36D6">
        <w:rPr>
          <w:rFonts w:eastAsia="Times New Roman" w:cs="Arial"/>
          <w:bCs/>
          <w:color w:val="000000"/>
          <w:kern w:val="32"/>
          <w:szCs w:val="32"/>
        </w:rPr>
        <w:t xml:space="preserve">variable </w:t>
      </w:r>
      <w:r w:rsidR="009B4CA4" w:rsidRPr="00AC36D6">
        <w:rPr>
          <w:rFonts w:eastAsia="Times New Roman" w:cs="Arial"/>
          <w:bCs/>
          <w:color w:val="000000"/>
          <w:kern w:val="32"/>
          <w:szCs w:val="32"/>
        </w:rPr>
        <w:t xml:space="preserve">was found to be negatively associated with the likelihood of spending in the accommodation category. </w:t>
      </w:r>
      <w:r w:rsidR="009E2C32" w:rsidRPr="00AC36D6">
        <w:rPr>
          <w:rFonts w:eastAsia="Times New Roman" w:cs="Arial"/>
          <w:bCs/>
          <w:color w:val="000000"/>
          <w:kern w:val="32"/>
          <w:szCs w:val="32"/>
        </w:rPr>
        <w:t xml:space="preserve">In the context of </w:t>
      </w:r>
      <w:r w:rsidR="009E2C32" w:rsidRPr="00AC36D6">
        <w:rPr>
          <w:rFonts w:eastAsia="Times New Roman" w:cs="Arial"/>
          <w:bCs/>
          <w:i/>
          <w:iCs/>
          <w:color w:val="000000"/>
          <w:kern w:val="32"/>
          <w:szCs w:val="32"/>
        </w:rPr>
        <w:t>C-</w:t>
      </w:r>
      <w:r w:rsidR="009C7BC6" w:rsidRPr="00AC36D6">
        <w:rPr>
          <w:rFonts w:eastAsia="Times New Roman" w:cs="Arial"/>
          <w:bCs/>
          <w:color w:val="000000"/>
          <w:kern w:val="32"/>
          <w:szCs w:val="32"/>
        </w:rPr>
        <w:t>preferences</w:t>
      </w:r>
      <w:r w:rsidR="009E2C32" w:rsidRPr="00AC36D6">
        <w:rPr>
          <w:rFonts w:eastAsia="Times New Roman" w:cs="Arial"/>
          <w:bCs/>
          <w:color w:val="000000"/>
          <w:kern w:val="32"/>
          <w:szCs w:val="32"/>
        </w:rPr>
        <w:t xml:space="preserve">, </w:t>
      </w:r>
      <w:r w:rsidR="00C56EF2" w:rsidRPr="00AC36D6">
        <w:rPr>
          <w:rFonts w:eastAsia="Times New Roman" w:cs="Arial"/>
          <w:bCs/>
          <w:color w:val="000000"/>
          <w:kern w:val="32"/>
          <w:szCs w:val="32"/>
        </w:rPr>
        <w:t xml:space="preserve">however, </w:t>
      </w:r>
      <w:r w:rsidR="009E2C32" w:rsidRPr="00AC36D6">
        <w:rPr>
          <w:rFonts w:eastAsia="Times New Roman" w:cs="Arial"/>
          <w:bCs/>
          <w:color w:val="000000"/>
          <w:kern w:val="32"/>
          <w:szCs w:val="32"/>
        </w:rPr>
        <w:t>t</w:t>
      </w:r>
      <w:r w:rsidR="009B4CA4" w:rsidRPr="00AC36D6">
        <w:rPr>
          <w:rFonts w:eastAsia="Times New Roman" w:cs="Arial"/>
          <w:bCs/>
          <w:color w:val="000000"/>
          <w:kern w:val="32"/>
          <w:szCs w:val="32"/>
        </w:rPr>
        <w:t xml:space="preserve">his variable </w:t>
      </w:r>
      <w:r w:rsidR="009E2C32" w:rsidRPr="00AC36D6">
        <w:rPr>
          <w:rFonts w:eastAsia="Times New Roman" w:cs="Arial"/>
          <w:bCs/>
          <w:color w:val="000000"/>
          <w:kern w:val="32"/>
          <w:szCs w:val="32"/>
        </w:rPr>
        <w:t>has a positive coefficient in the</w:t>
      </w:r>
      <w:r w:rsidR="00A51775" w:rsidRPr="00AC36D6">
        <w:rPr>
          <w:rFonts w:eastAsia="Times New Roman" w:cs="Arial"/>
          <w:bCs/>
          <w:color w:val="000000"/>
          <w:kern w:val="32"/>
          <w:szCs w:val="32"/>
        </w:rPr>
        <w:t xml:space="preserve"> shopping and recreation</w:t>
      </w:r>
      <w:r w:rsidR="00C14555" w:rsidRPr="00AC36D6">
        <w:rPr>
          <w:rFonts w:eastAsia="Times New Roman" w:cs="Arial"/>
          <w:bCs/>
          <w:color w:val="000000"/>
          <w:kern w:val="32"/>
          <w:szCs w:val="32"/>
        </w:rPr>
        <w:t xml:space="preserve"> categories. Further, </w:t>
      </w:r>
      <w:r w:rsidR="00B43676" w:rsidRPr="00AC36D6">
        <w:rPr>
          <w:rFonts w:eastAsia="Times New Roman" w:cs="Arial"/>
          <w:bCs/>
          <w:color w:val="000000"/>
          <w:kern w:val="32"/>
          <w:szCs w:val="32"/>
        </w:rPr>
        <w:t xml:space="preserve">this variable has a positive </w:t>
      </w:r>
      <w:r w:rsidR="003642BB" w:rsidRPr="00AC36D6">
        <w:rPr>
          <w:rFonts w:eastAsia="Times New Roman" w:cs="Arial"/>
          <w:bCs/>
          <w:color w:val="000000"/>
          <w:kern w:val="32"/>
          <w:szCs w:val="32"/>
        </w:rPr>
        <w:t>coefficient</w:t>
      </w:r>
      <w:r w:rsidR="00B43676" w:rsidRPr="00AC36D6">
        <w:rPr>
          <w:rFonts w:eastAsia="Times New Roman" w:cs="Arial"/>
          <w:bCs/>
          <w:color w:val="000000"/>
          <w:kern w:val="32"/>
          <w:szCs w:val="32"/>
        </w:rPr>
        <w:t xml:space="preserve"> in the satiation function for </w:t>
      </w:r>
      <w:r w:rsidR="0029728D" w:rsidRPr="00AC36D6">
        <w:rPr>
          <w:rFonts w:eastAsia="Times New Roman" w:cs="Arial"/>
          <w:bCs/>
          <w:color w:val="000000"/>
          <w:kern w:val="32"/>
          <w:szCs w:val="32"/>
        </w:rPr>
        <w:t xml:space="preserve">accommodation and food &amp; beverage categories. These results suggest that larger travel groups are likely to spend more </w:t>
      </w:r>
      <w:r w:rsidR="000008BE" w:rsidRPr="00AC36D6">
        <w:rPr>
          <w:rFonts w:eastAsia="Times New Roman" w:cs="Arial"/>
          <w:bCs/>
          <w:color w:val="000000"/>
          <w:kern w:val="32"/>
          <w:szCs w:val="32"/>
        </w:rPr>
        <w:t>o</w:t>
      </w:r>
      <w:r w:rsidR="004632AD" w:rsidRPr="00AC36D6">
        <w:rPr>
          <w:rFonts w:eastAsia="Times New Roman" w:cs="Arial"/>
          <w:bCs/>
          <w:color w:val="000000"/>
          <w:kern w:val="32"/>
          <w:szCs w:val="32"/>
        </w:rPr>
        <w:t>n</w:t>
      </w:r>
      <w:r w:rsidR="0029728D" w:rsidRPr="00AC36D6">
        <w:rPr>
          <w:rFonts w:eastAsia="Times New Roman" w:cs="Arial"/>
          <w:bCs/>
          <w:color w:val="000000"/>
          <w:kern w:val="32"/>
          <w:szCs w:val="32"/>
        </w:rPr>
        <w:t xml:space="preserve"> accommodation, food &amp; beverages, </w:t>
      </w:r>
      <w:r w:rsidR="004632AD" w:rsidRPr="00AC36D6">
        <w:rPr>
          <w:rFonts w:eastAsia="Times New Roman" w:cs="Arial"/>
          <w:bCs/>
          <w:color w:val="000000"/>
          <w:kern w:val="32"/>
          <w:szCs w:val="32"/>
        </w:rPr>
        <w:t xml:space="preserve">shopping, and recreation categories – if they </w:t>
      </w:r>
      <w:r w:rsidR="009C7BC6" w:rsidRPr="00AC36D6">
        <w:rPr>
          <w:rFonts w:eastAsia="Times New Roman" w:cs="Arial"/>
          <w:bCs/>
          <w:color w:val="000000"/>
          <w:kern w:val="32"/>
          <w:szCs w:val="32"/>
        </w:rPr>
        <w:t xml:space="preserve">choose to </w:t>
      </w:r>
      <w:r w:rsidR="004632AD" w:rsidRPr="00AC36D6">
        <w:rPr>
          <w:rFonts w:eastAsia="Times New Roman" w:cs="Arial"/>
          <w:bCs/>
          <w:color w:val="000000"/>
          <w:kern w:val="32"/>
          <w:szCs w:val="32"/>
        </w:rPr>
        <w:t xml:space="preserve">spend </w:t>
      </w:r>
      <w:r w:rsidR="00641FE4" w:rsidRPr="00AC36D6">
        <w:rPr>
          <w:rFonts w:eastAsia="Times New Roman" w:cs="Arial"/>
          <w:bCs/>
          <w:color w:val="000000"/>
          <w:kern w:val="32"/>
          <w:szCs w:val="32"/>
        </w:rPr>
        <w:t>i</w:t>
      </w:r>
      <w:r w:rsidR="004632AD" w:rsidRPr="00AC36D6">
        <w:rPr>
          <w:rFonts w:eastAsia="Times New Roman" w:cs="Arial"/>
          <w:bCs/>
          <w:color w:val="000000"/>
          <w:kern w:val="32"/>
          <w:szCs w:val="32"/>
        </w:rPr>
        <w:t>n those categories.</w:t>
      </w:r>
      <w:r w:rsidR="00134422" w:rsidRPr="00AC36D6">
        <w:rPr>
          <w:rFonts w:eastAsia="Times New Roman" w:cs="Arial"/>
          <w:bCs/>
          <w:color w:val="000000"/>
          <w:kern w:val="32"/>
          <w:szCs w:val="32"/>
        </w:rPr>
        <w:t xml:space="preserve"> </w:t>
      </w:r>
    </w:p>
    <w:p w14:paraId="32A88637" w14:textId="11C49A36" w:rsidR="00A91997" w:rsidRPr="00AC36D6" w:rsidRDefault="00840D8E" w:rsidP="007D5FDE">
      <w:pPr>
        <w:spacing w:after="0" w:line="360" w:lineRule="auto"/>
        <w:ind w:firstLine="720"/>
        <w:jc w:val="both"/>
        <w:rPr>
          <w:rFonts w:eastAsia="Times New Roman" w:cs="Arial"/>
          <w:bCs/>
          <w:color w:val="000000"/>
          <w:kern w:val="32"/>
          <w:szCs w:val="32"/>
        </w:rPr>
      </w:pPr>
      <w:r w:rsidRPr="00AC36D6">
        <w:rPr>
          <w:rFonts w:eastAsia="Times New Roman" w:cs="Arial"/>
          <w:bCs/>
          <w:color w:val="000000"/>
          <w:kern w:val="32"/>
          <w:szCs w:val="32"/>
        </w:rPr>
        <w:t>Variables describing t</w:t>
      </w:r>
      <w:r w:rsidR="00134422" w:rsidRPr="00AC36D6">
        <w:rPr>
          <w:rFonts w:eastAsia="Times New Roman" w:cs="Arial"/>
          <w:bCs/>
          <w:color w:val="000000"/>
          <w:kern w:val="32"/>
          <w:szCs w:val="32"/>
        </w:rPr>
        <w:t xml:space="preserve">he composition of the travel group </w:t>
      </w:r>
      <w:r w:rsidR="00F37E00" w:rsidRPr="00AC36D6">
        <w:rPr>
          <w:rFonts w:eastAsia="Times New Roman" w:cs="Arial"/>
          <w:bCs/>
          <w:color w:val="000000"/>
          <w:kern w:val="32"/>
          <w:szCs w:val="32"/>
        </w:rPr>
        <w:t xml:space="preserve">(such as the proportion of </w:t>
      </w:r>
      <w:r w:rsidR="003223D8" w:rsidRPr="00AC36D6">
        <w:rPr>
          <w:rFonts w:eastAsia="Times New Roman" w:cs="Arial"/>
          <w:bCs/>
          <w:color w:val="000000"/>
          <w:kern w:val="32"/>
          <w:szCs w:val="32"/>
        </w:rPr>
        <w:t>women</w:t>
      </w:r>
      <w:r w:rsidR="00F37E00" w:rsidRPr="00AC36D6">
        <w:rPr>
          <w:rFonts w:eastAsia="Times New Roman" w:cs="Arial"/>
          <w:bCs/>
          <w:color w:val="000000"/>
          <w:kern w:val="32"/>
          <w:szCs w:val="32"/>
        </w:rPr>
        <w:t xml:space="preserve"> and the proportion of elderly) d</w:t>
      </w:r>
      <w:r w:rsidR="006D70C2" w:rsidRPr="00AC36D6">
        <w:rPr>
          <w:rFonts w:eastAsia="Times New Roman" w:cs="Arial"/>
          <w:bCs/>
          <w:color w:val="000000"/>
          <w:kern w:val="32"/>
          <w:szCs w:val="32"/>
        </w:rPr>
        <w:t xml:space="preserve">o not show statistically significant effects in </w:t>
      </w:r>
      <w:r w:rsidRPr="00AC36D6">
        <w:rPr>
          <w:rFonts w:eastAsia="Times New Roman" w:cs="Arial"/>
          <w:bCs/>
          <w:i/>
          <w:iCs/>
          <w:color w:val="000000"/>
          <w:kern w:val="32"/>
          <w:szCs w:val="32"/>
        </w:rPr>
        <w:t>C-</w:t>
      </w:r>
      <w:r w:rsidRPr="00AC36D6">
        <w:rPr>
          <w:rFonts w:eastAsia="Times New Roman" w:cs="Arial"/>
          <w:bCs/>
          <w:color w:val="000000"/>
          <w:kern w:val="32"/>
          <w:szCs w:val="32"/>
        </w:rPr>
        <w:t>preferences. However, a larger proportion of women in the travel group is associated with a positive effect on the satiation function for the accommodation category. This result implies that travel groups with more women are</w:t>
      </w:r>
      <w:r w:rsidR="00A33D74" w:rsidRPr="00AC36D6">
        <w:rPr>
          <w:rFonts w:eastAsia="Times New Roman" w:cs="Arial"/>
          <w:bCs/>
          <w:color w:val="000000"/>
          <w:kern w:val="32"/>
          <w:szCs w:val="32"/>
        </w:rPr>
        <w:t xml:space="preserve"> likely to spend more on accommodation than those with </w:t>
      </w:r>
      <w:r w:rsidR="004C7D60" w:rsidRPr="00AC36D6">
        <w:rPr>
          <w:rFonts w:eastAsia="Times New Roman" w:cs="Arial"/>
          <w:bCs/>
          <w:color w:val="000000"/>
          <w:kern w:val="32"/>
          <w:szCs w:val="32"/>
        </w:rPr>
        <w:t>fewer</w:t>
      </w:r>
      <w:r w:rsidR="00A33D74" w:rsidRPr="00AC36D6">
        <w:rPr>
          <w:rFonts w:eastAsia="Times New Roman" w:cs="Arial"/>
          <w:bCs/>
          <w:color w:val="000000"/>
          <w:kern w:val="32"/>
          <w:szCs w:val="32"/>
        </w:rPr>
        <w:t xml:space="preserve"> women.</w:t>
      </w:r>
      <w:r w:rsidR="00263D7B" w:rsidRPr="00AC36D6">
        <w:rPr>
          <w:rFonts w:eastAsia="Times New Roman" w:cs="Arial"/>
          <w:bCs/>
          <w:color w:val="000000"/>
          <w:kern w:val="32"/>
          <w:szCs w:val="32"/>
        </w:rPr>
        <w:t xml:space="preserve"> </w:t>
      </w:r>
      <w:r w:rsidR="003565EC" w:rsidRPr="00AC36D6">
        <w:rPr>
          <w:rFonts w:eastAsia="Times New Roman" w:cs="Arial"/>
          <w:bCs/>
          <w:color w:val="000000"/>
          <w:kern w:val="32"/>
          <w:szCs w:val="32"/>
        </w:rPr>
        <w:t xml:space="preserve">This again </w:t>
      </w:r>
      <w:r w:rsidR="0004279F" w:rsidRPr="00AC36D6">
        <w:rPr>
          <w:rFonts w:eastAsia="Times New Roman" w:cs="Arial"/>
          <w:bCs/>
          <w:color w:val="000000"/>
          <w:kern w:val="32"/>
          <w:szCs w:val="32"/>
        </w:rPr>
        <w:t xml:space="preserve">supports </w:t>
      </w:r>
      <w:r w:rsidR="003565EC" w:rsidRPr="00AC36D6">
        <w:rPr>
          <w:rFonts w:eastAsia="Times New Roman" w:cs="Arial"/>
          <w:bCs/>
          <w:color w:val="000000"/>
          <w:kern w:val="32"/>
          <w:szCs w:val="32"/>
        </w:rPr>
        <w:t xml:space="preserve">our conjecture that travel groups with more </w:t>
      </w:r>
      <w:r w:rsidR="0004279F" w:rsidRPr="00AC36D6">
        <w:rPr>
          <w:rFonts w:eastAsia="Times New Roman" w:cs="Arial"/>
          <w:bCs/>
          <w:color w:val="000000"/>
          <w:kern w:val="32"/>
          <w:szCs w:val="32"/>
        </w:rPr>
        <w:t xml:space="preserve">women tend to </w:t>
      </w:r>
      <w:r w:rsidR="003565EC" w:rsidRPr="00AC36D6">
        <w:rPr>
          <w:rFonts w:eastAsia="Times New Roman" w:cs="Arial"/>
          <w:bCs/>
          <w:color w:val="000000"/>
          <w:kern w:val="32"/>
          <w:szCs w:val="32"/>
        </w:rPr>
        <w:t xml:space="preserve">prioritize safety and therefore </w:t>
      </w:r>
      <w:r w:rsidR="0004279F" w:rsidRPr="00AC36D6">
        <w:rPr>
          <w:rFonts w:eastAsia="Times New Roman" w:cs="Arial"/>
          <w:bCs/>
          <w:color w:val="000000"/>
          <w:kern w:val="32"/>
          <w:szCs w:val="32"/>
        </w:rPr>
        <w:t>prefer</w:t>
      </w:r>
      <w:r w:rsidR="003565EC" w:rsidRPr="00AC36D6">
        <w:rPr>
          <w:rFonts w:eastAsia="Times New Roman" w:cs="Arial"/>
          <w:bCs/>
          <w:color w:val="000000"/>
          <w:kern w:val="32"/>
          <w:szCs w:val="32"/>
        </w:rPr>
        <w:t xml:space="preserve"> accommodation</w:t>
      </w:r>
      <w:r w:rsidR="0004279F" w:rsidRPr="00AC36D6">
        <w:rPr>
          <w:rFonts w:eastAsia="Times New Roman" w:cs="Arial"/>
          <w:bCs/>
          <w:color w:val="000000"/>
          <w:kern w:val="32"/>
          <w:szCs w:val="32"/>
        </w:rPr>
        <w:t>s</w:t>
      </w:r>
      <w:r w:rsidR="003565EC" w:rsidRPr="00AC36D6">
        <w:rPr>
          <w:rFonts w:eastAsia="Times New Roman" w:cs="Arial"/>
          <w:bCs/>
          <w:color w:val="000000"/>
          <w:kern w:val="32"/>
          <w:szCs w:val="32"/>
        </w:rPr>
        <w:t xml:space="preserve"> that are </w:t>
      </w:r>
      <w:r w:rsidR="0039177E" w:rsidRPr="00AC36D6">
        <w:rPr>
          <w:rFonts w:eastAsia="Times New Roman" w:cs="Arial"/>
          <w:bCs/>
          <w:color w:val="000000"/>
          <w:kern w:val="32"/>
          <w:szCs w:val="32"/>
        </w:rPr>
        <w:t>considered</w:t>
      </w:r>
      <w:r w:rsidR="003565EC" w:rsidRPr="00AC36D6">
        <w:rPr>
          <w:rFonts w:eastAsia="Times New Roman" w:cs="Arial"/>
          <w:bCs/>
          <w:color w:val="000000"/>
          <w:kern w:val="32"/>
          <w:szCs w:val="32"/>
        </w:rPr>
        <w:t xml:space="preserve"> safer (and </w:t>
      </w:r>
      <w:r w:rsidR="0039177E" w:rsidRPr="00AC36D6">
        <w:rPr>
          <w:rFonts w:eastAsia="Times New Roman" w:cs="Arial"/>
          <w:bCs/>
          <w:color w:val="000000"/>
          <w:kern w:val="32"/>
          <w:szCs w:val="32"/>
        </w:rPr>
        <w:t xml:space="preserve">are </w:t>
      </w:r>
      <w:r w:rsidR="003565EC" w:rsidRPr="00AC36D6">
        <w:rPr>
          <w:rFonts w:eastAsia="Times New Roman" w:cs="Arial"/>
          <w:bCs/>
          <w:color w:val="000000"/>
          <w:kern w:val="32"/>
          <w:szCs w:val="32"/>
        </w:rPr>
        <w:t>possibly more expensive)</w:t>
      </w:r>
      <w:r w:rsidR="00115402" w:rsidRPr="00AC36D6">
        <w:rPr>
          <w:rFonts w:eastAsia="Times New Roman" w:cs="Arial"/>
          <w:bCs/>
          <w:color w:val="000000"/>
          <w:kern w:val="32"/>
          <w:szCs w:val="32"/>
        </w:rPr>
        <w:t xml:space="preserve"> (see Zemke </w:t>
      </w:r>
      <w:r w:rsidR="00115402" w:rsidRPr="00AC36D6">
        <w:rPr>
          <w:rFonts w:eastAsia="Times New Roman" w:cs="Arial"/>
          <w:bCs/>
          <w:i/>
          <w:iCs/>
          <w:color w:val="000000"/>
          <w:kern w:val="32"/>
          <w:szCs w:val="32"/>
        </w:rPr>
        <w:t>et al.,</w:t>
      </w:r>
      <w:r w:rsidR="00115402" w:rsidRPr="00AC36D6">
        <w:rPr>
          <w:rFonts w:eastAsia="Times New Roman" w:cs="Arial"/>
          <w:bCs/>
          <w:color w:val="000000"/>
          <w:kern w:val="32"/>
          <w:szCs w:val="32"/>
        </w:rPr>
        <w:t xml:space="preserve"> 2015 for similar findings)</w:t>
      </w:r>
      <w:r w:rsidR="003565EC" w:rsidRPr="00AC36D6">
        <w:rPr>
          <w:rFonts w:eastAsia="Times New Roman" w:cs="Arial"/>
          <w:bCs/>
          <w:color w:val="000000"/>
          <w:kern w:val="32"/>
          <w:szCs w:val="32"/>
        </w:rPr>
        <w:t>.</w:t>
      </w:r>
      <w:r w:rsidR="00066435" w:rsidRPr="00AC36D6">
        <w:rPr>
          <w:rFonts w:eastAsia="Times New Roman" w:cs="Arial"/>
          <w:bCs/>
          <w:color w:val="000000"/>
          <w:kern w:val="32"/>
          <w:szCs w:val="32"/>
        </w:rPr>
        <w:t xml:space="preserve"> Finally, </w:t>
      </w:r>
      <w:r w:rsidR="00436842" w:rsidRPr="00AC36D6">
        <w:rPr>
          <w:rFonts w:eastAsia="Times New Roman" w:cs="Arial"/>
          <w:bCs/>
          <w:color w:val="000000"/>
          <w:kern w:val="32"/>
          <w:szCs w:val="32"/>
        </w:rPr>
        <w:t>as can be observed from the positive coefficient in the corresponding satiation function</w:t>
      </w:r>
      <w:r w:rsidR="00066435" w:rsidRPr="00AC36D6">
        <w:rPr>
          <w:rFonts w:eastAsia="Times New Roman" w:cs="Arial"/>
          <w:bCs/>
          <w:color w:val="000000"/>
          <w:kern w:val="32"/>
          <w:szCs w:val="32"/>
        </w:rPr>
        <w:t xml:space="preserve">, travel groups with a larger proportion of elderly show a greater extent of expenditures in the health and medicine </w:t>
      </w:r>
      <w:r w:rsidR="00436842" w:rsidRPr="00AC36D6">
        <w:rPr>
          <w:rFonts w:eastAsia="Times New Roman" w:cs="Arial"/>
          <w:bCs/>
          <w:color w:val="000000"/>
          <w:kern w:val="32"/>
          <w:szCs w:val="32"/>
        </w:rPr>
        <w:t>category</w:t>
      </w:r>
      <w:r w:rsidR="0043158C" w:rsidRPr="00AC36D6">
        <w:rPr>
          <w:rFonts w:eastAsia="Times New Roman" w:cs="Arial"/>
          <w:bCs/>
          <w:color w:val="000000"/>
          <w:kern w:val="32"/>
          <w:szCs w:val="32"/>
        </w:rPr>
        <w:t>.</w:t>
      </w:r>
    </w:p>
    <w:p w14:paraId="6CC77EC5" w14:textId="589C7766" w:rsidR="00DE14E7" w:rsidRPr="00AC36D6" w:rsidRDefault="00DE14E7" w:rsidP="004C7565">
      <w:pPr>
        <w:pStyle w:val="ListParagraph"/>
        <w:numPr>
          <w:ilvl w:val="2"/>
          <w:numId w:val="20"/>
        </w:numPr>
        <w:spacing w:before="120" w:after="0" w:line="360" w:lineRule="auto"/>
        <w:contextualSpacing w:val="0"/>
        <w:jc w:val="both"/>
        <w:rPr>
          <w:rFonts w:eastAsia="Times New Roman" w:cs="Arial"/>
          <w:bCs/>
          <w:i/>
          <w:iCs/>
          <w:color w:val="000000"/>
          <w:kern w:val="32"/>
          <w:szCs w:val="32"/>
        </w:rPr>
      </w:pPr>
      <w:r w:rsidRPr="00AC36D6">
        <w:rPr>
          <w:rFonts w:eastAsia="Times New Roman" w:cs="Arial"/>
          <w:bCs/>
          <w:i/>
          <w:iCs/>
          <w:color w:val="000000"/>
          <w:kern w:val="32"/>
          <w:szCs w:val="32"/>
        </w:rPr>
        <w:t>Structure on the variance-covariance matrix</w:t>
      </w:r>
    </w:p>
    <w:p w14:paraId="4BEC7B81" w14:textId="0044960B" w:rsidR="00477674" w:rsidRPr="00AC36D6" w:rsidRDefault="00DE14E7" w:rsidP="00DE14E7">
      <w:pPr>
        <w:spacing w:after="0" w:line="360" w:lineRule="auto"/>
        <w:jc w:val="both"/>
      </w:pPr>
      <w:r w:rsidRPr="00AC36D6">
        <w:rPr>
          <w:rFonts w:eastAsia="Times New Roman" w:cs="Arial"/>
          <w:bCs/>
          <w:color w:val="000000"/>
          <w:kern w:val="32"/>
          <w:szCs w:val="32"/>
        </w:rPr>
        <w:t>In theory, the covariance structure as implied in Eq</w:t>
      </w:r>
      <w:r w:rsidR="006F1DBA" w:rsidRPr="00AC36D6">
        <w:rPr>
          <w:rFonts w:eastAsia="Times New Roman" w:cs="Arial"/>
          <w:bCs/>
          <w:color w:val="000000"/>
          <w:kern w:val="32"/>
          <w:szCs w:val="32"/>
        </w:rPr>
        <w:t>uation</w:t>
      </w:r>
      <w:r w:rsidRPr="00AC36D6">
        <w:rPr>
          <w:rFonts w:eastAsia="Times New Roman" w:cs="Arial"/>
          <w:bCs/>
          <w:color w:val="000000"/>
          <w:kern w:val="32"/>
          <w:szCs w:val="32"/>
        </w:rPr>
        <w:t xml:space="preserve"> (</w:t>
      </w:r>
      <w:r w:rsidR="00F90EC8" w:rsidRPr="00AC36D6">
        <w:rPr>
          <w:rFonts w:eastAsia="Times New Roman" w:cs="Arial"/>
          <w:bCs/>
          <w:color w:val="000000"/>
          <w:kern w:val="32"/>
          <w:szCs w:val="32"/>
        </w:rPr>
        <w:t>9</w:t>
      </w:r>
      <w:r w:rsidRPr="00AC36D6">
        <w:rPr>
          <w:rFonts w:eastAsia="Times New Roman" w:cs="Arial"/>
          <w:bCs/>
          <w:color w:val="000000"/>
          <w:kern w:val="32"/>
          <w:szCs w:val="32"/>
        </w:rPr>
        <w:t>) is identifiable with restriction</w:t>
      </w:r>
      <w:r w:rsidR="00897628" w:rsidRPr="00AC36D6">
        <w:rPr>
          <w:rFonts w:eastAsia="Times New Roman" w:cs="Arial"/>
          <w:bCs/>
          <w:color w:val="000000"/>
          <w:kern w:val="32"/>
          <w:szCs w:val="32"/>
        </w:rPr>
        <w:t>s</w:t>
      </w:r>
      <w:r w:rsidR="00337415" w:rsidRPr="00AC36D6">
        <w:rPr>
          <w:rFonts w:eastAsia="Times New Roman" w:cs="Arial"/>
          <w:bCs/>
          <w:color w:val="000000"/>
          <w:kern w:val="32"/>
          <w:szCs w:val="32"/>
        </w:rPr>
        <w:t xml:space="preserve"> on the covariance elements specific to the </w:t>
      </w:r>
      <w:r w:rsidR="00337415" w:rsidRPr="00AC36D6">
        <w:rPr>
          <w:rFonts w:eastAsia="Times New Roman" w:cs="Arial"/>
          <w:bCs/>
          <w:i/>
          <w:iCs/>
          <w:color w:val="000000"/>
          <w:kern w:val="32"/>
          <w:szCs w:val="32"/>
        </w:rPr>
        <w:t>D-</w:t>
      </w:r>
      <w:r w:rsidR="00337415" w:rsidRPr="00AC36D6">
        <w:rPr>
          <w:rFonts w:eastAsia="Times New Roman" w:cs="Arial"/>
          <w:bCs/>
          <w:color w:val="000000"/>
          <w:kern w:val="32"/>
          <w:szCs w:val="32"/>
        </w:rPr>
        <w:t xml:space="preserve">preference utilities. </w:t>
      </w:r>
      <w:r w:rsidR="00B2017B" w:rsidRPr="00AC36D6">
        <w:rPr>
          <w:rFonts w:eastAsia="Times New Roman" w:cs="Arial"/>
          <w:bCs/>
          <w:color w:val="000000"/>
          <w:kern w:val="32"/>
          <w:szCs w:val="32"/>
        </w:rPr>
        <w:t>As</w:t>
      </w:r>
      <w:r w:rsidR="009B13C5" w:rsidRPr="00AC36D6">
        <w:t xml:space="preserve"> discussed in Section 2.3.1, </w:t>
      </w:r>
      <w:r w:rsidR="00B2017B" w:rsidRPr="00AC36D6">
        <w:t xml:space="preserve">we estimated the flexible </w:t>
      </w:r>
      <w:r w:rsidR="00B2017B" w:rsidRPr="00AC36D6">
        <w:rPr>
          <w:rFonts w:eastAsia="Times New Roman" w:cs="Arial"/>
          <w:bCs/>
          <w:kern w:val="32"/>
          <w:szCs w:val="32"/>
        </w:rPr>
        <w:t xml:space="preserve">MDCP model with IID </w:t>
      </w:r>
      <w:r w:rsidR="00B2017B" w:rsidRPr="00AC36D6">
        <w:rPr>
          <w:rFonts w:eastAsia="Times New Roman" w:cs="Arial"/>
          <w:bCs/>
          <w:i/>
          <w:iCs/>
          <w:kern w:val="32"/>
          <w:szCs w:val="32"/>
        </w:rPr>
        <w:t>D-</w:t>
      </w:r>
      <w:r w:rsidR="00B2017B" w:rsidRPr="00AC36D6">
        <w:rPr>
          <w:rFonts w:eastAsia="Times New Roman" w:cs="Arial"/>
          <w:bCs/>
          <w:kern w:val="32"/>
          <w:szCs w:val="32"/>
        </w:rPr>
        <w:t xml:space="preserve">preferences and non-IID </w:t>
      </w:r>
      <w:r w:rsidR="00B2017B" w:rsidRPr="00AC36D6">
        <w:rPr>
          <w:rFonts w:eastAsia="Times New Roman" w:cs="Arial"/>
          <w:bCs/>
          <w:i/>
          <w:iCs/>
          <w:kern w:val="32"/>
          <w:szCs w:val="32"/>
        </w:rPr>
        <w:t>C-</w:t>
      </w:r>
      <w:r w:rsidR="00690A81" w:rsidRPr="00AC36D6">
        <w:rPr>
          <w:rFonts w:eastAsia="Times New Roman" w:cs="Arial"/>
          <w:bCs/>
          <w:kern w:val="32"/>
          <w:szCs w:val="32"/>
        </w:rPr>
        <w:t>p</w:t>
      </w:r>
      <w:r w:rsidR="00B2017B" w:rsidRPr="00AC36D6">
        <w:rPr>
          <w:rFonts w:eastAsia="Times New Roman" w:cs="Arial"/>
          <w:bCs/>
          <w:kern w:val="32"/>
          <w:szCs w:val="32"/>
        </w:rPr>
        <w:t>references, where</w:t>
      </w:r>
      <w:r w:rsidR="00B2017B" w:rsidRPr="00AC36D6">
        <w:t xml:space="preserve"> </w:t>
      </w:r>
      <w:r w:rsidR="00FE4509" w:rsidRPr="00AC36D6">
        <w:rPr>
          <w:position w:val="-12"/>
        </w:rPr>
        <w:object w:dxaOrig="3280" w:dyaOrig="400" w14:anchorId="5E9BBC97">
          <v:shape id="_x0000_i1244" type="#_x0000_t75" style="width:163.7pt;height:20.15pt" o:ole="">
            <v:imagedata r:id="rId422" o:title=""/>
          </v:shape>
          <o:OLEObject Type="Embed" ProgID="Equation.DSMT4" ShapeID="_x0000_i1244" DrawAspect="Content" ObjectID="_1726484541" r:id="rId423"/>
        </w:object>
      </w:r>
      <w:r w:rsidR="006D65B5" w:rsidRPr="00AC36D6">
        <w:t xml:space="preserve"> and</w:t>
      </w:r>
      <w:r w:rsidR="00337415" w:rsidRPr="00AC36D6">
        <w:t xml:space="preserve"> </w:t>
      </w:r>
      <w:r w:rsidR="00D44E46" w:rsidRPr="00AC36D6">
        <w:rPr>
          <w:position w:val="-14"/>
        </w:rPr>
        <w:object w:dxaOrig="3120" w:dyaOrig="380" w14:anchorId="669D78B5">
          <v:shape id="_x0000_i1245" type="#_x0000_t75" style="width:156.85pt;height:19.3pt" o:ole="">
            <v:imagedata r:id="rId424" o:title=""/>
          </v:shape>
          <o:OLEObject Type="Embed" ProgID="Equation.DSMT4" ShapeID="_x0000_i1245" DrawAspect="Content" ObjectID="_1726484542" r:id="rId425"/>
        </w:object>
      </w:r>
      <w:r w:rsidR="004F713E" w:rsidRPr="00AC36D6">
        <w:t>.</w:t>
      </w:r>
      <w:r w:rsidR="00B2017B" w:rsidRPr="00AC36D6">
        <w:t xml:space="preserve"> </w:t>
      </w:r>
      <w:r w:rsidR="004F713E" w:rsidRPr="00AC36D6">
        <w:t>A</w:t>
      </w:r>
      <w:r w:rsidR="00B2017B" w:rsidRPr="00AC36D6">
        <w:t xml:space="preserve">ll </w:t>
      </w:r>
      <w:r w:rsidR="00337415" w:rsidRPr="00AC36D6">
        <w:t>other covariance elements were</w:t>
      </w:r>
      <w:r w:rsidR="009D09CB" w:rsidRPr="00AC36D6">
        <w:t xml:space="preserve"> freely</w:t>
      </w:r>
      <w:r w:rsidR="00337415" w:rsidRPr="00AC36D6">
        <w:t xml:space="preserve"> estimated</w:t>
      </w:r>
      <w:r w:rsidR="00B2017B" w:rsidRPr="00AC36D6">
        <w:t xml:space="preserve"> using a Cholesky decomposition</w:t>
      </w:r>
      <w:r w:rsidR="00D237B1" w:rsidRPr="00AC36D6">
        <w:t xml:space="preserve"> of the covariance matrix of error terms (i.e., </w:t>
      </w:r>
      <w:r w:rsidR="00D237B1" w:rsidRPr="00AC36D6">
        <w:rPr>
          <w:position w:val="-4"/>
        </w:rPr>
        <w:object w:dxaOrig="220" w:dyaOrig="300" w14:anchorId="306316CC">
          <v:shape id="_x0000_i1246" type="#_x0000_t75" style="width:9pt;height:17.15pt" o:ole="">
            <v:imagedata r:id="rId217" o:title=""/>
          </v:shape>
          <o:OLEObject Type="Embed" ProgID="Equation.DSMT4" ShapeID="_x0000_i1246" DrawAspect="Content" ObjectID="_1726484543" r:id="rId426"/>
        </w:object>
      </w:r>
      <w:r w:rsidR="00D237B1" w:rsidRPr="00AC36D6">
        <w:t xml:space="preserve"> )</w:t>
      </w:r>
      <w:r w:rsidR="00D42595" w:rsidRPr="00AC36D6">
        <w:t>.</w:t>
      </w:r>
      <w:r w:rsidR="0032121A" w:rsidRPr="00AC36D6">
        <w:t xml:space="preserve"> </w:t>
      </w:r>
      <w:r w:rsidR="00BD7BE1" w:rsidRPr="00AC36D6">
        <w:t>Since</w:t>
      </w:r>
      <w:r w:rsidR="00AA6E4F" w:rsidRPr="00AC36D6">
        <w:t xml:space="preserve"> we</w:t>
      </w:r>
      <w:r w:rsidR="0032121A" w:rsidRPr="00AC36D6">
        <w:t xml:space="preserve"> estimate</w:t>
      </w:r>
      <w:r w:rsidR="00BD7BE1" w:rsidRPr="00AC36D6">
        <w:t>d</w:t>
      </w:r>
      <w:r w:rsidR="0032121A" w:rsidRPr="00AC36D6">
        <w:t xml:space="preserve"> the Cholesky parameters that correspond to the covariance matrix of the error terms (as opposed to the covariance</w:t>
      </w:r>
      <w:r w:rsidR="009D0C14" w:rsidRPr="00AC36D6">
        <w:t xml:space="preserve"> matrix</w:t>
      </w:r>
      <w:r w:rsidR="0032121A" w:rsidRPr="00AC36D6">
        <w:t xml:space="preserve"> of error differences)</w:t>
      </w:r>
      <w:r w:rsidR="00BD7BE1" w:rsidRPr="00AC36D6">
        <w:t>,</w:t>
      </w:r>
      <w:r w:rsidR="00AA6E4F" w:rsidRPr="00AC36D6">
        <w:t xml:space="preserve"> the </w:t>
      </w:r>
      <w:r w:rsidR="00DE3704" w:rsidRPr="00AC36D6">
        <w:t xml:space="preserve">elements of the </w:t>
      </w:r>
      <w:r w:rsidR="00783FAD" w:rsidRPr="00AC36D6">
        <w:t>re</w:t>
      </w:r>
      <w:r w:rsidR="00DE3704" w:rsidRPr="00AC36D6">
        <w:t>sulting</w:t>
      </w:r>
      <w:r w:rsidR="00AA6E4F" w:rsidRPr="00AC36D6">
        <w:t xml:space="preserve"> covariance matrix </w:t>
      </w:r>
      <w:r w:rsidR="00DE3704" w:rsidRPr="00AC36D6">
        <w:t>are</w:t>
      </w:r>
      <w:r w:rsidR="00AA6E4F" w:rsidRPr="00AC36D6">
        <w:t xml:space="preserve"> interpretable.</w:t>
      </w:r>
      <w:r w:rsidR="009D0C14" w:rsidRPr="00AC36D6">
        <w:t xml:space="preserve"> </w:t>
      </w:r>
      <w:r w:rsidR="00B2017B" w:rsidRPr="00AC36D6">
        <w:t xml:space="preserve">The resulting covariance elements, after </w:t>
      </w:r>
      <w:r w:rsidR="00326317" w:rsidRPr="00AC36D6">
        <w:t xml:space="preserve">appropriate </w:t>
      </w:r>
      <w:r w:rsidR="00B2017B" w:rsidRPr="00AC36D6">
        <w:t>conve</w:t>
      </w:r>
      <w:r w:rsidR="00326317" w:rsidRPr="00AC36D6">
        <w:t>rsion from</w:t>
      </w:r>
      <w:r w:rsidR="00B2017B" w:rsidRPr="00AC36D6">
        <w:t xml:space="preserve"> the </w:t>
      </w:r>
      <w:r w:rsidR="004708B1" w:rsidRPr="00AC36D6">
        <w:t xml:space="preserve">estimated parameters in the </w:t>
      </w:r>
      <w:r w:rsidR="00326317" w:rsidRPr="00AC36D6">
        <w:t>Cholesky</w:t>
      </w:r>
      <w:r w:rsidR="00326317" w:rsidRPr="00AC36D6" w:rsidDel="00B2017B">
        <w:t xml:space="preserve"> </w:t>
      </w:r>
      <w:r w:rsidR="00326317" w:rsidRPr="00AC36D6">
        <w:t xml:space="preserve">matrix, </w:t>
      </w:r>
      <w:r w:rsidR="00B2017B" w:rsidRPr="00AC36D6">
        <w:t xml:space="preserve">are </w:t>
      </w:r>
      <w:r w:rsidR="00F90EC8" w:rsidRPr="00AC36D6">
        <w:t>reported in Table 3.</w:t>
      </w:r>
    </w:p>
    <w:p w14:paraId="3F7AE370" w14:textId="53134410" w:rsidR="00893B42" w:rsidRPr="00AC36D6" w:rsidRDefault="008F016C" w:rsidP="007D5FDE">
      <w:pPr>
        <w:spacing w:after="0" w:line="360" w:lineRule="auto"/>
        <w:ind w:firstLine="720"/>
        <w:jc w:val="both"/>
      </w:pPr>
      <w:r w:rsidRPr="00AC36D6">
        <w:t xml:space="preserve"> </w:t>
      </w:r>
      <w:r w:rsidR="00591F55" w:rsidRPr="00AC36D6">
        <w:t>A</w:t>
      </w:r>
      <w:r w:rsidRPr="00AC36D6">
        <w:t xml:space="preserve"> few points</w:t>
      </w:r>
      <w:r w:rsidR="004708B1" w:rsidRPr="00AC36D6">
        <w:t xml:space="preserve"> </w:t>
      </w:r>
      <w:r w:rsidR="00591F55" w:rsidRPr="00AC36D6">
        <w:t xml:space="preserve">are </w:t>
      </w:r>
      <w:r w:rsidRPr="00AC36D6">
        <w:t xml:space="preserve">worth </w:t>
      </w:r>
      <w:r w:rsidR="00477674" w:rsidRPr="00AC36D6">
        <w:t>discussing</w:t>
      </w:r>
      <w:r w:rsidR="00C267D0" w:rsidRPr="00AC36D6">
        <w:t xml:space="preserve"> regarding the error covariance matrix</w:t>
      </w:r>
      <w:r w:rsidR="00FC1AEA" w:rsidRPr="00AC36D6">
        <w:t xml:space="preserve"> reported in Table 3</w:t>
      </w:r>
      <w:r w:rsidRPr="00AC36D6">
        <w:t>.</w:t>
      </w:r>
      <w:r w:rsidR="00315986" w:rsidRPr="00AC36D6">
        <w:t xml:space="preserve"> </w:t>
      </w:r>
      <w:r w:rsidR="00315986" w:rsidRPr="00AC36D6">
        <w:rPr>
          <w:u w:val="single"/>
        </w:rPr>
        <w:t>First</w:t>
      </w:r>
      <w:r w:rsidR="00315986" w:rsidRPr="00AC36D6">
        <w:t>,</w:t>
      </w:r>
      <w:r w:rsidR="00FA7434" w:rsidRPr="00AC36D6">
        <w:t xml:space="preserve"> the model estimated </w:t>
      </w:r>
      <w:r w:rsidR="00151BCC" w:rsidRPr="00AC36D6">
        <w:t>with a general covariance structure (</w:t>
      </w:r>
      <w:r w:rsidR="00151BCC" w:rsidRPr="00AC36D6">
        <w:rPr>
          <w:i/>
          <w:iCs/>
        </w:rPr>
        <w:t>i.e.,</w:t>
      </w:r>
      <w:r w:rsidR="00151BCC" w:rsidRPr="00AC36D6">
        <w:t xml:space="preserve"> </w:t>
      </w:r>
      <w:r w:rsidR="00C267D0" w:rsidRPr="00AC36D6">
        <w:t xml:space="preserve">with IID </w:t>
      </w:r>
      <w:r w:rsidR="00C267D0" w:rsidRPr="00AC36D6">
        <w:rPr>
          <w:i/>
          <w:iCs/>
        </w:rPr>
        <w:t>D-</w:t>
      </w:r>
      <w:r w:rsidR="00C267D0" w:rsidRPr="00AC36D6">
        <w:t>preferences and non</w:t>
      </w:r>
      <w:r w:rsidR="00FC1AEA" w:rsidRPr="00AC36D6">
        <w:t>-</w:t>
      </w:r>
      <w:r w:rsidR="00C267D0" w:rsidRPr="00AC36D6">
        <w:t xml:space="preserve">IID </w:t>
      </w:r>
      <w:r w:rsidR="00C267D0" w:rsidRPr="00AC36D6">
        <w:rPr>
          <w:i/>
          <w:iCs/>
        </w:rPr>
        <w:t>C-</w:t>
      </w:r>
      <w:r w:rsidR="00C267D0" w:rsidRPr="00AC36D6">
        <w:t>preferences</w:t>
      </w:r>
      <w:r w:rsidR="00151BCC" w:rsidRPr="00AC36D6">
        <w:t xml:space="preserve">) provided </w:t>
      </w:r>
      <w:r w:rsidR="00FC1AEA" w:rsidRPr="00AC36D6">
        <w:t xml:space="preserve">a </w:t>
      </w:r>
      <w:r w:rsidR="00151BCC" w:rsidRPr="00AC36D6">
        <w:t xml:space="preserve">significantly better fit </w:t>
      </w:r>
      <w:r w:rsidR="00FC1AEA" w:rsidRPr="00AC36D6">
        <w:t>than</w:t>
      </w:r>
      <w:r w:rsidR="00930CD2" w:rsidRPr="00AC36D6">
        <w:t xml:space="preserve"> models with restricted covariance structure</w:t>
      </w:r>
      <w:r w:rsidR="00B5561C" w:rsidRPr="00AC36D6">
        <w:t>s</w:t>
      </w:r>
      <w:r w:rsidR="000B3084" w:rsidRPr="00AC36D6">
        <w:t xml:space="preserve"> (more on this later)</w:t>
      </w:r>
      <w:r w:rsidR="00930CD2" w:rsidRPr="00AC36D6">
        <w:t xml:space="preserve">. </w:t>
      </w:r>
      <w:r w:rsidR="00930CD2" w:rsidRPr="00AC36D6">
        <w:rPr>
          <w:u w:val="single"/>
        </w:rPr>
        <w:t>Second</w:t>
      </w:r>
      <w:r w:rsidR="00930CD2" w:rsidRPr="00AC36D6">
        <w:t>,</w:t>
      </w:r>
      <w:r w:rsidR="00315986" w:rsidRPr="00AC36D6">
        <w:t xml:space="preserve"> all covariance elements corresponding to the </w:t>
      </w:r>
      <w:r w:rsidR="00315986" w:rsidRPr="00AC36D6">
        <w:rPr>
          <w:i/>
          <w:iCs/>
        </w:rPr>
        <w:t>C-</w:t>
      </w:r>
      <w:r w:rsidR="00315986" w:rsidRPr="00AC36D6">
        <w:t>preference utility parameters</w:t>
      </w:r>
      <w:r w:rsidR="008A5955" w:rsidRPr="00AC36D6">
        <w:t xml:space="preserve"> (</w:t>
      </w:r>
      <w:r w:rsidR="008A5955" w:rsidRPr="00AC36D6">
        <w:rPr>
          <w:i/>
          <w:iCs/>
        </w:rPr>
        <w:t>i.e.,</w:t>
      </w:r>
      <w:r w:rsidR="008A5955" w:rsidRPr="00AC36D6">
        <w:t xml:space="preserve"> </w:t>
      </w:r>
      <w:r w:rsidR="000B3084" w:rsidRPr="00AC36D6">
        <w:rPr>
          <w:position w:val="-14"/>
        </w:rPr>
        <w:object w:dxaOrig="2840" w:dyaOrig="380" w14:anchorId="4A96E272">
          <v:shape id="_x0000_i1247" type="#_x0000_t75" style="width:139.3pt;height:19.3pt" o:ole="">
            <v:imagedata r:id="rId427" o:title=""/>
          </v:shape>
          <o:OLEObject Type="Embed" ProgID="Equation.DSMT4" ShapeID="_x0000_i1247" DrawAspect="Content" ObjectID="_1726484544" r:id="rId428"/>
        </w:object>
      </w:r>
      <w:r w:rsidR="008A5955" w:rsidRPr="00AC36D6">
        <w:t>)</w:t>
      </w:r>
      <w:r w:rsidR="00315986" w:rsidRPr="00AC36D6">
        <w:t xml:space="preserve"> were insignificant</w:t>
      </w:r>
      <w:r w:rsidR="001329D5" w:rsidRPr="00AC36D6">
        <w:t xml:space="preserve"> across all expenditure classes, except between accommodation and food </w:t>
      </w:r>
      <w:r w:rsidR="00D44E46" w:rsidRPr="00AC36D6">
        <w:t xml:space="preserve">&amp; </w:t>
      </w:r>
      <w:r w:rsidR="001329D5" w:rsidRPr="00AC36D6">
        <w:t>beverage</w:t>
      </w:r>
      <w:r w:rsidR="00D44E46" w:rsidRPr="00AC36D6">
        <w:t xml:space="preserve"> categories</w:t>
      </w:r>
      <w:r w:rsidR="001329D5" w:rsidRPr="00AC36D6">
        <w:t>, where the correlation between the two categories is positive.</w:t>
      </w:r>
      <w:r w:rsidR="00477674" w:rsidRPr="00AC36D6">
        <w:t xml:space="preserve"> This highlights that</w:t>
      </w:r>
      <w:r w:rsidR="00C267D0" w:rsidRPr="00AC36D6">
        <w:t xml:space="preserve"> those</w:t>
      </w:r>
      <w:r w:rsidR="00477674" w:rsidRPr="00AC36D6">
        <w:t xml:space="preserve"> travelers who prefer staying </w:t>
      </w:r>
      <w:r w:rsidR="00FC1AEA" w:rsidRPr="00AC36D6">
        <w:t>at</w:t>
      </w:r>
      <w:r w:rsidR="00477674" w:rsidRPr="00AC36D6">
        <w:t xml:space="preserve"> expensive accommodations are also likely to patronize expensive eat</w:t>
      </w:r>
      <w:r w:rsidR="00FC1AEA" w:rsidRPr="00AC36D6">
        <w:t>-</w:t>
      </w:r>
      <w:r w:rsidR="00477674" w:rsidRPr="00AC36D6">
        <w:t>out options.</w:t>
      </w:r>
      <w:r w:rsidR="00967E92" w:rsidRPr="00AC36D6">
        <w:t xml:space="preserve"> </w:t>
      </w:r>
      <w:r w:rsidR="00242969" w:rsidRPr="00AC36D6">
        <w:rPr>
          <w:u w:val="single"/>
        </w:rPr>
        <w:t>Third,</w:t>
      </w:r>
      <w:r w:rsidR="00967E92" w:rsidRPr="00AC36D6">
        <w:t xml:space="preserve"> most </w:t>
      </w:r>
      <w:r w:rsidR="00004A2D" w:rsidRPr="00AC36D6">
        <w:t>of the covariances</w:t>
      </w:r>
      <w:r w:rsidR="00967E92" w:rsidRPr="00AC36D6">
        <w:t xml:space="preserve"> between</w:t>
      </w:r>
      <w:r w:rsidR="00242969" w:rsidRPr="00AC36D6">
        <w:t xml:space="preserve"> the</w:t>
      </w:r>
      <w:r w:rsidR="00967E92" w:rsidRPr="00AC36D6">
        <w:t xml:space="preserve"> </w:t>
      </w:r>
      <w:r w:rsidR="00967E92" w:rsidRPr="00AC36D6">
        <w:rPr>
          <w:i/>
          <w:iCs/>
        </w:rPr>
        <w:t>D-</w:t>
      </w:r>
      <w:r w:rsidR="00967E92" w:rsidRPr="00AC36D6">
        <w:t xml:space="preserve">preference of an expenditure class </w:t>
      </w:r>
      <w:r w:rsidR="00967E92" w:rsidRPr="00AC36D6">
        <w:rPr>
          <w:i/>
          <w:iCs/>
        </w:rPr>
        <w:t>j</w:t>
      </w:r>
      <w:r w:rsidR="00967E92" w:rsidRPr="00AC36D6">
        <w:t xml:space="preserve"> and </w:t>
      </w:r>
      <w:r w:rsidR="00967E92" w:rsidRPr="00AC36D6">
        <w:rPr>
          <w:i/>
          <w:iCs/>
        </w:rPr>
        <w:t>C-</w:t>
      </w:r>
      <w:r w:rsidR="00967E92" w:rsidRPr="00AC36D6">
        <w:t xml:space="preserve">preference of an expenditure class </w:t>
      </w:r>
      <w:r w:rsidR="00967E92" w:rsidRPr="00AC36D6">
        <w:rPr>
          <w:i/>
          <w:iCs/>
        </w:rPr>
        <w:t>k</w:t>
      </w:r>
      <w:r w:rsidR="00967E92" w:rsidRPr="00AC36D6">
        <w:t xml:space="preserve"> (</w:t>
      </w:r>
      <w:r w:rsidR="00967E92" w:rsidRPr="00AC36D6">
        <w:rPr>
          <w:position w:val="-14"/>
        </w:rPr>
        <w:object w:dxaOrig="2840" w:dyaOrig="380" w14:anchorId="4E873A11">
          <v:shape id="_x0000_i1248" type="#_x0000_t75" style="width:139.3pt;height:19.3pt" o:ole="">
            <v:imagedata r:id="rId429" o:title=""/>
          </v:shape>
          <o:OLEObject Type="Embed" ProgID="Equation.DSMT4" ShapeID="_x0000_i1248" DrawAspect="Content" ObjectID="_1726484545" r:id="rId430"/>
        </w:object>
      </w:r>
      <w:r w:rsidR="00242969" w:rsidRPr="00AC36D6">
        <w:t>)</w:t>
      </w:r>
      <w:r w:rsidR="00967E92" w:rsidRPr="00AC36D6">
        <w:t xml:space="preserve"> </w:t>
      </w:r>
      <w:r w:rsidR="00F86AE2" w:rsidRPr="00AC36D6">
        <w:t>were</w:t>
      </w:r>
      <w:r w:rsidR="00B07197" w:rsidRPr="00AC36D6">
        <w:t xml:space="preserve"> close to</w:t>
      </w:r>
      <w:r w:rsidR="00967E92" w:rsidRPr="00AC36D6">
        <w:t xml:space="preserve"> zero</w:t>
      </w:r>
      <w:r w:rsidR="0016559F" w:rsidRPr="00AC36D6">
        <w:t xml:space="preserve">. While it </w:t>
      </w:r>
      <w:r w:rsidR="001F68C0" w:rsidRPr="00AC36D6">
        <w:t>may be</w:t>
      </w:r>
      <w:r w:rsidR="0016559F" w:rsidRPr="00AC36D6">
        <w:t xml:space="preserve"> useful to fix such </w:t>
      </w:r>
      <w:r w:rsidR="00F02551" w:rsidRPr="00AC36D6">
        <w:t>covariances</w:t>
      </w:r>
      <w:r w:rsidR="0016559F" w:rsidRPr="00AC36D6">
        <w:t xml:space="preserve"> to zero</w:t>
      </w:r>
      <w:r w:rsidR="00967E92" w:rsidRPr="00AC36D6">
        <w:t>,</w:t>
      </w:r>
      <w:r w:rsidR="0016559F" w:rsidRPr="00AC36D6">
        <w:t xml:space="preserve"> as discussed in section 2.3.1, it is not easy to do so</w:t>
      </w:r>
      <w:r w:rsidR="001F68C0" w:rsidRPr="00AC36D6">
        <w:t xml:space="preserve"> with Cholesky decomposition</w:t>
      </w:r>
      <w:r w:rsidR="0016559F" w:rsidRPr="00AC36D6">
        <w:t>.</w:t>
      </w:r>
      <w:r w:rsidR="00967E92" w:rsidRPr="00AC36D6">
        <w:rPr>
          <w:i/>
          <w:iCs/>
        </w:rPr>
        <w:t xml:space="preserve"> </w:t>
      </w:r>
      <w:r w:rsidR="00F02551" w:rsidRPr="00AC36D6">
        <w:t xml:space="preserve">Therefore, we retained them in the empirical model. </w:t>
      </w:r>
      <w:r w:rsidR="00D3366F" w:rsidRPr="00AC36D6">
        <w:rPr>
          <w:u w:val="single"/>
        </w:rPr>
        <w:t>Fourth</w:t>
      </w:r>
      <w:r w:rsidR="009E6419" w:rsidRPr="00AC36D6">
        <w:t xml:space="preserve">, the </w:t>
      </w:r>
      <w:r w:rsidR="00D3366F" w:rsidRPr="00AC36D6">
        <w:t>covariances</w:t>
      </w:r>
      <w:r w:rsidR="009E6419" w:rsidRPr="00AC36D6">
        <w:t xml:space="preserve"> between the </w:t>
      </w:r>
      <w:r w:rsidR="009E6419" w:rsidRPr="00AC36D6">
        <w:rPr>
          <w:i/>
          <w:iCs/>
        </w:rPr>
        <w:t>D-</w:t>
      </w:r>
      <w:r w:rsidR="009E6419" w:rsidRPr="00AC36D6">
        <w:t xml:space="preserve"> and </w:t>
      </w:r>
      <w:r w:rsidR="009E6419" w:rsidRPr="00AC36D6">
        <w:rPr>
          <w:i/>
          <w:iCs/>
        </w:rPr>
        <w:t>C-</w:t>
      </w:r>
      <w:r w:rsidR="009E6419" w:rsidRPr="00AC36D6">
        <w:t xml:space="preserve">preferences of </w:t>
      </w:r>
      <w:r w:rsidR="00A04F50" w:rsidRPr="00AC36D6">
        <w:t>an expenditure class (</w:t>
      </w:r>
      <w:r w:rsidR="00A04F50" w:rsidRPr="00AC36D6">
        <w:rPr>
          <w:i/>
          <w:iCs/>
        </w:rPr>
        <w:t xml:space="preserve">i.e., </w:t>
      </w:r>
      <w:r w:rsidR="00A04F50" w:rsidRPr="00AC36D6">
        <w:rPr>
          <w:position w:val="-12"/>
        </w:rPr>
        <w:object w:dxaOrig="360" w:dyaOrig="360" w14:anchorId="6D81B56A">
          <v:shape id="_x0000_i1249" type="#_x0000_t75" style="width:17.15pt;height:19.3pt" o:ole="">
            <v:imagedata r:id="rId431" o:title=""/>
          </v:shape>
          <o:OLEObject Type="Embed" ProgID="Equation.DSMT4" ShapeID="_x0000_i1249" DrawAspect="Content" ObjectID="_1726484546" r:id="rId432"/>
        </w:object>
      </w:r>
      <w:r w:rsidR="00A04F50" w:rsidRPr="00AC36D6">
        <w:t>)</w:t>
      </w:r>
      <w:r w:rsidR="009E6419" w:rsidRPr="00AC36D6">
        <w:t xml:space="preserve"> were </w:t>
      </w:r>
      <w:r w:rsidR="00477674" w:rsidRPr="00AC36D6">
        <w:t xml:space="preserve">positive </w:t>
      </w:r>
      <w:r w:rsidR="009E6419" w:rsidRPr="00AC36D6">
        <w:t xml:space="preserve">across all expenditure classes, except </w:t>
      </w:r>
      <w:r w:rsidR="00242969" w:rsidRPr="00AC36D6">
        <w:t xml:space="preserve">for the </w:t>
      </w:r>
      <w:r w:rsidR="00C267D0" w:rsidRPr="00AC36D6">
        <w:t>food and beverage</w:t>
      </w:r>
      <w:r w:rsidR="00242969" w:rsidRPr="00AC36D6">
        <w:t xml:space="preserve"> category</w:t>
      </w:r>
      <w:r w:rsidR="009E6419" w:rsidRPr="00AC36D6">
        <w:t>. Th</w:t>
      </w:r>
      <w:r w:rsidR="00032F8C" w:rsidRPr="00AC36D6">
        <w:t>e positive covariances are</w:t>
      </w:r>
      <w:r w:rsidR="009E6419" w:rsidRPr="00AC36D6">
        <w:t xml:space="preserve"> </w:t>
      </w:r>
      <w:r w:rsidR="00C267D0" w:rsidRPr="00AC36D6">
        <w:t>intuitive</w:t>
      </w:r>
      <w:r w:rsidR="009E6419" w:rsidRPr="00AC36D6">
        <w:t xml:space="preserve">, </w:t>
      </w:r>
      <w:r w:rsidR="003F29ED" w:rsidRPr="00AC36D6">
        <w:t xml:space="preserve">as </w:t>
      </w:r>
      <w:r w:rsidR="009E6419" w:rsidRPr="00AC36D6">
        <w:t xml:space="preserve">one would expect a positive correlation </w:t>
      </w:r>
      <w:r w:rsidR="000048EA" w:rsidRPr="00AC36D6">
        <w:t xml:space="preserve">between </w:t>
      </w:r>
      <w:r w:rsidR="009E6419" w:rsidRPr="00AC36D6">
        <w:t xml:space="preserve">the </w:t>
      </w:r>
      <w:r w:rsidR="009E6419" w:rsidRPr="00AC36D6">
        <w:rPr>
          <w:i/>
          <w:iCs/>
        </w:rPr>
        <w:t>D-</w:t>
      </w:r>
      <w:r w:rsidR="009E6419" w:rsidRPr="00AC36D6">
        <w:t xml:space="preserve"> and </w:t>
      </w:r>
      <w:r w:rsidR="009E6419" w:rsidRPr="00AC36D6">
        <w:rPr>
          <w:i/>
          <w:iCs/>
        </w:rPr>
        <w:t>C-</w:t>
      </w:r>
      <w:r w:rsidR="009E6419" w:rsidRPr="00AC36D6">
        <w:t>preference</w:t>
      </w:r>
      <w:r w:rsidR="000048EA" w:rsidRPr="00AC36D6">
        <w:t>s</w:t>
      </w:r>
      <w:r w:rsidR="009E6419" w:rsidRPr="00AC36D6">
        <w:t xml:space="preserve"> o</w:t>
      </w:r>
      <w:r w:rsidR="00C645BA" w:rsidRPr="00AC36D6">
        <w:t xml:space="preserve">f </w:t>
      </w:r>
      <w:r w:rsidR="00D15F6E" w:rsidRPr="00AC36D6">
        <w:t xml:space="preserve">an </w:t>
      </w:r>
      <w:r w:rsidR="00C645BA" w:rsidRPr="00AC36D6">
        <w:t>expenditure class</w:t>
      </w:r>
      <w:r w:rsidR="009E6419" w:rsidRPr="00AC36D6">
        <w:t>.</w:t>
      </w:r>
      <w:r w:rsidR="00C267D0" w:rsidRPr="00AC36D6">
        <w:t xml:space="preserve"> </w:t>
      </w:r>
      <w:r w:rsidR="00F02551" w:rsidRPr="00AC36D6">
        <w:t>The</w:t>
      </w:r>
      <w:r w:rsidR="00C267D0" w:rsidRPr="00AC36D6">
        <w:t xml:space="preserve"> negative </w:t>
      </w:r>
      <w:r w:rsidR="008A602C" w:rsidRPr="00AC36D6">
        <w:t>covariance</w:t>
      </w:r>
      <w:r w:rsidR="00C267D0" w:rsidRPr="00AC36D6">
        <w:t xml:space="preserve"> between the </w:t>
      </w:r>
      <w:r w:rsidR="00C267D0" w:rsidRPr="00AC36D6">
        <w:rPr>
          <w:i/>
          <w:iCs/>
        </w:rPr>
        <w:t>D-</w:t>
      </w:r>
      <w:r w:rsidR="00C267D0" w:rsidRPr="00AC36D6">
        <w:t xml:space="preserve"> and </w:t>
      </w:r>
      <w:r w:rsidR="00C267D0" w:rsidRPr="00AC36D6">
        <w:rPr>
          <w:i/>
          <w:iCs/>
        </w:rPr>
        <w:t>C-</w:t>
      </w:r>
      <w:r w:rsidR="00C267D0" w:rsidRPr="00AC36D6">
        <w:t>preference</w:t>
      </w:r>
      <w:r w:rsidR="00F02551" w:rsidRPr="00AC36D6">
        <w:t>s</w:t>
      </w:r>
      <w:r w:rsidR="00C267D0" w:rsidRPr="00AC36D6">
        <w:t xml:space="preserve"> </w:t>
      </w:r>
      <w:r w:rsidR="00F02551" w:rsidRPr="00AC36D6">
        <w:t>of</w:t>
      </w:r>
      <w:r w:rsidR="00C267D0" w:rsidRPr="00AC36D6">
        <w:t xml:space="preserve"> </w:t>
      </w:r>
      <w:r w:rsidR="00F02551" w:rsidRPr="00AC36D6">
        <w:t>the</w:t>
      </w:r>
      <w:r w:rsidR="00C267D0" w:rsidRPr="00AC36D6">
        <w:t xml:space="preserve"> food and beverage</w:t>
      </w:r>
      <w:r w:rsidR="00F02551" w:rsidRPr="00AC36D6">
        <w:t>s</w:t>
      </w:r>
      <w:r w:rsidR="00C267D0" w:rsidRPr="00AC36D6">
        <w:t xml:space="preserve"> category </w:t>
      </w:r>
      <w:r w:rsidR="00F02551" w:rsidRPr="00AC36D6">
        <w:t>is only marginally significant</w:t>
      </w:r>
      <w:r w:rsidR="00C267D0" w:rsidRPr="00AC36D6">
        <w:t>.</w:t>
      </w:r>
    </w:p>
    <w:p w14:paraId="49DB0723" w14:textId="7C74FFC7" w:rsidR="002E4EF0" w:rsidRPr="00AC36D6" w:rsidRDefault="002E4EF0" w:rsidP="004C7565">
      <w:pPr>
        <w:pStyle w:val="ListParagraph"/>
        <w:numPr>
          <w:ilvl w:val="2"/>
          <w:numId w:val="20"/>
        </w:numPr>
        <w:spacing w:before="120" w:after="0" w:line="360" w:lineRule="auto"/>
        <w:contextualSpacing w:val="0"/>
        <w:jc w:val="both"/>
        <w:rPr>
          <w:i/>
          <w:iCs/>
        </w:rPr>
      </w:pPr>
      <w:r w:rsidRPr="00AC36D6">
        <w:rPr>
          <w:i/>
          <w:iCs/>
        </w:rPr>
        <w:t>Likelihood</w:t>
      </w:r>
      <w:r w:rsidR="00DC571A" w:rsidRPr="00AC36D6">
        <w:rPr>
          <w:i/>
          <w:iCs/>
        </w:rPr>
        <w:t>-</w:t>
      </w:r>
      <w:r w:rsidRPr="00AC36D6">
        <w:rPr>
          <w:i/>
          <w:iCs/>
        </w:rPr>
        <w:t>based goodness</w:t>
      </w:r>
      <w:r w:rsidR="00DC571A" w:rsidRPr="00AC36D6">
        <w:rPr>
          <w:i/>
          <w:iCs/>
        </w:rPr>
        <w:t>-</w:t>
      </w:r>
      <w:r w:rsidRPr="00AC36D6">
        <w:rPr>
          <w:i/>
          <w:iCs/>
        </w:rPr>
        <w:t>of</w:t>
      </w:r>
      <w:r w:rsidR="00DC571A" w:rsidRPr="00AC36D6">
        <w:rPr>
          <w:i/>
          <w:iCs/>
        </w:rPr>
        <w:t>-</w:t>
      </w:r>
      <w:r w:rsidRPr="00AC36D6">
        <w:rPr>
          <w:i/>
          <w:iCs/>
        </w:rPr>
        <w:t>fit measures</w:t>
      </w:r>
    </w:p>
    <w:p w14:paraId="37323AC6" w14:textId="4AAA08B7" w:rsidR="002B5CBE" w:rsidRPr="00AC36D6" w:rsidRDefault="005A1CEE" w:rsidP="000164D5">
      <w:pPr>
        <w:spacing w:after="0" w:line="360" w:lineRule="auto"/>
        <w:jc w:val="both"/>
      </w:pPr>
      <w:r w:rsidRPr="00AC36D6">
        <w:t>Table 4 reports the likelihood</w:t>
      </w:r>
      <w:r w:rsidR="00733825" w:rsidRPr="00AC36D6">
        <w:t>-</w:t>
      </w:r>
      <w:r w:rsidRPr="00AC36D6">
        <w:t xml:space="preserve">based data fit measures for the </w:t>
      </w:r>
      <w:r w:rsidR="00147DE9" w:rsidRPr="00AC36D6">
        <w:t xml:space="preserve">following </w:t>
      </w:r>
      <w:r w:rsidR="00D1745B" w:rsidRPr="00AC36D6">
        <w:t>models</w:t>
      </w:r>
      <w:r w:rsidR="00147DE9" w:rsidRPr="00AC36D6">
        <w:t xml:space="preserve"> estimated in this study: (a) </w:t>
      </w:r>
      <w:r w:rsidR="001F3409" w:rsidRPr="00AC36D6">
        <w:t xml:space="preserve">flexible MDCP model with IID </w:t>
      </w:r>
      <w:r w:rsidR="001F3409" w:rsidRPr="00AC36D6">
        <w:rPr>
          <w:i/>
          <w:iCs/>
        </w:rPr>
        <w:t>D-</w:t>
      </w:r>
      <w:r w:rsidR="001F3409" w:rsidRPr="00AC36D6">
        <w:t xml:space="preserve">preferences </w:t>
      </w:r>
      <w:r w:rsidR="00100838" w:rsidRPr="00AC36D6">
        <w:t>and</w:t>
      </w:r>
      <w:r w:rsidR="001F3409" w:rsidRPr="00AC36D6">
        <w:t xml:space="preserve"> non-IID </w:t>
      </w:r>
      <w:r w:rsidR="001F3409" w:rsidRPr="00AC36D6">
        <w:rPr>
          <w:i/>
          <w:iCs/>
        </w:rPr>
        <w:t>C-</w:t>
      </w:r>
      <w:r w:rsidR="001F3409" w:rsidRPr="00AC36D6">
        <w:t>preferences</w:t>
      </w:r>
      <w:r w:rsidR="00161A5C" w:rsidRPr="00AC36D6">
        <w:t xml:space="preserve"> (as discussed in Section 2.3.</w:t>
      </w:r>
      <w:r w:rsidR="00EA2E54" w:rsidRPr="00AC36D6">
        <w:t>1</w:t>
      </w:r>
      <w:r w:rsidR="00161A5C" w:rsidRPr="00AC36D6">
        <w:t>)</w:t>
      </w:r>
      <w:r w:rsidR="00147DE9" w:rsidRPr="00AC36D6">
        <w:t xml:space="preserve">, (b) </w:t>
      </w:r>
      <w:r w:rsidR="00736BAF" w:rsidRPr="00AC36D6">
        <w:t>flexible MDC</w:t>
      </w:r>
      <w:r w:rsidR="00465C46" w:rsidRPr="00AC36D6">
        <w:t>P</w:t>
      </w:r>
      <w:r w:rsidR="00736BAF" w:rsidRPr="00AC36D6">
        <w:t xml:space="preserve"> model with</w:t>
      </w:r>
      <w:r w:rsidRPr="00AC36D6">
        <w:t xml:space="preserve"> IID</w:t>
      </w:r>
      <w:r w:rsidR="00733825" w:rsidRPr="00AC36D6">
        <w:t xml:space="preserve"> </w:t>
      </w:r>
      <w:r w:rsidR="00084B6E" w:rsidRPr="00AC36D6">
        <w:t xml:space="preserve">and </w:t>
      </w:r>
      <w:r w:rsidR="00733825" w:rsidRPr="00AC36D6">
        <w:t>uncorrelated</w:t>
      </w:r>
      <w:r w:rsidRPr="00AC36D6">
        <w:t xml:space="preserve"> </w:t>
      </w:r>
      <w:r w:rsidR="000164D5" w:rsidRPr="00AC36D6">
        <w:rPr>
          <w:rFonts w:eastAsia="Times New Roman" w:cs="Arial"/>
          <w:bCs/>
          <w:i/>
          <w:iCs/>
          <w:kern w:val="32"/>
          <w:szCs w:val="32"/>
        </w:rPr>
        <w:t>D-</w:t>
      </w:r>
      <w:r w:rsidR="000164D5" w:rsidRPr="00AC36D6">
        <w:rPr>
          <w:rFonts w:eastAsia="Times New Roman" w:cs="Arial"/>
          <w:bCs/>
          <w:kern w:val="32"/>
          <w:szCs w:val="32"/>
        </w:rPr>
        <w:t xml:space="preserve">preferences and </w:t>
      </w:r>
      <w:r w:rsidR="000164D5" w:rsidRPr="00AC36D6">
        <w:rPr>
          <w:rFonts w:eastAsia="Times New Roman" w:cs="Arial"/>
          <w:bCs/>
          <w:i/>
          <w:iCs/>
          <w:kern w:val="32"/>
          <w:szCs w:val="32"/>
        </w:rPr>
        <w:t>C-</w:t>
      </w:r>
      <w:r w:rsidR="000164D5" w:rsidRPr="00AC36D6">
        <w:rPr>
          <w:rFonts w:eastAsia="Times New Roman" w:cs="Arial"/>
          <w:bCs/>
          <w:kern w:val="32"/>
          <w:szCs w:val="32"/>
        </w:rPr>
        <w:t>preferences</w:t>
      </w:r>
      <w:r w:rsidR="007E6663" w:rsidRPr="00AC36D6">
        <w:rPr>
          <w:rFonts w:eastAsia="Times New Roman" w:cs="Arial"/>
          <w:bCs/>
          <w:kern w:val="32"/>
          <w:szCs w:val="32"/>
        </w:rPr>
        <w:t xml:space="preserve"> (i.e., </w:t>
      </w:r>
      <w:r w:rsidR="007E6663" w:rsidRPr="00AC36D6">
        <w:t xml:space="preserve">IID uncorrelated </w:t>
      </w:r>
      <w:r w:rsidR="007E6663" w:rsidRPr="00AC36D6">
        <w:rPr>
          <w:i/>
          <w:iCs/>
        </w:rPr>
        <w:t>D-C</w:t>
      </w:r>
      <w:r w:rsidR="007E6663" w:rsidRPr="00AC36D6">
        <w:t xml:space="preserve"> MDCP model)</w:t>
      </w:r>
      <w:r w:rsidR="000164D5" w:rsidRPr="00AC36D6">
        <w:rPr>
          <w:rFonts w:eastAsia="Times New Roman" w:cs="Arial"/>
          <w:bCs/>
          <w:kern w:val="32"/>
          <w:szCs w:val="32"/>
        </w:rPr>
        <w:t>, (c)</w:t>
      </w:r>
      <w:r w:rsidR="000164D5" w:rsidRPr="00AC36D6">
        <w:t xml:space="preserve"> </w:t>
      </w:r>
      <w:r w:rsidR="00B52B3D" w:rsidRPr="00AC36D6">
        <w:t xml:space="preserve">a traditional MDCP model with </w:t>
      </w:r>
      <w:r w:rsidR="00B52B3D" w:rsidRPr="00AC36D6">
        <w:lastRenderedPageBreak/>
        <w:t>a full covariance matrix</w:t>
      </w:r>
      <w:r w:rsidR="000A7A82" w:rsidRPr="00AC36D6">
        <w:t xml:space="preserve"> (or non-IID MDCP model)</w:t>
      </w:r>
      <w:r w:rsidR="00FB5CC6" w:rsidRPr="00AC36D6">
        <w:t>,</w:t>
      </w:r>
      <w:r w:rsidR="00690A81" w:rsidRPr="00AC36D6">
        <w:t xml:space="preserve"> (d) </w:t>
      </w:r>
      <w:r w:rsidR="00DB271C" w:rsidRPr="00AC36D6">
        <w:t xml:space="preserve">a </w:t>
      </w:r>
      <w:r w:rsidR="00690A81" w:rsidRPr="00AC36D6">
        <w:t>traditional MDCP</w:t>
      </w:r>
      <w:r w:rsidR="000516A4" w:rsidRPr="00AC36D6">
        <w:t xml:space="preserve"> model</w:t>
      </w:r>
      <w:r w:rsidR="00690A81" w:rsidRPr="00AC36D6">
        <w:t xml:space="preserve"> with IID error terms in the stochastic specification</w:t>
      </w:r>
      <w:r w:rsidR="00DB271C" w:rsidRPr="00AC36D6">
        <w:t xml:space="preserve"> (or IID MDCP</w:t>
      </w:r>
      <w:r w:rsidR="000516A4" w:rsidRPr="00AC36D6">
        <w:t xml:space="preserve"> model</w:t>
      </w:r>
      <w:r w:rsidR="00DB271C" w:rsidRPr="00AC36D6">
        <w:t>)</w:t>
      </w:r>
      <w:r w:rsidR="00690A81" w:rsidRPr="00AC36D6">
        <w:t>,</w:t>
      </w:r>
      <w:r w:rsidR="003D2925" w:rsidRPr="00AC36D6">
        <w:t xml:space="preserve"> and (</w:t>
      </w:r>
      <w:r w:rsidR="00D76B13" w:rsidRPr="00AC36D6">
        <w:t>e</w:t>
      </w:r>
      <w:r w:rsidR="003D2925" w:rsidRPr="00AC36D6">
        <w:t>) a flexible MDCEV model as in Bhat (2018)</w:t>
      </w:r>
      <w:r w:rsidR="00414D0E" w:rsidRPr="00AC36D6">
        <w:t xml:space="preserve"> </w:t>
      </w:r>
      <w:r w:rsidR="00D76B13" w:rsidRPr="00AC36D6">
        <w:t xml:space="preserve">with </w:t>
      </w:r>
      <w:r w:rsidR="00414D0E" w:rsidRPr="00AC36D6">
        <w:t>IID type I extreme value error terms</w:t>
      </w:r>
      <w:r w:rsidR="003D2925" w:rsidRPr="00AC36D6">
        <w:t xml:space="preserve">. </w:t>
      </w:r>
      <w:r w:rsidR="002B5CBE" w:rsidRPr="00AC36D6">
        <w:t xml:space="preserve">The traditional MDCP model was estimated to </w:t>
      </w:r>
      <w:r w:rsidR="005A5B84" w:rsidRPr="00AC36D6">
        <w:t>assess</w:t>
      </w:r>
      <w:r w:rsidR="002B5CBE" w:rsidRPr="00AC36D6">
        <w:t xml:space="preserve"> the benefits of </w:t>
      </w:r>
      <w:r w:rsidR="007F0DBC" w:rsidRPr="00AC36D6">
        <w:t xml:space="preserve">the additional </w:t>
      </w:r>
      <w:r w:rsidR="007F0DBC" w:rsidRPr="00AC36D6">
        <w:rPr>
          <w:i/>
          <w:iCs/>
        </w:rPr>
        <w:t>D-</w:t>
      </w:r>
      <w:r w:rsidR="007F0DBC" w:rsidRPr="00AC36D6">
        <w:t>preference parameters in the flexible MDCP model.</w:t>
      </w:r>
      <w:r w:rsidR="00414D0E" w:rsidRPr="00AC36D6">
        <w:t xml:space="preserve"> The flexible MDCEV model was estimated for comparison with </w:t>
      </w:r>
      <w:r w:rsidR="00E45EF8" w:rsidRPr="00AC36D6">
        <w:t xml:space="preserve">its IID probit counterpart </w:t>
      </w:r>
      <w:r w:rsidR="00EA7E29" w:rsidRPr="00AC36D6">
        <w:t xml:space="preserve">(i.e., the flexible MDCP with IID and uncorrelated </w:t>
      </w:r>
      <w:r w:rsidR="00EA7E29" w:rsidRPr="00AC36D6">
        <w:rPr>
          <w:rFonts w:eastAsia="Times New Roman" w:cs="Arial"/>
          <w:bCs/>
          <w:i/>
          <w:iCs/>
          <w:kern w:val="32"/>
          <w:szCs w:val="32"/>
        </w:rPr>
        <w:t>D-</w:t>
      </w:r>
      <w:r w:rsidR="00EA7E29" w:rsidRPr="00AC36D6">
        <w:rPr>
          <w:rFonts w:eastAsia="Times New Roman" w:cs="Arial"/>
          <w:bCs/>
          <w:kern w:val="32"/>
          <w:szCs w:val="32"/>
        </w:rPr>
        <w:t xml:space="preserve">preferences and </w:t>
      </w:r>
      <w:r w:rsidR="00EA7E29" w:rsidRPr="00AC36D6">
        <w:rPr>
          <w:rFonts w:eastAsia="Times New Roman" w:cs="Arial"/>
          <w:bCs/>
          <w:i/>
          <w:iCs/>
          <w:kern w:val="32"/>
          <w:szCs w:val="32"/>
        </w:rPr>
        <w:t>C-</w:t>
      </w:r>
      <w:r w:rsidR="00EA7E29" w:rsidRPr="00AC36D6">
        <w:rPr>
          <w:rFonts w:eastAsia="Times New Roman" w:cs="Arial"/>
          <w:bCs/>
          <w:kern w:val="32"/>
          <w:szCs w:val="32"/>
        </w:rPr>
        <w:t>preferences</w:t>
      </w:r>
      <w:r w:rsidR="00EA7E29" w:rsidRPr="00AC36D6">
        <w:t xml:space="preserve">) </w:t>
      </w:r>
      <w:r w:rsidR="00E45EF8" w:rsidRPr="00AC36D6">
        <w:t xml:space="preserve">to assess which error </w:t>
      </w:r>
      <w:r w:rsidR="00EA7E29" w:rsidRPr="00AC36D6">
        <w:t>distribution provides a better fit in the current empirical context.</w:t>
      </w:r>
      <w:r w:rsidR="000E0FF7" w:rsidRPr="00AC36D6">
        <w:t xml:space="preserve"> </w:t>
      </w:r>
    </w:p>
    <w:p w14:paraId="33649905" w14:textId="134426EF" w:rsidR="006578F4" w:rsidRPr="00F507E0" w:rsidRDefault="00D6146E" w:rsidP="00752196">
      <w:pPr>
        <w:spacing w:line="360" w:lineRule="auto"/>
        <w:jc w:val="both"/>
      </w:pPr>
      <w:r w:rsidRPr="00AC36D6">
        <w:tab/>
        <w:t>The likelihood-based goodness</w:t>
      </w:r>
      <w:r w:rsidR="0006646C" w:rsidRPr="00AC36D6">
        <w:t>-</w:t>
      </w:r>
      <w:r w:rsidRPr="00AC36D6">
        <w:t>of</w:t>
      </w:r>
      <w:r w:rsidR="0006646C" w:rsidRPr="00AC36D6">
        <w:t>-</w:t>
      </w:r>
      <w:r w:rsidRPr="00AC36D6">
        <w:t xml:space="preserve">fit measures </w:t>
      </w:r>
      <w:r w:rsidR="008B4EF3" w:rsidRPr="00AC36D6">
        <w:t xml:space="preserve">for all the above </w:t>
      </w:r>
      <w:r w:rsidR="00A0341F" w:rsidRPr="00AC36D6">
        <w:t>models</w:t>
      </w:r>
      <w:r w:rsidR="008B4EF3" w:rsidRPr="00AC36D6">
        <w:t xml:space="preserve"> were computed on an estimation sample of 3,500 households and a holdout sample of </w:t>
      </w:r>
      <w:r w:rsidR="00A0341F" w:rsidRPr="00AC36D6">
        <w:t xml:space="preserve">1,481 households. These measures are reported in Table </w:t>
      </w:r>
      <w:r w:rsidR="00570E54" w:rsidRPr="00AC36D6">
        <w:t xml:space="preserve">4. </w:t>
      </w:r>
      <w:r w:rsidR="000B361E" w:rsidRPr="00AC36D6">
        <w:t xml:space="preserve">Note that the three models with the label “flexible” in Table 4 relax the tight tie between the discrete and continuous consumption decisions, but are not always consistent with </w:t>
      </w:r>
      <w:r w:rsidR="00600D0E" w:rsidRPr="00AC36D6">
        <w:t>utility-maximizing</w:t>
      </w:r>
      <w:r w:rsidR="000B361E" w:rsidRPr="00AC36D6">
        <w:t xml:space="preserve"> behavior. On the other hand, the two models with the label “traditional” tie the discrete and continuous consumptions very tightly, but are strictly consistent with </w:t>
      </w:r>
      <w:r w:rsidR="00600D0E" w:rsidRPr="00AC36D6">
        <w:t>utility-maximizing</w:t>
      </w:r>
      <w:r w:rsidR="000B361E" w:rsidRPr="00AC36D6">
        <w:t xml:space="preserve"> behavior. </w:t>
      </w:r>
      <w:r w:rsidR="00D31375" w:rsidRPr="00AC36D6">
        <w:t xml:space="preserve">Several observations </w:t>
      </w:r>
      <w:r w:rsidR="00A0341F" w:rsidRPr="00AC36D6">
        <w:t>can be observed from t</w:t>
      </w:r>
      <w:r w:rsidR="00570E54" w:rsidRPr="00AC36D6">
        <w:t>he table</w:t>
      </w:r>
      <w:r w:rsidR="00D31375" w:rsidRPr="00AC36D6">
        <w:t xml:space="preserve">. </w:t>
      </w:r>
      <w:r w:rsidR="00D31375" w:rsidRPr="00AC36D6">
        <w:rPr>
          <w:u w:val="single"/>
        </w:rPr>
        <w:t>First</w:t>
      </w:r>
      <w:r w:rsidR="00570E54" w:rsidRPr="00AC36D6">
        <w:t xml:space="preserve">, the flexible MDCP model with IID </w:t>
      </w:r>
      <w:r w:rsidR="00570E54" w:rsidRPr="00AC36D6">
        <w:rPr>
          <w:i/>
          <w:iCs/>
        </w:rPr>
        <w:t>D-</w:t>
      </w:r>
      <w:r w:rsidR="00570E54" w:rsidRPr="00AC36D6">
        <w:t xml:space="preserve">preferences and non-IID </w:t>
      </w:r>
      <w:r w:rsidR="00570E54" w:rsidRPr="00AC36D6">
        <w:rPr>
          <w:i/>
          <w:iCs/>
        </w:rPr>
        <w:t>C-</w:t>
      </w:r>
      <w:r w:rsidR="00570E54" w:rsidRPr="00AC36D6">
        <w:t xml:space="preserve">preferences </w:t>
      </w:r>
      <w:r w:rsidR="004F713E" w:rsidRPr="00AC36D6">
        <w:t xml:space="preserve">(see </w:t>
      </w:r>
      <w:r w:rsidR="00624DDF" w:rsidRPr="00AC36D6">
        <w:t>second</w:t>
      </w:r>
      <w:r w:rsidR="004F713E" w:rsidRPr="00AC36D6">
        <w:t xml:space="preserve"> column of Table 4) </w:t>
      </w:r>
      <w:r w:rsidR="00570E54" w:rsidRPr="00AC36D6">
        <w:t xml:space="preserve">provides </w:t>
      </w:r>
      <w:r w:rsidR="0006646C" w:rsidRPr="00AC36D6">
        <w:t>a superior goodness-of-fit than all other models estimated in the study.</w:t>
      </w:r>
      <w:r w:rsidR="007B24A5" w:rsidRPr="00AC36D6">
        <w:t xml:space="preserve"> This result highlights the benefits of relaxing the IID assumptions in flexible MDCP models. </w:t>
      </w:r>
      <w:r w:rsidR="00D31375" w:rsidRPr="00AC36D6">
        <w:rPr>
          <w:u w:val="single"/>
        </w:rPr>
        <w:t>Second</w:t>
      </w:r>
      <w:r w:rsidR="00D31375" w:rsidRPr="00AC36D6">
        <w:t>, n</w:t>
      </w:r>
      <w:r w:rsidR="00733825" w:rsidRPr="00AC36D6">
        <w:t xml:space="preserve">ote that </w:t>
      </w:r>
      <w:r w:rsidR="005F0DB3" w:rsidRPr="00AC36D6">
        <w:t xml:space="preserve">both </w:t>
      </w:r>
      <w:r w:rsidR="00733825" w:rsidRPr="00AC36D6">
        <w:t xml:space="preserve">the IID uncorrelated </w:t>
      </w:r>
      <w:r w:rsidR="00733825" w:rsidRPr="00AC36D6">
        <w:rPr>
          <w:i/>
          <w:iCs/>
        </w:rPr>
        <w:t>D-C</w:t>
      </w:r>
      <w:r w:rsidR="00733825" w:rsidRPr="00AC36D6">
        <w:t xml:space="preserve"> MDCP </w:t>
      </w:r>
      <w:r w:rsidR="004F713E" w:rsidRPr="00AC36D6">
        <w:t>(</w:t>
      </w:r>
      <w:r w:rsidR="00810385" w:rsidRPr="00AC36D6">
        <w:t>third</w:t>
      </w:r>
      <w:r w:rsidR="004F713E" w:rsidRPr="00AC36D6">
        <w:t xml:space="preserve"> column of Table 4) </w:t>
      </w:r>
      <w:r w:rsidR="00733825" w:rsidRPr="00AC36D6">
        <w:t xml:space="preserve">and the flexible MDCEV model </w:t>
      </w:r>
      <w:r w:rsidR="004F713E" w:rsidRPr="00AC36D6">
        <w:t xml:space="preserve">from Bhat (2018) (last column of Table 4) </w:t>
      </w:r>
      <w:r w:rsidR="00733825" w:rsidRPr="00AC36D6">
        <w:t xml:space="preserve">impose </w:t>
      </w:r>
      <w:r w:rsidR="005F0DB3" w:rsidRPr="00AC36D6">
        <w:t xml:space="preserve">a </w:t>
      </w:r>
      <w:r w:rsidR="00733825" w:rsidRPr="00AC36D6">
        <w:t xml:space="preserve">similar structure on the covariance matrix. </w:t>
      </w:r>
      <w:r w:rsidR="00A118D5" w:rsidRPr="00AC36D6">
        <w:t xml:space="preserve">However, the probit version of the flexible MDC model provides </w:t>
      </w:r>
      <w:r w:rsidR="00AF6561" w:rsidRPr="00AC36D6">
        <w:t xml:space="preserve">a </w:t>
      </w:r>
      <w:r w:rsidR="00D45391" w:rsidRPr="00AC36D6">
        <w:t>better fit in th</w:t>
      </w:r>
      <w:r w:rsidR="00893B42" w:rsidRPr="00AC36D6">
        <w:t>e current</w:t>
      </w:r>
      <w:r w:rsidR="00D45391" w:rsidRPr="00AC36D6">
        <w:t xml:space="preserve"> empirical context</w:t>
      </w:r>
      <w:r w:rsidR="00893B42" w:rsidRPr="00AC36D6">
        <w:t xml:space="preserve">. Further, the </w:t>
      </w:r>
      <w:r w:rsidR="005F0DB3" w:rsidRPr="00AC36D6">
        <w:t xml:space="preserve">advantage </w:t>
      </w:r>
      <w:r w:rsidR="00893B42" w:rsidRPr="00AC36D6">
        <w:t xml:space="preserve">of the flexible MDCP model structure lies in its ability to </w:t>
      </w:r>
      <w:r w:rsidR="004F713E" w:rsidRPr="00AC36D6">
        <w:t xml:space="preserve">easily </w:t>
      </w:r>
      <w:r w:rsidR="00893B42" w:rsidRPr="00AC36D6">
        <w:t>relax the IID structure</w:t>
      </w:r>
      <w:r w:rsidR="004F713E" w:rsidRPr="00AC36D6">
        <w:t xml:space="preserve"> </w:t>
      </w:r>
      <w:r w:rsidR="00893B42" w:rsidRPr="00AC36D6">
        <w:t xml:space="preserve">imposed </w:t>
      </w:r>
      <w:r w:rsidR="004F713E" w:rsidRPr="00AC36D6">
        <w:t xml:space="preserve">in </w:t>
      </w:r>
      <w:r w:rsidR="00893B42" w:rsidRPr="00AC36D6">
        <w:t>the flexible MDCEV model.</w:t>
      </w:r>
      <w:r w:rsidR="002557AA" w:rsidRPr="00AC36D6">
        <w:t xml:space="preserve"> </w:t>
      </w:r>
      <w:r w:rsidR="005877E1" w:rsidRPr="00AC36D6">
        <w:rPr>
          <w:u w:val="single"/>
        </w:rPr>
        <w:t>Third</w:t>
      </w:r>
      <w:r w:rsidR="002557AA" w:rsidRPr="00AC36D6">
        <w:t xml:space="preserve">, </w:t>
      </w:r>
      <w:r w:rsidR="000B361E" w:rsidRPr="00AC36D6">
        <w:t>between</w:t>
      </w:r>
      <w:r w:rsidR="00F430B1" w:rsidRPr="00AC36D6">
        <w:t xml:space="preserve"> the </w:t>
      </w:r>
      <w:r w:rsidR="000B361E" w:rsidRPr="00AC36D6">
        <w:t xml:space="preserve">flexible </w:t>
      </w:r>
      <w:r w:rsidR="00F430B1" w:rsidRPr="00AC36D6">
        <w:t xml:space="preserve">model </w:t>
      </w:r>
      <w:r w:rsidR="000B361E" w:rsidRPr="00AC36D6">
        <w:t xml:space="preserve">with an </w:t>
      </w:r>
      <w:r w:rsidR="00F430B1" w:rsidRPr="00AC36D6">
        <w:t xml:space="preserve">IID </w:t>
      </w:r>
      <w:r w:rsidR="000B361E" w:rsidRPr="00AC36D6">
        <w:t xml:space="preserve">MDCP </w:t>
      </w:r>
      <w:r w:rsidR="00F430B1" w:rsidRPr="00AC36D6">
        <w:t xml:space="preserve">structure </w:t>
      </w:r>
      <w:r w:rsidR="000B361E" w:rsidRPr="00AC36D6">
        <w:t xml:space="preserve">(in the </w:t>
      </w:r>
      <w:r w:rsidR="00015CAB" w:rsidRPr="00AC36D6">
        <w:t>third</w:t>
      </w:r>
      <w:r w:rsidR="000B361E" w:rsidRPr="00AC36D6">
        <w:t xml:space="preserve"> column) </w:t>
      </w:r>
      <w:r w:rsidR="00F430B1" w:rsidRPr="00AC36D6">
        <w:t xml:space="preserve">and the </w:t>
      </w:r>
      <w:r w:rsidR="000B361E" w:rsidRPr="00AC36D6">
        <w:t xml:space="preserve">traditional </w:t>
      </w:r>
      <w:r w:rsidR="00F430B1" w:rsidRPr="00AC36D6">
        <w:t>IID MDCP</w:t>
      </w:r>
      <w:r w:rsidR="000B361E" w:rsidRPr="00AC36D6">
        <w:t xml:space="preserve"> (in the </w:t>
      </w:r>
      <w:r w:rsidR="0006355B" w:rsidRPr="00AC36D6">
        <w:t>fifth</w:t>
      </w:r>
      <w:r w:rsidR="000B361E" w:rsidRPr="00AC36D6">
        <w:t xml:space="preserve"> column</w:t>
      </w:r>
      <w:r w:rsidR="00F430B1" w:rsidRPr="00AC36D6">
        <w:t xml:space="preserve">), the </w:t>
      </w:r>
      <w:r w:rsidR="000B361E" w:rsidRPr="00AC36D6">
        <w:t>former</w:t>
      </w:r>
      <w:r w:rsidR="00F430B1" w:rsidRPr="00AC36D6">
        <w:t xml:space="preserve"> provides </w:t>
      </w:r>
      <w:r w:rsidR="009035C3" w:rsidRPr="00AC36D6">
        <w:t xml:space="preserve">a </w:t>
      </w:r>
      <w:r w:rsidR="00F430B1" w:rsidRPr="00AC36D6">
        <w:t>better fit in</w:t>
      </w:r>
      <w:r w:rsidR="00B705EB" w:rsidRPr="00AC36D6">
        <w:t xml:space="preserve"> both the </w:t>
      </w:r>
      <w:r w:rsidR="00F430B1" w:rsidRPr="00AC36D6">
        <w:t xml:space="preserve">estimation </w:t>
      </w:r>
      <w:r w:rsidR="00B705EB" w:rsidRPr="00AC36D6">
        <w:t xml:space="preserve">sample </w:t>
      </w:r>
      <w:r w:rsidR="00F430B1" w:rsidRPr="00AC36D6">
        <w:t xml:space="preserve">and </w:t>
      </w:r>
      <w:r w:rsidR="00B705EB" w:rsidRPr="00AC36D6">
        <w:t xml:space="preserve">the </w:t>
      </w:r>
      <w:r w:rsidR="00F430B1" w:rsidRPr="00AC36D6">
        <w:t>validation sample (</w:t>
      </w:r>
      <w:r w:rsidR="00B705EB" w:rsidRPr="00AC36D6">
        <w:t>albeit,</w:t>
      </w:r>
      <w:r w:rsidR="00C73239" w:rsidRPr="00AC36D6">
        <w:t xml:space="preserve"> in the validation sample,</w:t>
      </w:r>
      <w:r w:rsidR="00F430B1" w:rsidRPr="00AC36D6">
        <w:t xml:space="preserve"> </w:t>
      </w:r>
      <w:r w:rsidR="00771ABB" w:rsidRPr="00AC36D6">
        <w:t xml:space="preserve">the </w:t>
      </w:r>
      <w:r w:rsidR="00F430B1" w:rsidRPr="00AC36D6">
        <w:t xml:space="preserve">BIC value </w:t>
      </w:r>
      <w:r w:rsidR="0039415F" w:rsidRPr="00AC36D6">
        <w:t>for</w:t>
      </w:r>
      <w:r w:rsidR="00F430B1" w:rsidRPr="00AC36D6">
        <w:t xml:space="preserve"> the IID</w:t>
      </w:r>
      <w:r w:rsidR="00C73239" w:rsidRPr="00AC36D6">
        <w:t xml:space="preserve"> </w:t>
      </w:r>
      <w:r w:rsidR="00C73239" w:rsidRPr="00AC36D6">
        <w:rPr>
          <w:i/>
          <w:iCs/>
        </w:rPr>
        <w:t>D-C</w:t>
      </w:r>
      <w:r w:rsidR="00F430B1" w:rsidRPr="00AC36D6">
        <w:t xml:space="preserve"> MDCP model was </w:t>
      </w:r>
      <w:r w:rsidR="00C73239" w:rsidRPr="00AC36D6">
        <w:t xml:space="preserve">higher than </w:t>
      </w:r>
      <w:r w:rsidR="00771ABB" w:rsidRPr="00AC36D6">
        <w:t xml:space="preserve">that for </w:t>
      </w:r>
      <w:r w:rsidR="00C73239" w:rsidRPr="00AC36D6">
        <w:t>the IID MDCP model</w:t>
      </w:r>
      <w:r w:rsidR="00D73BB4" w:rsidRPr="00AC36D6">
        <w:t>, possibly becau</w:t>
      </w:r>
      <w:r w:rsidR="00C73239" w:rsidRPr="00AC36D6">
        <w:t>s</w:t>
      </w:r>
      <w:r w:rsidR="00D73BB4" w:rsidRPr="00AC36D6">
        <w:t>e BIC over-penalizes the flexible MDCP model due to more number of parameters</w:t>
      </w:r>
      <w:r w:rsidR="00F430B1" w:rsidRPr="00AC36D6">
        <w:t>).</w:t>
      </w:r>
      <w:r w:rsidR="0039415F" w:rsidRPr="00AC36D6">
        <w:t xml:space="preserve"> Similarly, </w:t>
      </w:r>
      <w:r w:rsidR="001B32DA" w:rsidRPr="00AC36D6">
        <w:t>between the flexible MDCP with a non-IID structure (</w:t>
      </w:r>
      <w:r w:rsidR="00B37C70" w:rsidRPr="00AC36D6">
        <w:t>second</w:t>
      </w:r>
      <w:r w:rsidR="001B32DA" w:rsidRPr="00AC36D6">
        <w:t xml:space="preserve"> column) and the corresponding traditional MDCP with a non-IID structure (</w:t>
      </w:r>
      <w:r w:rsidR="00A04C46" w:rsidRPr="00AC36D6">
        <w:t>fourth</w:t>
      </w:r>
      <w:r w:rsidR="001B32DA" w:rsidRPr="00AC36D6">
        <w:t xml:space="preserve"> column), once again</w:t>
      </w:r>
      <w:r w:rsidR="00F30105" w:rsidRPr="00AC36D6">
        <w:t>,</w:t>
      </w:r>
      <w:r w:rsidR="001B32DA" w:rsidRPr="00AC36D6">
        <w:t xml:space="preserve"> the </w:t>
      </w:r>
      <w:r w:rsidR="002557AA" w:rsidRPr="00AC36D6">
        <w:t>flexible structure</w:t>
      </w:r>
      <w:r w:rsidR="000C1C40" w:rsidRPr="00AC36D6">
        <w:t xml:space="preserve"> </w:t>
      </w:r>
      <w:r w:rsidR="002557AA" w:rsidRPr="00AC36D6">
        <w:t>provide</w:t>
      </w:r>
      <w:r w:rsidR="001B32DA" w:rsidRPr="00AC36D6">
        <w:t>s</w:t>
      </w:r>
      <w:r w:rsidR="002557AA" w:rsidRPr="00AC36D6">
        <w:t xml:space="preserve"> </w:t>
      </w:r>
      <w:r w:rsidR="002D00FC" w:rsidRPr="00AC36D6">
        <w:t xml:space="preserve">a </w:t>
      </w:r>
      <w:r w:rsidR="002557AA" w:rsidRPr="00AC36D6">
        <w:t>better fit both in estimation and holdout sample</w:t>
      </w:r>
      <w:r w:rsidR="002D00FC" w:rsidRPr="00AC36D6">
        <w:t>s</w:t>
      </w:r>
      <w:r w:rsidR="001B32DA" w:rsidRPr="00AC36D6">
        <w:t xml:space="preserve">. Finally, it is interesting to focus on the comparison of the IID </w:t>
      </w:r>
      <w:r w:rsidR="001B32DA" w:rsidRPr="00AC36D6">
        <w:lastRenderedPageBreak/>
        <w:t>flexible MDCP (second column) and the non-IID but traditional MDCP (</w:t>
      </w:r>
      <w:r w:rsidR="00FD728F" w:rsidRPr="00AC36D6">
        <w:t>fourth</w:t>
      </w:r>
      <w:r w:rsidR="001B32DA" w:rsidRPr="00AC36D6">
        <w:t xml:space="preserve"> column). Here, the non-IID traditional </w:t>
      </w:r>
      <w:r w:rsidR="001B32DA" w:rsidRPr="00F507E0">
        <w:t>MDCP comes out to be the clear winner.</w:t>
      </w:r>
    </w:p>
    <w:p w14:paraId="389668B4" w14:textId="421E0648" w:rsidR="003119AA" w:rsidRPr="00F507E0" w:rsidRDefault="00EB228F" w:rsidP="004C7565">
      <w:pPr>
        <w:pStyle w:val="ListParagraph"/>
        <w:numPr>
          <w:ilvl w:val="2"/>
          <w:numId w:val="20"/>
        </w:numPr>
        <w:spacing w:before="120" w:after="0" w:line="360" w:lineRule="auto"/>
        <w:contextualSpacing w:val="0"/>
        <w:jc w:val="both"/>
      </w:pPr>
      <w:r w:rsidRPr="00F507E0">
        <w:rPr>
          <w:i/>
          <w:iCs/>
        </w:rPr>
        <w:t>Comparison of predictive accuracy</w:t>
      </w:r>
    </w:p>
    <w:p w14:paraId="1EF24680" w14:textId="77777777" w:rsidR="004C7ABD" w:rsidRPr="00F507E0" w:rsidRDefault="004C7ABD" w:rsidP="004C7ABD">
      <w:pPr>
        <w:spacing w:after="0" w:line="360" w:lineRule="auto"/>
        <w:jc w:val="both"/>
      </w:pPr>
      <w:r w:rsidRPr="00F507E0">
        <w:t>The likelihood-based goodness-of-fit measures indicate better performance of the flexible MDCP model with IID D-preferences and non-IID C-preferences than other models evaluated in this study. However, better performance based on likelihood based fit measures does not always translate to improved accuracy in predictions on outside samples. Therefore, we evaluate the predictive performance of these models on the holdout sample (i.e., the sample of 1481 data points not used for estimation). Specifically, we compare the predictions from the proposed non-IID flexible MDCP model with those obtained from (a) the IID D-C flexible MDCP model – to highlight the importance of relaxing the IID assumption in the prior formulation of flexible MDC model, and (b) the non-IID traditional MDC model – to highlight the importance of separating the discrete and continuous preferences in MDC model systems. The results of the predictive assessments are presented in Table 5, where the predictions from the respective models are aggregated over 100 sets of simulation draws.</w:t>
      </w:r>
    </w:p>
    <w:p w14:paraId="4F875140" w14:textId="77777777" w:rsidR="004C7ABD" w:rsidRPr="00F507E0" w:rsidRDefault="004C7ABD" w:rsidP="004C7ABD">
      <w:pPr>
        <w:spacing w:after="0" w:line="360" w:lineRule="auto"/>
        <w:ind w:firstLine="547"/>
        <w:jc w:val="both"/>
      </w:pPr>
      <w:r w:rsidRPr="00F507E0">
        <w:t xml:space="preserve">As is evident from the table, all three models do a decent job in predicting the discrete shares of whether to spend in an expense category, with the IID D-C flexible MDCP model predicting closest to the observed shares, as indicated by the weighted Mean Absolute Percentage Error (MAPE) values corresponding to the discrete shares (see the fourth, sixth and eight columns in Table 5). However, when it comes to the extent of expenditure in these categories, the flexible MDCP model with IID D- and non-IID C-preferences provides more accurate predictions, with the weighted MAPE value of around 16% (as compared to the weighted MAPE of 27.8% corresponding to the IID D-C flexible MDCP model, and 17% for the non-IID traditional MDCP model. At the level of expenditure class, it is evident from the results that all the models predict fairly well across all categories, except accommodation. Interestingly, the non-IID traditional MDCP model is quite off from the observed expenditure in accommodation. A possible reason for this error could be the fact that accommodation category has a relatively lower discrete share but a significantly high expenditure. Since the same baseline preference parameter controls both the discrete as well as continuous outcomes in the traditional MDCP model, the errors are reflected in the continuous predictions. However, in all other categories, both the flexible MDCP model (with IID D- and non-IID C-preferences) and the </w:t>
      </w:r>
      <w:r w:rsidRPr="00F507E0">
        <w:lastRenderedPageBreak/>
        <w:t>traditional MDCP model predict with fair accuracy. This is also reflected in the comparable overall weighted MAPE values for the two models, with the flexible model structure predicting slightly better than the traditional model structure.</w:t>
      </w:r>
    </w:p>
    <w:p w14:paraId="05B0AFF2" w14:textId="1544D94C" w:rsidR="001B32DA" w:rsidRPr="00F507E0" w:rsidRDefault="004C7ABD" w:rsidP="004C7ABD">
      <w:pPr>
        <w:spacing w:after="0" w:line="360" w:lineRule="auto"/>
        <w:ind w:firstLine="540"/>
        <w:jc w:val="both"/>
      </w:pPr>
      <w:r w:rsidRPr="00F507E0">
        <w:t>Overall, in our empirical context, the predictive assessment indicates similar trends as those observed form the likelihood-based goodness-of-fit measures, where the flexible (but not always consistent with utility-maximizing-behavior) model structure is the preferred structure relative to the traditional MDC model that is strictly consistent with utility-maximizing behavior. We expect this to be the case in general too, because of the relaxing of the tight tie between the discrete and continuous consumptions. The caveat though is that the IID flexible structure need not always be better than the non-IID traditional structure, as is also observed from our result presented above. The takeaway is that if strictly utility-maximizing behavior is not necessarily desired, the preferred model would, in general, be the flexible non-IID MDCP model proposed and implemented in this paper. However, a potential downside to the flexible MDC model structure is that it cannot be used to calculate welfare measures. In such situations, where consistency with the utility-maximizing behavior is important, the traditional non-IID MDCP with a full covariance matrix would be a good model to consider. This traditional non-IID MDCP will, in general, provide a much superior fit to IID (MDCP or MDCEV) traditional models and, as in our empirical case, may even provide a better data fit and accurate predictions than the flexible IID MDCP model.</w:t>
      </w:r>
      <w:r w:rsidR="0055484C" w:rsidRPr="00F507E0">
        <w:t xml:space="preserve"> </w:t>
      </w:r>
    </w:p>
    <w:p w14:paraId="5D6E7B9C" w14:textId="77777777" w:rsidR="0008734E" w:rsidRPr="00F507E0" w:rsidRDefault="0008734E" w:rsidP="00D31375">
      <w:pPr>
        <w:spacing w:after="0" w:line="360" w:lineRule="auto"/>
        <w:jc w:val="both"/>
      </w:pPr>
    </w:p>
    <w:p w14:paraId="136073BE" w14:textId="30764F86" w:rsidR="00E80A1D" w:rsidRPr="00F507E0" w:rsidRDefault="00695E4C" w:rsidP="00D8006E">
      <w:pPr>
        <w:pStyle w:val="ListParagraph"/>
        <w:numPr>
          <w:ilvl w:val="0"/>
          <w:numId w:val="20"/>
        </w:numPr>
        <w:spacing w:after="0" w:line="360" w:lineRule="auto"/>
        <w:ind w:left="547" w:hanging="547"/>
        <w:contextualSpacing w:val="0"/>
        <w:rPr>
          <w:b/>
        </w:rPr>
      </w:pPr>
      <w:r w:rsidRPr="00F507E0">
        <w:rPr>
          <w:b/>
        </w:rPr>
        <w:t>CONCLUSIONS</w:t>
      </w:r>
    </w:p>
    <w:p w14:paraId="602A67DC" w14:textId="71936474" w:rsidR="00E30A9F" w:rsidRPr="00AC36D6" w:rsidRDefault="00DE4EB7" w:rsidP="0008734E">
      <w:pPr>
        <w:spacing w:after="0" w:line="360" w:lineRule="auto"/>
        <w:jc w:val="both"/>
      </w:pPr>
      <w:r w:rsidRPr="00F507E0">
        <w:rPr>
          <w:rFonts w:eastAsia="Times New Roman" w:cs="Arial"/>
          <w:bCs/>
          <w:kern w:val="32"/>
          <w:szCs w:val="32"/>
        </w:rPr>
        <w:t xml:space="preserve">In this </w:t>
      </w:r>
      <w:r w:rsidR="00C63DBF" w:rsidRPr="00F507E0">
        <w:rPr>
          <w:rFonts w:eastAsia="Times New Roman" w:cs="Arial"/>
          <w:bCs/>
          <w:kern w:val="32"/>
          <w:szCs w:val="32"/>
        </w:rPr>
        <w:t>paper</w:t>
      </w:r>
      <w:r w:rsidRPr="00F507E0">
        <w:rPr>
          <w:rFonts w:eastAsia="Times New Roman" w:cs="Arial"/>
          <w:bCs/>
          <w:kern w:val="32"/>
          <w:szCs w:val="32"/>
        </w:rPr>
        <w:t>, we</w:t>
      </w:r>
      <w:r w:rsidR="00C63DBF" w:rsidRPr="00F507E0">
        <w:rPr>
          <w:rFonts w:eastAsia="Times New Roman" w:cs="Arial"/>
          <w:bCs/>
          <w:kern w:val="32"/>
          <w:szCs w:val="32"/>
        </w:rPr>
        <w:t xml:space="preserve"> formulate a flexible </w:t>
      </w:r>
      <w:r w:rsidR="00474447" w:rsidRPr="00F507E0">
        <w:rPr>
          <w:rFonts w:eastAsia="Times New Roman" w:cs="Arial"/>
          <w:bCs/>
          <w:kern w:val="32"/>
          <w:szCs w:val="32"/>
        </w:rPr>
        <w:t>multiple discrete</w:t>
      </w:r>
      <w:r w:rsidR="00474447" w:rsidRPr="00AC36D6">
        <w:rPr>
          <w:rFonts w:eastAsia="Times New Roman" w:cs="Arial"/>
          <w:bCs/>
          <w:color w:val="000000"/>
          <w:kern w:val="32"/>
          <w:szCs w:val="32"/>
        </w:rPr>
        <w:t>-continuous probit (</w:t>
      </w:r>
      <w:r w:rsidR="00C63DBF" w:rsidRPr="00AC36D6">
        <w:rPr>
          <w:rFonts w:eastAsia="Times New Roman" w:cs="Arial"/>
          <w:bCs/>
          <w:color w:val="000000"/>
          <w:kern w:val="32"/>
          <w:szCs w:val="32"/>
        </w:rPr>
        <w:t>MDC</w:t>
      </w:r>
      <w:r w:rsidR="00474447" w:rsidRPr="00AC36D6">
        <w:rPr>
          <w:rFonts w:eastAsia="Times New Roman" w:cs="Arial"/>
          <w:bCs/>
          <w:color w:val="000000"/>
          <w:kern w:val="32"/>
          <w:szCs w:val="32"/>
        </w:rPr>
        <w:t>P)</w:t>
      </w:r>
      <w:r w:rsidR="00C63DBF" w:rsidRPr="00AC36D6">
        <w:rPr>
          <w:rFonts w:eastAsia="Times New Roman" w:cs="Arial"/>
          <w:bCs/>
          <w:color w:val="000000"/>
          <w:kern w:val="32"/>
          <w:szCs w:val="32"/>
        </w:rPr>
        <w:t xml:space="preserve"> model with </w:t>
      </w:r>
      <w:r w:rsidR="002D00FC" w:rsidRPr="00AC36D6">
        <w:rPr>
          <w:rFonts w:eastAsia="Times New Roman" w:cs="Arial"/>
          <w:bCs/>
          <w:color w:val="000000"/>
          <w:kern w:val="32"/>
          <w:szCs w:val="32"/>
        </w:rPr>
        <w:t xml:space="preserve">a </w:t>
      </w:r>
      <w:r w:rsidR="00474447" w:rsidRPr="00AC36D6">
        <w:rPr>
          <w:rFonts w:eastAsia="Times New Roman" w:cs="Arial"/>
          <w:bCs/>
          <w:color w:val="000000"/>
          <w:kern w:val="32"/>
          <w:szCs w:val="32"/>
        </w:rPr>
        <w:t xml:space="preserve">multivariate normal distributed </w:t>
      </w:r>
      <w:r w:rsidR="00C63DBF" w:rsidRPr="00AC36D6">
        <w:rPr>
          <w:rFonts w:eastAsia="Times New Roman" w:cs="Arial"/>
          <w:bCs/>
          <w:color w:val="000000"/>
          <w:kern w:val="32"/>
          <w:szCs w:val="32"/>
        </w:rPr>
        <w:t xml:space="preserve">error kernel </w:t>
      </w:r>
      <w:r w:rsidR="00C77D72" w:rsidRPr="00AC36D6">
        <w:rPr>
          <w:rFonts w:eastAsia="Times New Roman" w:cs="Arial"/>
          <w:bCs/>
          <w:color w:val="000000"/>
          <w:kern w:val="32"/>
          <w:szCs w:val="32"/>
        </w:rPr>
        <w:t xml:space="preserve">that allows non-IID </w:t>
      </w:r>
      <w:r w:rsidRPr="00AC36D6">
        <w:rPr>
          <w:rFonts w:eastAsia="Times New Roman" w:cs="Arial"/>
          <w:bCs/>
          <w:color w:val="000000"/>
          <w:kern w:val="32"/>
          <w:szCs w:val="32"/>
        </w:rPr>
        <w:t>error structure in the utility functions</w:t>
      </w:r>
      <w:r w:rsidR="00C63DBF" w:rsidRPr="00AC36D6">
        <w:rPr>
          <w:rFonts w:eastAsia="Times New Roman" w:cs="Arial"/>
          <w:bCs/>
          <w:color w:val="000000"/>
          <w:kern w:val="32"/>
          <w:szCs w:val="32"/>
        </w:rPr>
        <w:t xml:space="preserve">. </w:t>
      </w:r>
      <w:r w:rsidR="0082191A" w:rsidRPr="00AC36D6">
        <w:rPr>
          <w:rFonts w:eastAsia="Times New Roman" w:cs="Arial"/>
          <w:bCs/>
          <w:color w:val="000000"/>
          <w:kern w:val="32"/>
          <w:szCs w:val="32"/>
        </w:rPr>
        <w:t>In</w:t>
      </w:r>
      <w:r w:rsidR="00C63DBF" w:rsidRPr="00AC36D6">
        <w:rPr>
          <w:rFonts w:eastAsia="Times New Roman" w:cs="Arial"/>
          <w:bCs/>
          <w:color w:val="000000"/>
          <w:kern w:val="32"/>
          <w:szCs w:val="32"/>
        </w:rPr>
        <w:t xml:space="preserve"> doing so, we revisit the formulation of Bhat’s (2018) flexible </w:t>
      </w:r>
      <w:r w:rsidR="002D20A3" w:rsidRPr="00AC36D6">
        <w:rPr>
          <w:rFonts w:eastAsia="Times New Roman" w:cs="Arial"/>
          <w:bCs/>
          <w:color w:val="000000"/>
          <w:kern w:val="32"/>
          <w:szCs w:val="32"/>
        </w:rPr>
        <w:t xml:space="preserve">utility form </w:t>
      </w:r>
      <w:r w:rsidR="002D20A3" w:rsidRPr="00AC36D6">
        <w:t xml:space="preserve">and </w:t>
      </w:r>
      <w:r w:rsidR="00B71CE7" w:rsidRPr="00AC36D6">
        <w:t>highlight that</w:t>
      </w:r>
      <w:r w:rsidR="002D20A3" w:rsidRPr="00AC36D6">
        <w:t xml:space="preserve"> the discrete preference parameters </w:t>
      </w:r>
      <w:r w:rsidR="00B71CE7" w:rsidRPr="00AC36D6">
        <w:t xml:space="preserve">used in the flexible utility form do not have a role </w:t>
      </w:r>
      <w:r w:rsidR="002D20A3" w:rsidRPr="00AC36D6">
        <w:t xml:space="preserve">in the optimality conditions associated with the utility </w:t>
      </w:r>
      <w:r w:rsidR="00B71CE7" w:rsidRPr="00AC36D6">
        <w:t>function</w:t>
      </w:r>
      <w:r w:rsidR="00704FA7" w:rsidRPr="00AC36D6">
        <w:rPr>
          <w:rFonts w:eastAsia="Times New Roman" w:cs="Arial"/>
          <w:bCs/>
          <w:color w:val="000000"/>
          <w:kern w:val="32"/>
          <w:szCs w:val="32"/>
        </w:rPr>
        <w:t xml:space="preserve">. </w:t>
      </w:r>
      <w:r w:rsidR="004126E6" w:rsidRPr="00AC36D6">
        <w:rPr>
          <w:rFonts w:eastAsia="Times New Roman" w:cs="Arial"/>
          <w:bCs/>
          <w:color w:val="000000"/>
          <w:kern w:val="32"/>
          <w:szCs w:val="32"/>
        </w:rPr>
        <w:t>As a result</w:t>
      </w:r>
      <w:r w:rsidR="00704FA7" w:rsidRPr="00AC36D6">
        <w:rPr>
          <w:rFonts w:eastAsia="Times New Roman" w:cs="Arial"/>
          <w:bCs/>
          <w:color w:val="000000"/>
          <w:kern w:val="32"/>
          <w:szCs w:val="32"/>
        </w:rPr>
        <w:t xml:space="preserve">, </w:t>
      </w:r>
      <w:r w:rsidR="004126E6" w:rsidRPr="00AC36D6">
        <w:t>the stochastic conditions used by Bhat (2018) to d</w:t>
      </w:r>
      <w:r w:rsidR="0055484C" w:rsidRPr="00AC36D6">
        <w:t>e</w:t>
      </w:r>
      <w:r w:rsidR="004126E6" w:rsidRPr="00AC36D6">
        <w:t>rive the model likelihood function are not always consistent with utility maximization</w:t>
      </w:r>
      <w:r w:rsidR="00BB1244" w:rsidRPr="00AC36D6">
        <w:t xml:space="preserve"> (hence the flexible MDCEV model is not necessarily consistent with utility maximization)</w:t>
      </w:r>
      <w:r w:rsidR="00704FA7" w:rsidRPr="00AC36D6">
        <w:rPr>
          <w:rFonts w:eastAsia="Times New Roman" w:cs="Arial"/>
          <w:bCs/>
          <w:color w:val="000000"/>
          <w:kern w:val="32"/>
          <w:szCs w:val="32"/>
        </w:rPr>
        <w:t xml:space="preserve">. </w:t>
      </w:r>
      <w:r w:rsidR="00E30A9F" w:rsidRPr="00AC36D6">
        <w:t>Therefore, we provide an alternate interpretation of Bhat’s (2018) model as a representation of a two-step decision</w:t>
      </w:r>
      <w:r w:rsidR="00312B2D" w:rsidRPr="00AC36D6">
        <w:t>-</w:t>
      </w:r>
      <w:r w:rsidR="00E30A9F" w:rsidRPr="00AC36D6">
        <w:t xml:space="preserve">making heuristic. Specifically, </w:t>
      </w:r>
      <w:r w:rsidR="00E30A9F" w:rsidRPr="00AC36D6">
        <w:rPr>
          <w:rFonts w:eastAsia="Times New Roman" w:cs="Arial"/>
          <w:bCs/>
          <w:color w:val="000000"/>
          <w:kern w:val="32"/>
        </w:rPr>
        <w:t xml:space="preserve">for a given inside good </w:t>
      </w:r>
      <w:r w:rsidR="00E30A9F" w:rsidRPr="00AC36D6">
        <w:rPr>
          <w:rFonts w:eastAsia="Times New Roman" w:cs="Arial"/>
          <w:bCs/>
          <w:i/>
          <w:iCs/>
          <w:color w:val="000000"/>
          <w:kern w:val="32"/>
        </w:rPr>
        <w:t>k</w:t>
      </w:r>
      <w:r w:rsidR="00E30A9F" w:rsidRPr="00AC36D6">
        <w:rPr>
          <w:rFonts w:eastAsia="Times New Roman" w:cs="Arial"/>
          <w:bCs/>
          <w:color w:val="000000"/>
          <w:kern w:val="32"/>
        </w:rPr>
        <w:t xml:space="preserve">, in the first step, the discrete choice decision is made based on its discrete choice preference </w:t>
      </w:r>
      <w:r w:rsidR="00E30A9F" w:rsidRPr="00AC36D6">
        <w:rPr>
          <w:rFonts w:eastAsia="Times New Roman" w:cs="Arial"/>
          <w:bCs/>
          <w:color w:val="000000"/>
          <w:kern w:val="32"/>
        </w:rPr>
        <w:lastRenderedPageBreak/>
        <w:t>function</w:t>
      </w:r>
      <w:r w:rsidR="00E30A9F" w:rsidRPr="00AC36D6">
        <w:rPr>
          <w:rFonts w:eastAsia="Times New Roman" w:cs="Arial"/>
          <w:bCs/>
          <w:color w:val="000000"/>
          <w:kern w:val="32"/>
          <w:szCs w:val="32"/>
        </w:rPr>
        <w:t>. In the second step, the continuous consumption amount is determined based on the continuous choice preference</w:t>
      </w:r>
      <w:r w:rsidR="00637B87" w:rsidRPr="00AC36D6">
        <w:rPr>
          <w:rFonts w:eastAsia="Times New Roman" w:cs="Arial"/>
          <w:bCs/>
          <w:color w:val="000000"/>
          <w:kern w:val="32"/>
          <w:szCs w:val="32"/>
        </w:rPr>
        <w:t xml:space="preserve"> function</w:t>
      </w:r>
      <w:r w:rsidR="00E30A9F" w:rsidRPr="00AC36D6">
        <w:rPr>
          <w:rFonts w:eastAsia="Times New Roman" w:cs="Arial"/>
          <w:bCs/>
          <w:color w:val="000000"/>
          <w:kern w:val="32"/>
          <w:szCs w:val="32"/>
        </w:rPr>
        <w:t xml:space="preserve"> and </w:t>
      </w:r>
      <w:r w:rsidR="00637B87" w:rsidRPr="00AC36D6">
        <w:rPr>
          <w:rFonts w:eastAsia="Times New Roman" w:cs="Arial"/>
          <w:bCs/>
          <w:color w:val="000000"/>
          <w:kern w:val="32"/>
          <w:szCs w:val="32"/>
        </w:rPr>
        <w:t xml:space="preserve">the </w:t>
      </w:r>
      <w:r w:rsidR="00E30A9F" w:rsidRPr="00AC36D6">
        <w:rPr>
          <w:rFonts w:eastAsia="Times New Roman" w:cs="Arial"/>
          <w:bCs/>
          <w:color w:val="000000"/>
          <w:kern w:val="32"/>
          <w:szCs w:val="32"/>
        </w:rPr>
        <w:t xml:space="preserve">satiation </w:t>
      </w:r>
      <w:r w:rsidR="00637B87" w:rsidRPr="00AC36D6">
        <w:rPr>
          <w:rFonts w:eastAsia="Times New Roman" w:cs="Arial"/>
          <w:bCs/>
          <w:color w:val="000000"/>
          <w:kern w:val="32"/>
          <w:szCs w:val="32"/>
        </w:rPr>
        <w:t>function</w:t>
      </w:r>
      <w:r w:rsidR="00E30A9F" w:rsidRPr="00AC36D6">
        <w:rPr>
          <w:rFonts w:eastAsia="Times New Roman" w:cs="Arial"/>
          <w:bCs/>
          <w:color w:val="000000"/>
          <w:kern w:val="32"/>
          <w:szCs w:val="32"/>
        </w:rPr>
        <w:t xml:space="preserve"> of that good.</w:t>
      </w:r>
      <w:r w:rsidR="00E30A9F" w:rsidRPr="00AC36D6">
        <w:rPr>
          <w:rFonts w:eastAsia="Times New Roman" w:cs="Arial"/>
          <w:bCs/>
          <w:color w:val="000000"/>
          <w:kern w:val="32"/>
        </w:rPr>
        <w:t xml:space="preserve"> </w:t>
      </w:r>
    </w:p>
    <w:p w14:paraId="0913F007" w14:textId="3A18CB4B" w:rsidR="0019543C" w:rsidRPr="00AC36D6" w:rsidRDefault="00001BBB" w:rsidP="0019543C">
      <w:pPr>
        <w:spacing w:after="0" w:line="360" w:lineRule="auto"/>
        <w:ind w:firstLine="720"/>
        <w:jc w:val="both"/>
      </w:pPr>
      <w:r w:rsidRPr="00AC36D6">
        <w:rPr>
          <w:rFonts w:eastAsia="Times New Roman" w:cs="Arial"/>
          <w:bCs/>
          <w:color w:val="000000"/>
          <w:kern w:val="32"/>
          <w:szCs w:val="32"/>
        </w:rPr>
        <w:t xml:space="preserve">The proposed </w:t>
      </w:r>
      <w:r w:rsidR="00EB7323" w:rsidRPr="00AC36D6">
        <w:rPr>
          <w:rFonts w:eastAsia="Times New Roman" w:cs="Arial"/>
          <w:bCs/>
          <w:color w:val="000000"/>
          <w:kern w:val="32"/>
          <w:szCs w:val="32"/>
        </w:rPr>
        <w:t xml:space="preserve">flexible MDCP </w:t>
      </w:r>
      <w:r w:rsidRPr="00AC36D6">
        <w:rPr>
          <w:rFonts w:eastAsia="Times New Roman" w:cs="Arial"/>
          <w:bCs/>
          <w:color w:val="000000"/>
          <w:kern w:val="32"/>
          <w:szCs w:val="32"/>
        </w:rPr>
        <w:t xml:space="preserve">model is applied to analyze monetary </w:t>
      </w:r>
      <w:r w:rsidRPr="00AC36D6">
        <w:rPr>
          <w:rFonts w:eastAsia="Times New Roman" w:cs="Arial"/>
          <w:bCs/>
          <w:color w:val="000000"/>
          <w:kern w:val="32"/>
          <w:szCs w:val="32"/>
          <w:lang w:val="en-GB"/>
        </w:rPr>
        <w:t>expenditures</w:t>
      </w:r>
      <w:r w:rsidR="00985239" w:rsidRPr="00AC36D6">
        <w:rPr>
          <w:rFonts w:eastAsia="Times New Roman" w:cs="Arial"/>
          <w:bCs/>
          <w:color w:val="000000"/>
          <w:kern w:val="32"/>
          <w:szCs w:val="32"/>
          <w:lang w:val="en-GB"/>
        </w:rPr>
        <w:t xml:space="preserve"> incurred</w:t>
      </w:r>
      <w:r w:rsidRPr="00AC36D6">
        <w:rPr>
          <w:rFonts w:eastAsia="Times New Roman" w:cs="Arial"/>
          <w:bCs/>
          <w:color w:val="000000"/>
          <w:kern w:val="32"/>
          <w:szCs w:val="32"/>
          <w:lang w:val="en-GB"/>
        </w:rPr>
        <w:t xml:space="preserve"> on </w:t>
      </w:r>
      <w:r w:rsidR="00985239" w:rsidRPr="00AC36D6">
        <w:rPr>
          <w:rFonts w:eastAsia="Times New Roman" w:cs="Arial"/>
          <w:bCs/>
          <w:color w:val="000000"/>
          <w:kern w:val="32"/>
          <w:szCs w:val="32"/>
          <w:lang w:val="en-GB"/>
        </w:rPr>
        <w:t>recreational trips undertaken</w:t>
      </w:r>
      <w:r w:rsidRPr="00AC36D6">
        <w:rPr>
          <w:rFonts w:eastAsia="Times New Roman" w:cs="Arial"/>
          <w:bCs/>
          <w:color w:val="000000"/>
          <w:kern w:val="32"/>
          <w:szCs w:val="32"/>
          <w:lang w:val="en-GB"/>
        </w:rPr>
        <w:t xml:space="preserve"> by Indian households</w:t>
      </w:r>
      <w:r w:rsidR="00112561" w:rsidRPr="00AC36D6">
        <w:rPr>
          <w:rFonts w:eastAsia="Times New Roman" w:cs="Arial"/>
          <w:bCs/>
          <w:color w:val="000000"/>
          <w:kern w:val="32"/>
          <w:szCs w:val="32"/>
          <w:lang w:val="en-GB"/>
        </w:rPr>
        <w:t xml:space="preserve"> that involved </w:t>
      </w:r>
      <w:r w:rsidR="00D602EF" w:rsidRPr="00AC36D6">
        <w:rPr>
          <w:rFonts w:eastAsia="Times New Roman" w:cs="Arial"/>
          <w:bCs/>
          <w:color w:val="000000"/>
          <w:kern w:val="32"/>
          <w:szCs w:val="32"/>
          <w:lang w:val="en-GB"/>
        </w:rPr>
        <w:t>staying</w:t>
      </w:r>
      <w:r w:rsidR="00112561" w:rsidRPr="00AC36D6">
        <w:rPr>
          <w:rFonts w:eastAsia="Times New Roman" w:cs="Arial"/>
          <w:bCs/>
          <w:color w:val="000000"/>
          <w:kern w:val="32"/>
          <w:szCs w:val="32"/>
          <w:lang w:val="en-GB"/>
        </w:rPr>
        <w:t xml:space="preserve"> </w:t>
      </w:r>
      <w:r w:rsidR="00D602EF" w:rsidRPr="00AC36D6">
        <w:rPr>
          <w:rFonts w:eastAsia="Times New Roman" w:cs="Arial"/>
          <w:bCs/>
          <w:color w:val="000000"/>
          <w:kern w:val="32"/>
          <w:szCs w:val="32"/>
          <w:lang w:val="en-GB"/>
        </w:rPr>
        <w:t>at</w:t>
      </w:r>
      <w:r w:rsidR="00112561" w:rsidRPr="00AC36D6">
        <w:rPr>
          <w:rFonts w:eastAsia="Times New Roman" w:cs="Arial"/>
          <w:bCs/>
          <w:color w:val="000000"/>
          <w:kern w:val="32"/>
          <w:szCs w:val="32"/>
          <w:lang w:val="en-GB"/>
        </w:rPr>
        <w:t xml:space="preserve"> a destination outside the household</w:t>
      </w:r>
      <w:r w:rsidR="00640719" w:rsidRPr="00AC36D6">
        <w:rPr>
          <w:rFonts w:eastAsia="Times New Roman" w:cs="Arial"/>
          <w:bCs/>
          <w:color w:val="000000"/>
          <w:kern w:val="32"/>
          <w:szCs w:val="32"/>
          <w:lang w:val="en-GB"/>
        </w:rPr>
        <w:t>'s</w:t>
      </w:r>
      <w:r w:rsidR="00112561" w:rsidRPr="00AC36D6">
        <w:rPr>
          <w:rFonts w:eastAsia="Times New Roman" w:cs="Arial"/>
          <w:bCs/>
          <w:color w:val="000000"/>
          <w:kern w:val="32"/>
          <w:szCs w:val="32"/>
          <w:lang w:val="en-GB"/>
        </w:rPr>
        <w:t xml:space="preserve"> usual place of residence (UPR) for at least one night</w:t>
      </w:r>
      <w:r w:rsidRPr="00AC36D6">
        <w:rPr>
          <w:rFonts w:eastAsia="Times New Roman" w:cs="Arial"/>
          <w:bCs/>
          <w:color w:val="000000"/>
          <w:kern w:val="32"/>
          <w:szCs w:val="32"/>
          <w:lang w:val="en-GB"/>
        </w:rPr>
        <w:t>.</w:t>
      </w:r>
      <w:r w:rsidR="00985239" w:rsidRPr="00AC36D6">
        <w:rPr>
          <w:rFonts w:eastAsia="Times New Roman" w:cs="Arial"/>
          <w:bCs/>
          <w:color w:val="000000"/>
          <w:kern w:val="32"/>
          <w:szCs w:val="32"/>
          <w:lang w:val="en-GB"/>
        </w:rPr>
        <w:t xml:space="preserve"> The sample data comes from a domestic tourism survey by the National Sample Survey Office of the Ministry of Statistics and Program Implementation</w:t>
      </w:r>
      <w:r w:rsidR="003A363B" w:rsidRPr="00AC36D6">
        <w:rPr>
          <w:rFonts w:eastAsia="Times New Roman" w:cs="Arial"/>
          <w:bCs/>
          <w:color w:val="000000"/>
          <w:kern w:val="32"/>
          <w:szCs w:val="32"/>
          <w:lang w:val="en-GB"/>
        </w:rPr>
        <w:t xml:space="preserve"> </w:t>
      </w:r>
      <w:r w:rsidR="003A363B" w:rsidRPr="00AC36D6">
        <w:rPr>
          <w:rFonts w:eastAsia="Times New Roman" w:cs="Arial"/>
          <w:bCs/>
          <w:color w:val="000000"/>
          <w:kern w:val="32"/>
          <w:szCs w:val="32"/>
        </w:rPr>
        <w:t>(Domestic Tourism survey, NSS 72</w:t>
      </w:r>
      <w:r w:rsidR="003A363B" w:rsidRPr="00AC36D6">
        <w:rPr>
          <w:rFonts w:eastAsia="Times New Roman" w:cs="Arial"/>
          <w:bCs/>
          <w:color w:val="000000"/>
          <w:kern w:val="32"/>
          <w:szCs w:val="32"/>
          <w:vertAlign w:val="superscript"/>
        </w:rPr>
        <w:t>nd</w:t>
      </w:r>
      <w:r w:rsidR="003A363B" w:rsidRPr="00AC36D6">
        <w:rPr>
          <w:rFonts w:eastAsia="Times New Roman" w:cs="Arial"/>
          <w:bCs/>
          <w:color w:val="000000"/>
          <w:kern w:val="32"/>
          <w:szCs w:val="32"/>
        </w:rPr>
        <w:t xml:space="preserve"> Round survey conducted from July 2014 to June 15)</w:t>
      </w:r>
      <w:r w:rsidR="00985239" w:rsidRPr="00AC36D6">
        <w:rPr>
          <w:rFonts w:eastAsia="Times New Roman" w:cs="Arial"/>
          <w:bCs/>
          <w:color w:val="000000"/>
          <w:kern w:val="32"/>
          <w:szCs w:val="32"/>
          <w:lang w:val="en-GB"/>
        </w:rPr>
        <w:t>. The expenditure</w:t>
      </w:r>
      <w:r w:rsidR="00291267" w:rsidRPr="00AC36D6">
        <w:rPr>
          <w:rFonts w:eastAsia="Times New Roman" w:cs="Arial"/>
          <w:bCs/>
          <w:color w:val="000000"/>
          <w:kern w:val="32"/>
          <w:szCs w:val="32"/>
          <w:lang w:val="en-GB"/>
        </w:rPr>
        <w:t>s</w:t>
      </w:r>
      <w:r w:rsidR="00985239" w:rsidRPr="00AC36D6">
        <w:rPr>
          <w:rFonts w:eastAsia="Times New Roman" w:cs="Arial"/>
          <w:bCs/>
          <w:color w:val="000000"/>
          <w:kern w:val="32"/>
          <w:szCs w:val="32"/>
          <w:lang w:val="en-GB"/>
        </w:rPr>
        <w:t xml:space="preserve"> incurred </w:t>
      </w:r>
      <w:r w:rsidR="00B46B3E" w:rsidRPr="00AC36D6">
        <w:rPr>
          <w:rFonts w:eastAsia="Times New Roman" w:cs="Arial"/>
          <w:bCs/>
          <w:color w:val="000000"/>
          <w:kern w:val="32"/>
          <w:szCs w:val="32"/>
          <w:lang w:val="en-GB"/>
        </w:rPr>
        <w:t xml:space="preserve">on </w:t>
      </w:r>
      <w:r w:rsidR="00985239" w:rsidRPr="00AC36D6">
        <w:rPr>
          <w:rFonts w:eastAsia="Times New Roman" w:cs="Arial"/>
          <w:bCs/>
          <w:color w:val="000000"/>
          <w:kern w:val="32"/>
          <w:szCs w:val="32"/>
          <w:lang w:val="en-GB"/>
        </w:rPr>
        <w:t xml:space="preserve">these trips </w:t>
      </w:r>
      <w:r w:rsidR="00B46B3E" w:rsidRPr="00AC36D6">
        <w:rPr>
          <w:rFonts w:eastAsia="Times New Roman" w:cs="Arial"/>
          <w:bCs/>
          <w:color w:val="000000"/>
          <w:kern w:val="32"/>
          <w:szCs w:val="32"/>
          <w:lang w:val="en-GB"/>
        </w:rPr>
        <w:t>in</w:t>
      </w:r>
      <w:r w:rsidR="007F3E14" w:rsidRPr="00AC36D6">
        <w:rPr>
          <w:rFonts w:eastAsia="Times New Roman" w:cs="Arial"/>
          <w:bCs/>
          <w:color w:val="000000"/>
          <w:kern w:val="32"/>
          <w:szCs w:val="32"/>
          <w:lang w:val="en-GB"/>
        </w:rPr>
        <w:t xml:space="preserve"> five expenditure classes </w:t>
      </w:r>
      <w:r w:rsidR="00B46B3E" w:rsidRPr="00AC36D6">
        <w:rPr>
          <w:rFonts w:eastAsia="Times New Roman" w:cs="Arial"/>
          <w:bCs/>
          <w:color w:val="000000"/>
          <w:kern w:val="32"/>
          <w:szCs w:val="32"/>
          <w:lang w:val="en-GB"/>
        </w:rPr>
        <w:t xml:space="preserve">– </w:t>
      </w:r>
      <w:r w:rsidR="007F3E14" w:rsidRPr="00AC36D6">
        <w:rPr>
          <w:rFonts w:eastAsia="Times New Roman" w:cs="Arial"/>
          <w:bCs/>
          <w:color w:val="000000"/>
          <w:kern w:val="32"/>
          <w:szCs w:val="32"/>
          <w:lang w:val="en-GB"/>
        </w:rPr>
        <w:t>namely (a) accommodation, (b) food and beverages, (c) shopping, (d) recreation and leisure, and (e) health and medicine</w:t>
      </w:r>
      <w:r w:rsidR="00B46B3E" w:rsidRPr="00AC36D6">
        <w:rPr>
          <w:rFonts w:eastAsia="Times New Roman" w:cs="Arial"/>
          <w:bCs/>
          <w:color w:val="000000"/>
          <w:kern w:val="32"/>
          <w:szCs w:val="32"/>
          <w:lang w:val="en-GB"/>
        </w:rPr>
        <w:t xml:space="preserve"> – </w:t>
      </w:r>
      <w:r w:rsidR="00315D30" w:rsidRPr="00AC36D6">
        <w:rPr>
          <w:rFonts w:eastAsia="Times New Roman" w:cs="Arial"/>
          <w:bCs/>
          <w:color w:val="000000"/>
          <w:kern w:val="32"/>
          <w:szCs w:val="32"/>
          <w:lang w:val="en-GB"/>
        </w:rPr>
        <w:t>w</w:t>
      </w:r>
      <w:r w:rsidR="00BA2D5C" w:rsidRPr="00AC36D6">
        <w:rPr>
          <w:rFonts w:eastAsia="Times New Roman" w:cs="Arial"/>
          <w:bCs/>
          <w:color w:val="000000"/>
          <w:kern w:val="32"/>
          <w:szCs w:val="32"/>
          <w:lang w:val="en-GB"/>
        </w:rPr>
        <w:t>ere</w:t>
      </w:r>
      <w:r w:rsidR="00315D30" w:rsidRPr="00AC36D6">
        <w:rPr>
          <w:rFonts w:eastAsia="Times New Roman" w:cs="Arial"/>
          <w:bCs/>
          <w:color w:val="000000"/>
          <w:kern w:val="32"/>
          <w:szCs w:val="32"/>
          <w:lang w:val="en-GB"/>
        </w:rPr>
        <w:t xml:space="preserve"> </w:t>
      </w:r>
      <w:r w:rsidR="004F0D6E" w:rsidRPr="00AC36D6">
        <w:rPr>
          <w:rFonts w:eastAsia="Times New Roman" w:cs="Arial"/>
          <w:bCs/>
          <w:color w:val="000000"/>
          <w:kern w:val="32"/>
          <w:szCs w:val="32"/>
          <w:lang w:val="en-GB"/>
        </w:rPr>
        <w:t>analy</w:t>
      </w:r>
      <w:r w:rsidR="00956196" w:rsidRPr="00AC36D6">
        <w:rPr>
          <w:rFonts w:eastAsia="Times New Roman" w:cs="Arial"/>
          <w:bCs/>
          <w:color w:val="000000"/>
          <w:kern w:val="32"/>
          <w:szCs w:val="32"/>
          <w:lang w:val="en-GB"/>
        </w:rPr>
        <w:t>z</w:t>
      </w:r>
      <w:r w:rsidR="004F0D6E" w:rsidRPr="00AC36D6">
        <w:rPr>
          <w:rFonts w:eastAsia="Times New Roman" w:cs="Arial"/>
          <w:bCs/>
          <w:color w:val="000000"/>
          <w:kern w:val="32"/>
          <w:szCs w:val="32"/>
          <w:lang w:val="en-GB"/>
        </w:rPr>
        <w:t>ed</w:t>
      </w:r>
      <w:r w:rsidR="007F3E14" w:rsidRPr="00AC36D6">
        <w:rPr>
          <w:rFonts w:eastAsia="Times New Roman" w:cs="Arial"/>
          <w:bCs/>
          <w:color w:val="000000"/>
          <w:kern w:val="32"/>
          <w:szCs w:val="32"/>
          <w:lang w:val="en-GB"/>
        </w:rPr>
        <w:t>.</w:t>
      </w:r>
      <w:r w:rsidRPr="00AC36D6">
        <w:rPr>
          <w:rFonts w:eastAsia="Times New Roman" w:cs="Arial"/>
          <w:bCs/>
          <w:color w:val="000000"/>
          <w:kern w:val="32"/>
          <w:szCs w:val="32"/>
          <w:lang w:val="en-GB"/>
        </w:rPr>
        <w:t xml:space="preserve"> </w:t>
      </w:r>
      <w:r w:rsidR="00B03DBF" w:rsidRPr="00AC36D6">
        <w:rPr>
          <w:rFonts w:eastAsia="Times New Roman" w:cs="Arial"/>
          <w:bCs/>
          <w:color w:val="000000"/>
          <w:kern w:val="32"/>
          <w:szCs w:val="32"/>
          <w:lang w:val="en-GB"/>
        </w:rPr>
        <w:t xml:space="preserve">The empirical model </w:t>
      </w:r>
      <w:r w:rsidR="0019543C" w:rsidRPr="00AC36D6">
        <w:t>sheds light on the determinants of Indian households’ expenditure patterns on their recreational/tourism trips.</w:t>
      </w:r>
    </w:p>
    <w:p w14:paraId="72EEA4D0" w14:textId="634C2701" w:rsidR="00D953FE" w:rsidRPr="00AC36D6" w:rsidRDefault="00FE19A8" w:rsidP="00D66DD8">
      <w:pPr>
        <w:spacing w:after="0" w:line="360" w:lineRule="auto"/>
        <w:ind w:firstLine="720"/>
        <w:jc w:val="both"/>
        <w:rPr>
          <w:rFonts w:eastAsia="Times New Roman" w:cs="Arial"/>
          <w:bCs/>
          <w:color w:val="000000"/>
          <w:kern w:val="32"/>
          <w:szCs w:val="32"/>
          <w:lang w:val="en-GB"/>
        </w:rPr>
      </w:pPr>
      <w:r w:rsidRPr="00AC36D6">
        <w:rPr>
          <w:rFonts w:eastAsia="Times New Roman" w:cs="Arial"/>
          <w:bCs/>
          <w:color w:val="000000"/>
          <w:kern w:val="32"/>
          <w:szCs w:val="32"/>
          <w:lang w:val="en-GB"/>
        </w:rPr>
        <w:t>Likelihood-based goodness-of-fit measures of the</w:t>
      </w:r>
      <w:r w:rsidR="00080BC6" w:rsidRPr="00AC36D6">
        <w:rPr>
          <w:rFonts w:eastAsia="Times New Roman" w:cs="Arial"/>
          <w:bCs/>
          <w:color w:val="000000"/>
          <w:kern w:val="32"/>
          <w:szCs w:val="32"/>
          <w:lang w:val="en-GB"/>
        </w:rPr>
        <w:t xml:space="preserve"> proposed</w:t>
      </w:r>
      <w:r w:rsidR="007F3E14" w:rsidRPr="00AC36D6">
        <w:rPr>
          <w:rFonts w:eastAsia="Times New Roman" w:cs="Arial"/>
          <w:bCs/>
          <w:color w:val="000000"/>
          <w:kern w:val="32"/>
          <w:szCs w:val="32"/>
          <w:lang w:val="en-GB"/>
        </w:rPr>
        <w:t xml:space="preserve"> flexible MDCP model</w:t>
      </w:r>
      <w:r w:rsidRPr="00AC36D6">
        <w:rPr>
          <w:rFonts w:eastAsia="Times New Roman" w:cs="Arial"/>
          <w:bCs/>
          <w:color w:val="000000"/>
          <w:kern w:val="32"/>
          <w:szCs w:val="32"/>
          <w:lang w:val="en-GB"/>
        </w:rPr>
        <w:t xml:space="preserve"> were compared with a simpler version of it (with IID error terms) and </w:t>
      </w:r>
      <w:r w:rsidR="00E74417" w:rsidRPr="00AC36D6">
        <w:rPr>
          <w:rFonts w:eastAsia="Times New Roman" w:cs="Arial"/>
          <w:bCs/>
          <w:color w:val="000000"/>
          <w:kern w:val="32"/>
          <w:szCs w:val="32"/>
          <w:lang w:val="en-GB"/>
        </w:rPr>
        <w:t xml:space="preserve">the traditional MDCP, both in </w:t>
      </w:r>
      <w:r w:rsidRPr="00AC36D6">
        <w:rPr>
          <w:rFonts w:eastAsia="Times New Roman" w:cs="Arial"/>
          <w:bCs/>
          <w:color w:val="000000"/>
          <w:kern w:val="32"/>
          <w:szCs w:val="32"/>
          <w:lang w:val="en-GB"/>
        </w:rPr>
        <w:t xml:space="preserve">the </w:t>
      </w:r>
      <w:r w:rsidR="00E74417" w:rsidRPr="00AC36D6">
        <w:rPr>
          <w:rFonts w:eastAsia="Times New Roman" w:cs="Arial"/>
          <w:bCs/>
          <w:color w:val="000000"/>
          <w:kern w:val="32"/>
          <w:szCs w:val="32"/>
          <w:lang w:val="en-GB"/>
        </w:rPr>
        <w:t xml:space="preserve">estimation and </w:t>
      </w:r>
      <w:r w:rsidRPr="00AC36D6">
        <w:rPr>
          <w:rFonts w:eastAsia="Times New Roman" w:cs="Arial"/>
          <w:bCs/>
          <w:color w:val="000000"/>
          <w:kern w:val="32"/>
          <w:szCs w:val="32"/>
          <w:lang w:val="en-GB"/>
        </w:rPr>
        <w:t xml:space="preserve">holdout </w:t>
      </w:r>
      <w:r w:rsidR="00E74417" w:rsidRPr="00AC36D6">
        <w:rPr>
          <w:rFonts w:eastAsia="Times New Roman" w:cs="Arial"/>
          <w:bCs/>
          <w:color w:val="000000"/>
          <w:kern w:val="32"/>
          <w:szCs w:val="32"/>
          <w:lang w:val="en-GB"/>
        </w:rPr>
        <w:t>sample</w:t>
      </w:r>
      <w:r w:rsidRPr="00AC36D6">
        <w:rPr>
          <w:rFonts w:eastAsia="Times New Roman" w:cs="Arial"/>
          <w:bCs/>
          <w:color w:val="000000"/>
          <w:kern w:val="32"/>
          <w:szCs w:val="32"/>
          <w:lang w:val="en-GB"/>
        </w:rPr>
        <w:t>s</w:t>
      </w:r>
      <w:r w:rsidR="00E74417" w:rsidRPr="00AC36D6">
        <w:rPr>
          <w:rFonts w:eastAsia="Times New Roman" w:cs="Arial"/>
          <w:bCs/>
          <w:color w:val="000000"/>
          <w:kern w:val="32"/>
          <w:szCs w:val="32"/>
          <w:lang w:val="en-GB"/>
        </w:rPr>
        <w:t xml:space="preserve">. </w:t>
      </w:r>
      <w:r w:rsidRPr="00AC36D6">
        <w:rPr>
          <w:rFonts w:eastAsia="Times New Roman" w:cs="Arial"/>
          <w:bCs/>
          <w:color w:val="000000"/>
          <w:kern w:val="32"/>
          <w:szCs w:val="32"/>
          <w:lang w:val="en-GB"/>
        </w:rPr>
        <w:t xml:space="preserve">For completeness, Bhat’s </w:t>
      </w:r>
      <w:r w:rsidR="0024522A" w:rsidRPr="00AC36D6">
        <w:rPr>
          <w:rFonts w:eastAsia="Times New Roman" w:cs="Arial"/>
          <w:bCs/>
          <w:color w:val="000000"/>
          <w:kern w:val="32"/>
          <w:szCs w:val="32"/>
          <w:lang w:val="en-GB"/>
        </w:rPr>
        <w:t xml:space="preserve">(2018) </w:t>
      </w:r>
      <w:r w:rsidRPr="00AC36D6">
        <w:rPr>
          <w:rFonts w:eastAsia="Times New Roman" w:cs="Arial"/>
          <w:bCs/>
          <w:color w:val="000000"/>
          <w:kern w:val="32"/>
          <w:szCs w:val="32"/>
          <w:lang w:val="en-GB"/>
        </w:rPr>
        <w:t>flexible MDCEV model was also estimated.</w:t>
      </w:r>
      <w:r w:rsidR="00916FC5" w:rsidRPr="00AC36D6">
        <w:rPr>
          <w:rFonts w:eastAsia="Times New Roman" w:cs="Arial"/>
          <w:bCs/>
          <w:color w:val="000000"/>
          <w:kern w:val="32"/>
          <w:szCs w:val="32"/>
          <w:lang w:val="en-GB"/>
        </w:rPr>
        <w:t xml:space="preserve"> </w:t>
      </w:r>
      <w:r w:rsidR="00D27346" w:rsidRPr="00AC36D6">
        <w:rPr>
          <w:rFonts w:eastAsia="Times New Roman" w:cs="Arial"/>
          <w:bCs/>
          <w:color w:val="000000"/>
          <w:kern w:val="32"/>
          <w:szCs w:val="32"/>
          <w:lang w:val="en-GB"/>
        </w:rPr>
        <w:t xml:space="preserve">Our results indicate that, if the analyst is willing to compromise on the strict utility-maximizing aspect of behavior, while also enriching the behavioral dimension through the relaxation of the tie between the discrete and continuous consumption decisions, the </w:t>
      </w:r>
      <w:r w:rsidR="00CD44AF">
        <w:rPr>
          <w:rFonts w:eastAsia="Times New Roman" w:cs="Arial"/>
          <w:bCs/>
          <w:color w:val="000000"/>
          <w:kern w:val="32"/>
          <w:szCs w:val="32"/>
          <w:lang w:val="en-GB"/>
        </w:rPr>
        <w:t>preferred</w:t>
      </w:r>
      <w:r w:rsidR="00D27346" w:rsidRPr="00AC36D6">
        <w:rPr>
          <w:rFonts w:eastAsia="Times New Roman" w:cs="Arial"/>
          <w:bCs/>
          <w:color w:val="000000"/>
          <w:kern w:val="32"/>
          <w:szCs w:val="32"/>
          <w:lang w:val="en-GB"/>
        </w:rPr>
        <w:t xml:space="preserve"> model would be the flexible non-IID MDCP model. On the other hand, if the analyst wants the model to be strictly grounded on utility-maximizing behavior (which may also have benefits by way of welfare measure computations), but </w:t>
      </w:r>
      <w:r w:rsidR="003114DF" w:rsidRPr="00AC36D6">
        <w:rPr>
          <w:rFonts w:eastAsia="Times New Roman" w:cs="Arial"/>
          <w:bCs/>
          <w:color w:val="000000"/>
          <w:kern w:val="32"/>
          <w:szCs w:val="32"/>
          <w:lang w:val="en-GB"/>
        </w:rPr>
        <w:t xml:space="preserve">is </w:t>
      </w:r>
      <w:r w:rsidR="00D27346" w:rsidRPr="00AC36D6">
        <w:rPr>
          <w:rFonts w:eastAsia="Times New Roman" w:cs="Arial"/>
          <w:bCs/>
          <w:color w:val="000000"/>
          <w:kern w:val="32"/>
          <w:szCs w:val="32"/>
          <w:lang w:val="en-GB"/>
        </w:rPr>
        <w:t xml:space="preserve">willing to </w:t>
      </w:r>
      <w:r w:rsidR="006066E2" w:rsidRPr="00AC36D6">
        <w:rPr>
          <w:rFonts w:eastAsia="Times New Roman" w:cs="Arial"/>
          <w:bCs/>
          <w:color w:val="000000"/>
          <w:kern w:val="32"/>
          <w:szCs w:val="32"/>
          <w:lang w:val="en-GB"/>
        </w:rPr>
        <w:t>assume a</w:t>
      </w:r>
      <w:r w:rsidR="00D27346" w:rsidRPr="00AC36D6">
        <w:rPr>
          <w:rFonts w:eastAsia="Times New Roman" w:cs="Arial"/>
          <w:bCs/>
          <w:color w:val="000000"/>
          <w:kern w:val="32"/>
          <w:szCs w:val="32"/>
          <w:lang w:val="en-GB"/>
        </w:rPr>
        <w:t xml:space="preserve"> tight (and oftentimes difficult to justify) tie between the discrete and continuous consumption decision processes, the </w:t>
      </w:r>
      <w:r w:rsidR="00CD44AF">
        <w:rPr>
          <w:rFonts w:eastAsia="Times New Roman" w:cs="Arial"/>
          <w:bCs/>
          <w:color w:val="000000"/>
          <w:kern w:val="32"/>
          <w:szCs w:val="32"/>
          <w:lang w:val="en-GB"/>
        </w:rPr>
        <w:t>preferred</w:t>
      </w:r>
      <w:r w:rsidR="00D27346" w:rsidRPr="00AC36D6">
        <w:rPr>
          <w:rFonts w:eastAsia="Times New Roman" w:cs="Arial"/>
          <w:bCs/>
          <w:color w:val="000000"/>
          <w:kern w:val="32"/>
          <w:szCs w:val="32"/>
          <w:lang w:val="en-GB"/>
        </w:rPr>
        <w:t xml:space="preserve"> model would be the non-IID traditional MDCP model.  </w:t>
      </w:r>
    </w:p>
    <w:p w14:paraId="7FF6027F" w14:textId="0EAD1769" w:rsidR="00D456C9" w:rsidRPr="00F507E0" w:rsidRDefault="009A6343" w:rsidP="0085608A">
      <w:pPr>
        <w:spacing w:after="0" w:line="360" w:lineRule="auto"/>
        <w:ind w:firstLine="720"/>
        <w:jc w:val="both"/>
        <w:rPr>
          <w:rFonts w:eastAsia="Times New Roman" w:cs="Arial"/>
          <w:bCs/>
          <w:kern w:val="32"/>
          <w:szCs w:val="32"/>
          <w:lang w:val="en-GB"/>
        </w:rPr>
      </w:pPr>
      <w:r w:rsidRPr="00AC36D6">
        <w:rPr>
          <w:rFonts w:eastAsia="Times New Roman" w:cs="Arial"/>
          <w:bCs/>
          <w:color w:val="000000"/>
          <w:kern w:val="32"/>
          <w:szCs w:val="32"/>
          <w:lang w:val="en-GB"/>
        </w:rPr>
        <w:t xml:space="preserve">Future research should consider </w:t>
      </w:r>
      <w:r w:rsidR="00B00D7B" w:rsidRPr="00AC36D6">
        <w:rPr>
          <w:rFonts w:eastAsia="Times New Roman" w:cs="Arial"/>
          <w:bCs/>
          <w:color w:val="000000"/>
          <w:kern w:val="32"/>
          <w:szCs w:val="32"/>
          <w:lang w:val="en-GB"/>
        </w:rPr>
        <w:t>flexible utility formulations that are also consistent with utility maximization</w:t>
      </w:r>
      <w:r w:rsidR="00D953FE" w:rsidRPr="00AC36D6">
        <w:rPr>
          <w:rFonts w:eastAsia="Times New Roman" w:cs="Arial"/>
          <w:bCs/>
          <w:color w:val="000000"/>
          <w:kern w:val="32"/>
          <w:szCs w:val="32"/>
          <w:lang w:val="en-GB"/>
        </w:rPr>
        <w:t xml:space="preserve">. </w:t>
      </w:r>
      <w:r w:rsidR="00B00D7B" w:rsidRPr="00AC36D6">
        <w:rPr>
          <w:rFonts w:eastAsia="Times New Roman" w:cs="Arial"/>
          <w:bCs/>
          <w:color w:val="000000"/>
          <w:kern w:val="32"/>
          <w:szCs w:val="32"/>
          <w:lang w:val="en-GB"/>
        </w:rPr>
        <w:t xml:space="preserve">One </w:t>
      </w:r>
      <w:r w:rsidR="0038791D" w:rsidRPr="00AC36D6">
        <w:rPr>
          <w:rFonts w:eastAsia="Times New Roman" w:cs="Arial"/>
          <w:bCs/>
          <w:color w:val="000000"/>
          <w:kern w:val="32"/>
          <w:szCs w:val="32"/>
          <w:lang w:val="en-GB"/>
        </w:rPr>
        <w:t xml:space="preserve">approach to do so </w:t>
      </w:r>
      <w:r w:rsidR="00D27346" w:rsidRPr="00AC36D6">
        <w:rPr>
          <w:rFonts w:eastAsia="Times New Roman" w:cs="Arial"/>
          <w:bCs/>
          <w:color w:val="000000"/>
          <w:kern w:val="32"/>
          <w:szCs w:val="32"/>
          <w:lang w:val="en-GB"/>
        </w:rPr>
        <w:t xml:space="preserve">would be </w:t>
      </w:r>
      <w:r w:rsidR="0038791D" w:rsidRPr="00AC36D6">
        <w:rPr>
          <w:rFonts w:eastAsia="Times New Roman" w:cs="Arial"/>
          <w:bCs/>
          <w:color w:val="000000"/>
          <w:kern w:val="32"/>
          <w:szCs w:val="32"/>
          <w:lang w:val="en-GB"/>
        </w:rPr>
        <w:t xml:space="preserve">to truncate the space of the </w:t>
      </w:r>
      <w:r w:rsidR="0038791D" w:rsidRPr="00AC36D6">
        <w:rPr>
          <w:rFonts w:eastAsia="Times New Roman" w:cs="Arial"/>
          <w:bCs/>
          <w:i/>
          <w:iCs/>
          <w:color w:val="000000"/>
          <w:kern w:val="32"/>
          <w:szCs w:val="32"/>
          <w:lang w:val="en-GB"/>
        </w:rPr>
        <w:t>D-</w:t>
      </w:r>
      <w:r w:rsidR="0038791D" w:rsidRPr="00AC36D6">
        <w:rPr>
          <w:rFonts w:eastAsia="Times New Roman" w:cs="Arial"/>
          <w:bCs/>
          <w:color w:val="000000"/>
          <w:kern w:val="32"/>
          <w:szCs w:val="32"/>
          <w:lang w:val="en-GB"/>
        </w:rPr>
        <w:t xml:space="preserve">preference and </w:t>
      </w:r>
      <w:r w:rsidR="0038791D" w:rsidRPr="00AC36D6">
        <w:rPr>
          <w:rFonts w:eastAsia="Times New Roman" w:cs="Arial"/>
          <w:bCs/>
          <w:i/>
          <w:iCs/>
          <w:color w:val="000000"/>
          <w:kern w:val="32"/>
          <w:szCs w:val="32"/>
          <w:lang w:val="en-GB"/>
        </w:rPr>
        <w:t>C-</w:t>
      </w:r>
      <w:r w:rsidR="0038791D" w:rsidRPr="00AC36D6">
        <w:rPr>
          <w:rFonts w:eastAsia="Times New Roman" w:cs="Arial"/>
          <w:bCs/>
          <w:color w:val="000000"/>
          <w:kern w:val="32"/>
          <w:szCs w:val="32"/>
          <w:lang w:val="en-GB"/>
        </w:rPr>
        <w:t xml:space="preserve">preference parameters such that the model becomes </w:t>
      </w:r>
      <w:r w:rsidR="0038791D" w:rsidRPr="00F507E0">
        <w:rPr>
          <w:rFonts w:eastAsia="Times New Roman" w:cs="Arial"/>
          <w:bCs/>
          <w:kern w:val="32"/>
          <w:szCs w:val="32"/>
          <w:lang w:val="en-GB"/>
        </w:rPr>
        <w:t xml:space="preserve">utility </w:t>
      </w:r>
      <w:r w:rsidR="00186313" w:rsidRPr="00F507E0">
        <w:rPr>
          <w:rFonts w:eastAsia="Times New Roman" w:cs="Arial"/>
          <w:bCs/>
          <w:kern w:val="32"/>
          <w:szCs w:val="32"/>
          <w:lang w:val="en-GB"/>
        </w:rPr>
        <w:t>optimal for all possible values of the truncated parameter space</w:t>
      </w:r>
      <w:r w:rsidR="00D27346" w:rsidRPr="00F507E0">
        <w:rPr>
          <w:rFonts w:eastAsia="Times New Roman" w:cs="Arial"/>
          <w:bCs/>
          <w:kern w:val="32"/>
          <w:szCs w:val="32"/>
          <w:lang w:val="en-GB"/>
        </w:rPr>
        <w:t>, a direction of research that the authors are currently pursuing</w:t>
      </w:r>
      <w:r w:rsidR="00186313" w:rsidRPr="00F507E0">
        <w:rPr>
          <w:rFonts w:eastAsia="Times New Roman" w:cs="Arial"/>
          <w:bCs/>
          <w:kern w:val="32"/>
          <w:szCs w:val="32"/>
          <w:lang w:val="en-GB"/>
        </w:rPr>
        <w:t>.</w:t>
      </w:r>
      <w:r w:rsidR="00D953FE" w:rsidRPr="00F507E0">
        <w:rPr>
          <w:rFonts w:eastAsia="Times New Roman" w:cs="Arial"/>
          <w:bCs/>
          <w:kern w:val="32"/>
          <w:szCs w:val="32"/>
          <w:lang w:val="en-GB"/>
        </w:rPr>
        <w:t xml:space="preserve"> </w:t>
      </w:r>
      <w:r w:rsidR="00F72D44" w:rsidRPr="00F507E0">
        <w:rPr>
          <w:rFonts w:eastAsia="Times New Roman" w:cs="Arial"/>
          <w:bCs/>
          <w:kern w:val="32"/>
          <w:szCs w:val="32"/>
          <w:lang w:val="en-GB"/>
        </w:rPr>
        <w:t xml:space="preserve">Equally useful would be </w:t>
      </w:r>
      <w:r w:rsidR="007F4008" w:rsidRPr="00F507E0">
        <w:rPr>
          <w:rFonts w:eastAsia="Times New Roman" w:cs="Arial"/>
          <w:bCs/>
          <w:kern w:val="32"/>
          <w:szCs w:val="32"/>
          <w:lang w:val="en-GB"/>
        </w:rPr>
        <w:t xml:space="preserve">to </w:t>
      </w:r>
      <w:r w:rsidR="00F72D44" w:rsidRPr="00F507E0">
        <w:rPr>
          <w:rFonts w:eastAsia="Times New Roman" w:cs="Arial"/>
          <w:bCs/>
          <w:kern w:val="32"/>
          <w:szCs w:val="32"/>
          <w:lang w:val="en-GB"/>
        </w:rPr>
        <w:t xml:space="preserve">derive </w:t>
      </w:r>
      <w:r w:rsidR="007F4008" w:rsidRPr="00F507E0">
        <w:rPr>
          <w:rFonts w:eastAsia="Times New Roman" w:cs="Arial"/>
          <w:bCs/>
          <w:kern w:val="32"/>
          <w:szCs w:val="32"/>
          <w:lang w:val="en-GB"/>
        </w:rPr>
        <w:t>a method to estimate welfare measures from such models.</w:t>
      </w:r>
      <w:r w:rsidR="00D953FE" w:rsidRPr="00F507E0">
        <w:rPr>
          <w:rFonts w:eastAsia="Times New Roman" w:cs="Arial"/>
          <w:bCs/>
          <w:kern w:val="32"/>
          <w:szCs w:val="32"/>
          <w:lang w:val="en-GB"/>
        </w:rPr>
        <w:t xml:space="preserve"> </w:t>
      </w:r>
      <w:r w:rsidR="00C63DBF" w:rsidRPr="00F507E0">
        <w:rPr>
          <w:rFonts w:eastAsia="Times New Roman" w:cs="Arial"/>
          <w:bCs/>
          <w:kern w:val="32"/>
          <w:szCs w:val="32"/>
          <w:lang w:val="en-GB"/>
        </w:rPr>
        <w:tab/>
        <w:t xml:space="preserve">    </w:t>
      </w:r>
    </w:p>
    <w:p w14:paraId="4B46F13B" w14:textId="2167CEF8" w:rsidR="00A91997" w:rsidRPr="00F507E0" w:rsidRDefault="00A91997" w:rsidP="00087876">
      <w:pPr>
        <w:spacing w:after="0" w:line="360" w:lineRule="auto"/>
        <w:rPr>
          <w:b/>
        </w:rPr>
      </w:pPr>
    </w:p>
    <w:p w14:paraId="267BBFEF" w14:textId="747F045F" w:rsidR="00B30D4E" w:rsidRPr="00F507E0" w:rsidRDefault="00B30D4E" w:rsidP="00087876">
      <w:pPr>
        <w:spacing w:after="0" w:line="360" w:lineRule="auto"/>
        <w:rPr>
          <w:b/>
        </w:rPr>
      </w:pPr>
    </w:p>
    <w:p w14:paraId="47D79477" w14:textId="77777777" w:rsidR="00B30D4E" w:rsidRPr="00F507E0" w:rsidRDefault="00B30D4E" w:rsidP="00087876">
      <w:pPr>
        <w:spacing w:after="0" w:line="360" w:lineRule="auto"/>
        <w:rPr>
          <w:b/>
        </w:rPr>
      </w:pPr>
    </w:p>
    <w:p w14:paraId="3AA2BD13" w14:textId="71FBEAD3" w:rsidR="00AC74C0" w:rsidRPr="00F507E0" w:rsidRDefault="00A91997" w:rsidP="00087876">
      <w:pPr>
        <w:spacing w:after="0" w:line="360" w:lineRule="auto"/>
        <w:rPr>
          <w:b/>
        </w:rPr>
      </w:pPr>
      <w:r w:rsidRPr="00F507E0">
        <w:rPr>
          <w:b/>
        </w:rPr>
        <w:lastRenderedPageBreak/>
        <w:t>Acknowledgments</w:t>
      </w:r>
    </w:p>
    <w:p w14:paraId="650EBEF9" w14:textId="10DAA32A" w:rsidR="00C959CE" w:rsidRPr="00AC36D6" w:rsidRDefault="00C37BD5" w:rsidP="00F542D1">
      <w:pPr>
        <w:spacing w:after="0" w:line="360" w:lineRule="auto"/>
        <w:jc w:val="both"/>
        <w:rPr>
          <w:rFonts w:eastAsia="Times New Roman" w:cs="Arial"/>
          <w:bCs/>
          <w:color w:val="000000"/>
          <w:kern w:val="32"/>
          <w:szCs w:val="32"/>
          <w:lang w:val="en-GB"/>
        </w:rPr>
      </w:pPr>
      <w:r w:rsidRPr="00AC36D6">
        <w:rPr>
          <w:rFonts w:eastAsia="Times New Roman" w:cs="Arial"/>
          <w:bCs/>
          <w:color w:val="000000"/>
          <w:kern w:val="32"/>
          <w:szCs w:val="32"/>
          <w:lang w:val="en-GB"/>
        </w:rPr>
        <w:t xml:space="preserve">This research was undertaken as part of a SPARC project funded by the </w:t>
      </w:r>
      <w:r w:rsidR="00677B91" w:rsidRPr="00AC36D6">
        <w:rPr>
          <w:rFonts w:eastAsia="Times New Roman" w:cs="Arial"/>
          <w:bCs/>
          <w:color w:val="000000"/>
          <w:kern w:val="32"/>
          <w:szCs w:val="32"/>
          <w:lang w:val="en-GB"/>
        </w:rPr>
        <w:t xml:space="preserve">Indian </w:t>
      </w:r>
      <w:r w:rsidR="006216B9" w:rsidRPr="00AC36D6">
        <w:rPr>
          <w:rFonts w:eastAsia="Times New Roman" w:cs="Arial"/>
          <w:bCs/>
          <w:color w:val="000000"/>
          <w:kern w:val="32"/>
          <w:szCs w:val="32"/>
          <w:lang w:val="en-GB"/>
        </w:rPr>
        <w:t xml:space="preserve">Ministry of Education for encouraging </w:t>
      </w:r>
      <w:r w:rsidR="006A350B" w:rsidRPr="00AC36D6">
        <w:rPr>
          <w:rFonts w:eastAsia="Times New Roman" w:cs="Arial"/>
          <w:bCs/>
          <w:color w:val="000000"/>
          <w:kern w:val="32"/>
          <w:szCs w:val="32"/>
          <w:lang w:val="en-GB"/>
        </w:rPr>
        <w:t>international collaborations.</w:t>
      </w:r>
      <w:r w:rsidR="00FF37FF" w:rsidRPr="00AC36D6">
        <w:rPr>
          <w:rFonts w:eastAsia="Times New Roman" w:cs="Arial"/>
          <w:bCs/>
          <w:color w:val="000000"/>
          <w:kern w:val="32"/>
          <w:szCs w:val="32"/>
          <w:lang w:val="en-GB"/>
        </w:rPr>
        <w:t xml:space="preserve"> Empirical data used in this study were collected by the National Sample Survey Office of the Indian Ministry of Statistics and Program Implementation. The authors are grateful </w:t>
      </w:r>
      <w:r w:rsidR="00644D8C" w:rsidRPr="00AC36D6">
        <w:rPr>
          <w:rFonts w:eastAsia="Times New Roman" w:cs="Arial"/>
          <w:bCs/>
          <w:color w:val="000000"/>
          <w:kern w:val="32"/>
          <w:szCs w:val="32"/>
          <w:lang w:val="en-GB"/>
        </w:rPr>
        <w:t>for</w:t>
      </w:r>
      <w:r w:rsidR="00FF37FF" w:rsidRPr="00AC36D6">
        <w:rPr>
          <w:rFonts w:eastAsia="Times New Roman" w:cs="Arial"/>
          <w:bCs/>
          <w:color w:val="000000"/>
          <w:kern w:val="32"/>
          <w:szCs w:val="32"/>
          <w:lang w:val="en-GB"/>
        </w:rPr>
        <w:t xml:space="preserve"> </w:t>
      </w:r>
      <w:r w:rsidR="00644D8C" w:rsidRPr="00AC36D6">
        <w:rPr>
          <w:rFonts w:eastAsia="Times New Roman" w:cs="Arial"/>
          <w:bCs/>
          <w:color w:val="000000"/>
          <w:kern w:val="32"/>
          <w:szCs w:val="32"/>
          <w:lang w:val="en-GB"/>
        </w:rPr>
        <w:t>the support provided by both ministries.</w:t>
      </w:r>
      <w:r w:rsidR="00221D2E" w:rsidRPr="00AC36D6">
        <w:rPr>
          <w:rFonts w:eastAsia="Times New Roman" w:cs="Arial"/>
          <w:bCs/>
          <w:color w:val="000000"/>
          <w:kern w:val="32"/>
          <w:szCs w:val="32"/>
          <w:lang w:val="en-GB"/>
        </w:rPr>
        <w:t xml:space="preserve"> The </w:t>
      </w:r>
      <w:r w:rsidR="00892EDC" w:rsidRPr="00AC36D6">
        <w:rPr>
          <w:rFonts w:eastAsia="Times New Roman" w:cs="Arial"/>
          <w:bCs/>
          <w:color w:val="000000"/>
          <w:kern w:val="32"/>
          <w:szCs w:val="32"/>
          <w:lang w:val="en-GB"/>
        </w:rPr>
        <w:t>second author would like to thank Tarun Rambha for helpful discussions on non-linear optimization.</w:t>
      </w:r>
    </w:p>
    <w:p w14:paraId="2EB24A91" w14:textId="3C7DF237" w:rsidR="00B94CB6" w:rsidRDefault="00B94CB6" w:rsidP="00F542D1">
      <w:pPr>
        <w:spacing w:after="0" w:line="360" w:lineRule="auto"/>
        <w:jc w:val="both"/>
        <w:rPr>
          <w:rFonts w:eastAsia="Times New Roman" w:cs="Arial"/>
          <w:bCs/>
          <w:color w:val="000000"/>
          <w:kern w:val="32"/>
          <w:szCs w:val="32"/>
          <w:lang w:val="en-GB"/>
        </w:rPr>
      </w:pPr>
    </w:p>
    <w:p w14:paraId="46C20903" w14:textId="740F8F19" w:rsidR="00523747" w:rsidRPr="00A85569" w:rsidRDefault="00523747" w:rsidP="00F542D1">
      <w:pPr>
        <w:spacing w:after="0" w:line="360" w:lineRule="auto"/>
        <w:jc w:val="both"/>
        <w:rPr>
          <w:rFonts w:eastAsia="Times New Roman" w:cs="Arial"/>
          <w:b/>
          <w:color w:val="000000"/>
          <w:kern w:val="32"/>
          <w:szCs w:val="32"/>
          <w:lang w:val="en-GB"/>
        </w:rPr>
      </w:pPr>
      <w:r w:rsidRPr="00A85569">
        <w:rPr>
          <w:rFonts w:eastAsia="Times New Roman" w:cs="Arial"/>
          <w:b/>
          <w:color w:val="000000"/>
          <w:kern w:val="32"/>
          <w:szCs w:val="32"/>
          <w:lang w:val="en-GB"/>
        </w:rPr>
        <w:t xml:space="preserve">Conflict of </w:t>
      </w:r>
      <w:r w:rsidR="00A85569" w:rsidRPr="00A85569">
        <w:rPr>
          <w:rFonts w:eastAsia="Times New Roman" w:cs="Arial"/>
          <w:b/>
          <w:color w:val="000000"/>
          <w:kern w:val="32"/>
          <w:szCs w:val="32"/>
          <w:lang w:val="en-GB"/>
        </w:rPr>
        <w:t xml:space="preserve">interest statement </w:t>
      </w:r>
    </w:p>
    <w:p w14:paraId="13F1A09B" w14:textId="0FFD70DD" w:rsidR="00A85569" w:rsidRDefault="00A85569" w:rsidP="00F542D1">
      <w:pPr>
        <w:spacing w:after="0" w:line="360" w:lineRule="auto"/>
        <w:jc w:val="both"/>
        <w:rPr>
          <w:color w:val="000000" w:themeColor="text1"/>
        </w:rPr>
      </w:pPr>
      <w:r w:rsidRPr="00AC36D6">
        <w:rPr>
          <w:color w:val="000000" w:themeColor="text1"/>
        </w:rPr>
        <w:t xml:space="preserve">On behalf of all authors, the corresponding author states that there is no </w:t>
      </w:r>
      <w:r w:rsidR="002D548E">
        <w:rPr>
          <w:color w:val="000000" w:themeColor="text1"/>
        </w:rPr>
        <w:t xml:space="preserve">known </w:t>
      </w:r>
      <w:r w:rsidRPr="00AC36D6">
        <w:rPr>
          <w:color w:val="000000" w:themeColor="text1"/>
        </w:rPr>
        <w:t>conflict of interest.</w:t>
      </w:r>
    </w:p>
    <w:p w14:paraId="5204C809" w14:textId="77777777" w:rsidR="00A85569" w:rsidRPr="00AC36D6" w:rsidRDefault="00A85569" w:rsidP="00F542D1">
      <w:pPr>
        <w:spacing w:after="0" w:line="360" w:lineRule="auto"/>
        <w:jc w:val="both"/>
        <w:rPr>
          <w:rFonts w:eastAsia="Times New Roman" w:cs="Arial"/>
          <w:bCs/>
          <w:color w:val="000000"/>
          <w:kern w:val="32"/>
          <w:szCs w:val="32"/>
          <w:lang w:val="en-GB"/>
        </w:rPr>
      </w:pPr>
    </w:p>
    <w:p w14:paraId="15278717" w14:textId="51552433" w:rsidR="00B94CB6" w:rsidRPr="00AC36D6" w:rsidRDefault="00A85569" w:rsidP="00F542D1">
      <w:pPr>
        <w:spacing w:after="0" w:line="360" w:lineRule="auto"/>
        <w:jc w:val="both"/>
        <w:rPr>
          <w:rFonts w:eastAsia="Times New Roman" w:cs="Arial"/>
          <w:b/>
          <w:color w:val="000000"/>
          <w:kern w:val="32"/>
          <w:szCs w:val="32"/>
          <w:lang w:val="en-GB"/>
        </w:rPr>
      </w:pPr>
      <w:r>
        <w:rPr>
          <w:rFonts w:eastAsia="Times New Roman" w:cs="Arial"/>
          <w:b/>
          <w:color w:val="000000"/>
          <w:kern w:val="32"/>
          <w:szCs w:val="32"/>
          <w:lang w:val="en-GB"/>
        </w:rPr>
        <w:t>Author Contributions</w:t>
      </w:r>
    </w:p>
    <w:p w14:paraId="77FDAD75" w14:textId="37C9AEDD" w:rsidR="00FD3036" w:rsidRPr="00AC36D6" w:rsidRDefault="001D1368" w:rsidP="00AE205D">
      <w:pPr>
        <w:spacing w:after="0" w:line="360" w:lineRule="auto"/>
        <w:jc w:val="both"/>
        <w:rPr>
          <w:color w:val="000000" w:themeColor="text1"/>
        </w:rPr>
      </w:pPr>
      <w:r w:rsidRPr="00AC36D6">
        <w:rPr>
          <w:color w:val="000000" w:themeColor="text1"/>
        </w:rPr>
        <w:t>A</w:t>
      </w:r>
      <w:r w:rsidR="0099587D" w:rsidRPr="00AC36D6">
        <w:rPr>
          <w:color w:val="000000" w:themeColor="text1"/>
        </w:rPr>
        <w:t>uthor contribution</w:t>
      </w:r>
      <w:r w:rsidRPr="00AC36D6">
        <w:rPr>
          <w:color w:val="000000" w:themeColor="text1"/>
        </w:rPr>
        <w:t>s</w:t>
      </w:r>
      <w:r w:rsidR="0099587D" w:rsidRPr="00AC36D6">
        <w:rPr>
          <w:color w:val="000000" w:themeColor="text1"/>
        </w:rPr>
        <w:t xml:space="preserve"> to the paper </w:t>
      </w:r>
      <w:r w:rsidRPr="00AC36D6">
        <w:rPr>
          <w:color w:val="000000" w:themeColor="text1"/>
        </w:rPr>
        <w:t xml:space="preserve">are </w:t>
      </w:r>
      <w:r w:rsidR="0099587D" w:rsidRPr="00AC36D6">
        <w:rPr>
          <w:color w:val="000000" w:themeColor="text1"/>
        </w:rPr>
        <w:t>as follows: study conception and design:</w:t>
      </w:r>
      <w:r w:rsidR="00DE7BE7" w:rsidRPr="00AC36D6">
        <w:rPr>
          <w:color w:val="000000" w:themeColor="text1"/>
        </w:rPr>
        <w:t xml:space="preserve"> </w:t>
      </w:r>
      <w:r w:rsidR="00B416FB" w:rsidRPr="00AC36D6">
        <w:rPr>
          <w:color w:val="000000" w:themeColor="text1"/>
        </w:rPr>
        <w:t>CB</w:t>
      </w:r>
      <w:r w:rsidR="0099587D" w:rsidRPr="00AC36D6">
        <w:rPr>
          <w:color w:val="000000" w:themeColor="text1"/>
        </w:rPr>
        <w:t xml:space="preserve">, </w:t>
      </w:r>
      <w:r w:rsidR="00B416FB" w:rsidRPr="00AC36D6">
        <w:rPr>
          <w:color w:val="000000" w:themeColor="text1"/>
        </w:rPr>
        <w:t>SS</w:t>
      </w:r>
      <w:r w:rsidR="00985B27" w:rsidRPr="00AC36D6">
        <w:rPr>
          <w:color w:val="000000" w:themeColor="text1"/>
        </w:rPr>
        <w:t>, AP</w:t>
      </w:r>
      <w:r w:rsidR="0099587D" w:rsidRPr="00AC36D6">
        <w:rPr>
          <w:color w:val="000000" w:themeColor="text1"/>
        </w:rPr>
        <w:t xml:space="preserve">; analysis and interpretation of results: </w:t>
      </w:r>
      <w:r w:rsidR="00B416FB" w:rsidRPr="00AC36D6">
        <w:rPr>
          <w:color w:val="000000" w:themeColor="text1"/>
        </w:rPr>
        <w:t>SS, AP, CB</w:t>
      </w:r>
      <w:r w:rsidR="009E1EAA" w:rsidRPr="00AC36D6">
        <w:rPr>
          <w:color w:val="000000" w:themeColor="text1"/>
        </w:rPr>
        <w:t>, AM</w:t>
      </w:r>
      <w:r w:rsidR="0099587D" w:rsidRPr="00AC36D6">
        <w:rPr>
          <w:color w:val="000000" w:themeColor="text1"/>
        </w:rPr>
        <w:t xml:space="preserve">; draft manuscript preparation: </w:t>
      </w:r>
      <w:r w:rsidR="00B416FB" w:rsidRPr="00AC36D6">
        <w:rPr>
          <w:color w:val="000000" w:themeColor="text1"/>
        </w:rPr>
        <w:t>SS, AP, CB</w:t>
      </w:r>
      <w:r w:rsidR="00985B27" w:rsidRPr="00AC36D6">
        <w:rPr>
          <w:color w:val="000000" w:themeColor="text1"/>
        </w:rPr>
        <w:t>, AM</w:t>
      </w:r>
      <w:r w:rsidR="0099587D" w:rsidRPr="00AC36D6">
        <w:rPr>
          <w:color w:val="000000" w:themeColor="text1"/>
        </w:rPr>
        <w:t>. All</w:t>
      </w:r>
      <w:r w:rsidR="00DE7BE7" w:rsidRPr="00AC36D6">
        <w:rPr>
          <w:color w:val="000000" w:themeColor="text1"/>
        </w:rPr>
        <w:t xml:space="preserve"> </w:t>
      </w:r>
      <w:r w:rsidR="0099587D" w:rsidRPr="00AC36D6">
        <w:rPr>
          <w:color w:val="000000" w:themeColor="text1"/>
        </w:rPr>
        <w:t>authors reviewed the results and approved the final manuscript.</w:t>
      </w:r>
    </w:p>
    <w:p w14:paraId="6E88A51E" w14:textId="77777777" w:rsidR="00A91997" w:rsidRPr="00AC36D6" w:rsidRDefault="00A91997" w:rsidP="006D46EB">
      <w:pPr>
        <w:spacing w:after="0" w:line="360" w:lineRule="auto"/>
        <w:jc w:val="both"/>
        <w:rPr>
          <w:color w:val="000000" w:themeColor="text1"/>
        </w:rPr>
      </w:pPr>
    </w:p>
    <w:p w14:paraId="111213F6" w14:textId="21D38933" w:rsidR="0085608A" w:rsidRPr="00AC36D6" w:rsidRDefault="00DA6943" w:rsidP="00115402">
      <w:pPr>
        <w:spacing w:line="240" w:lineRule="auto"/>
        <w:rPr>
          <w:b/>
          <w:noProof/>
          <w:color w:val="000000" w:themeColor="text1"/>
        </w:rPr>
      </w:pPr>
      <w:r w:rsidRPr="00AC36D6">
        <w:rPr>
          <w:b/>
          <w:noProof/>
          <w:color w:val="000000" w:themeColor="text1"/>
        </w:rPr>
        <w:t>R</w:t>
      </w:r>
      <w:r w:rsidR="00115402" w:rsidRPr="00AC36D6">
        <w:rPr>
          <w:b/>
          <w:noProof/>
          <w:color w:val="000000" w:themeColor="text1"/>
        </w:rPr>
        <w:t>eferences</w:t>
      </w:r>
    </w:p>
    <w:p w14:paraId="4B4330EF" w14:textId="5330F2A5" w:rsidR="00BE28FD" w:rsidRPr="00F507E0" w:rsidRDefault="00BE28FD" w:rsidP="00BE28FD">
      <w:pPr>
        <w:widowControl w:val="0"/>
        <w:autoSpaceDE w:val="0"/>
        <w:autoSpaceDN w:val="0"/>
        <w:adjustRightInd w:val="0"/>
        <w:spacing w:line="240" w:lineRule="auto"/>
        <w:ind w:left="480" w:hanging="480"/>
        <w:jc w:val="both"/>
        <w:rPr>
          <w:noProof/>
        </w:rPr>
      </w:pPr>
      <w:r w:rsidRPr="00F507E0">
        <w:rPr>
          <w:noProof/>
        </w:rPr>
        <w:t>Asgary, N., De Los Santos, G., Vincent, V. and Davila, V. (1997). The determinants of expenditures by Mexican visitors to the border cities of Texas. </w:t>
      </w:r>
      <w:r w:rsidRPr="00F507E0">
        <w:rPr>
          <w:i/>
          <w:iCs/>
          <w:noProof/>
        </w:rPr>
        <w:t>Tourism Economics</w:t>
      </w:r>
      <w:r w:rsidRPr="00F507E0">
        <w:rPr>
          <w:noProof/>
        </w:rPr>
        <w:t>, 3(4), 319-328.</w:t>
      </w:r>
    </w:p>
    <w:p w14:paraId="6D47B457" w14:textId="1A069076" w:rsidR="0085608A" w:rsidRPr="00F507E0" w:rsidRDefault="0085608A" w:rsidP="00253259">
      <w:pPr>
        <w:widowControl w:val="0"/>
        <w:autoSpaceDE w:val="0"/>
        <w:autoSpaceDN w:val="0"/>
        <w:adjustRightInd w:val="0"/>
        <w:spacing w:line="240" w:lineRule="auto"/>
        <w:ind w:left="480" w:hanging="480"/>
        <w:jc w:val="both"/>
        <w:rPr>
          <w:noProof/>
        </w:rPr>
      </w:pPr>
      <w:r w:rsidRPr="00F507E0">
        <w:rPr>
          <w:noProof/>
        </w:rPr>
        <w:t>Bhat, C.</w:t>
      </w:r>
      <w:r w:rsidR="00115402" w:rsidRPr="00F507E0">
        <w:rPr>
          <w:noProof/>
        </w:rPr>
        <w:t>R.</w:t>
      </w:r>
      <w:r w:rsidRPr="00F507E0">
        <w:rPr>
          <w:noProof/>
        </w:rPr>
        <w:t xml:space="preserve"> </w:t>
      </w:r>
      <w:r w:rsidR="00115402" w:rsidRPr="00F507E0">
        <w:rPr>
          <w:noProof/>
        </w:rPr>
        <w:t>(</w:t>
      </w:r>
      <w:r w:rsidRPr="00F507E0">
        <w:rPr>
          <w:noProof/>
        </w:rPr>
        <w:t>2005</w:t>
      </w:r>
      <w:r w:rsidR="00115402" w:rsidRPr="00F507E0">
        <w:rPr>
          <w:noProof/>
        </w:rPr>
        <w:t>)</w:t>
      </w:r>
      <w:r w:rsidRPr="00F507E0">
        <w:rPr>
          <w:noProof/>
        </w:rPr>
        <w:t xml:space="preserve">. A Multiple Discrete-Continuous Extreme Value Model: Formulation and Application to Discretionary Time-Use Decisions. </w:t>
      </w:r>
      <w:r w:rsidRPr="00F507E0">
        <w:rPr>
          <w:i/>
          <w:iCs/>
          <w:noProof/>
        </w:rPr>
        <w:t>Transportation Research Part B: Methodological</w:t>
      </w:r>
      <w:r w:rsidRPr="00F507E0">
        <w:rPr>
          <w:noProof/>
        </w:rPr>
        <w:t xml:space="preserve"> 39: 679–707.</w:t>
      </w:r>
    </w:p>
    <w:p w14:paraId="020C9BE0" w14:textId="517E786A"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Bhat, C. R.</w:t>
      </w:r>
      <w:r w:rsidR="00115402" w:rsidRPr="00F507E0">
        <w:rPr>
          <w:noProof/>
        </w:rPr>
        <w:t xml:space="preserve"> (2008).</w:t>
      </w:r>
      <w:r w:rsidRPr="00F507E0">
        <w:rPr>
          <w:noProof/>
        </w:rPr>
        <w:t xml:space="preserve"> The Multiple Discrete-Continuous Extreme Value (MDCEV) Model: Role of Utility Function Parameters, Identification Considerations, and Model Extensions. </w:t>
      </w:r>
      <w:r w:rsidRPr="00F507E0">
        <w:rPr>
          <w:i/>
          <w:iCs/>
          <w:noProof/>
        </w:rPr>
        <w:t>Transportation Research Part B: Methodological</w:t>
      </w:r>
      <w:r w:rsidRPr="00F507E0">
        <w:rPr>
          <w:noProof/>
        </w:rPr>
        <w:t>, 42(3), 274–303.</w:t>
      </w:r>
    </w:p>
    <w:p w14:paraId="1F9FBAEC" w14:textId="316101FF"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Bhat, C</w:t>
      </w:r>
      <w:r w:rsidR="00115402" w:rsidRPr="00F507E0">
        <w:rPr>
          <w:noProof/>
        </w:rPr>
        <w:t>.</w:t>
      </w:r>
      <w:r w:rsidRPr="00F507E0">
        <w:rPr>
          <w:noProof/>
        </w:rPr>
        <w:t xml:space="preserve">R. </w:t>
      </w:r>
      <w:r w:rsidR="00115402" w:rsidRPr="00F507E0">
        <w:rPr>
          <w:noProof/>
        </w:rPr>
        <w:t>(</w:t>
      </w:r>
      <w:r w:rsidRPr="00F507E0">
        <w:rPr>
          <w:noProof/>
        </w:rPr>
        <w:t>2018</w:t>
      </w:r>
      <w:r w:rsidR="00115402" w:rsidRPr="00F507E0">
        <w:rPr>
          <w:noProof/>
        </w:rPr>
        <w:t>)</w:t>
      </w:r>
      <w:r w:rsidRPr="00F507E0">
        <w:rPr>
          <w:noProof/>
        </w:rPr>
        <w:t xml:space="preserve">. New Matrix-Based Methods for the Analytic Evaluation of the Multivariate Cumulative Normal Distribution Function. </w:t>
      </w:r>
      <w:r w:rsidRPr="00F507E0">
        <w:rPr>
          <w:i/>
          <w:iCs/>
          <w:noProof/>
        </w:rPr>
        <w:t>Transportation Research Part B: Methodological</w:t>
      </w:r>
      <w:r w:rsidR="00115402" w:rsidRPr="00F507E0">
        <w:rPr>
          <w:i/>
          <w:iCs/>
          <w:noProof/>
        </w:rPr>
        <w:t>,</w:t>
      </w:r>
      <w:r w:rsidRPr="00F507E0">
        <w:rPr>
          <w:noProof/>
        </w:rPr>
        <w:t xml:space="preserve"> 109: 238–</w:t>
      </w:r>
      <w:r w:rsidR="006E092A" w:rsidRPr="00F507E0">
        <w:rPr>
          <w:noProof/>
        </w:rPr>
        <w:t>2</w:t>
      </w:r>
      <w:r w:rsidRPr="00F507E0">
        <w:rPr>
          <w:noProof/>
        </w:rPr>
        <w:t xml:space="preserve">56. </w:t>
      </w:r>
    </w:p>
    <w:p w14:paraId="6A5A1CE3" w14:textId="5E86DC44"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Bhat, C. R.</w:t>
      </w:r>
      <w:r w:rsidR="00115402" w:rsidRPr="00F507E0">
        <w:rPr>
          <w:noProof/>
        </w:rPr>
        <w:t xml:space="preserve"> (2018).</w:t>
      </w:r>
      <w:r w:rsidRPr="00F507E0">
        <w:rPr>
          <w:noProof/>
        </w:rPr>
        <w:t xml:space="preserve"> A New Flexible Multiple Discrete–Continuous Extreme Value (MDCEV) Choice Model. </w:t>
      </w:r>
      <w:r w:rsidRPr="00F507E0">
        <w:rPr>
          <w:i/>
          <w:iCs/>
          <w:noProof/>
        </w:rPr>
        <w:t>Transportation Research Part B: Methodological</w:t>
      </w:r>
      <w:r w:rsidRPr="00F507E0">
        <w:rPr>
          <w:noProof/>
        </w:rPr>
        <w:t>, 2018, 110, 261–279.</w:t>
      </w:r>
    </w:p>
    <w:p w14:paraId="76BD114A" w14:textId="4B05EC39" w:rsidR="00BE28FD" w:rsidRPr="00F507E0" w:rsidRDefault="00BE28FD" w:rsidP="00253259">
      <w:pPr>
        <w:widowControl w:val="0"/>
        <w:autoSpaceDE w:val="0"/>
        <w:autoSpaceDN w:val="0"/>
        <w:adjustRightInd w:val="0"/>
        <w:spacing w:line="240" w:lineRule="auto"/>
        <w:ind w:left="480" w:hanging="480"/>
        <w:jc w:val="both"/>
        <w:rPr>
          <w:noProof/>
        </w:rPr>
      </w:pPr>
      <w:r w:rsidRPr="00F507E0">
        <w:rPr>
          <w:noProof/>
        </w:rPr>
        <w:t>Brida, J.G. and Scuderi, R., (2013). Determinants of tourist expenditure: A review of microeconometric models. </w:t>
      </w:r>
      <w:r w:rsidRPr="00F507E0">
        <w:rPr>
          <w:i/>
          <w:iCs/>
          <w:noProof/>
        </w:rPr>
        <w:t>Tourism Management Perspectives</w:t>
      </w:r>
      <w:r w:rsidRPr="00F507E0">
        <w:rPr>
          <w:noProof/>
        </w:rPr>
        <w:t>, </w:t>
      </w:r>
      <w:r w:rsidRPr="00F507E0">
        <w:rPr>
          <w:i/>
          <w:iCs/>
          <w:noProof/>
        </w:rPr>
        <w:t>6</w:t>
      </w:r>
      <w:r w:rsidRPr="00F507E0">
        <w:rPr>
          <w:noProof/>
        </w:rPr>
        <w:t>, 28-40.</w:t>
      </w:r>
    </w:p>
    <w:p w14:paraId="3AB92EDD" w14:textId="60E83CC2" w:rsidR="0085608A" w:rsidRPr="00F507E0" w:rsidRDefault="00F16E55" w:rsidP="00253259">
      <w:pPr>
        <w:widowControl w:val="0"/>
        <w:autoSpaceDE w:val="0"/>
        <w:autoSpaceDN w:val="0"/>
        <w:adjustRightInd w:val="0"/>
        <w:spacing w:line="240" w:lineRule="auto"/>
        <w:ind w:left="480" w:hanging="480"/>
        <w:jc w:val="both"/>
        <w:rPr>
          <w:noProof/>
        </w:rPr>
      </w:pPr>
      <w:r w:rsidRPr="00F507E0">
        <w:rPr>
          <w:noProof/>
        </w:rPr>
        <w:t>Calastri, C., Hess,</w:t>
      </w:r>
      <w:r w:rsidR="00115402" w:rsidRPr="00F507E0">
        <w:rPr>
          <w:noProof/>
        </w:rPr>
        <w:t xml:space="preserve"> S.,</w:t>
      </w:r>
      <w:r w:rsidRPr="00F507E0">
        <w:rPr>
          <w:noProof/>
        </w:rPr>
        <w:t xml:space="preserve"> Daly,</w:t>
      </w:r>
      <w:r w:rsidR="00115402" w:rsidRPr="00F507E0">
        <w:rPr>
          <w:noProof/>
        </w:rPr>
        <w:t xml:space="preserve"> A.</w:t>
      </w:r>
      <w:r w:rsidR="00E902FB" w:rsidRPr="00F507E0">
        <w:rPr>
          <w:noProof/>
        </w:rPr>
        <w:t>,</w:t>
      </w:r>
      <w:r w:rsidRPr="00F507E0">
        <w:rPr>
          <w:noProof/>
        </w:rPr>
        <w:t xml:space="preserve"> Maness,</w:t>
      </w:r>
      <w:r w:rsidR="00E902FB" w:rsidRPr="00F507E0">
        <w:rPr>
          <w:noProof/>
        </w:rPr>
        <w:t xml:space="preserve"> M.,</w:t>
      </w:r>
      <w:r w:rsidRPr="00F507E0">
        <w:rPr>
          <w:noProof/>
        </w:rPr>
        <w:t xml:space="preserve"> Kowald,</w:t>
      </w:r>
      <w:r w:rsidR="00E902FB" w:rsidRPr="00F507E0">
        <w:rPr>
          <w:noProof/>
        </w:rPr>
        <w:t xml:space="preserve"> M.,</w:t>
      </w:r>
      <w:r w:rsidRPr="00F507E0">
        <w:rPr>
          <w:noProof/>
        </w:rPr>
        <w:t xml:space="preserve"> and Axhausen</w:t>
      </w:r>
      <w:r w:rsidR="00E902FB" w:rsidRPr="00F507E0">
        <w:rPr>
          <w:noProof/>
        </w:rPr>
        <w:t>, K.</w:t>
      </w:r>
      <w:r w:rsidR="00115402" w:rsidRPr="00F507E0">
        <w:rPr>
          <w:noProof/>
        </w:rPr>
        <w:t xml:space="preserve"> (2017).</w:t>
      </w:r>
      <w:r w:rsidRPr="00F507E0">
        <w:rPr>
          <w:noProof/>
        </w:rPr>
        <w:t xml:space="preserve"> Modelling Contact Mode and Frequency of Interactions with Social Network Members Using the Multiple Discrete-Continuous Extreme Value Model. </w:t>
      </w:r>
      <w:r w:rsidRPr="00F507E0">
        <w:rPr>
          <w:i/>
          <w:iCs/>
          <w:noProof/>
        </w:rPr>
        <w:t>Transportation Research Part C</w:t>
      </w:r>
      <w:r w:rsidRPr="00F507E0">
        <w:rPr>
          <w:noProof/>
        </w:rPr>
        <w:t>, 76, 16–34.</w:t>
      </w:r>
    </w:p>
    <w:p w14:paraId="10BD9E07" w14:textId="77777777" w:rsidR="00E902FB" w:rsidRPr="00F507E0" w:rsidRDefault="00E902FB" w:rsidP="00253259">
      <w:pPr>
        <w:widowControl w:val="0"/>
        <w:autoSpaceDE w:val="0"/>
        <w:autoSpaceDN w:val="0"/>
        <w:adjustRightInd w:val="0"/>
        <w:spacing w:before="120" w:line="240" w:lineRule="auto"/>
        <w:ind w:left="475" w:hanging="475"/>
        <w:jc w:val="both"/>
        <w:rPr>
          <w:noProof/>
        </w:rPr>
      </w:pPr>
      <w:r w:rsidRPr="00F507E0">
        <w:rPr>
          <w:noProof/>
        </w:rPr>
        <w:lastRenderedPageBreak/>
        <w:t xml:space="preserve">Enam, A., Konduri, K.C., Pinjari, A.R., &amp; Eluru, N. (2018). An Integrated Choice and Latent Variable Model for Multiple Discrete-continuous Choice Kernels: Application Exploring the Association Between Day Level Moods and Discretionary Activity Engagement Choices. </w:t>
      </w:r>
      <w:r w:rsidRPr="00F507E0">
        <w:rPr>
          <w:i/>
          <w:iCs/>
          <w:noProof/>
        </w:rPr>
        <w:t>Journal of Choice Modelling</w:t>
      </w:r>
      <w:r w:rsidRPr="00F507E0">
        <w:rPr>
          <w:noProof/>
        </w:rPr>
        <w:t>, 26, 80–100.</w:t>
      </w:r>
    </w:p>
    <w:p w14:paraId="37F99639" w14:textId="531A7AC9"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Hanemann, W.M.</w:t>
      </w:r>
      <w:r w:rsidR="00E902FB" w:rsidRPr="00F507E0">
        <w:rPr>
          <w:noProof/>
        </w:rPr>
        <w:t xml:space="preserve"> (1984).</w:t>
      </w:r>
      <w:r w:rsidRPr="00F507E0">
        <w:rPr>
          <w:noProof/>
        </w:rPr>
        <w:t xml:space="preserve"> Discrete/Continuous Models of Consumer Demand. </w:t>
      </w:r>
      <w:r w:rsidRPr="00F507E0">
        <w:rPr>
          <w:i/>
          <w:iCs/>
          <w:noProof/>
        </w:rPr>
        <w:t>Econometrica</w:t>
      </w:r>
      <w:r w:rsidRPr="00F507E0">
        <w:rPr>
          <w:noProof/>
        </w:rPr>
        <w:t>, 52(3) 541–561.</w:t>
      </w:r>
    </w:p>
    <w:p w14:paraId="2C812B14" w14:textId="77777777" w:rsidR="00E902FB" w:rsidRPr="00F507E0" w:rsidRDefault="00E902FB" w:rsidP="00253259">
      <w:pPr>
        <w:widowControl w:val="0"/>
        <w:autoSpaceDE w:val="0"/>
        <w:autoSpaceDN w:val="0"/>
        <w:adjustRightInd w:val="0"/>
        <w:spacing w:before="120" w:after="0" w:line="240" w:lineRule="auto"/>
        <w:ind w:left="475" w:hanging="475"/>
        <w:jc w:val="both"/>
        <w:rPr>
          <w:noProof/>
        </w:rPr>
      </w:pPr>
      <w:r w:rsidRPr="00F507E0">
        <w:rPr>
          <w:noProof/>
        </w:rPr>
        <w:t xml:space="preserve">Herter, M.M., Pizzutti, C., &amp; Pinto, D.C. (2014). ‘Man, I Shop like a Woman!’ The Effects of Gender and Emotions on Consumer Shopping Behaviour Outcomes. </w:t>
      </w:r>
      <w:r w:rsidRPr="00F507E0">
        <w:rPr>
          <w:i/>
          <w:iCs/>
          <w:noProof/>
        </w:rPr>
        <w:t>International Journal of Retail &amp; Distribution Management</w:t>
      </w:r>
      <w:r w:rsidRPr="00F507E0">
        <w:rPr>
          <w:noProof/>
        </w:rPr>
        <w:t>, 42(9), 780–804.</w:t>
      </w:r>
    </w:p>
    <w:p w14:paraId="38BCDE4E" w14:textId="31F72610" w:rsidR="00E902FB" w:rsidRPr="00F507E0" w:rsidRDefault="00E902FB" w:rsidP="00253259">
      <w:pPr>
        <w:widowControl w:val="0"/>
        <w:autoSpaceDE w:val="0"/>
        <w:autoSpaceDN w:val="0"/>
        <w:adjustRightInd w:val="0"/>
        <w:spacing w:before="120" w:line="240" w:lineRule="auto"/>
        <w:ind w:left="475" w:hanging="475"/>
        <w:jc w:val="both"/>
        <w:rPr>
          <w:noProof/>
        </w:rPr>
      </w:pPr>
      <w:r w:rsidRPr="00F507E0">
        <w:rPr>
          <w:noProof/>
        </w:rPr>
        <w:t xml:space="preserve">Hendel, I. (1999). Estimating multiple-discrete choice models: An application to Computerization Returns. </w:t>
      </w:r>
      <w:r w:rsidRPr="00F507E0">
        <w:rPr>
          <w:i/>
          <w:iCs/>
          <w:noProof/>
        </w:rPr>
        <w:t>Review of Economic Studies</w:t>
      </w:r>
      <w:r w:rsidRPr="00F507E0">
        <w:rPr>
          <w:noProof/>
        </w:rPr>
        <w:t>, 66(2), 423–446.</w:t>
      </w:r>
    </w:p>
    <w:p w14:paraId="717BFE70" w14:textId="054590F2" w:rsidR="001E3BB1" w:rsidRPr="00F507E0" w:rsidRDefault="001E3BB1" w:rsidP="00253259">
      <w:pPr>
        <w:widowControl w:val="0"/>
        <w:autoSpaceDE w:val="0"/>
        <w:autoSpaceDN w:val="0"/>
        <w:adjustRightInd w:val="0"/>
        <w:spacing w:before="120" w:line="240" w:lineRule="auto"/>
        <w:ind w:left="475" w:hanging="475"/>
        <w:jc w:val="both"/>
        <w:rPr>
          <w:noProof/>
        </w:rPr>
      </w:pPr>
      <w:r w:rsidRPr="00F507E0">
        <w:rPr>
          <w:noProof/>
        </w:rPr>
        <w:t>Jian, S</w:t>
      </w:r>
      <w:r w:rsidR="004B37F1" w:rsidRPr="00F507E0">
        <w:rPr>
          <w:noProof/>
        </w:rPr>
        <w:t>.</w:t>
      </w:r>
      <w:r w:rsidRPr="00F507E0">
        <w:rPr>
          <w:noProof/>
        </w:rPr>
        <w:t xml:space="preserve">, Rashidi, T.H., &amp; Dixit, V. (2017). An Analysis of Carsharing Vehicle Choice and Utilization Patterns Using Multiple Discrete-Continuous Extreme Value (MDCEV) Models. </w:t>
      </w:r>
      <w:r w:rsidRPr="00F507E0">
        <w:rPr>
          <w:i/>
          <w:iCs/>
          <w:noProof/>
        </w:rPr>
        <w:t>Transportation Research Part A: Policy and Practice</w:t>
      </w:r>
      <w:r w:rsidR="004B37F1" w:rsidRPr="00F507E0">
        <w:rPr>
          <w:i/>
          <w:iCs/>
          <w:noProof/>
        </w:rPr>
        <w:t>,</w:t>
      </w:r>
      <w:r w:rsidRPr="00F507E0">
        <w:rPr>
          <w:noProof/>
        </w:rPr>
        <w:t xml:space="preserve"> 103</w:t>
      </w:r>
      <w:r w:rsidR="004B37F1" w:rsidRPr="00F507E0">
        <w:rPr>
          <w:noProof/>
        </w:rPr>
        <w:t>,</w:t>
      </w:r>
      <w:r w:rsidRPr="00F507E0">
        <w:rPr>
          <w:noProof/>
        </w:rPr>
        <w:t xml:space="preserve"> 362–</w:t>
      </w:r>
      <w:r w:rsidR="004B37F1" w:rsidRPr="00F507E0">
        <w:rPr>
          <w:noProof/>
        </w:rPr>
        <w:t>3</w:t>
      </w:r>
      <w:r w:rsidRPr="00F507E0">
        <w:rPr>
          <w:noProof/>
        </w:rPr>
        <w:t>76.</w:t>
      </w:r>
    </w:p>
    <w:p w14:paraId="35ED7E7E" w14:textId="77777777" w:rsidR="00E902FB" w:rsidRPr="00F507E0" w:rsidRDefault="00E902FB" w:rsidP="00253259">
      <w:pPr>
        <w:widowControl w:val="0"/>
        <w:autoSpaceDE w:val="0"/>
        <w:autoSpaceDN w:val="0"/>
        <w:adjustRightInd w:val="0"/>
        <w:spacing w:before="120" w:line="240" w:lineRule="auto"/>
        <w:ind w:left="475" w:hanging="475"/>
        <w:jc w:val="both"/>
        <w:rPr>
          <w:noProof/>
        </w:rPr>
      </w:pPr>
      <w:r w:rsidRPr="00F507E0">
        <w:rPr>
          <w:noProof/>
        </w:rPr>
        <w:t xml:space="preserve">Kim, J., Allenby, G.M., &amp; Rossi, P.E. (2002). Modeling Consumer Demand for Variety. </w:t>
      </w:r>
      <w:r w:rsidRPr="00F507E0">
        <w:rPr>
          <w:i/>
          <w:iCs/>
          <w:noProof/>
        </w:rPr>
        <w:t>Marketing Science</w:t>
      </w:r>
      <w:r w:rsidRPr="00F507E0">
        <w:rPr>
          <w:noProof/>
        </w:rPr>
        <w:t>, 21(3), 229–250.</w:t>
      </w:r>
    </w:p>
    <w:p w14:paraId="1CD8DE13" w14:textId="3D1385AB"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 xml:space="preserve">Khan, M. </w:t>
      </w:r>
      <w:r w:rsidR="00E902FB" w:rsidRPr="00F507E0">
        <w:rPr>
          <w:noProof/>
        </w:rPr>
        <w:t>&amp;</w:t>
      </w:r>
      <w:r w:rsidRPr="00F507E0">
        <w:rPr>
          <w:noProof/>
        </w:rPr>
        <w:t xml:space="preserve"> Machemehl</w:t>
      </w:r>
      <w:r w:rsidR="00E902FB" w:rsidRPr="00F507E0">
        <w:rPr>
          <w:noProof/>
        </w:rPr>
        <w:t>, R. (2017)</w:t>
      </w:r>
      <w:r w:rsidRPr="00F507E0">
        <w:rPr>
          <w:noProof/>
        </w:rPr>
        <w:t xml:space="preserve"> Analyzing Tour Chaining Patterns of Urban Commercial Vehicles. </w:t>
      </w:r>
      <w:r w:rsidRPr="00F507E0">
        <w:rPr>
          <w:i/>
          <w:iCs/>
          <w:noProof/>
        </w:rPr>
        <w:t>Transportation Research Part A: Policy and Practice</w:t>
      </w:r>
      <w:r w:rsidRPr="00F507E0">
        <w:rPr>
          <w:noProof/>
        </w:rPr>
        <w:t>, 102, 84–97.</w:t>
      </w:r>
    </w:p>
    <w:p w14:paraId="49649372" w14:textId="106E19F2" w:rsidR="00115402" w:rsidRPr="00F507E0" w:rsidRDefault="00115402" w:rsidP="00253259">
      <w:pPr>
        <w:widowControl w:val="0"/>
        <w:autoSpaceDE w:val="0"/>
        <w:autoSpaceDN w:val="0"/>
        <w:adjustRightInd w:val="0"/>
        <w:spacing w:line="240" w:lineRule="auto"/>
        <w:ind w:left="480" w:hanging="480"/>
        <w:jc w:val="both"/>
        <w:rPr>
          <w:noProof/>
        </w:rPr>
      </w:pPr>
      <w:r w:rsidRPr="00F507E0">
        <w:rPr>
          <w:noProof/>
        </w:rPr>
        <w:t>Mulky, A</w:t>
      </w:r>
      <w:r w:rsidR="00E902FB" w:rsidRPr="00F507E0">
        <w:rPr>
          <w:noProof/>
        </w:rPr>
        <w:t>.</w:t>
      </w:r>
      <w:r w:rsidRPr="00F507E0">
        <w:rPr>
          <w:noProof/>
        </w:rPr>
        <w:t xml:space="preserve">G. </w:t>
      </w:r>
      <w:r w:rsidR="00E902FB" w:rsidRPr="00F507E0">
        <w:rPr>
          <w:noProof/>
        </w:rPr>
        <w:t>(</w:t>
      </w:r>
      <w:r w:rsidRPr="00F507E0">
        <w:rPr>
          <w:noProof/>
        </w:rPr>
        <w:t>2013</w:t>
      </w:r>
      <w:r w:rsidR="00E902FB" w:rsidRPr="00F507E0">
        <w:rPr>
          <w:noProof/>
        </w:rPr>
        <w:t>)</w:t>
      </w:r>
      <w:r w:rsidRPr="00F507E0">
        <w:rPr>
          <w:noProof/>
        </w:rPr>
        <w:t xml:space="preserve">. Distribution Challenges and Workable Solutions. </w:t>
      </w:r>
      <w:r w:rsidRPr="00F507E0">
        <w:rPr>
          <w:i/>
          <w:iCs/>
          <w:noProof/>
        </w:rPr>
        <w:t>IIMB Management Review</w:t>
      </w:r>
      <w:r w:rsidR="00E902FB" w:rsidRPr="00F507E0">
        <w:rPr>
          <w:i/>
          <w:iCs/>
          <w:noProof/>
        </w:rPr>
        <w:t>,</w:t>
      </w:r>
      <w:r w:rsidRPr="00F507E0">
        <w:rPr>
          <w:noProof/>
        </w:rPr>
        <w:t xml:space="preserve"> 25 (3): 179–</w:t>
      </w:r>
      <w:r w:rsidR="006E092A" w:rsidRPr="00F507E0">
        <w:rPr>
          <w:noProof/>
        </w:rPr>
        <w:t>1</w:t>
      </w:r>
      <w:r w:rsidRPr="00F507E0">
        <w:rPr>
          <w:noProof/>
        </w:rPr>
        <w:t>95.</w:t>
      </w:r>
    </w:p>
    <w:p w14:paraId="1896BD3D" w14:textId="17D98D71" w:rsidR="00F16E55" w:rsidRPr="00F507E0" w:rsidRDefault="00F16E55" w:rsidP="00253259">
      <w:pPr>
        <w:widowControl w:val="0"/>
        <w:autoSpaceDE w:val="0"/>
        <w:autoSpaceDN w:val="0"/>
        <w:adjustRightInd w:val="0"/>
        <w:spacing w:line="240" w:lineRule="auto"/>
        <w:ind w:left="480" w:hanging="480"/>
        <w:jc w:val="both"/>
        <w:rPr>
          <w:noProof/>
        </w:rPr>
      </w:pPr>
      <w:r w:rsidRPr="00F507E0">
        <w:rPr>
          <w:noProof/>
        </w:rPr>
        <w:t>National Sample Survey Office (NSSO).</w:t>
      </w:r>
      <w:r w:rsidR="00E902FB" w:rsidRPr="00F507E0">
        <w:rPr>
          <w:noProof/>
        </w:rPr>
        <w:t xml:space="preserve"> (2016)</w:t>
      </w:r>
      <w:r w:rsidR="003E5CD8" w:rsidRPr="00F507E0">
        <w:rPr>
          <w:noProof/>
        </w:rPr>
        <w:t>.</w:t>
      </w:r>
      <w:r w:rsidRPr="00F507E0">
        <w:rPr>
          <w:noProof/>
        </w:rPr>
        <w:t xml:space="preserve"> Domestic tourism expenditure, NSS 72</w:t>
      </w:r>
      <w:r w:rsidRPr="00F507E0">
        <w:rPr>
          <w:noProof/>
          <w:vertAlign w:val="superscript"/>
        </w:rPr>
        <w:t>nd</w:t>
      </w:r>
      <w:r w:rsidRPr="00F507E0">
        <w:rPr>
          <w:noProof/>
        </w:rPr>
        <w:t xml:space="preserve"> round (July 2014-</w:t>
      </w:r>
      <w:r w:rsidR="001208A2" w:rsidRPr="00F507E0">
        <w:rPr>
          <w:noProof/>
        </w:rPr>
        <w:t xml:space="preserve">June 2015). </w:t>
      </w:r>
      <w:r w:rsidR="001208A2" w:rsidRPr="00F507E0">
        <w:rPr>
          <w:i/>
          <w:iCs/>
          <w:noProof/>
        </w:rPr>
        <w:t>Ministry of Statistics and Programme Implementations (MOSPI), Government of India</w:t>
      </w:r>
      <w:r w:rsidR="001208A2" w:rsidRPr="00F507E0">
        <w:rPr>
          <w:noProof/>
        </w:rPr>
        <w:t xml:space="preserve">. </w:t>
      </w:r>
      <w:hyperlink r:id="rId433" w:history="1">
        <w:r w:rsidR="001208A2" w:rsidRPr="00F507E0">
          <w:rPr>
            <w:rStyle w:val="Hyperlink"/>
            <w:noProof/>
          </w:rPr>
          <w:t>http://microdata.gov.in/nada43/index.php/catalog/138/</w:t>
        </w:r>
      </w:hyperlink>
      <w:r w:rsidR="006E092A" w:rsidRPr="00F507E0">
        <w:rPr>
          <w:noProof/>
        </w:rPr>
        <w:t>.</w:t>
      </w:r>
      <w:r w:rsidR="00435126" w:rsidRPr="00F507E0">
        <w:rPr>
          <w:noProof/>
        </w:rPr>
        <w:t xml:space="preserve"> Accessed in June 2020</w:t>
      </w:r>
      <w:r w:rsidR="00780DB3" w:rsidRPr="00F507E0">
        <w:rPr>
          <w:noProof/>
        </w:rPr>
        <w:t>.</w:t>
      </w:r>
    </w:p>
    <w:p w14:paraId="1013F84D" w14:textId="6301FE55" w:rsidR="00BE28FD" w:rsidRPr="00F507E0" w:rsidRDefault="00BE28FD" w:rsidP="00253259">
      <w:pPr>
        <w:widowControl w:val="0"/>
        <w:autoSpaceDE w:val="0"/>
        <w:autoSpaceDN w:val="0"/>
        <w:adjustRightInd w:val="0"/>
        <w:spacing w:line="240" w:lineRule="auto"/>
        <w:ind w:left="480" w:hanging="480"/>
        <w:jc w:val="both"/>
        <w:rPr>
          <w:noProof/>
        </w:rPr>
      </w:pPr>
      <w:r w:rsidRPr="00F507E0">
        <w:rPr>
          <w:noProof/>
        </w:rPr>
        <w:t>Nicolau, J.L. and Mas, F.J. (2005). Stochastic modeling: a three-stage tourist choice process. </w:t>
      </w:r>
      <w:r w:rsidRPr="00F507E0">
        <w:rPr>
          <w:i/>
          <w:iCs/>
          <w:noProof/>
        </w:rPr>
        <w:t>Annals of Tourism Research</w:t>
      </w:r>
      <w:r w:rsidRPr="00F507E0">
        <w:rPr>
          <w:noProof/>
        </w:rPr>
        <w:t>, </w:t>
      </w:r>
      <w:r w:rsidRPr="00F507E0">
        <w:rPr>
          <w:i/>
          <w:iCs/>
          <w:noProof/>
        </w:rPr>
        <w:t>32</w:t>
      </w:r>
      <w:r w:rsidRPr="00F507E0">
        <w:rPr>
          <w:noProof/>
        </w:rPr>
        <w:t>(1), pp.49-69.</w:t>
      </w:r>
    </w:p>
    <w:p w14:paraId="79F52248" w14:textId="3EFE4DF0" w:rsidR="00E902FB" w:rsidRPr="00F507E0" w:rsidRDefault="00E902FB" w:rsidP="00253259">
      <w:pPr>
        <w:widowControl w:val="0"/>
        <w:autoSpaceDE w:val="0"/>
        <w:autoSpaceDN w:val="0"/>
        <w:adjustRightInd w:val="0"/>
        <w:spacing w:before="120" w:line="240" w:lineRule="auto"/>
        <w:ind w:left="475" w:hanging="475"/>
        <w:jc w:val="both"/>
        <w:rPr>
          <w:noProof/>
        </w:rPr>
      </w:pPr>
      <w:r w:rsidRPr="00F507E0">
        <w:rPr>
          <w:noProof/>
        </w:rPr>
        <w:t xml:space="preserve">Pellegrini, A., Sarman, I., &amp; Maggi, R. (2021). Understanding Tourists’ Expenditure Patterns: A Stochastic Frontier Approach within the Framework of Multiple Discrete–Continuous Choices. </w:t>
      </w:r>
      <w:r w:rsidRPr="00F507E0">
        <w:rPr>
          <w:i/>
          <w:iCs/>
          <w:noProof/>
        </w:rPr>
        <w:t>Transportation</w:t>
      </w:r>
      <w:r w:rsidRPr="00F507E0">
        <w:rPr>
          <w:noProof/>
        </w:rPr>
        <w:t>, 48, 931–951.</w:t>
      </w:r>
    </w:p>
    <w:p w14:paraId="5F7C00EF" w14:textId="21D3995C" w:rsidR="006C5EB9" w:rsidRPr="00F507E0" w:rsidRDefault="006C5EB9" w:rsidP="006C5EB9">
      <w:pPr>
        <w:widowControl w:val="0"/>
        <w:autoSpaceDE w:val="0"/>
        <w:autoSpaceDN w:val="0"/>
        <w:adjustRightInd w:val="0"/>
        <w:spacing w:before="120" w:line="240" w:lineRule="auto"/>
        <w:ind w:left="475" w:hanging="475"/>
        <w:jc w:val="both"/>
        <w:rPr>
          <w:noProof/>
        </w:rPr>
      </w:pPr>
      <w:r w:rsidRPr="00F507E0">
        <w:rPr>
          <w:noProof/>
        </w:rPr>
        <w:t xml:space="preserve">Pinjari, A.R. (2011). Generalized Extreme Value (GEV)-Based Error Structures for Multiple Discrete-Continuous Choice Models. </w:t>
      </w:r>
      <w:r w:rsidRPr="00F507E0">
        <w:rPr>
          <w:i/>
          <w:iCs/>
          <w:noProof/>
        </w:rPr>
        <w:t>Transportation Research Part B: Methodological</w:t>
      </w:r>
      <w:r w:rsidR="003D6409" w:rsidRPr="00F507E0">
        <w:rPr>
          <w:i/>
          <w:iCs/>
          <w:noProof/>
        </w:rPr>
        <w:t>,</w:t>
      </w:r>
      <w:r w:rsidRPr="00F507E0">
        <w:rPr>
          <w:noProof/>
        </w:rPr>
        <w:t xml:space="preserve"> 45(3): 474–489.</w:t>
      </w:r>
    </w:p>
    <w:p w14:paraId="3D00B712" w14:textId="150FFFC3" w:rsidR="006C5EB9" w:rsidRPr="00F507E0" w:rsidRDefault="006C5EB9" w:rsidP="006C5EB9">
      <w:pPr>
        <w:widowControl w:val="0"/>
        <w:autoSpaceDE w:val="0"/>
        <w:autoSpaceDN w:val="0"/>
        <w:adjustRightInd w:val="0"/>
        <w:spacing w:before="120" w:line="240" w:lineRule="auto"/>
        <w:ind w:left="475" w:hanging="475"/>
        <w:jc w:val="both"/>
        <w:rPr>
          <w:noProof/>
        </w:rPr>
      </w:pPr>
      <w:r w:rsidRPr="00F507E0">
        <w:rPr>
          <w:noProof/>
        </w:rPr>
        <w:t xml:space="preserve">Pinjari, A.R. </w:t>
      </w:r>
      <w:r w:rsidR="003D6409" w:rsidRPr="00F507E0">
        <w:rPr>
          <w:noProof/>
        </w:rPr>
        <w:t>&amp;</w:t>
      </w:r>
      <w:r w:rsidRPr="00F507E0">
        <w:rPr>
          <w:noProof/>
        </w:rPr>
        <w:t xml:space="preserve"> Bhat, C.R. (2009). A Multiple Discrete-Continuous Nested Extreme Value (MDCNEV) Model: Formulation and Application to Non-Worker Activity Time-Use and Timing Behavior on Weekdays. </w:t>
      </w:r>
      <w:r w:rsidRPr="00F507E0">
        <w:rPr>
          <w:i/>
          <w:iCs/>
          <w:noProof/>
        </w:rPr>
        <w:t>Transportation Research Part B: Methodological</w:t>
      </w:r>
      <w:r w:rsidR="003D6409" w:rsidRPr="00F507E0">
        <w:rPr>
          <w:noProof/>
        </w:rPr>
        <w:t>,</w:t>
      </w:r>
      <w:r w:rsidRPr="00F507E0">
        <w:rPr>
          <w:noProof/>
        </w:rPr>
        <w:t xml:space="preserve"> 44(4): 562–583.</w:t>
      </w:r>
    </w:p>
    <w:p w14:paraId="234B3C66" w14:textId="3EDA65AC" w:rsidR="001208A2" w:rsidRPr="00F507E0" w:rsidRDefault="001208A2" w:rsidP="00253259">
      <w:pPr>
        <w:widowControl w:val="0"/>
        <w:autoSpaceDE w:val="0"/>
        <w:autoSpaceDN w:val="0"/>
        <w:adjustRightInd w:val="0"/>
        <w:spacing w:line="240" w:lineRule="auto"/>
        <w:ind w:left="480" w:hanging="480"/>
        <w:jc w:val="both"/>
        <w:rPr>
          <w:noProof/>
        </w:rPr>
      </w:pPr>
      <w:r w:rsidRPr="00F507E0">
        <w:rPr>
          <w:noProof/>
        </w:rPr>
        <w:t>Pollak, R. A.</w:t>
      </w:r>
      <w:r w:rsidR="00E902FB" w:rsidRPr="00F507E0">
        <w:rPr>
          <w:noProof/>
        </w:rPr>
        <w:t xml:space="preserve"> &amp; </w:t>
      </w:r>
      <w:r w:rsidRPr="00F507E0">
        <w:rPr>
          <w:noProof/>
        </w:rPr>
        <w:t>Wales</w:t>
      </w:r>
      <w:r w:rsidR="00E902FB" w:rsidRPr="00F507E0">
        <w:rPr>
          <w:noProof/>
        </w:rPr>
        <w:t>, T.J. (1992).</w:t>
      </w:r>
      <w:r w:rsidRPr="00F507E0">
        <w:rPr>
          <w:noProof/>
        </w:rPr>
        <w:t xml:space="preserve"> Price-Augmenting Returns to Scale: An Application to Nonseparable Two-Stage Technologies. </w:t>
      </w:r>
      <w:r w:rsidRPr="00F507E0">
        <w:rPr>
          <w:i/>
          <w:iCs/>
          <w:noProof/>
        </w:rPr>
        <w:t>The Review of Economics and Statistics</w:t>
      </w:r>
      <w:r w:rsidRPr="00F507E0">
        <w:rPr>
          <w:noProof/>
        </w:rPr>
        <w:t>, 74(2), 213–220.</w:t>
      </w:r>
    </w:p>
    <w:p w14:paraId="5F7BECC1" w14:textId="3ECA6103" w:rsidR="001208A2" w:rsidRPr="00F507E0" w:rsidRDefault="001208A2" w:rsidP="00253259">
      <w:pPr>
        <w:widowControl w:val="0"/>
        <w:autoSpaceDE w:val="0"/>
        <w:autoSpaceDN w:val="0"/>
        <w:adjustRightInd w:val="0"/>
        <w:spacing w:line="240" w:lineRule="auto"/>
        <w:ind w:left="480" w:hanging="480"/>
        <w:jc w:val="both"/>
        <w:rPr>
          <w:noProof/>
        </w:rPr>
      </w:pPr>
      <w:r w:rsidRPr="00F507E0">
        <w:rPr>
          <w:noProof/>
        </w:rPr>
        <w:t>Saxena, S., Pinjari, A.R. &amp; Bhat, C.R.</w:t>
      </w:r>
      <w:r w:rsidR="009E1B88" w:rsidRPr="00F507E0">
        <w:rPr>
          <w:noProof/>
        </w:rPr>
        <w:t xml:space="preserve"> (202</w:t>
      </w:r>
      <w:r w:rsidR="000E1181" w:rsidRPr="00F507E0">
        <w:rPr>
          <w:noProof/>
        </w:rPr>
        <w:t>2</w:t>
      </w:r>
      <w:r w:rsidR="009E1B88" w:rsidRPr="00F507E0">
        <w:rPr>
          <w:noProof/>
        </w:rPr>
        <w:t>).</w:t>
      </w:r>
      <w:r w:rsidRPr="00F507E0">
        <w:rPr>
          <w:noProof/>
        </w:rPr>
        <w:t xml:space="preserve"> Multiple Discrete-Continuous Choice Models with Additively Separable Utility Functions and </w:t>
      </w:r>
      <w:r w:rsidRPr="00F507E0">
        <w:rPr>
          <w:noProof/>
          <w:color w:val="000000" w:themeColor="text1"/>
        </w:rPr>
        <w:t>Linear Utility on Outside Good: Model Properties and Characterization of Demand Functions</w:t>
      </w:r>
      <w:r w:rsidR="00015FCF" w:rsidRPr="00F507E0">
        <w:rPr>
          <w:noProof/>
          <w:color w:val="000000" w:themeColor="text1"/>
        </w:rPr>
        <w:t>.</w:t>
      </w:r>
      <w:r w:rsidRPr="00F507E0">
        <w:rPr>
          <w:noProof/>
          <w:color w:val="000000" w:themeColor="text1"/>
        </w:rPr>
        <w:t xml:space="preserve"> </w:t>
      </w:r>
      <w:r w:rsidR="0059008C" w:rsidRPr="00F507E0">
        <w:rPr>
          <w:i/>
          <w:iCs/>
          <w:noProof/>
          <w:color w:val="000000" w:themeColor="text1"/>
        </w:rPr>
        <w:t>Transportation Resarch Part B</w:t>
      </w:r>
      <w:r w:rsidR="006E7C8A" w:rsidRPr="00F507E0">
        <w:rPr>
          <w:noProof/>
          <w:color w:val="000000" w:themeColor="text1"/>
        </w:rPr>
        <w:t>, 155, 526-557</w:t>
      </w:r>
      <w:r w:rsidRPr="00F507E0">
        <w:rPr>
          <w:noProof/>
          <w:color w:val="000000" w:themeColor="text1"/>
        </w:rPr>
        <w:t>.</w:t>
      </w:r>
    </w:p>
    <w:p w14:paraId="265ED476" w14:textId="687E793A" w:rsidR="001208A2" w:rsidRPr="00F507E0" w:rsidRDefault="001208A2" w:rsidP="00253259">
      <w:pPr>
        <w:widowControl w:val="0"/>
        <w:autoSpaceDE w:val="0"/>
        <w:autoSpaceDN w:val="0"/>
        <w:adjustRightInd w:val="0"/>
        <w:spacing w:line="240" w:lineRule="auto"/>
        <w:ind w:left="480" w:hanging="480"/>
        <w:jc w:val="both"/>
        <w:rPr>
          <w:noProof/>
        </w:rPr>
      </w:pPr>
      <w:r w:rsidRPr="00F507E0">
        <w:rPr>
          <w:noProof/>
        </w:rPr>
        <w:t>Sobhani, A</w:t>
      </w:r>
      <w:r w:rsidR="009E1B88" w:rsidRPr="00F507E0">
        <w:rPr>
          <w:noProof/>
        </w:rPr>
        <w:t>.</w:t>
      </w:r>
      <w:r w:rsidRPr="00F507E0">
        <w:rPr>
          <w:noProof/>
        </w:rPr>
        <w:t>, Eluru,</w:t>
      </w:r>
      <w:r w:rsidR="009E1B88" w:rsidRPr="00F507E0">
        <w:rPr>
          <w:noProof/>
        </w:rPr>
        <w:t xml:space="preserve"> N.,</w:t>
      </w:r>
      <w:r w:rsidRPr="00F507E0">
        <w:rPr>
          <w:noProof/>
        </w:rPr>
        <w:t xml:space="preserve"> </w:t>
      </w:r>
      <w:r w:rsidR="009E1B88" w:rsidRPr="00F507E0">
        <w:rPr>
          <w:noProof/>
        </w:rPr>
        <w:t>&amp;</w:t>
      </w:r>
      <w:r w:rsidRPr="00F507E0">
        <w:rPr>
          <w:noProof/>
        </w:rPr>
        <w:t xml:space="preserve"> Faghih-Imani</w:t>
      </w:r>
      <w:r w:rsidR="009E1B88" w:rsidRPr="00F507E0">
        <w:rPr>
          <w:noProof/>
        </w:rPr>
        <w:t>, A.</w:t>
      </w:r>
      <w:r w:rsidRPr="00F507E0">
        <w:rPr>
          <w:noProof/>
        </w:rPr>
        <w:t xml:space="preserve"> </w:t>
      </w:r>
      <w:r w:rsidR="009E1B88" w:rsidRPr="00F507E0">
        <w:rPr>
          <w:noProof/>
        </w:rPr>
        <w:t>(</w:t>
      </w:r>
      <w:r w:rsidRPr="00F507E0">
        <w:rPr>
          <w:noProof/>
        </w:rPr>
        <w:t>2013</w:t>
      </w:r>
      <w:r w:rsidR="009E1B88" w:rsidRPr="00F507E0">
        <w:rPr>
          <w:noProof/>
        </w:rPr>
        <w:t>)</w:t>
      </w:r>
      <w:r w:rsidRPr="00F507E0">
        <w:rPr>
          <w:noProof/>
        </w:rPr>
        <w:t xml:space="preserve">. A Latent Segmentation Based Multiple Discrete Continuous Extreme Value Model. </w:t>
      </w:r>
      <w:r w:rsidRPr="00F507E0">
        <w:rPr>
          <w:i/>
          <w:iCs/>
          <w:noProof/>
        </w:rPr>
        <w:t>Transportation Research Part B: Methodological</w:t>
      </w:r>
      <w:r w:rsidR="009E1B88" w:rsidRPr="00F507E0">
        <w:rPr>
          <w:noProof/>
        </w:rPr>
        <w:t>,</w:t>
      </w:r>
      <w:r w:rsidRPr="00F507E0">
        <w:rPr>
          <w:noProof/>
        </w:rPr>
        <w:t xml:space="preserve"> 58</w:t>
      </w:r>
      <w:r w:rsidR="009E1B88" w:rsidRPr="00F507E0">
        <w:rPr>
          <w:noProof/>
        </w:rPr>
        <w:t>,</w:t>
      </w:r>
      <w:r w:rsidRPr="00F507E0">
        <w:rPr>
          <w:noProof/>
        </w:rPr>
        <w:t xml:space="preserve"> 154</w:t>
      </w:r>
      <w:r w:rsidR="006E092A" w:rsidRPr="00F507E0">
        <w:rPr>
          <w:noProof/>
        </w:rPr>
        <w:t>–</w:t>
      </w:r>
      <w:r w:rsidR="009E1B88" w:rsidRPr="00F507E0">
        <w:rPr>
          <w:noProof/>
        </w:rPr>
        <w:t>1</w:t>
      </w:r>
      <w:r w:rsidRPr="00F507E0">
        <w:rPr>
          <w:noProof/>
        </w:rPr>
        <w:t>69.</w:t>
      </w:r>
    </w:p>
    <w:p w14:paraId="2F842F7C" w14:textId="6C4992BF" w:rsidR="001208A2" w:rsidRPr="00F507E0" w:rsidRDefault="001208A2" w:rsidP="00253259">
      <w:pPr>
        <w:widowControl w:val="0"/>
        <w:autoSpaceDE w:val="0"/>
        <w:autoSpaceDN w:val="0"/>
        <w:adjustRightInd w:val="0"/>
        <w:spacing w:line="240" w:lineRule="auto"/>
        <w:ind w:left="480" w:hanging="480"/>
        <w:jc w:val="both"/>
        <w:rPr>
          <w:noProof/>
        </w:rPr>
      </w:pPr>
      <w:r w:rsidRPr="00F507E0">
        <w:rPr>
          <w:noProof/>
        </w:rPr>
        <w:t xml:space="preserve">Venugopal, P. </w:t>
      </w:r>
      <w:r w:rsidR="009E1B88" w:rsidRPr="00F507E0">
        <w:rPr>
          <w:noProof/>
        </w:rPr>
        <w:t>(</w:t>
      </w:r>
      <w:r w:rsidRPr="00F507E0">
        <w:rPr>
          <w:noProof/>
        </w:rPr>
        <w:t>2012</w:t>
      </w:r>
      <w:r w:rsidR="009E1B88" w:rsidRPr="00F507E0">
        <w:rPr>
          <w:noProof/>
        </w:rPr>
        <w:t>)</w:t>
      </w:r>
      <w:r w:rsidRPr="00F507E0">
        <w:rPr>
          <w:noProof/>
        </w:rPr>
        <w:t xml:space="preserve">. Urban Orientation of Rural Consumers: Implication for Consumer Goods </w:t>
      </w:r>
      <w:r w:rsidRPr="00F507E0">
        <w:rPr>
          <w:noProof/>
        </w:rPr>
        <w:lastRenderedPageBreak/>
        <w:t xml:space="preserve">Distribution. </w:t>
      </w:r>
      <w:r w:rsidRPr="00F507E0">
        <w:rPr>
          <w:i/>
          <w:iCs/>
          <w:noProof/>
        </w:rPr>
        <w:t>International Journal of Rural Management</w:t>
      </w:r>
      <w:r w:rsidR="009E1B88" w:rsidRPr="00F507E0">
        <w:rPr>
          <w:noProof/>
        </w:rPr>
        <w:t>,</w:t>
      </w:r>
      <w:r w:rsidRPr="00F507E0">
        <w:rPr>
          <w:noProof/>
        </w:rPr>
        <w:t xml:space="preserve"> 8 </w:t>
      </w:r>
      <w:r w:rsidR="009E1B88" w:rsidRPr="00F507E0">
        <w:rPr>
          <w:noProof/>
        </w:rPr>
        <w:t>(</w:t>
      </w:r>
      <w:r w:rsidRPr="00F507E0">
        <w:rPr>
          <w:noProof/>
        </w:rPr>
        <w:t>1–2</w:t>
      </w:r>
      <w:r w:rsidR="009E1B88" w:rsidRPr="00F507E0">
        <w:rPr>
          <w:noProof/>
        </w:rPr>
        <w:t>),</w:t>
      </w:r>
      <w:r w:rsidRPr="00F507E0">
        <w:rPr>
          <w:noProof/>
        </w:rPr>
        <w:t xml:space="preserve"> 107</w:t>
      </w:r>
      <w:r w:rsidR="006E092A" w:rsidRPr="00F507E0">
        <w:rPr>
          <w:noProof/>
        </w:rPr>
        <w:t>–</w:t>
      </w:r>
      <w:r w:rsidR="009E1B88" w:rsidRPr="00F507E0">
        <w:rPr>
          <w:noProof/>
        </w:rPr>
        <w:t>1</w:t>
      </w:r>
      <w:r w:rsidRPr="00F507E0">
        <w:rPr>
          <w:noProof/>
        </w:rPr>
        <w:t>19.</w:t>
      </w:r>
    </w:p>
    <w:p w14:paraId="48BF7CA1" w14:textId="56FD83BB" w:rsidR="001208A2" w:rsidRPr="00F507E0" w:rsidRDefault="009E1B88" w:rsidP="00253259">
      <w:pPr>
        <w:widowControl w:val="0"/>
        <w:autoSpaceDE w:val="0"/>
        <w:autoSpaceDN w:val="0"/>
        <w:adjustRightInd w:val="0"/>
        <w:spacing w:line="240" w:lineRule="auto"/>
        <w:ind w:left="480" w:hanging="480"/>
        <w:jc w:val="both"/>
        <w:rPr>
          <w:noProof/>
        </w:rPr>
      </w:pPr>
      <w:r w:rsidRPr="00F507E0">
        <w:rPr>
          <w:noProof/>
        </w:rPr>
        <w:t>von Haefen, R.H., Phaneuf, D.J. (2003)</w:t>
      </w:r>
      <w:r w:rsidR="001208A2" w:rsidRPr="00F507E0">
        <w:rPr>
          <w:noProof/>
        </w:rPr>
        <w:t xml:space="preserve">. Estimating Preferences for Outdoor Recreation: A Comparison of Continuous and Count Data Demand System Frameworks. </w:t>
      </w:r>
      <w:r w:rsidR="001208A2" w:rsidRPr="00F507E0">
        <w:rPr>
          <w:i/>
          <w:iCs/>
          <w:noProof/>
        </w:rPr>
        <w:t>Journal of Environmental Economics and Management</w:t>
      </w:r>
      <w:r w:rsidR="001208A2" w:rsidRPr="00F507E0">
        <w:rPr>
          <w:noProof/>
        </w:rPr>
        <w:t>, 2003, 45(3) 612–630</w:t>
      </w:r>
      <w:r w:rsidR="006E092A" w:rsidRPr="00F507E0">
        <w:rPr>
          <w:noProof/>
        </w:rPr>
        <w:t>.</w:t>
      </w:r>
    </w:p>
    <w:p w14:paraId="25A3AE3F" w14:textId="3E2B183D" w:rsidR="001208A2" w:rsidRPr="00F507E0" w:rsidRDefault="001208A2" w:rsidP="00253259">
      <w:pPr>
        <w:widowControl w:val="0"/>
        <w:autoSpaceDE w:val="0"/>
        <w:autoSpaceDN w:val="0"/>
        <w:adjustRightInd w:val="0"/>
        <w:spacing w:before="120" w:after="0" w:line="240" w:lineRule="auto"/>
        <w:ind w:left="640" w:hanging="640"/>
        <w:jc w:val="both"/>
        <w:rPr>
          <w:noProof/>
        </w:rPr>
      </w:pPr>
      <w:r w:rsidRPr="00F507E0">
        <w:rPr>
          <w:noProof/>
        </w:rPr>
        <w:t>von Haefen, R.H., &amp; Phaneuf, D.J. (2005). Kuhn-Tucker Demand System Approaches to Non-Market Valuation.</w:t>
      </w:r>
      <w:r w:rsidR="009E1B88" w:rsidRPr="00F507E0">
        <w:rPr>
          <w:noProof/>
        </w:rPr>
        <w:t xml:space="preserve"> In: Scarpa, R. &amp; Alberini</w:t>
      </w:r>
      <w:r w:rsidR="00253259" w:rsidRPr="00F507E0">
        <w:rPr>
          <w:noProof/>
        </w:rPr>
        <w:t>, A. (eds)</w:t>
      </w:r>
      <w:r w:rsidR="006E092A" w:rsidRPr="00F507E0">
        <w:rPr>
          <w:noProof/>
        </w:rPr>
        <w:t>:</w:t>
      </w:r>
      <w:r w:rsidRPr="00F507E0">
        <w:rPr>
          <w:noProof/>
        </w:rPr>
        <w:t xml:space="preserve"> Applications of Simulation Methods</w:t>
      </w:r>
      <w:r w:rsidR="009E1B88" w:rsidRPr="00F507E0">
        <w:rPr>
          <w:noProof/>
        </w:rPr>
        <w:t xml:space="preserve"> in</w:t>
      </w:r>
      <w:r w:rsidRPr="00F507E0">
        <w:rPr>
          <w:noProof/>
        </w:rPr>
        <w:t xml:space="preserve"> Environmental and Resource Economics</w:t>
      </w:r>
      <w:r w:rsidR="009E1B88" w:rsidRPr="00F507E0">
        <w:rPr>
          <w:noProof/>
        </w:rPr>
        <w:t>. The Economics of Non-Market Goods and Resources</w:t>
      </w:r>
      <w:r w:rsidRPr="00F507E0">
        <w:rPr>
          <w:noProof/>
        </w:rPr>
        <w:t>,</w:t>
      </w:r>
      <w:r w:rsidR="00253259" w:rsidRPr="00F507E0">
        <w:rPr>
          <w:noProof/>
        </w:rPr>
        <w:t xml:space="preserve"> 6, Spronger Dordrecht, </w:t>
      </w:r>
      <w:r w:rsidRPr="00F507E0">
        <w:rPr>
          <w:noProof/>
        </w:rPr>
        <w:t>135–</w:t>
      </w:r>
      <w:r w:rsidR="006E092A" w:rsidRPr="00F507E0">
        <w:rPr>
          <w:noProof/>
        </w:rPr>
        <w:t>1</w:t>
      </w:r>
      <w:r w:rsidRPr="00F507E0">
        <w:rPr>
          <w:noProof/>
        </w:rPr>
        <w:t xml:space="preserve">57. </w:t>
      </w:r>
    </w:p>
    <w:p w14:paraId="1FFD94D0" w14:textId="3D4420EC" w:rsidR="00C90317" w:rsidRPr="00F507E0" w:rsidRDefault="00C90317" w:rsidP="00253259">
      <w:pPr>
        <w:widowControl w:val="0"/>
        <w:autoSpaceDE w:val="0"/>
        <w:autoSpaceDN w:val="0"/>
        <w:adjustRightInd w:val="0"/>
        <w:spacing w:before="120" w:line="240" w:lineRule="auto"/>
        <w:ind w:left="640" w:hanging="640"/>
        <w:jc w:val="both"/>
        <w:rPr>
          <w:noProof/>
        </w:rPr>
      </w:pPr>
      <w:r w:rsidRPr="00F507E0">
        <w:rPr>
          <w:noProof/>
        </w:rPr>
        <w:t>Wales, T. J., and Woodland</w:t>
      </w:r>
      <w:r w:rsidR="00253259" w:rsidRPr="00F507E0">
        <w:rPr>
          <w:noProof/>
        </w:rPr>
        <w:t>, A.D. (1983).</w:t>
      </w:r>
      <w:r w:rsidRPr="00F507E0">
        <w:rPr>
          <w:noProof/>
        </w:rPr>
        <w:t xml:space="preserve"> Estimation of Consumer Demand Systems with Binding Non-Negativity Constraints. </w:t>
      </w:r>
      <w:r w:rsidRPr="00F507E0">
        <w:rPr>
          <w:i/>
          <w:iCs/>
          <w:noProof/>
        </w:rPr>
        <w:t>Journal of Econometrics</w:t>
      </w:r>
      <w:r w:rsidRPr="00F507E0">
        <w:rPr>
          <w:noProof/>
        </w:rPr>
        <w:t>, 21(3), 263–285.</w:t>
      </w:r>
    </w:p>
    <w:p w14:paraId="79AFCBE2" w14:textId="7BCEF41A" w:rsidR="00BE28FD" w:rsidRPr="00F507E0" w:rsidRDefault="00BE28FD" w:rsidP="00253259">
      <w:pPr>
        <w:widowControl w:val="0"/>
        <w:autoSpaceDE w:val="0"/>
        <w:autoSpaceDN w:val="0"/>
        <w:adjustRightInd w:val="0"/>
        <w:spacing w:before="120" w:line="240" w:lineRule="auto"/>
        <w:ind w:left="640" w:hanging="640"/>
        <w:jc w:val="both"/>
        <w:rPr>
          <w:noProof/>
        </w:rPr>
      </w:pPr>
      <w:r w:rsidRPr="00F507E0">
        <w:rPr>
          <w:noProof/>
        </w:rPr>
        <w:t>Wang, Y. and Davidson, M.C., (2010). A review of micro-analyses of tourist expenditure. </w:t>
      </w:r>
      <w:r w:rsidRPr="00F507E0">
        <w:rPr>
          <w:i/>
          <w:iCs/>
          <w:noProof/>
        </w:rPr>
        <w:t>Current issues in Tourism</w:t>
      </w:r>
      <w:r w:rsidRPr="00F507E0">
        <w:rPr>
          <w:noProof/>
        </w:rPr>
        <w:t>, </w:t>
      </w:r>
      <w:r w:rsidRPr="00F507E0">
        <w:rPr>
          <w:i/>
          <w:iCs/>
          <w:noProof/>
        </w:rPr>
        <w:t>13</w:t>
      </w:r>
      <w:r w:rsidRPr="00F507E0">
        <w:rPr>
          <w:noProof/>
        </w:rPr>
        <w:t>(6), 507-524.</w:t>
      </w:r>
    </w:p>
    <w:p w14:paraId="4ADD3E0A" w14:textId="0F3048F0" w:rsidR="00C90317" w:rsidRPr="00F507E0" w:rsidRDefault="00C90317" w:rsidP="00253259">
      <w:pPr>
        <w:widowControl w:val="0"/>
        <w:autoSpaceDE w:val="0"/>
        <w:autoSpaceDN w:val="0"/>
        <w:adjustRightInd w:val="0"/>
        <w:spacing w:line="240" w:lineRule="auto"/>
        <w:ind w:left="480" w:hanging="480"/>
        <w:jc w:val="both"/>
        <w:rPr>
          <w:noProof/>
        </w:rPr>
      </w:pPr>
      <w:r w:rsidRPr="00F507E0">
        <w:rPr>
          <w:noProof/>
        </w:rPr>
        <w:t>Wafa, Z</w:t>
      </w:r>
      <w:r w:rsidR="00253259" w:rsidRPr="00F507E0">
        <w:rPr>
          <w:noProof/>
        </w:rPr>
        <w:t>.,</w:t>
      </w:r>
      <w:r w:rsidRPr="00F507E0">
        <w:rPr>
          <w:noProof/>
        </w:rPr>
        <w:t xml:space="preserve"> Bhat,</w:t>
      </w:r>
      <w:r w:rsidR="00253259" w:rsidRPr="00F507E0">
        <w:rPr>
          <w:noProof/>
        </w:rPr>
        <w:t xml:space="preserve"> C.R.,</w:t>
      </w:r>
      <w:r w:rsidRPr="00F507E0">
        <w:rPr>
          <w:noProof/>
        </w:rPr>
        <w:t xml:space="preserve"> Pendyala,</w:t>
      </w:r>
      <w:r w:rsidR="00253259" w:rsidRPr="00F507E0">
        <w:rPr>
          <w:noProof/>
        </w:rPr>
        <w:t xml:space="preserve"> R.M.,</w:t>
      </w:r>
      <w:r w:rsidRPr="00F507E0">
        <w:rPr>
          <w:noProof/>
        </w:rPr>
        <w:t xml:space="preserve"> </w:t>
      </w:r>
      <w:r w:rsidR="00253259" w:rsidRPr="00F507E0">
        <w:rPr>
          <w:noProof/>
        </w:rPr>
        <w:t>&amp;</w:t>
      </w:r>
      <w:r w:rsidRPr="00F507E0">
        <w:rPr>
          <w:noProof/>
        </w:rPr>
        <w:t xml:space="preserve"> Garikapati</w:t>
      </w:r>
      <w:r w:rsidR="00253259" w:rsidRPr="00F507E0">
        <w:rPr>
          <w:noProof/>
        </w:rPr>
        <w:t>, V.M.</w:t>
      </w:r>
      <w:r w:rsidRPr="00F507E0">
        <w:rPr>
          <w:noProof/>
        </w:rPr>
        <w:t xml:space="preserve"> </w:t>
      </w:r>
      <w:r w:rsidR="00253259" w:rsidRPr="00F507E0">
        <w:rPr>
          <w:noProof/>
        </w:rPr>
        <w:t>(</w:t>
      </w:r>
      <w:r w:rsidRPr="00F507E0">
        <w:rPr>
          <w:noProof/>
        </w:rPr>
        <w:t>2015</w:t>
      </w:r>
      <w:r w:rsidR="00253259" w:rsidRPr="00F507E0">
        <w:rPr>
          <w:noProof/>
        </w:rPr>
        <w:t>)</w:t>
      </w:r>
      <w:r w:rsidRPr="00F507E0">
        <w:rPr>
          <w:noProof/>
        </w:rPr>
        <w:t xml:space="preserve">. Latent-Segmentation-Based Approach to Investigating Spatial Transferability of Activity-Travel Models. </w:t>
      </w:r>
      <w:r w:rsidRPr="00F507E0">
        <w:rPr>
          <w:i/>
          <w:iCs/>
          <w:noProof/>
        </w:rPr>
        <w:t>Transportation Research Record</w:t>
      </w:r>
      <w:r w:rsidR="00253259" w:rsidRPr="00F507E0">
        <w:rPr>
          <w:noProof/>
        </w:rPr>
        <w:t>,</w:t>
      </w:r>
      <w:r w:rsidRPr="00F507E0">
        <w:rPr>
          <w:noProof/>
        </w:rPr>
        <w:t xml:space="preserve"> 2493 (1)</w:t>
      </w:r>
      <w:r w:rsidR="00253259" w:rsidRPr="00F507E0">
        <w:rPr>
          <w:noProof/>
        </w:rPr>
        <w:t>,</w:t>
      </w:r>
      <w:r w:rsidRPr="00F507E0">
        <w:rPr>
          <w:noProof/>
        </w:rPr>
        <w:t xml:space="preserve"> 136–</w:t>
      </w:r>
      <w:r w:rsidR="006E092A" w:rsidRPr="00F507E0">
        <w:rPr>
          <w:noProof/>
        </w:rPr>
        <w:t>1</w:t>
      </w:r>
      <w:r w:rsidRPr="00F507E0">
        <w:rPr>
          <w:noProof/>
        </w:rPr>
        <w:t>44.</w:t>
      </w:r>
    </w:p>
    <w:p w14:paraId="4A6AE53F" w14:textId="4816CA16" w:rsidR="00AD645D" w:rsidRPr="00F507E0" w:rsidRDefault="00AD645D" w:rsidP="00253259">
      <w:pPr>
        <w:widowControl w:val="0"/>
        <w:autoSpaceDE w:val="0"/>
        <w:autoSpaceDN w:val="0"/>
        <w:adjustRightInd w:val="0"/>
        <w:spacing w:line="240" w:lineRule="auto"/>
        <w:ind w:left="480" w:hanging="480"/>
        <w:jc w:val="both"/>
        <w:rPr>
          <w:noProof/>
        </w:rPr>
      </w:pPr>
      <w:r w:rsidRPr="00F507E0">
        <w:rPr>
          <w:noProof/>
        </w:rPr>
        <w:t>Yang, C.W., Wu, C.L. and Lu, J.L. (2021). Exploring the interdependency and determinants of tourism participation, expenditure, and duration: An analysis of Taiwanese citizens traveling abroad. </w:t>
      </w:r>
      <w:r w:rsidRPr="00F507E0">
        <w:rPr>
          <w:i/>
          <w:iCs/>
          <w:noProof/>
        </w:rPr>
        <w:t>Tourism Economics</w:t>
      </w:r>
      <w:r w:rsidRPr="00F507E0">
        <w:rPr>
          <w:noProof/>
        </w:rPr>
        <w:t>, </w:t>
      </w:r>
      <w:r w:rsidRPr="00F507E0">
        <w:rPr>
          <w:i/>
          <w:iCs/>
          <w:noProof/>
        </w:rPr>
        <w:t>27</w:t>
      </w:r>
      <w:r w:rsidRPr="00F507E0">
        <w:rPr>
          <w:noProof/>
        </w:rPr>
        <w:t>(4), 649-669.</w:t>
      </w:r>
    </w:p>
    <w:p w14:paraId="2156BF15" w14:textId="76260227" w:rsidR="001208A2" w:rsidRPr="00F507E0" w:rsidRDefault="00C90317" w:rsidP="00253259">
      <w:pPr>
        <w:widowControl w:val="0"/>
        <w:autoSpaceDE w:val="0"/>
        <w:autoSpaceDN w:val="0"/>
        <w:adjustRightInd w:val="0"/>
        <w:spacing w:before="120" w:after="0" w:line="240" w:lineRule="auto"/>
        <w:ind w:left="640" w:hanging="640"/>
        <w:jc w:val="both"/>
        <w:rPr>
          <w:noProof/>
        </w:rPr>
      </w:pPr>
      <w:r w:rsidRPr="00F507E0">
        <w:rPr>
          <w:noProof/>
        </w:rPr>
        <w:t xml:space="preserve">Yonezawa, K., </w:t>
      </w:r>
      <w:r w:rsidR="006E092A" w:rsidRPr="00F507E0">
        <w:rPr>
          <w:noProof/>
        </w:rPr>
        <w:t>&amp;</w:t>
      </w:r>
      <w:r w:rsidRPr="00F507E0">
        <w:rPr>
          <w:noProof/>
        </w:rPr>
        <w:t xml:space="preserve"> Richards</w:t>
      </w:r>
      <w:r w:rsidR="006E092A" w:rsidRPr="00F507E0">
        <w:rPr>
          <w:noProof/>
        </w:rPr>
        <w:t>, T</w:t>
      </w:r>
      <w:r w:rsidRPr="00F507E0">
        <w:rPr>
          <w:noProof/>
        </w:rPr>
        <w:t>.</w:t>
      </w:r>
      <w:r w:rsidR="006E092A" w:rsidRPr="00F507E0">
        <w:rPr>
          <w:noProof/>
        </w:rPr>
        <w:t xml:space="preserve"> (2017).</w:t>
      </w:r>
      <w:r w:rsidRPr="00F507E0">
        <w:rPr>
          <w:noProof/>
        </w:rPr>
        <w:t xml:space="preserve"> Consumer Risk-Reduction Behavior and New Product Purchases. </w:t>
      </w:r>
      <w:r w:rsidRPr="00F507E0">
        <w:rPr>
          <w:i/>
          <w:iCs/>
          <w:noProof/>
        </w:rPr>
        <w:t>Managerial and Decision Economics</w:t>
      </w:r>
      <w:r w:rsidRPr="00F507E0">
        <w:rPr>
          <w:noProof/>
        </w:rPr>
        <w:t>,38</w:t>
      </w:r>
      <w:r w:rsidR="006E092A" w:rsidRPr="00F507E0">
        <w:rPr>
          <w:noProof/>
        </w:rPr>
        <w:t>, 1003–1016</w:t>
      </w:r>
      <w:r w:rsidRPr="00F507E0">
        <w:rPr>
          <w:noProof/>
        </w:rPr>
        <w:t>.</w:t>
      </w:r>
    </w:p>
    <w:p w14:paraId="4E4E016C" w14:textId="21996267" w:rsidR="006C5EB9" w:rsidRPr="00AC36D6" w:rsidRDefault="006C5EB9" w:rsidP="00F507E0">
      <w:pPr>
        <w:widowControl w:val="0"/>
        <w:autoSpaceDE w:val="0"/>
        <w:autoSpaceDN w:val="0"/>
        <w:adjustRightInd w:val="0"/>
        <w:spacing w:before="120" w:after="0" w:line="240" w:lineRule="auto"/>
        <w:jc w:val="both"/>
        <w:rPr>
          <w:noProof/>
          <w:sz w:val="22"/>
          <w:szCs w:val="22"/>
        </w:rPr>
      </w:pPr>
    </w:p>
    <w:p w14:paraId="6BA5FC8C" w14:textId="59D68590" w:rsidR="006C5EB9" w:rsidRPr="00AC36D6" w:rsidRDefault="006C5EB9" w:rsidP="00F507E0">
      <w:pPr>
        <w:widowControl w:val="0"/>
        <w:autoSpaceDE w:val="0"/>
        <w:autoSpaceDN w:val="0"/>
        <w:adjustRightInd w:val="0"/>
        <w:spacing w:before="120" w:after="0" w:line="240" w:lineRule="auto"/>
        <w:jc w:val="both"/>
        <w:rPr>
          <w:noProof/>
          <w:sz w:val="22"/>
          <w:szCs w:val="22"/>
        </w:rPr>
      </w:pPr>
    </w:p>
    <w:p w14:paraId="15CEC526" w14:textId="386E027F"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6F6284BF" w14:textId="4226612B"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556A9712" w14:textId="75326F51" w:rsidR="005B4C5B" w:rsidRPr="00AC36D6" w:rsidRDefault="005B4C5B" w:rsidP="00253259">
      <w:pPr>
        <w:widowControl w:val="0"/>
        <w:autoSpaceDE w:val="0"/>
        <w:autoSpaceDN w:val="0"/>
        <w:adjustRightInd w:val="0"/>
        <w:spacing w:before="120" w:after="0" w:line="240" w:lineRule="auto"/>
        <w:ind w:left="640" w:hanging="640"/>
        <w:jc w:val="both"/>
        <w:rPr>
          <w:noProof/>
          <w:sz w:val="22"/>
          <w:szCs w:val="22"/>
        </w:rPr>
      </w:pPr>
    </w:p>
    <w:p w14:paraId="2AE57834" w14:textId="40412D72" w:rsidR="005B4C5B" w:rsidRPr="00AC36D6" w:rsidRDefault="005B4C5B" w:rsidP="00253259">
      <w:pPr>
        <w:widowControl w:val="0"/>
        <w:autoSpaceDE w:val="0"/>
        <w:autoSpaceDN w:val="0"/>
        <w:adjustRightInd w:val="0"/>
        <w:spacing w:before="120" w:after="0" w:line="240" w:lineRule="auto"/>
        <w:ind w:left="640" w:hanging="640"/>
        <w:jc w:val="both"/>
        <w:rPr>
          <w:noProof/>
          <w:sz w:val="22"/>
          <w:szCs w:val="22"/>
        </w:rPr>
      </w:pPr>
    </w:p>
    <w:p w14:paraId="1F793DFD" w14:textId="34677F0F" w:rsidR="005B4C5B" w:rsidRDefault="005B4C5B" w:rsidP="00253259">
      <w:pPr>
        <w:widowControl w:val="0"/>
        <w:autoSpaceDE w:val="0"/>
        <w:autoSpaceDN w:val="0"/>
        <w:adjustRightInd w:val="0"/>
        <w:spacing w:before="120" w:after="0" w:line="240" w:lineRule="auto"/>
        <w:ind w:left="640" w:hanging="640"/>
        <w:jc w:val="both"/>
        <w:rPr>
          <w:noProof/>
          <w:sz w:val="22"/>
          <w:szCs w:val="22"/>
        </w:rPr>
      </w:pPr>
    </w:p>
    <w:p w14:paraId="01823686" w14:textId="7B725E82" w:rsidR="00B30D4E" w:rsidRDefault="00B30D4E" w:rsidP="00253259">
      <w:pPr>
        <w:widowControl w:val="0"/>
        <w:autoSpaceDE w:val="0"/>
        <w:autoSpaceDN w:val="0"/>
        <w:adjustRightInd w:val="0"/>
        <w:spacing w:before="120" w:after="0" w:line="240" w:lineRule="auto"/>
        <w:ind w:left="640" w:hanging="640"/>
        <w:jc w:val="both"/>
        <w:rPr>
          <w:noProof/>
          <w:sz w:val="22"/>
          <w:szCs w:val="22"/>
        </w:rPr>
      </w:pPr>
    </w:p>
    <w:p w14:paraId="6DA0AB65" w14:textId="47DC24F9" w:rsidR="00B30D4E" w:rsidRDefault="00B30D4E" w:rsidP="00253259">
      <w:pPr>
        <w:widowControl w:val="0"/>
        <w:autoSpaceDE w:val="0"/>
        <w:autoSpaceDN w:val="0"/>
        <w:adjustRightInd w:val="0"/>
        <w:spacing w:before="120" w:after="0" w:line="240" w:lineRule="auto"/>
        <w:ind w:left="640" w:hanging="640"/>
        <w:jc w:val="both"/>
        <w:rPr>
          <w:noProof/>
          <w:sz w:val="22"/>
          <w:szCs w:val="22"/>
        </w:rPr>
      </w:pPr>
    </w:p>
    <w:p w14:paraId="638331DB" w14:textId="3B1C90C0" w:rsidR="00B30D4E" w:rsidRDefault="00B30D4E" w:rsidP="00253259">
      <w:pPr>
        <w:widowControl w:val="0"/>
        <w:autoSpaceDE w:val="0"/>
        <w:autoSpaceDN w:val="0"/>
        <w:adjustRightInd w:val="0"/>
        <w:spacing w:before="120" w:after="0" w:line="240" w:lineRule="auto"/>
        <w:ind w:left="640" w:hanging="640"/>
        <w:jc w:val="both"/>
        <w:rPr>
          <w:noProof/>
          <w:sz w:val="22"/>
          <w:szCs w:val="22"/>
        </w:rPr>
      </w:pPr>
    </w:p>
    <w:p w14:paraId="51E9E8B2" w14:textId="77777777" w:rsidR="00B30D4E" w:rsidRPr="00AC36D6" w:rsidRDefault="00B30D4E" w:rsidP="00253259">
      <w:pPr>
        <w:widowControl w:val="0"/>
        <w:autoSpaceDE w:val="0"/>
        <w:autoSpaceDN w:val="0"/>
        <w:adjustRightInd w:val="0"/>
        <w:spacing w:before="120" w:after="0" w:line="240" w:lineRule="auto"/>
        <w:ind w:left="640" w:hanging="640"/>
        <w:jc w:val="both"/>
        <w:rPr>
          <w:noProof/>
          <w:sz w:val="22"/>
          <w:szCs w:val="22"/>
        </w:rPr>
      </w:pPr>
    </w:p>
    <w:p w14:paraId="403699E3" w14:textId="77777777" w:rsidR="005B4C5B" w:rsidRPr="00AC36D6" w:rsidRDefault="005B4C5B" w:rsidP="00253259">
      <w:pPr>
        <w:widowControl w:val="0"/>
        <w:autoSpaceDE w:val="0"/>
        <w:autoSpaceDN w:val="0"/>
        <w:adjustRightInd w:val="0"/>
        <w:spacing w:before="120" w:after="0" w:line="240" w:lineRule="auto"/>
        <w:ind w:left="640" w:hanging="640"/>
        <w:jc w:val="both"/>
        <w:rPr>
          <w:noProof/>
          <w:sz w:val="22"/>
          <w:szCs w:val="22"/>
        </w:rPr>
      </w:pPr>
    </w:p>
    <w:p w14:paraId="362A7566" w14:textId="77777777" w:rsidR="00F55610" w:rsidRPr="00AC36D6" w:rsidRDefault="00F55610" w:rsidP="00F55610">
      <w:pPr>
        <w:spacing w:after="240"/>
        <w:jc w:val="center"/>
      </w:pPr>
      <w:r w:rsidRPr="00AC36D6">
        <w:rPr>
          <w:b/>
          <w:bCs/>
        </w:rPr>
        <w:t>Table 1</w:t>
      </w:r>
      <w:r w:rsidRPr="00AC36D6">
        <w:t>. Summary of the sample data (Sample size = 4,981 households)</w:t>
      </w:r>
    </w:p>
    <w:tbl>
      <w:tblPr>
        <w:tblStyle w:val="TableGrid"/>
        <w:tblW w:w="0" w:type="auto"/>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2621"/>
        <w:gridCol w:w="1984"/>
        <w:gridCol w:w="1971"/>
      </w:tblGrid>
      <w:tr w:rsidR="00F507E0" w:rsidRPr="00F507E0" w14:paraId="7717737C" w14:textId="77777777" w:rsidTr="00F55610">
        <w:tc>
          <w:tcPr>
            <w:tcW w:w="2234" w:type="dxa"/>
            <w:vMerge w:val="restart"/>
            <w:tcBorders>
              <w:top w:val="double" w:sz="4" w:space="0" w:color="auto"/>
              <w:left w:val="double" w:sz="4" w:space="0" w:color="auto"/>
              <w:right w:val="double" w:sz="4" w:space="0" w:color="auto"/>
            </w:tcBorders>
            <w:vAlign w:val="center"/>
          </w:tcPr>
          <w:p w14:paraId="6AA7C9D4" w14:textId="55305C2E" w:rsidR="00F55610" w:rsidRPr="00F507E0" w:rsidRDefault="00F55610" w:rsidP="00F55610">
            <w:pPr>
              <w:widowControl w:val="0"/>
              <w:autoSpaceDE w:val="0"/>
              <w:autoSpaceDN w:val="0"/>
              <w:adjustRightInd w:val="0"/>
              <w:spacing w:before="120"/>
              <w:jc w:val="center"/>
              <w:rPr>
                <w:noProof/>
                <w:sz w:val="22"/>
                <w:szCs w:val="22"/>
              </w:rPr>
            </w:pPr>
            <w:r w:rsidRPr="00F507E0">
              <w:rPr>
                <w:b/>
                <w:bCs/>
                <w:sz w:val="22"/>
                <w:szCs w:val="22"/>
              </w:rPr>
              <w:t>Expenditure category</w:t>
            </w:r>
          </w:p>
        </w:tc>
        <w:tc>
          <w:tcPr>
            <w:tcW w:w="2621" w:type="dxa"/>
            <w:vMerge w:val="restart"/>
            <w:tcBorders>
              <w:top w:val="double" w:sz="4" w:space="0" w:color="auto"/>
              <w:left w:val="double" w:sz="4" w:space="0" w:color="auto"/>
              <w:right w:val="double" w:sz="4" w:space="0" w:color="auto"/>
            </w:tcBorders>
            <w:vAlign w:val="center"/>
          </w:tcPr>
          <w:p w14:paraId="41F6B457" w14:textId="3E9E03A1" w:rsidR="00F55610" w:rsidRPr="00F507E0" w:rsidRDefault="00F55610" w:rsidP="00F55610">
            <w:pPr>
              <w:widowControl w:val="0"/>
              <w:autoSpaceDE w:val="0"/>
              <w:autoSpaceDN w:val="0"/>
              <w:adjustRightInd w:val="0"/>
              <w:spacing w:before="120"/>
              <w:jc w:val="center"/>
              <w:rPr>
                <w:b/>
                <w:bCs/>
                <w:sz w:val="22"/>
                <w:szCs w:val="22"/>
              </w:rPr>
            </w:pPr>
            <w:r w:rsidRPr="00F507E0">
              <w:rPr>
                <w:b/>
                <w:bCs/>
                <w:sz w:val="22"/>
                <w:szCs w:val="22"/>
              </w:rPr>
              <w:t>Percentage of households spending in the category</w:t>
            </w:r>
          </w:p>
        </w:tc>
        <w:tc>
          <w:tcPr>
            <w:tcW w:w="3955" w:type="dxa"/>
            <w:gridSpan w:val="2"/>
            <w:tcBorders>
              <w:top w:val="double" w:sz="4" w:space="0" w:color="auto"/>
              <w:left w:val="double" w:sz="4" w:space="0" w:color="auto"/>
              <w:right w:val="double" w:sz="4" w:space="0" w:color="auto"/>
            </w:tcBorders>
            <w:vAlign w:val="center"/>
          </w:tcPr>
          <w:p w14:paraId="035BE2C6" w14:textId="6578A348" w:rsidR="00F55610" w:rsidRPr="00F507E0" w:rsidRDefault="00F55610" w:rsidP="00F55610">
            <w:pPr>
              <w:widowControl w:val="0"/>
              <w:autoSpaceDE w:val="0"/>
              <w:autoSpaceDN w:val="0"/>
              <w:adjustRightInd w:val="0"/>
              <w:spacing w:before="120"/>
              <w:jc w:val="center"/>
              <w:rPr>
                <w:b/>
                <w:bCs/>
                <w:noProof/>
                <w:sz w:val="22"/>
                <w:szCs w:val="22"/>
              </w:rPr>
            </w:pPr>
            <w:r w:rsidRPr="00F507E0">
              <w:rPr>
                <w:b/>
                <w:bCs/>
                <w:noProof/>
                <w:sz w:val="22"/>
                <w:szCs w:val="22"/>
              </w:rPr>
              <w:t>Details of expenditure in the row category</w:t>
            </w:r>
          </w:p>
        </w:tc>
      </w:tr>
      <w:tr w:rsidR="00F507E0" w:rsidRPr="00F507E0" w14:paraId="73AD64F4" w14:textId="77777777" w:rsidTr="00F55610">
        <w:tc>
          <w:tcPr>
            <w:tcW w:w="2234" w:type="dxa"/>
            <w:vMerge/>
            <w:tcBorders>
              <w:left w:val="double" w:sz="4" w:space="0" w:color="auto"/>
              <w:bottom w:val="single" w:sz="12" w:space="0" w:color="auto"/>
              <w:right w:val="double" w:sz="4" w:space="0" w:color="auto"/>
            </w:tcBorders>
          </w:tcPr>
          <w:p w14:paraId="59B646AB" w14:textId="77777777" w:rsidR="00F55610" w:rsidRPr="00F507E0" w:rsidRDefault="00F55610" w:rsidP="00F55610">
            <w:pPr>
              <w:widowControl w:val="0"/>
              <w:autoSpaceDE w:val="0"/>
              <w:autoSpaceDN w:val="0"/>
              <w:adjustRightInd w:val="0"/>
              <w:spacing w:before="120"/>
              <w:jc w:val="both"/>
              <w:rPr>
                <w:noProof/>
                <w:sz w:val="22"/>
                <w:szCs w:val="22"/>
              </w:rPr>
            </w:pPr>
          </w:p>
        </w:tc>
        <w:tc>
          <w:tcPr>
            <w:tcW w:w="2621" w:type="dxa"/>
            <w:vMerge/>
            <w:tcBorders>
              <w:left w:val="double" w:sz="4" w:space="0" w:color="auto"/>
              <w:bottom w:val="single" w:sz="12" w:space="0" w:color="auto"/>
              <w:right w:val="double" w:sz="4" w:space="0" w:color="auto"/>
            </w:tcBorders>
          </w:tcPr>
          <w:p w14:paraId="40C1FA3E" w14:textId="77777777" w:rsidR="00F55610" w:rsidRPr="00F507E0" w:rsidRDefault="00F55610" w:rsidP="00F55610">
            <w:pPr>
              <w:widowControl w:val="0"/>
              <w:autoSpaceDE w:val="0"/>
              <w:autoSpaceDN w:val="0"/>
              <w:adjustRightInd w:val="0"/>
              <w:spacing w:before="120"/>
              <w:jc w:val="both"/>
              <w:rPr>
                <w:noProof/>
                <w:sz w:val="22"/>
                <w:szCs w:val="22"/>
              </w:rPr>
            </w:pPr>
          </w:p>
        </w:tc>
        <w:tc>
          <w:tcPr>
            <w:tcW w:w="1984" w:type="dxa"/>
            <w:tcBorders>
              <w:top w:val="single" w:sz="12" w:space="0" w:color="auto"/>
              <w:left w:val="double" w:sz="4" w:space="0" w:color="auto"/>
              <w:bottom w:val="single" w:sz="12" w:space="0" w:color="auto"/>
              <w:right w:val="double" w:sz="4" w:space="0" w:color="auto"/>
            </w:tcBorders>
            <w:vAlign w:val="center"/>
          </w:tcPr>
          <w:p w14:paraId="78C403FC" w14:textId="77777777" w:rsidR="00F55610" w:rsidRPr="00F507E0" w:rsidRDefault="00F55610" w:rsidP="00F55610">
            <w:pPr>
              <w:widowControl w:val="0"/>
              <w:autoSpaceDE w:val="0"/>
              <w:autoSpaceDN w:val="0"/>
              <w:adjustRightInd w:val="0"/>
              <w:spacing w:before="120"/>
              <w:jc w:val="center"/>
              <w:rPr>
                <w:b/>
                <w:bCs/>
                <w:noProof/>
                <w:sz w:val="22"/>
                <w:szCs w:val="22"/>
              </w:rPr>
            </w:pPr>
            <w:r w:rsidRPr="00F507E0">
              <w:rPr>
                <w:b/>
                <w:bCs/>
                <w:noProof/>
                <w:sz w:val="22"/>
                <w:szCs w:val="22"/>
              </w:rPr>
              <w:t>Avergae expenditure</w:t>
            </w:r>
          </w:p>
          <w:p w14:paraId="7DE39BAA" w14:textId="77777777" w:rsidR="00F55610" w:rsidRPr="00F507E0" w:rsidRDefault="00F55610" w:rsidP="00F55610">
            <w:pPr>
              <w:widowControl w:val="0"/>
              <w:autoSpaceDE w:val="0"/>
              <w:autoSpaceDN w:val="0"/>
              <w:adjustRightInd w:val="0"/>
              <w:jc w:val="center"/>
              <w:rPr>
                <w:noProof/>
                <w:sz w:val="22"/>
                <w:szCs w:val="22"/>
              </w:rPr>
            </w:pPr>
            <w:r w:rsidRPr="00F507E0">
              <w:rPr>
                <w:noProof/>
                <w:sz w:val="22"/>
                <w:szCs w:val="22"/>
              </w:rPr>
              <w:t>(across household who spend in the category)</w:t>
            </w:r>
          </w:p>
          <w:p w14:paraId="6CA9FA7B" w14:textId="14FAC6CC" w:rsidR="00F55610" w:rsidRPr="00F507E0" w:rsidRDefault="00F55610" w:rsidP="00F55610">
            <w:pPr>
              <w:widowControl w:val="0"/>
              <w:autoSpaceDE w:val="0"/>
              <w:autoSpaceDN w:val="0"/>
              <w:adjustRightInd w:val="0"/>
              <w:jc w:val="center"/>
              <w:rPr>
                <w:noProof/>
                <w:sz w:val="22"/>
                <w:szCs w:val="22"/>
              </w:rPr>
            </w:pPr>
            <w:r w:rsidRPr="00F507E0">
              <w:rPr>
                <w:noProof/>
                <w:sz w:val="22"/>
                <w:szCs w:val="22"/>
              </w:rPr>
              <w:t>(Indian Rupess)</w:t>
            </w:r>
          </w:p>
        </w:tc>
        <w:tc>
          <w:tcPr>
            <w:tcW w:w="1971" w:type="dxa"/>
            <w:tcBorders>
              <w:top w:val="single" w:sz="12" w:space="0" w:color="auto"/>
              <w:left w:val="double" w:sz="4" w:space="0" w:color="auto"/>
              <w:bottom w:val="single" w:sz="12" w:space="0" w:color="auto"/>
              <w:right w:val="double" w:sz="4" w:space="0" w:color="auto"/>
            </w:tcBorders>
            <w:vAlign w:val="center"/>
          </w:tcPr>
          <w:p w14:paraId="38812ABE" w14:textId="77777777" w:rsidR="00F55610" w:rsidRPr="00F507E0" w:rsidRDefault="00F55610" w:rsidP="00F55610">
            <w:pPr>
              <w:widowControl w:val="0"/>
              <w:autoSpaceDE w:val="0"/>
              <w:autoSpaceDN w:val="0"/>
              <w:adjustRightInd w:val="0"/>
              <w:spacing w:before="120"/>
              <w:jc w:val="center"/>
              <w:rPr>
                <w:b/>
                <w:bCs/>
                <w:noProof/>
                <w:sz w:val="22"/>
                <w:szCs w:val="22"/>
              </w:rPr>
            </w:pPr>
            <w:r w:rsidRPr="00F507E0">
              <w:rPr>
                <w:b/>
                <w:bCs/>
                <w:noProof/>
                <w:sz w:val="22"/>
                <w:szCs w:val="22"/>
              </w:rPr>
              <w:t>Standard deviation of the expenditure</w:t>
            </w:r>
          </w:p>
          <w:p w14:paraId="20081240" w14:textId="77777777" w:rsidR="00F55610" w:rsidRPr="00F507E0" w:rsidRDefault="00F55610" w:rsidP="00F55610">
            <w:pPr>
              <w:widowControl w:val="0"/>
              <w:autoSpaceDE w:val="0"/>
              <w:autoSpaceDN w:val="0"/>
              <w:adjustRightInd w:val="0"/>
              <w:jc w:val="center"/>
              <w:rPr>
                <w:noProof/>
                <w:sz w:val="22"/>
                <w:szCs w:val="22"/>
              </w:rPr>
            </w:pPr>
            <w:r w:rsidRPr="00F507E0">
              <w:rPr>
                <w:noProof/>
                <w:sz w:val="22"/>
                <w:szCs w:val="22"/>
              </w:rPr>
              <w:t>(across household who spend in the category)</w:t>
            </w:r>
          </w:p>
          <w:p w14:paraId="4FFB3858" w14:textId="06C4CEDA" w:rsidR="00F55610" w:rsidRPr="00F507E0" w:rsidRDefault="00F55610" w:rsidP="00F55610">
            <w:pPr>
              <w:widowControl w:val="0"/>
              <w:autoSpaceDE w:val="0"/>
              <w:autoSpaceDN w:val="0"/>
              <w:adjustRightInd w:val="0"/>
              <w:jc w:val="center"/>
              <w:rPr>
                <w:b/>
                <w:bCs/>
                <w:noProof/>
                <w:sz w:val="22"/>
                <w:szCs w:val="22"/>
              </w:rPr>
            </w:pPr>
            <w:r w:rsidRPr="00F507E0">
              <w:rPr>
                <w:noProof/>
                <w:sz w:val="22"/>
                <w:szCs w:val="22"/>
              </w:rPr>
              <w:t>(Indian Rupess)</w:t>
            </w:r>
          </w:p>
        </w:tc>
      </w:tr>
      <w:tr w:rsidR="00F507E0" w:rsidRPr="00F507E0" w14:paraId="332C7FB7" w14:textId="77777777" w:rsidTr="00F72D73">
        <w:trPr>
          <w:trHeight w:hRule="exact" w:val="432"/>
        </w:trPr>
        <w:tc>
          <w:tcPr>
            <w:tcW w:w="2234" w:type="dxa"/>
            <w:tcBorders>
              <w:top w:val="single" w:sz="12" w:space="0" w:color="auto"/>
              <w:left w:val="double" w:sz="4" w:space="0" w:color="auto"/>
              <w:right w:val="double" w:sz="4" w:space="0" w:color="auto"/>
            </w:tcBorders>
            <w:vAlign w:val="center"/>
          </w:tcPr>
          <w:p w14:paraId="5E06CE70" w14:textId="269088FB" w:rsidR="00F55610" w:rsidRPr="00F507E0" w:rsidRDefault="00F55610" w:rsidP="00F55610">
            <w:pPr>
              <w:widowControl w:val="0"/>
              <w:autoSpaceDE w:val="0"/>
              <w:autoSpaceDN w:val="0"/>
              <w:adjustRightInd w:val="0"/>
              <w:rPr>
                <w:noProof/>
                <w:sz w:val="22"/>
                <w:szCs w:val="22"/>
              </w:rPr>
            </w:pPr>
            <w:r w:rsidRPr="00F507E0">
              <w:rPr>
                <w:noProof/>
                <w:sz w:val="22"/>
                <w:szCs w:val="22"/>
              </w:rPr>
              <w:t>Transportation</w:t>
            </w:r>
          </w:p>
        </w:tc>
        <w:tc>
          <w:tcPr>
            <w:tcW w:w="2621" w:type="dxa"/>
            <w:tcBorders>
              <w:top w:val="single" w:sz="12" w:space="0" w:color="auto"/>
              <w:left w:val="double" w:sz="4" w:space="0" w:color="auto"/>
              <w:right w:val="double" w:sz="4" w:space="0" w:color="auto"/>
            </w:tcBorders>
            <w:vAlign w:val="center"/>
          </w:tcPr>
          <w:p w14:paraId="462A8ACF" w14:textId="0370713C" w:rsidR="00F55610" w:rsidRPr="00F507E0" w:rsidRDefault="00F55610" w:rsidP="00F55610">
            <w:pPr>
              <w:widowControl w:val="0"/>
              <w:autoSpaceDE w:val="0"/>
              <w:autoSpaceDN w:val="0"/>
              <w:adjustRightInd w:val="0"/>
              <w:jc w:val="center"/>
              <w:rPr>
                <w:noProof/>
                <w:sz w:val="22"/>
                <w:szCs w:val="22"/>
              </w:rPr>
            </w:pPr>
            <w:r w:rsidRPr="00F507E0">
              <w:rPr>
                <w:noProof/>
                <w:sz w:val="22"/>
                <w:szCs w:val="22"/>
              </w:rPr>
              <w:t>100.0</w:t>
            </w:r>
          </w:p>
        </w:tc>
        <w:tc>
          <w:tcPr>
            <w:tcW w:w="1984" w:type="dxa"/>
            <w:tcBorders>
              <w:top w:val="single" w:sz="12" w:space="0" w:color="auto"/>
              <w:left w:val="double" w:sz="4" w:space="0" w:color="auto"/>
              <w:right w:val="double" w:sz="4" w:space="0" w:color="auto"/>
            </w:tcBorders>
            <w:vAlign w:val="center"/>
          </w:tcPr>
          <w:p w14:paraId="691C0528" w14:textId="6AD5EE74" w:rsidR="00F55610" w:rsidRPr="00F507E0" w:rsidRDefault="00241039" w:rsidP="00F55610">
            <w:pPr>
              <w:widowControl w:val="0"/>
              <w:autoSpaceDE w:val="0"/>
              <w:autoSpaceDN w:val="0"/>
              <w:adjustRightInd w:val="0"/>
              <w:jc w:val="center"/>
              <w:rPr>
                <w:noProof/>
                <w:sz w:val="22"/>
                <w:szCs w:val="22"/>
              </w:rPr>
            </w:pPr>
            <w:r w:rsidRPr="00F507E0">
              <w:rPr>
                <w:noProof/>
                <w:sz w:val="22"/>
                <w:szCs w:val="22"/>
              </w:rPr>
              <w:t>3,</w:t>
            </w:r>
            <w:r w:rsidR="009055AB" w:rsidRPr="00F507E0">
              <w:rPr>
                <w:noProof/>
                <w:sz w:val="22"/>
                <w:szCs w:val="22"/>
              </w:rPr>
              <w:t>2</w:t>
            </w:r>
            <w:r w:rsidRPr="00F507E0">
              <w:rPr>
                <w:noProof/>
                <w:sz w:val="22"/>
                <w:szCs w:val="22"/>
              </w:rPr>
              <w:t>52</w:t>
            </w:r>
          </w:p>
        </w:tc>
        <w:tc>
          <w:tcPr>
            <w:tcW w:w="1971" w:type="dxa"/>
            <w:tcBorders>
              <w:top w:val="single" w:sz="12" w:space="0" w:color="auto"/>
              <w:left w:val="double" w:sz="4" w:space="0" w:color="auto"/>
              <w:right w:val="double" w:sz="4" w:space="0" w:color="auto"/>
            </w:tcBorders>
            <w:vAlign w:val="center"/>
          </w:tcPr>
          <w:p w14:paraId="72FEC730" w14:textId="007A3191" w:rsidR="00F55610" w:rsidRPr="00F507E0" w:rsidRDefault="00241039" w:rsidP="00F55610">
            <w:pPr>
              <w:widowControl w:val="0"/>
              <w:autoSpaceDE w:val="0"/>
              <w:autoSpaceDN w:val="0"/>
              <w:adjustRightInd w:val="0"/>
              <w:jc w:val="center"/>
              <w:rPr>
                <w:noProof/>
                <w:sz w:val="22"/>
                <w:szCs w:val="22"/>
              </w:rPr>
            </w:pPr>
            <w:r w:rsidRPr="00F507E0">
              <w:rPr>
                <w:noProof/>
                <w:sz w:val="22"/>
                <w:szCs w:val="22"/>
              </w:rPr>
              <w:t>7,078</w:t>
            </w:r>
          </w:p>
        </w:tc>
      </w:tr>
      <w:tr w:rsidR="00F507E0" w:rsidRPr="00F507E0" w14:paraId="5CEC7FFF" w14:textId="77777777" w:rsidTr="00F72D73">
        <w:trPr>
          <w:trHeight w:hRule="exact" w:val="432"/>
        </w:trPr>
        <w:tc>
          <w:tcPr>
            <w:tcW w:w="2234" w:type="dxa"/>
            <w:tcBorders>
              <w:left w:val="double" w:sz="4" w:space="0" w:color="auto"/>
              <w:right w:val="double" w:sz="4" w:space="0" w:color="auto"/>
            </w:tcBorders>
          </w:tcPr>
          <w:p w14:paraId="4D2C4BF2" w14:textId="53C91FEB" w:rsidR="00F55610" w:rsidRPr="00F507E0" w:rsidRDefault="009055AB" w:rsidP="00F55610">
            <w:pPr>
              <w:widowControl w:val="0"/>
              <w:autoSpaceDE w:val="0"/>
              <w:autoSpaceDN w:val="0"/>
              <w:adjustRightInd w:val="0"/>
              <w:rPr>
                <w:noProof/>
                <w:sz w:val="22"/>
                <w:szCs w:val="22"/>
              </w:rPr>
            </w:pPr>
            <w:r w:rsidRPr="00F507E0">
              <w:rPr>
                <w:noProof/>
                <w:sz w:val="22"/>
                <w:szCs w:val="22"/>
              </w:rPr>
              <w:t>Accommodation</w:t>
            </w:r>
          </w:p>
        </w:tc>
        <w:tc>
          <w:tcPr>
            <w:tcW w:w="2621" w:type="dxa"/>
            <w:tcBorders>
              <w:left w:val="double" w:sz="4" w:space="0" w:color="auto"/>
              <w:right w:val="double" w:sz="4" w:space="0" w:color="auto"/>
            </w:tcBorders>
          </w:tcPr>
          <w:p w14:paraId="376A7328" w14:textId="75F30DBF" w:rsidR="00F55610" w:rsidRPr="00F507E0" w:rsidRDefault="00F55610" w:rsidP="00F55610">
            <w:pPr>
              <w:widowControl w:val="0"/>
              <w:autoSpaceDE w:val="0"/>
              <w:autoSpaceDN w:val="0"/>
              <w:adjustRightInd w:val="0"/>
              <w:jc w:val="center"/>
              <w:rPr>
                <w:noProof/>
                <w:sz w:val="22"/>
                <w:szCs w:val="22"/>
              </w:rPr>
            </w:pPr>
            <w:r w:rsidRPr="00F507E0">
              <w:rPr>
                <w:sz w:val="22"/>
                <w:szCs w:val="22"/>
              </w:rPr>
              <w:t>46.0</w:t>
            </w:r>
          </w:p>
        </w:tc>
        <w:tc>
          <w:tcPr>
            <w:tcW w:w="1984" w:type="dxa"/>
            <w:tcBorders>
              <w:left w:val="double" w:sz="4" w:space="0" w:color="auto"/>
              <w:right w:val="double" w:sz="4" w:space="0" w:color="auto"/>
            </w:tcBorders>
          </w:tcPr>
          <w:p w14:paraId="09D0A31F" w14:textId="797F3272" w:rsidR="00F55610" w:rsidRPr="00F507E0" w:rsidRDefault="00F55610" w:rsidP="00F55610">
            <w:pPr>
              <w:widowControl w:val="0"/>
              <w:autoSpaceDE w:val="0"/>
              <w:autoSpaceDN w:val="0"/>
              <w:adjustRightInd w:val="0"/>
              <w:jc w:val="center"/>
              <w:rPr>
                <w:noProof/>
                <w:sz w:val="22"/>
                <w:szCs w:val="22"/>
              </w:rPr>
            </w:pPr>
            <w:r w:rsidRPr="00F507E0">
              <w:rPr>
                <w:sz w:val="22"/>
                <w:szCs w:val="22"/>
              </w:rPr>
              <w:t>2,983</w:t>
            </w:r>
          </w:p>
        </w:tc>
        <w:tc>
          <w:tcPr>
            <w:tcW w:w="1971" w:type="dxa"/>
            <w:tcBorders>
              <w:left w:val="double" w:sz="4" w:space="0" w:color="auto"/>
              <w:right w:val="double" w:sz="4" w:space="0" w:color="auto"/>
            </w:tcBorders>
            <w:vAlign w:val="center"/>
          </w:tcPr>
          <w:p w14:paraId="240E8AB8" w14:textId="20F1F733" w:rsidR="00F55610" w:rsidRPr="00F507E0" w:rsidRDefault="00C66CAE" w:rsidP="00F55610">
            <w:pPr>
              <w:widowControl w:val="0"/>
              <w:autoSpaceDE w:val="0"/>
              <w:autoSpaceDN w:val="0"/>
              <w:adjustRightInd w:val="0"/>
              <w:jc w:val="center"/>
              <w:rPr>
                <w:noProof/>
                <w:sz w:val="22"/>
                <w:szCs w:val="22"/>
              </w:rPr>
            </w:pPr>
            <w:r w:rsidRPr="00F507E0">
              <w:rPr>
                <w:noProof/>
                <w:sz w:val="22"/>
                <w:szCs w:val="22"/>
              </w:rPr>
              <w:t>3,395</w:t>
            </w:r>
          </w:p>
        </w:tc>
      </w:tr>
      <w:tr w:rsidR="00F507E0" w:rsidRPr="00F507E0" w14:paraId="0711C140" w14:textId="77777777" w:rsidTr="00F72D73">
        <w:trPr>
          <w:trHeight w:hRule="exact" w:val="432"/>
        </w:trPr>
        <w:tc>
          <w:tcPr>
            <w:tcW w:w="2234" w:type="dxa"/>
            <w:tcBorders>
              <w:left w:val="double" w:sz="4" w:space="0" w:color="auto"/>
              <w:right w:val="double" w:sz="4" w:space="0" w:color="auto"/>
            </w:tcBorders>
          </w:tcPr>
          <w:p w14:paraId="77F73A97" w14:textId="156B2947" w:rsidR="00F55610" w:rsidRPr="00F507E0" w:rsidRDefault="009055AB" w:rsidP="00F55610">
            <w:pPr>
              <w:widowControl w:val="0"/>
              <w:autoSpaceDE w:val="0"/>
              <w:autoSpaceDN w:val="0"/>
              <w:adjustRightInd w:val="0"/>
              <w:rPr>
                <w:noProof/>
                <w:sz w:val="22"/>
                <w:szCs w:val="22"/>
              </w:rPr>
            </w:pPr>
            <w:r w:rsidRPr="00F507E0">
              <w:rPr>
                <w:noProof/>
                <w:sz w:val="22"/>
                <w:szCs w:val="22"/>
              </w:rPr>
              <w:t>Food and beverages</w:t>
            </w:r>
          </w:p>
        </w:tc>
        <w:tc>
          <w:tcPr>
            <w:tcW w:w="2621" w:type="dxa"/>
            <w:tcBorders>
              <w:left w:val="double" w:sz="4" w:space="0" w:color="auto"/>
              <w:right w:val="double" w:sz="4" w:space="0" w:color="auto"/>
            </w:tcBorders>
          </w:tcPr>
          <w:p w14:paraId="628FB4B4" w14:textId="08634AE2" w:rsidR="00F55610" w:rsidRPr="00F507E0" w:rsidRDefault="00F55610" w:rsidP="00F55610">
            <w:pPr>
              <w:widowControl w:val="0"/>
              <w:autoSpaceDE w:val="0"/>
              <w:autoSpaceDN w:val="0"/>
              <w:adjustRightInd w:val="0"/>
              <w:jc w:val="center"/>
              <w:rPr>
                <w:noProof/>
                <w:sz w:val="22"/>
                <w:szCs w:val="22"/>
              </w:rPr>
            </w:pPr>
            <w:r w:rsidRPr="00F507E0">
              <w:rPr>
                <w:sz w:val="22"/>
                <w:szCs w:val="22"/>
              </w:rPr>
              <w:t>93.0</w:t>
            </w:r>
          </w:p>
        </w:tc>
        <w:tc>
          <w:tcPr>
            <w:tcW w:w="1984" w:type="dxa"/>
            <w:tcBorders>
              <w:left w:val="double" w:sz="4" w:space="0" w:color="auto"/>
              <w:right w:val="double" w:sz="4" w:space="0" w:color="auto"/>
            </w:tcBorders>
          </w:tcPr>
          <w:p w14:paraId="3E14555A" w14:textId="1FBF2CD0" w:rsidR="00F55610" w:rsidRPr="00F507E0" w:rsidRDefault="00F55610" w:rsidP="00F55610">
            <w:pPr>
              <w:widowControl w:val="0"/>
              <w:autoSpaceDE w:val="0"/>
              <w:autoSpaceDN w:val="0"/>
              <w:adjustRightInd w:val="0"/>
              <w:jc w:val="center"/>
              <w:rPr>
                <w:noProof/>
                <w:sz w:val="22"/>
                <w:szCs w:val="22"/>
              </w:rPr>
            </w:pPr>
            <w:r w:rsidRPr="00F507E0">
              <w:rPr>
                <w:sz w:val="22"/>
                <w:szCs w:val="22"/>
              </w:rPr>
              <w:t>1,508</w:t>
            </w:r>
          </w:p>
        </w:tc>
        <w:tc>
          <w:tcPr>
            <w:tcW w:w="1971" w:type="dxa"/>
            <w:tcBorders>
              <w:left w:val="double" w:sz="4" w:space="0" w:color="auto"/>
              <w:right w:val="double" w:sz="4" w:space="0" w:color="auto"/>
            </w:tcBorders>
            <w:vAlign w:val="center"/>
          </w:tcPr>
          <w:p w14:paraId="2D1B301E" w14:textId="4006EE1E" w:rsidR="00F55610" w:rsidRPr="00F507E0" w:rsidRDefault="00C66CAE" w:rsidP="00F55610">
            <w:pPr>
              <w:widowControl w:val="0"/>
              <w:autoSpaceDE w:val="0"/>
              <w:autoSpaceDN w:val="0"/>
              <w:adjustRightInd w:val="0"/>
              <w:jc w:val="center"/>
              <w:rPr>
                <w:noProof/>
                <w:sz w:val="22"/>
                <w:szCs w:val="22"/>
              </w:rPr>
            </w:pPr>
            <w:r w:rsidRPr="00F507E0">
              <w:rPr>
                <w:noProof/>
                <w:sz w:val="22"/>
                <w:szCs w:val="22"/>
              </w:rPr>
              <w:t>2,401</w:t>
            </w:r>
          </w:p>
        </w:tc>
      </w:tr>
      <w:tr w:rsidR="00F507E0" w:rsidRPr="00F507E0" w14:paraId="5B531E99" w14:textId="77777777" w:rsidTr="00F72D73">
        <w:trPr>
          <w:trHeight w:hRule="exact" w:val="432"/>
        </w:trPr>
        <w:tc>
          <w:tcPr>
            <w:tcW w:w="2234" w:type="dxa"/>
            <w:tcBorders>
              <w:left w:val="double" w:sz="4" w:space="0" w:color="auto"/>
              <w:right w:val="double" w:sz="4" w:space="0" w:color="auto"/>
            </w:tcBorders>
          </w:tcPr>
          <w:p w14:paraId="6ED105C3" w14:textId="72EE5D30" w:rsidR="00F55610" w:rsidRPr="00F507E0" w:rsidRDefault="009055AB" w:rsidP="00F55610">
            <w:pPr>
              <w:widowControl w:val="0"/>
              <w:autoSpaceDE w:val="0"/>
              <w:autoSpaceDN w:val="0"/>
              <w:adjustRightInd w:val="0"/>
              <w:rPr>
                <w:noProof/>
                <w:sz w:val="22"/>
                <w:szCs w:val="22"/>
              </w:rPr>
            </w:pPr>
            <w:r w:rsidRPr="00F507E0">
              <w:rPr>
                <w:sz w:val="22"/>
                <w:szCs w:val="22"/>
              </w:rPr>
              <w:t>Shopping</w:t>
            </w:r>
          </w:p>
        </w:tc>
        <w:tc>
          <w:tcPr>
            <w:tcW w:w="2621" w:type="dxa"/>
            <w:tcBorders>
              <w:left w:val="double" w:sz="4" w:space="0" w:color="auto"/>
              <w:right w:val="double" w:sz="4" w:space="0" w:color="auto"/>
            </w:tcBorders>
          </w:tcPr>
          <w:p w14:paraId="63D6EC12" w14:textId="643C6231" w:rsidR="00F55610" w:rsidRPr="00F507E0" w:rsidRDefault="00F55610" w:rsidP="00F55610">
            <w:pPr>
              <w:widowControl w:val="0"/>
              <w:autoSpaceDE w:val="0"/>
              <w:autoSpaceDN w:val="0"/>
              <w:adjustRightInd w:val="0"/>
              <w:jc w:val="center"/>
              <w:rPr>
                <w:noProof/>
                <w:sz w:val="22"/>
                <w:szCs w:val="22"/>
              </w:rPr>
            </w:pPr>
            <w:r w:rsidRPr="00F507E0">
              <w:rPr>
                <w:sz w:val="22"/>
                <w:szCs w:val="22"/>
              </w:rPr>
              <w:t>85.3</w:t>
            </w:r>
          </w:p>
        </w:tc>
        <w:tc>
          <w:tcPr>
            <w:tcW w:w="1984" w:type="dxa"/>
            <w:tcBorders>
              <w:left w:val="double" w:sz="4" w:space="0" w:color="auto"/>
              <w:right w:val="double" w:sz="4" w:space="0" w:color="auto"/>
            </w:tcBorders>
          </w:tcPr>
          <w:p w14:paraId="472B4D79" w14:textId="0426E289" w:rsidR="00F55610" w:rsidRPr="00F507E0" w:rsidRDefault="00F55610" w:rsidP="00F55610">
            <w:pPr>
              <w:widowControl w:val="0"/>
              <w:autoSpaceDE w:val="0"/>
              <w:autoSpaceDN w:val="0"/>
              <w:adjustRightInd w:val="0"/>
              <w:jc w:val="center"/>
              <w:rPr>
                <w:noProof/>
                <w:sz w:val="22"/>
                <w:szCs w:val="22"/>
              </w:rPr>
            </w:pPr>
            <w:r w:rsidRPr="00F507E0">
              <w:rPr>
                <w:sz w:val="22"/>
                <w:szCs w:val="22"/>
              </w:rPr>
              <w:t>2,626</w:t>
            </w:r>
          </w:p>
        </w:tc>
        <w:tc>
          <w:tcPr>
            <w:tcW w:w="1971" w:type="dxa"/>
            <w:tcBorders>
              <w:left w:val="double" w:sz="4" w:space="0" w:color="auto"/>
              <w:right w:val="double" w:sz="4" w:space="0" w:color="auto"/>
            </w:tcBorders>
            <w:vAlign w:val="center"/>
          </w:tcPr>
          <w:p w14:paraId="6347FA1D" w14:textId="2E3B2CEF" w:rsidR="00F55610" w:rsidRPr="00F507E0" w:rsidRDefault="00E468EF" w:rsidP="00F55610">
            <w:pPr>
              <w:widowControl w:val="0"/>
              <w:autoSpaceDE w:val="0"/>
              <w:autoSpaceDN w:val="0"/>
              <w:adjustRightInd w:val="0"/>
              <w:jc w:val="center"/>
              <w:rPr>
                <w:noProof/>
                <w:sz w:val="22"/>
                <w:szCs w:val="22"/>
              </w:rPr>
            </w:pPr>
            <w:r w:rsidRPr="00F507E0">
              <w:rPr>
                <w:noProof/>
                <w:sz w:val="22"/>
                <w:szCs w:val="22"/>
              </w:rPr>
              <w:t>3,387</w:t>
            </w:r>
          </w:p>
        </w:tc>
      </w:tr>
      <w:tr w:rsidR="00F507E0" w:rsidRPr="00F507E0" w14:paraId="03D6F4C8" w14:textId="77777777" w:rsidTr="00F72D73">
        <w:trPr>
          <w:trHeight w:hRule="exact" w:val="432"/>
        </w:trPr>
        <w:tc>
          <w:tcPr>
            <w:tcW w:w="2234" w:type="dxa"/>
            <w:tcBorders>
              <w:left w:val="double" w:sz="4" w:space="0" w:color="auto"/>
              <w:right w:val="double" w:sz="4" w:space="0" w:color="auto"/>
            </w:tcBorders>
          </w:tcPr>
          <w:p w14:paraId="32090F1D" w14:textId="0C2C3201" w:rsidR="00F55610" w:rsidRPr="00F507E0" w:rsidRDefault="009055AB" w:rsidP="00F55610">
            <w:pPr>
              <w:widowControl w:val="0"/>
              <w:autoSpaceDE w:val="0"/>
              <w:autoSpaceDN w:val="0"/>
              <w:adjustRightInd w:val="0"/>
              <w:rPr>
                <w:noProof/>
                <w:sz w:val="22"/>
                <w:szCs w:val="22"/>
              </w:rPr>
            </w:pPr>
            <w:r w:rsidRPr="00F507E0">
              <w:rPr>
                <w:sz w:val="22"/>
                <w:szCs w:val="22"/>
              </w:rPr>
              <w:t>Recreation and leisure</w:t>
            </w:r>
          </w:p>
        </w:tc>
        <w:tc>
          <w:tcPr>
            <w:tcW w:w="2621" w:type="dxa"/>
            <w:tcBorders>
              <w:left w:val="double" w:sz="4" w:space="0" w:color="auto"/>
              <w:right w:val="double" w:sz="4" w:space="0" w:color="auto"/>
            </w:tcBorders>
          </w:tcPr>
          <w:p w14:paraId="20958D1A" w14:textId="7B8FE470" w:rsidR="00F55610" w:rsidRPr="00F507E0" w:rsidRDefault="00F55610" w:rsidP="00F55610">
            <w:pPr>
              <w:widowControl w:val="0"/>
              <w:autoSpaceDE w:val="0"/>
              <w:autoSpaceDN w:val="0"/>
              <w:adjustRightInd w:val="0"/>
              <w:jc w:val="center"/>
              <w:rPr>
                <w:noProof/>
                <w:sz w:val="22"/>
                <w:szCs w:val="22"/>
              </w:rPr>
            </w:pPr>
            <w:r w:rsidRPr="00F507E0">
              <w:rPr>
                <w:sz w:val="22"/>
                <w:szCs w:val="22"/>
              </w:rPr>
              <w:t>35.4</w:t>
            </w:r>
          </w:p>
        </w:tc>
        <w:tc>
          <w:tcPr>
            <w:tcW w:w="1984" w:type="dxa"/>
            <w:tcBorders>
              <w:left w:val="double" w:sz="4" w:space="0" w:color="auto"/>
              <w:right w:val="double" w:sz="4" w:space="0" w:color="auto"/>
            </w:tcBorders>
          </w:tcPr>
          <w:p w14:paraId="2452CF73" w14:textId="62CD535F" w:rsidR="00F55610" w:rsidRPr="00F507E0" w:rsidRDefault="00F55610" w:rsidP="00F55610">
            <w:pPr>
              <w:widowControl w:val="0"/>
              <w:autoSpaceDE w:val="0"/>
              <w:autoSpaceDN w:val="0"/>
              <w:adjustRightInd w:val="0"/>
              <w:jc w:val="center"/>
              <w:rPr>
                <w:noProof/>
                <w:sz w:val="22"/>
                <w:szCs w:val="22"/>
              </w:rPr>
            </w:pPr>
            <w:r w:rsidRPr="00F507E0">
              <w:rPr>
                <w:sz w:val="22"/>
                <w:szCs w:val="22"/>
              </w:rPr>
              <w:t xml:space="preserve">   613</w:t>
            </w:r>
          </w:p>
        </w:tc>
        <w:tc>
          <w:tcPr>
            <w:tcW w:w="1971" w:type="dxa"/>
            <w:tcBorders>
              <w:left w:val="double" w:sz="4" w:space="0" w:color="auto"/>
              <w:right w:val="double" w:sz="4" w:space="0" w:color="auto"/>
            </w:tcBorders>
            <w:vAlign w:val="center"/>
          </w:tcPr>
          <w:p w14:paraId="17ED40AD" w14:textId="722AF629" w:rsidR="00F55610" w:rsidRPr="00F507E0" w:rsidRDefault="00E468EF" w:rsidP="00F55610">
            <w:pPr>
              <w:widowControl w:val="0"/>
              <w:autoSpaceDE w:val="0"/>
              <w:autoSpaceDN w:val="0"/>
              <w:adjustRightInd w:val="0"/>
              <w:jc w:val="center"/>
              <w:rPr>
                <w:noProof/>
                <w:sz w:val="22"/>
                <w:szCs w:val="22"/>
              </w:rPr>
            </w:pPr>
            <w:r w:rsidRPr="00F507E0">
              <w:rPr>
                <w:noProof/>
                <w:sz w:val="22"/>
                <w:szCs w:val="22"/>
              </w:rPr>
              <w:t>594</w:t>
            </w:r>
          </w:p>
        </w:tc>
      </w:tr>
      <w:tr w:rsidR="00F507E0" w:rsidRPr="00F507E0" w14:paraId="34531918" w14:textId="77777777" w:rsidTr="00F72D73">
        <w:trPr>
          <w:trHeight w:hRule="exact" w:val="432"/>
        </w:trPr>
        <w:tc>
          <w:tcPr>
            <w:tcW w:w="2234" w:type="dxa"/>
            <w:tcBorders>
              <w:left w:val="double" w:sz="4" w:space="0" w:color="auto"/>
              <w:bottom w:val="double" w:sz="4" w:space="0" w:color="auto"/>
              <w:right w:val="double" w:sz="4" w:space="0" w:color="auto"/>
            </w:tcBorders>
          </w:tcPr>
          <w:p w14:paraId="70225822" w14:textId="1E76C5D9" w:rsidR="00F55610" w:rsidRPr="00F507E0" w:rsidRDefault="009055AB" w:rsidP="00F55610">
            <w:pPr>
              <w:widowControl w:val="0"/>
              <w:autoSpaceDE w:val="0"/>
              <w:autoSpaceDN w:val="0"/>
              <w:adjustRightInd w:val="0"/>
              <w:rPr>
                <w:noProof/>
                <w:sz w:val="22"/>
                <w:szCs w:val="22"/>
              </w:rPr>
            </w:pPr>
            <w:r w:rsidRPr="00F507E0">
              <w:rPr>
                <w:sz w:val="22"/>
                <w:szCs w:val="22"/>
              </w:rPr>
              <w:t>Health and medicine</w:t>
            </w:r>
          </w:p>
        </w:tc>
        <w:tc>
          <w:tcPr>
            <w:tcW w:w="2621" w:type="dxa"/>
            <w:tcBorders>
              <w:left w:val="double" w:sz="4" w:space="0" w:color="auto"/>
              <w:bottom w:val="double" w:sz="4" w:space="0" w:color="auto"/>
              <w:right w:val="double" w:sz="4" w:space="0" w:color="auto"/>
            </w:tcBorders>
          </w:tcPr>
          <w:p w14:paraId="709BFF2B" w14:textId="5A3B9971" w:rsidR="00F55610" w:rsidRPr="00F507E0" w:rsidRDefault="00F55610" w:rsidP="00F55610">
            <w:pPr>
              <w:widowControl w:val="0"/>
              <w:autoSpaceDE w:val="0"/>
              <w:autoSpaceDN w:val="0"/>
              <w:adjustRightInd w:val="0"/>
              <w:jc w:val="center"/>
              <w:rPr>
                <w:noProof/>
                <w:sz w:val="22"/>
                <w:szCs w:val="22"/>
              </w:rPr>
            </w:pPr>
            <w:r w:rsidRPr="00F507E0">
              <w:rPr>
                <w:sz w:val="22"/>
                <w:szCs w:val="22"/>
              </w:rPr>
              <w:t>16.6</w:t>
            </w:r>
          </w:p>
        </w:tc>
        <w:tc>
          <w:tcPr>
            <w:tcW w:w="1984" w:type="dxa"/>
            <w:tcBorders>
              <w:left w:val="double" w:sz="4" w:space="0" w:color="auto"/>
              <w:bottom w:val="double" w:sz="4" w:space="0" w:color="auto"/>
              <w:right w:val="double" w:sz="4" w:space="0" w:color="auto"/>
            </w:tcBorders>
          </w:tcPr>
          <w:p w14:paraId="2B990756" w14:textId="7A0446CA" w:rsidR="00F55610" w:rsidRPr="00F507E0" w:rsidRDefault="00F55610" w:rsidP="00F55610">
            <w:pPr>
              <w:widowControl w:val="0"/>
              <w:autoSpaceDE w:val="0"/>
              <w:autoSpaceDN w:val="0"/>
              <w:adjustRightInd w:val="0"/>
              <w:jc w:val="center"/>
              <w:rPr>
                <w:noProof/>
                <w:sz w:val="22"/>
                <w:szCs w:val="22"/>
              </w:rPr>
            </w:pPr>
            <w:r w:rsidRPr="00F507E0">
              <w:rPr>
                <w:sz w:val="22"/>
                <w:szCs w:val="22"/>
              </w:rPr>
              <w:t xml:space="preserve">   485</w:t>
            </w:r>
          </w:p>
        </w:tc>
        <w:tc>
          <w:tcPr>
            <w:tcW w:w="1971" w:type="dxa"/>
            <w:tcBorders>
              <w:left w:val="double" w:sz="4" w:space="0" w:color="auto"/>
              <w:bottom w:val="double" w:sz="4" w:space="0" w:color="auto"/>
              <w:right w:val="double" w:sz="4" w:space="0" w:color="auto"/>
            </w:tcBorders>
            <w:vAlign w:val="center"/>
          </w:tcPr>
          <w:p w14:paraId="28BB4BAE" w14:textId="5C1CA452" w:rsidR="00F55610" w:rsidRPr="00F507E0" w:rsidRDefault="00E468EF" w:rsidP="00F55610">
            <w:pPr>
              <w:widowControl w:val="0"/>
              <w:autoSpaceDE w:val="0"/>
              <w:autoSpaceDN w:val="0"/>
              <w:adjustRightInd w:val="0"/>
              <w:jc w:val="center"/>
              <w:rPr>
                <w:noProof/>
                <w:sz w:val="22"/>
                <w:szCs w:val="22"/>
              </w:rPr>
            </w:pPr>
            <w:r w:rsidRPr="00F507E0">
              <w:rPr>
                <w:noProof/>
                <w:sz w:val="22"/>
                <w:szCs w:val="22"/>
              </w:rPr>
              <w:t>1,827</w:t>
            </w:r>
          </w:p>
        </w:tc>
      </w:tr>
    </w:tbl>
    <w:p w14:paraId="22126F6A" w14:textId="3848EE74"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60F0B3C7" w14:textId="0D2DB8C1"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2E158753" w14:textId="0AF5525F"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0065CA7A" w14:textId="5C155421"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39495D77" w14:textId="4E938089"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0BB6ED9A" w14:textId="03C5DAA8"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58620ADD" w14:textId="4447A417" w:rsidR="006C5EB9" w:rsidRPr="00AC36D6" w:rsidRDefault="006C5EB9" w:rsidP="00253259">
      <w:pPr>
        <w:widowControl w:val="0"/>
        <w:autoSpaceDE w:val="0"/>
        <w:autoSpaceDN w:val="0"/>
        <w:adjustRightInd w:val="0"/>
        <w:spacing w:before="120" w:after="0" w:line="240" w:lineRule="auto"/>
        <w:ind w:left="640" w:hanging="640"/>
        <w:jc w:val="both"/>
        <w:rPr>
          <w:noProof/>
          <w:sz w:val="22"/>
          <w:szCs w:val="22"/>
        </w:rPr>
      </w:pPr>
    </w:p>
    <w:p w14:paraId="389AC71B" w14:textId="77777777" w:rsidR="00F02697" w:rsidRPr="00AC36D6" w:rsidRDefault="00F02697" w:rsidP="00DA6943">
      <w:pPr>
        <w:spacing w:after="0" w:line="360" w:lineRule="auto"/>
        <w:jc w:val="both"/>
        <w:rPr>
          <w:rFonts w:eastAsia="Times New Roman" w:cs="Arial"/>
          <w:color w:val="000000"/>
          <w:kern w:val="32"/>
          <w:szCs w:val="32"/>
        </w:rPr>
      </w:pPr>
    </w:p>
    <w:p w14:paraId="0FEE4986" w14:textId="2F72E653" w:rsidR="00EE3F39" w:rsidRPr="00AC36D6" w:rsidRDefault="00EE3F39" w:rsidP="00DE7BE7">
      <w:pPr>
        <w:spacing w:after="0" w:line="240" w:lineRule="auto"/>
        <w:rPr>
          <w:color w:val="000000" w:themeColor="text1"/>
        </w:rPr>
      </w:pPr>
    </w:p>
    <w:p w14:paraId="15E04E2A" w14:textId="77777777" w:rsidR="004B616A" w:rsidRPr="00AC36D6" w:rsidRDefault="004B616A" w:rsidP="004B616A">
      <w:pPr>
        <w:rPr>
          <w:b/>
          <w:bCs/>
        </w:rPr>
      </w:pPr>
    </w:p>
    <w:p w14:paraId="65FAD1D9" w14:textId="77777777" w:rsidR="004B616A" w:rsidRPr="00AC36D6" w:rsidRDefault="004B616A" w:rsidP="00DE7BE7">
      <w:pPr>
        <w:spacing w:after="0" w:line="240" w:lineRule="auto"/>
        <w:rPr>
          <w:color w:val="000000" w:themeColor="text1"/>
        </w:rPr>
      </w:pPr>
    </w:p>
    <w:p w14:paraId="276F55FE" w14:textId="77777777" w:rsidR="00D17976" w:rsidRPr="00AC36D6" w:rsidRDefault="00D17976" w:rsidP="00DE7BE7">
      <w:pPr>
        <w:spacing w:after="0" w:line="240" w:lineRule="auto"/>
        <w:rPr>
          <w:color w:val="000000" w:themeColor="text1"/>
        </w:rPr>
        <w:sectPr w:rsidR="00D17976" w:rsidRPr="00AC36D6" w:rsidSect="00C72742">
          <w:footerReference w:type="default" r:id="rId434"/>
          <w:footerReference w:type="first" r:id="rId435"/>
          <w:pgSz w:w="12240" w:h="15840"/>
          <w:pgMar w:top="1440" w:right="1440" w:bottom="1440" w:left="1440" w:header="720" w:footer="720" w:gutter="0"/>
          <w:pgNumType w:start="1"/>
          <w:cols w:space="720"/>
          <w:titlePg/>
          <w:docGrid w:linePitch="360"/>
        </w:sectPr>
      </w:pPr>
    </w:p>
    <w:p w14:paraId="120FBAB0" w14:textId="0AE8D862" w:rsidR="00D17976" w:rsidRPr="00AC36D6" w:rsidRDefault="00DA6943" w:rsidP="00DC5E61">
      <w:pPr>
        <w:spacing w:after="0" w:line="240" w:lineRule="auto"/>
        <w:jc w:val="center"/>
        <w:rPr>
          <w:color w:val="000000" w:themeColor="text1"/>
        </w:rPr>
      </w:pPr>
      <w:r w:rsidRPr="00AC36D6">
        <w:rPr>
          <w:b/>
          <w:bCs/>
          <w:color w:val="000000" w:themeColor="text1"/>
        </w:rPr>
        <w:lastRenderedPageBreak/>
        <w:t>Table 2</w:t>
      </w:r>
      <w:r w:rsidRPr="00AC36D6">
        <w:rPr>
          <w:color w:val="000000" w:themeColor="text1"/>
        </w:rPr>
        <w:t>. Estimation results of the flexible MDCP model with full covariance matrix</w:t>
      </w:r>
    </w:p>
    <w:tbl>
      <w:tblPr>
        <w:tblStyle w:val="TableGrid"/>
        <w:tblpPr w:leftFromText="180" w:rightFromText="180" w:vertAnchor="text" w:horzAnchor="margin" w:tblpXSpec="center" w:tblpY="208"/>
        <w:tblW w:w="14986" w:type="dxa"/>
        <w:tblLayout w:type="fixed"/>
        <w:tblLook w:val="04A0" w:firstRow="1" w:lastRow="0" w:firstColumn="1" w:lastColumn="0" w:noHBand="0" w:noVBand="1"/>
      </w:tblPr>
      <w:tblGrid>
        <w:gridCol w:w="3653"/>
        <w:gridCol w:w="1133"/>
        <w:gridCol w:w="1130"/>
        <w:gridCol w:w="1132"/>
        <w:gridCol w:w="1132"/>
        <w:gridCol w:w="1139"/>
        <w:gridCol w:w="1132"/>
        <w:gridCol w:w="1132"/>
        <w:gridCol w:w="1132"/>
        <w:gridCol w:w="1132"/>
        <w:gridCol w:w="1139"/>
      </w:tblGrid>
      <w:tr w:rsidR="00D17976" w:rsidRPr="00AC36D6" w14:paraId="7FA985D8" w14:textId="77777777" w:rsidTr="00DA6943">
        <w:trPr>
          <w:trHeight w:val="278"/>
        </w:trPr>
        <w:tc>
          <w:tcPr>
            <w:tcW w:w="3653" w:type="dxa"/>
            <w:vMerge w:val="restart"/>
            <w:tcBorders>
              <w:top w:val="double" w:sz="4" w:space="0" w:color="auto"/>
              <w:left w:val="double" w:sz="4" w:space="0" w:color="auto"/>
              <w:bottom w:val="nil"/>
              <w:right w:val="double" w:sz="4" w:space="0" w:color="auto"/>
            </w:tcBorders>
          </w:tcPr>
          <w:p w14:paraId="7041B28A" w14:textId="77777777" w:rsidR="00D17976" w:rsidRPr="00AC36D6" w:rsidRDefault="00D17976" w:rsidP="00D17976">
            <w:pPr>
              <w:rPr>
                <w:sz w:val="20"/>
                <w:szCs w:val="20"/>
              </w:rPr>
            </w:pPr>
            <w:bookmarkStart w:id="13" w:name="_Hlk75354822"/>
          </w:p>
        </w:tc>
        <w:tc>
          <w:tcPr>
            <w:tcW w:w="5666" w:type="dxa"/>
            <w:gridSpan w:val="5"/>
            <w:tcBorders>
              <w:top w:val="double" w:sz="4" w:space="0" w:color="auto"/>
              <w:left w:val="double" w:sz="4" w:space="0" w:color="auto"/>
              <w:bottom w:val="nil"/>
              <w:right w:val="double" w:sz="4" w:space="0" w:color="auto"/>
            </w:tcBorders>
            <w:vAlign w:val="center"/>
          </w:tcPr>
          <w:p w14:paraId="236B4F1F" w14:textId="17ED6ABF" w:rsidR="00D17976" w:rsidRPr="00AC36D6" w:rsidRDefault="00D17976" w:rsidP="00D17976">
            <w:pPr>
              <w:jc w:val="center"/>
              <w:rPr>
                <w:sz w:val="20"/>
                <w:szCs w:val="20"/>
              </w:rPr>
            </w:pPr>
            <w:r w:rsidRPr="00AC36D6">
              <w:rPr>
                <w:sz w:val="20"/>
                <w:szCs w:val="20"/>
              </w:rPr>
              <w:t>Discrete preference</w:t>
            </w:r>
            <w:r w:rsidR="006F6534" w:rsidRPr="00AC36D6">
              <w:rPr>
                <w:sz w:val="20"/>
                <w:szCs w:val="20"/>
              </w:rPr>
              <w:t>s</w:t>
            </w:r>
          </w:p>
        </w:tc>
        <w:tc>
          <w:tcPr>
            <w:tcW w:w="5667" w:type="dxa"/>
            <w:gridSpan w:val="5"/>
            <w:tcBorders>
              <w:top w:val="double" w:sz="4" w:space="0" w:color="auto"/>
              <w:left w:val="double" w:sz="4" w:space="0" w:color="auto"/>
              <w:bottom w:val="nil"/>
              <w:right w:val="double" w:sz="4" w:space="0" w:color="auto"/>
            </w:tcBorders>
            <w:vAlign w:val="center"/>
          </w:tcPr>
          <w:p w14:paraId="66C71CD2" w14:textId="0A24E9FF" w:rsidR="00D17976" w:rsidRPr="00AC36D6" w:rsidRDefault="00D17976" w:rsidP="00D17976">
            <w:pPr>
              <w:jc w:val="center"/>
              <w:rPr>
                <w:sz w:val="20"/>
                <w:szCs w:val="20"/>
              </w:rPr>
            </w:pPr>
            <w:r w:rsidRPr="00AC36D6">
              <w:rPr>
                <w:sz w:val="20"/>
                <w:szCs w:val="20"/>
              </w:rPr>
              <w:t>Continuous preference</w:t>
            </w:r>
            <w:r w:rsidR="006F6534" w:rsidRPr="00AC36D6">
              <w:rPr>
                <w:sz w:val="20"/>
                <w:szCs w:val="20"/>
              </w:rPr>
              <w:t>s</w:t>
            </w:r>
          </w:p>
        </w:tc>
      </w:tr>
      <w:tr w:rsidR="00D17976" w:rsidRPr="00AC36D6" w14:paraId="2DEE70A4" w14:textId="77777777" w:rsidTr="00DA6943">
        <w:trPr>
          <w:trHeight w:val="289"/>
        </w:trPr>
        <w:tc>
          <w:tcPr>
            <w:tcW w:w="3653" w:type="dxa"/>
            <w:vMerge/>
            <w:tcBorders>
              <w:top w:val="nil"/>
              <w:left w:val="double" w:sz="4" w:space="0" w:color="auto"/>
              <w:bottom w:val="single" w:sz="12" w:space="0" w:color="auto"/>
              <w:right w:val="double" w:sz="4" w:space="0" w:color="auto"/>
            </w:tcBorders>
          </w:tcPr>
          <w:p w14:paraId="25809C57" w14:textId="77777777" w:rsidR="00D17976" w:rsidRPr="00AC36D6" w:rsidRDefault="00D17976" w:rsidP="00D17976">
            <w:pPr>
              <w:rPr>
                <w:sz w:val="20"/>
                <w:szCs w:val="20"/>
              </w:rPr>
            </w:pPr>
          </w:p>
        </w:tc>
        <w:tc>
          <w:tcPr>
            <w:tcW w:w="1133" w:type="dxa"/>
            <w:tcBorders>
              <w:top w:val="double" w:sz="4" w:space="0" w:color="auto"/>
              <w:left w:val="double" w:sz="4" w:space="0" w:color="auto"/>
              <w:bottom w:val="single" w:sz="12" w:space="0" w:color="auto"/>
              <w:right w:val="nil"/>
            </w:tcBorders>
            <w:vAlign w:val="center"/>
          </w:tcPr>
          <w:p w14:paraId="51FA8C99" w14:textId="77777777" w:rsidR="00D17976" w:rsidRPr="00AC36D6" w:rsidRDefault="00D17976" w:rsidP="00D456C9">
            <w:pPr>
              <w:jc w:val="center"/>
              <w:rPr>
                <w:sz w:val="20"/>
                <w:szCs w:val="20"/>
              </w:rPr>
            </w:pPr>
            <w:r w:rsidRPr="00AC36D6">
              <w:rPr>
                <w:sz w:val="20"/>
                <w:szCs w:val="20"/>
              </w:rPr>
              <w:t>Accommo-dation</w:t>
            </w:r>
          </w:p>
        </w:tc>
        <w:tc>
          <w:tcPr>
            <w:tcW w:w="1130" w:type="dxa"/>
            <w:tcBorders>
              <w:top w:val="double" w:sz="4" w:space="0" w:color="auto"/>
              <w:left w:val="nil"/>
              <w:bottom w:val="single" w:sz="12" w:space="0" w:color="auto"/>
              <w:right w:val="nil"/>
            </w:tcBorders>
            <w:vAlign w:val="center"/>
          </w:tcPr>
          <w:p w14:paraId="13F09F01" w14:textId="77777777" w:rsidR="00D17976" w:rsidRPr="00AC36D6" w:rsidRDefault="00D17976" w:rsidP="00D456C9">
            <w:pPr>
              <w:jc w:val="center"/>
              <w:rPr>
                <w:sz w:val="20"/>
                <w:szCs w:val="20"/>
              </w:rPr>
            </w:pPr>
            <w:r w:rsidRPr="00AC36D6">
              <w:rPr>
                <w:sz w:val="20"/>
                <w:szCs w:val="20"/>
              </w:rPr>
              <w:t>Food &amp; beverages</w:t>
            </w:r>
          </w:p>
        </w:tc>
        <w:tc>
          <w:tcPr>
            <w:tcW w:w="1132" w:type="dxa"/>
            <w:tcBorders>
              <w:top w:val="double" w:sz="4" w:space="0" w:color="auto"/>
              <w:left w:val="nil"/>
              <w:bottom w:val="single" w:sz="12" w:space="0" w:color="auto"/>
              <w:right w:val="nil"/>
            </w:tcBorders>
            <w:vAlign w:val="center"/>
          </w:tcPr>
          <w:p w14:paraId="11109F8A" w14:textId="77777777" w:rsidR="00D17976" w:rsidRPr="00AC36D6" w:rsidRDefault="00D17976" w:rsidP="00D456C9">
            <w:pPr>
              <w:jc w:val="center"/>
              <w:rPr>
                <w:sz w:val="20"/>
                <w:szCs w:val="20"/>
              </w:rPr>
            </w:pPr>
            <w:r w:rsidRPr="00AC36D6">
              <w:rPr>
                <w:sz w:val="20"/>
                <w:szCs w:val="20"/>
              </w:rPr>
              <w:t>Shopping</w:t>
            </w:r>
          </w:p>
        </w:tc>
        <w:tc>
          <w:tcPr>
            <w:tcW w:w="1132" w:type="dxa"/>
            <w:tcBorders>
              <w:top w:val="double" w:sz="4" w:space="0" w:color="auto"/>
              <w:left w:val="nil"/>
              <w:bottom w:val="single" w:sz="12" w:space="0" w:color="auto"/>
              <w:right w:val="nil"/>
            </w:tcBorders>
            <w:vAlign w:val="center"/>
          </w:tcPr>
          <w:p w14:paraId="45C5311F" w14:textId="77777777" w:rsidR="00D17976" w:rsidRPr="00AC36D6" w:rsidRDefault="00D17976" w:rsidP="00D456C9">
            <w:pPr>
              <w:jc w:val="center"/>
              <w:rPr>
                <w:sz w:val="20"/>
                <w:szCs w:val="20"/>
              </w:rPr>
            </w:pPr>
            <w:r w:rsidRPr="00AC36D6">
              <w:rPr>
                <w:sz w:val="20"/>
                <w:szCs w:val="20"/>
              </w:rPr>
              <w:t>Recreation &amp; leisure</w:t>
            </w:r>
          </w:p>
        </w:tc>
        <w:tc>
          <w:tcPr>
            <w:tcW w:w="1139" w:type="dxa"/>
            <w:tcBorders>
              <w:top w:val="double" w:sz="4" w:space="0" w:color="auto"/>
              <w:left w:val="nil"/>
              <w:bottom w:val="single" w:sz="12" w:space="0" w:color="auto"/>
              <w:right w:val="double" w:sz="4" w:space="0" w:color="auto"/>
            </w:tcBorders>
            <w:vAlign w:val="center"/>
          </w:tcPr>
          <w:p w14:paraId="38FA50BF" w14:textId="77777777" w:rsidR="00D17976" w:rsidRPr="00AC36D6" w:rsidRDefault="00D17976" w:rsidP="00D456C9">
            <w:pPr>
              <w:jc w:val="center"/>
              <w:rPr>
                <w:sz w:val="20"/>
                <w:szCs w:val="20"/>
              </w:rPr>
            </w:pPr>
            <w:r w:rsidRPr="00AC36D6">
              <w:rPr>
                <w:sz w:val="20"/>
                <w:szCs w:val="20"/>
              </w:rPr>
              <w:t>Health &amp; medicine</w:t>
            </w:r>
          </w:p>
        </w:tc>
        <w:tc>
          <w:tcPr>
            <w:tcW w:w="1132" w:type="dxa"/>
            <w:tcBorders>
              <w:top w:val="double" w:sz="4" w:space="0" w:color="auto"/>
              <w:left w:val="double" w:sz="4" w:space="0" w:color="auto"/>
              <w:bottom w:val="single" w:sz="12" w:space="0" w:color="auto"/>
              <w:right w:val="nil"/>
            </w:tcBorders>
            <w:vAlign w:val="center"/>
          </w:tcPr>
          <w:p w14:paraId="75F88B19" w14:textId="77777777" w:rsidR="00D17976" w:rsidRPr="00AC36D6" w:rsidRDefault="00D17976" w:rsidP="00D456C9">
            <w:pPr>
              <w:jc w:val="center"/>
              <w:rPr>
                <w:sz w:val="20"/>
                <w:szCs w:val="20"/>
              </w:rPr>
            </w:pPr>
            <w:r w:rsidRPr="00AC36D6">
              <w:rPr>
                <w:sz w:val="20"/>
                <w:szCs w:val="20"/>
              </w:rPr>
              <w:t>Accommodation</w:t>
            </w:r>
          </w:p>
        </w:tc>
        <w:tc>
          <w:tcPr>
            <w:tcW w:w="1132" w:type="dxa"/>
            <w:tcBorders>
              <w:top w:val="double" w:sz="4" w:space="0" w:color="auto"/>
              <w:left w:val="nil"/>
              <w:bottom w:val="single" w:sz="12" w:space="0" w:color="auto"/>
              <w:right w:val="nil"/>
            </w:tcBorders>
            <w:vAlign w:val="center"/>
          </w:tcPr>
          <w:p w14:paraId="5AFD2482" w14:textId="77777777" w:rsidR="00D17976" w:rsidRPr="00AC36D6" w:rsidRDefault="00D17976" w:rsidP="00D456C9">
            <w:pPr>
              <w:jc w:val="center"/>
              <w:rPr>
                <w:sz w:val="20"/>
                <w:szCs w:val="20"/>
              </w:rPr>
            </w:pPr>
            <w:r w:rsidRPr="00AC36D6">
              <w:rPr>
                <w:sz w:val="20"/>
                <w:szCs w:val="20"/>
              </w:rPr>
              <w:t>Food &amp; beverages</w:t>
            </w:r>
          </w:p>
        </w:tc>
        <w:tc>
          <w:tcPr>
            <w:tcW w:w="1132" w:type="dxa"/>
            <w:tcBorders>
              <w:top w:val="double" w:sz="4" w:space="0" w:color="auto"/>
              <w:left w:val="nil"/>
              <w:bottom w:val="single" w:sz="12" w:space="0" w:color="auto"/>
              <w:right w:val="nil"/>
            </w:tcBorders>
            <w:vAlign w:val="center"/>
          </w:tcPr>
          <w:p w14:paraId="3C6E74C1" w14:textId="77777777" w:rsidR="00D17976" w:rsidRPr="00AC36D6" w:rsidRDefault="00D17976" w:rsidP="00D456C9">
            <w:pPr>
              <w:jc w:val="center"/>
              <w:rPr>
                <w:sz w:val="20"/>
                <w:szCs w:val="20"/>
              </w:rPr>
            </w:pPr>
            <w:r w:rsidRPr="00AC36D6">
              <w:rPr>
                <w:sz w:val="20"/>
                <w:szCs w:val="20"/>
              </w:rPr>
              <w:t>Shopping</w:t>
            </w:r>
          </w:p>
        </w:tc>
        <w:tc>
          <w:tcPr>
            <w:tcW w:w="1132" w:type="dxa"/>
            <w:tcBorders>
              <w:top w:val="double" w:sz="4" w:space="0" w:color="auto"/>
              <w:left w:val="nil"/>
              <w:bottom w:val="single" w:sz="12" w:space="0" w:color="auto"/>
              <w:right w:val="nil"/>
            </w:tcBorders>
            <w:vAlign w:val="center"/>
          </w:tcPr>
          <w:p w14:paraId="7481EEAB" w14:textId="77777777" w:rsidR="00D17976" w:rsidRPr="00AC36D6" w:rsidRDefault="00D17976" w:rsidP="00D456C9">
            <w:pPr>
              <w:jc w:val="center"/>
              <w:rPr>
                <w:sz w:val="20"/>
                <w:szCs w:val="20"/>
              </w:rPr>
            </w:pPr>
            <w:r w:rsidRPr="00AC36D6">
              <w:rPr>
                <w:sz w:val="20"/>
                <w:szCs w:val="20"/>
              </w:rPr>
              <w:t>Recreation &amp; leisure</w:t>
            </w:r>
          </w:p>
        </w:tc>
        <w:tc>
          <w:tcPr>
            <w:tcW w:w="1139" w:type="dxa"/>
            <w:tcBorders>
              <w:top w:val="double" w:sz="4" w:space="0" w:color="auto"/>
              <w:left w:val="nil"/>
              <w:bottom w:val="single" w:sz="12" w:space="0" w:color="auto"/>
              <w:right w:val="double" w:sz="4" w:space="0" w:color="auto"/>
            </w:tcBorders>
            <w:vAlign w:val="center"/>
          </w:tcPr>
          <w:p w14:paraId="37AE1F2A" w14:textId="77777777" w:rsidR="00D17976" w:rsidRPr="00AC36D6" w:rsidRDefault="00D17976" w:rsidP="00D456C9">
            <w:pPr>
              <w:jc w:val="center"/>
              <w:rPr>
                <w:sz w:val="20"/>
                <w:szCs w:val="20"/>
              </w:rPr>
            </w:pPr>
            <w:r w:rsidRPr="00AC36D6">
              <w:rPr>
                <w:sz w:val="20"/>
                <w:szCs w:val="20"/>
              </w:rPr>
              <w:t>Health &amp; medicine</w:t>
            </w:r>
          </w:p>
        </w:tc>
      </w:tr>
      <w:tr w:rsidR="00D17976" w:rsidRPr="00AC36D6" w14:paraId="6719422C" w14:textId="77777777" w:rsidTr="00DA6943">
        <w:trPr>
          <w:trHeight w:val="278"/>
        </w:trPr>
        <w:tc>
          <w:tcPr>
            <w:tcW w:w="3653" w:type="dxa"/>
            <w:tcBorders>
              <w:top w:val="single" w:sz="12" w:space="0" w:color="auto"/>
              <w:left w:val="double" w:sz="4" w:space="0" w:color="auto"/>
              <w:bottom w:val="nil"/>
              <w:right w:val="double" w:sz="4" w:space="0" w:color="auto"/>
            </w:tcBorders>
          </w:tcPr>
          <w:p w14:paraId="2F640A03" w14:textId="77777777" w:rsidR="00D17976" w:rsidRPr="00AC36D6" w:rsidRDefault="00D17976" w:rsidP="00D17976">
            <w:pPr>
              <w:rPr>
                <w:b/>
                <w:bCs/>
                <w:sz w:val="18"/>
                <w:szCs w:val="18"/>
              </w:rPr>
            </w:pPr>
            <w:r w:rsidRPr="00AC36D6">
              <w:rPr>
                <w:b/>
                <w:bCs/>
                <w:sz w:val="18"/>
                <w:szCs w:val="18"/>
              </w:rPr>
              <w:t>Baseline preference function</w:t>
            </w:r>
          </w:p>
        </w:tc>
        <w:tc>
          <w:tcPr>
            <w:tcW w:w="5666" w:type="dxa"/>
            <w:gridSpan w:val="5"/>
            <w:tcBorders>
              <w:top w:val="nil"/>
              <w:left w:val="double" w:sz="4" w:space="0" w:color="auto"/>
              <w:bottom w:val="nil"/>
              <w:right w:val="double" w:sz="4" w:space="0" w:color="auto"/>
            </w:tcBorders>
          </w:tcPr>
          <w:p w14:paraId="2BE0E50A" w14:textId="77777777" w:rsidR="00D17976" w:rsidRPr="00AC36D6" w:rsidRDefault="00D17976" w:rsidP="00D17976">
            <w:pPr>
              <w:rPr>
                <w:sz w:val="18"/>
                <w:szCs w:val="18"/>
              </w:rPr>
            </w:pPr>
          </w:p>
        </w:tc>
        <w:tc>
          <w:tcPr>
            <w:tcW w:w="5667" w:type="dxa"/>
            <w:gridSpan w:val="5"/>
            <w:tcBorders>
              <w:top w:val="nil"/>
              <w:left w:val="double" w:sz="4" w:space="0" w:color="auto"/>
              <w:bottom w:val="nil"/>
              <w:right w:val="double" w:sz="4" w:space="0" w:color="auto"/>
            </w:tcBorders>
          </w:tcPr>
          <w:p w14:paraId="6DBF8334" w14:textId="77777777" w:rsidR="00D17976" w:rsidRPr="00AC36D6" w:rsidRDefault="00D17976" w:rsidP="00D17976">
            <w:pPr>
              <w:rPr>
                <w:sz w:val="18"/>
                <w:szCs w:val="18"/>
              </w:rPr>
            </w:pPr>
          </w:p>
        </w:tc>
      </w:tr>
      <w:tr w:rsidR="00D17976" w:rsidRPr="00AC36D6" w14:paraId="2D2EC1C6" w14:textId="77777777" w:rsidTr="00DA6943">
        <w:trPr>
          <w:trHeight w:val="278"/>
        </w:trPr>
        <w:tc>
          <w:tcPr>
            <w:tcW w:w="3653" w:type="dxa"/>
            <w:tcBorders>
              <w:top w:val="nil"/>
              <w:left w:val="double" w:sz="4" w:space="0" w:color="auto"/>
              <w:bottom w:val="nil"/>
              <w:right w:val="double" w:sz="4" w:space="0" w:color="auto"/>
            </w:tcBorders>
          </w:tcPr>
          <w:p w14:paraId="4F0C7B8F" w14:textId="02D9ECCB" w:rsidR="00D17976" w:rsidRPr="00AC36D6" w:rsidRDefault="00554C37" w:rsidP="00D17976">
            <w:pPr>
              <w:rPr>
                <w:sz w:val="18"/>
                <w:szCs w:val="18"/>
              </w:rPr>
            </w:pPr>
            <w:r>
              <w:rPr>
                <w:sz w:val="18"/>
                <w:szCs w:val="18"/>
              </w:rPr>
              <w:t xml:space="preserve">  </w:t>
            </w:r>
            <w:r w:rsidR="00D17976" w:rsidRPr="00AC36D6">
              <w:rPr>
                <w:sz w:val="18"/>
                <w:szCs w:val="18"/>
              </w:rPr>
              <w:t>Constants</w:t>
            </w:r>
          </w:p>
        </w:tc>
        <w:tc>
          <w:tcPr>
            <w:tcW w:w="1133" w:type="dxa"/>
            <w:tcBorders>
              <w:top w:val="nil"/>
              <w:left w:val="double" w:sz="4" w:space="0" w:color="auto"/>
              <w:bottom w:val="nil"/>
              <w:right w:val="nil"/>
            </w:tcBorders>
            <w:vAlign w:val="center"/>
          </w:tcPr>
          <w:p w14:paraId="2CECF42B" w14:textId="266D0091" w:rsidR="00D17976" w:rsidRPr="00AC36D6" w:rsidRDefault="00D17976" w:rsidP="00D17976">
            <w:pPr>
              <w:jc w:val="center"/>
              <w:rPr>
                <w:sz w:val="18"/>
                <w:szCs w:val="18"/>
              </w:rPr>
            </w:pPr>
            <w:r w:rsidRPr="00AC36D6">
              <w:rPr>
                <w:sz w:val="18"/>
                <w:szCs w:val="18"/>
              </w:rPr>
              <w:t>-1.</w:t>
            </w:r>
            <w:r w:rsidR="00480E0E" w:rsidRPr="00AC36D6">
              <w:rPr>
                <w:sz w:val="18"/>
                <w:szCs w:val="18"/>
              </w:rPr>
              <w:t>35</w:t>
            </w:r>
            <w:r w:rsidRPr="00AC36D6">
              <w:rPr>
                <w:sz w:val="18"/>
                <w:szCs w:val="18"/>
              </w:rPr>
              <w:t xml:space="preserve"> </w:t>
            </w:r>
            <w:r w:rsidRPr="00AC36D6">
              <w:rPr>
                <w:i/>
                <w:iCs/>
                <w:sz w:val="18"/>
                <w:szCs w:val="18"/>
              </w:rPr>
              <w:t>(-</w:t>
            </w:r>
            <w:r w:rsidR="00480E0E" w:rsidRPr="00AC36D6">
              <w:rPr>
                <w:i/>
                <w:iCs/>
                <w:sz w:val="18"/>
                <w:szCs w:val="18"/>
              </w:rPr>
              <w:t>10</w:t>
            </w:r>
            <w:r w:rsidRPr="00AC36D6">
              <w:rPr>
                <w:i/>
                <w:iCs/>
                <w:sz w:val="18"/>
                <w:szCs w:val="18"/>
              </w:rPr>
              <w:t>.7)</w:t>
            </w:r>
          </w:p>
        </w:tc>
        <w:tc>
          <w:tcPr>
            <w:tcW w:w="1130" w:type="dxa"/>
            <w:tcBorders>
              <w:top w:val="nil"/>
              <w:left w:val="nil"/>
              <w:bottom w:val="nil"/>
              <w:right w:val="nil"/>
            </w:tcBorders>
            <w:vAlign w:val="center"/>
          </w:tcPr>
          <w:p w14:paraId="195FD995" w14:textId="77F43567" w:rsidR="00D17976" w:rsidRPr="00AC36D6" w:rsidRDefault="00D17976" w:rsidP="00D17976">
            <w:pPr>
              <w:jc w:val="center"/>
              <w:rPr>
                <w:sz w:val="18"/>
                <w:szCs w:val="18"/>
              </w:rPr>
            </w:pPr>
            <w:r w:rsidRPr="00AC36D6">
              <w:rPr>
                <w:sz w:val="18"/>
                <w:szCs w:val="18"/>
              </w:rPr>
              <w:t>1.4</w:t>
            </w:r>
            <w:r w:rsidR="00480E0E" w:rsidRPr="00AC36D6">
              <w:rPr>
                <w:sz w:val="18"/>
                <w:szCs w:val="18"/>
              </w:rPr>
              <w:t>2</w:t>
            </w:r>
            <w:r w:rsidRPr="00AC36D6">
              <w:rPr>
                <w:sz w:val="18"/>
                <w:szCs w:val="18"/>
              </w:rPr>
              <w:t xml:space="preserve"> </w:t>
            </w:r>
            <w:r w:rsidRPr="00AC36D6">
              <w:rPr>
                <w:i/>
                <w:iCs/>
                <w:sz w:val="18"/>
                <w:szCs w:val="18"/>
              </w:rPr>
              <w:t>(</w:t>
            </w:r>
            <w:r w:rsidR="00480E0E" w:rsidRPr="00AC36D6">
              <w:rPr>
                <w:i/>
                <w:iCs/>
                <w:sz w:val="18"/>
                <w:szCs w:val="18"/>
              </w:rPr>
              <w:t>8</w:t>
            </w:r>
            <w:r w:rsidRPr="00AC36D6">
              <w:rPr>
                <w:i/>
                <w:iCs/>
                <w:sz w:val="18"/>
                <w:szCs w:val="18"/>
              </w:rPr>
              <w:t>.</w:t>
            </w:r>
            <w:r w:rsidR="00480E0E" w:rsidRPr="00AC36D6">
              <w:rPr>
                <w:i/>
                <w:iCs/>
                <w:sz w:val="18"/>
                <w:szCs w:val="18"/>
              </w:rPr>
              <w:t>9</w:t>
            </w:r>
            <w:r w:rsidRPr="00AC36D6">
              <w:rPr>
                <w:i/>
                <w:iCs/>
                <w:sz w:val="18"/>
                <w:szCs w:val="18"/>
              </w:rPr>
              <w:t>)</w:t>
            </w:r>
          </w:p>
        </w:tc>
        <w:tc>
          <w:tcPr>
            <w:tcW w:w="1132" w:type="dxa"/>
            <w:tcBorders>
              <w:top w:val="nil"/>
              <w:left w:val="nil"/>
              <w:bottom w:val="nil"/>
              <w:right w:val="nil"/>
            </w:tcBorders>
            <w:vAlign w:val="center"/>
          </w:tcPr>
          <w:p w14:paraId="0D2AF94E" w14:textId="0E71DDC7" w:rsidR="00D17976" w:rsidRPr="00AC36D6" w:rsidRDefault="00D17976" w:rsidP="00D17976">
            <w:pPr>
              <w:jc w:val="center"/>
              <w:rPr>
                <w:sz w:val="18"/>
                <w:szCs w:val="18"/>
              </w:rPr>
            </w:pPr>
            <w:r w:rsidRPr="00AC36D6">
              <w:rPr>
                <w:sz w:val="18"/>
                <w:szCs w:val="18"/>
              </w:rPr>
              <w:t>0.6</w:t>
            </w:r>
            <w:r w:rsidR="00480E0E" w:rsidRPr="00AC36D6">
              <w:rPr>
                <w:sz w:val="18"/>
                <w:szCs w:val="18"/>
              </w:rPr>
              <w:t>3</w:t>
            </w:r>
            <w:r w:rsidRPr="00AC36D6">
              <w:rPr>
                <w:sz w:val="18"/>
                <w:szCs w:val="18"/>
              </w:rPr>
              <w:t xml:space="preserve"> </w:t>
            </w:r>
            <w:r w:rsidRPr="00AC36D6">
              <w:rPr>
                <w:i/>
                <w:iCs/>
                <w:sz w:val="18"/>
                <w:szCs w:val="18"/>
              </w:rPr>
              <w:t>(7.</w:t>
            </w:r>
            <w:r w:rsidR="00480E0E" w:rsidRPr="00AC36D6">
              <w:rPr>
                <w:i/>
                <w:iCs/>
                <w:sz w:val="18"/>
                <w:szCs w:val="18"/>
              </w:rPr>
              <w:t>4</w:t>
            </w:r>
            <w:r w:rsidRPr="00AC36D6">
              <w:rPr>
                <w:i/>
                <w:iCs/>
                <w:sz w:val="18"/>
                <w:szCs w:val="18"/>
              </w:rPr>
              <w:t>)</w:t>
            </w:r>
          </w:p>
        </w:tc>
        <w:tc>
          <w:tcPr>
            <w:tcW w:w="1132" w:type="dxa"/>
            <w:tcBorders>
              <w:top w:val="nil"/>
              <w:left w:val="nil"/>
              <w:bottom w:val="nil"/>
              <w:right w:val="nil"/>
            </w:tcBorders>
            <w:vAlign w:val="center"/>
          </w:tcPr>
          <w:p w14:paraId="44AAE673" w14:textId="5931AFA5" w:rsidR="00D17976" w:rsidRPr="00AC36D6" w:rsidRDefault="00D17976" w:rsidP="00D17976">
            <w:pPr>
              <w:jc w:val="center"/>
              <w:rPr>
                <w:sz w:val="18"/>
                <w:szCs w:val="18"/>
              </w:rPr>
            </w:pPr>
            <w:r w:rsidRPr="00AC36D6">
              <w:rPr>
                <w:sz w:val="18"/>
                <w:szCs w:val="18"/>
              </w:rPr>
              <w:t>-0.9</w:t>
            </w:r>
            <w:r w:rsidR="00480E0E" w:rsidRPr="00AC36D6">
              <w:rPr>
                <w:sz w:val="18"/>
                <w:szCs w:val="18"/>
              </w:rPr>
              <w:t>8</w:t>
            </w:r>
            <w:r w:rsidRPr="00AC36D6">
              <w:rPr>
                <w:sz w:val="18"/>
                <w:szCs w:val="18"/>
              </w:rPr>
              <w:t xml:space="preserve"> </w:t>
            </w:r>
            <w:r w:rsidRPr="00AC36D6">
              <w:rPr>
                <w:i/>
                <w:iCs/>
                <w:sz w:val="18"/>
                <w:szCs w:val="18"/>
              </w:rPr>
              <w:t>(-1</w:t>
            </w:r>
            <w:r w:rsidR="00480E0E" w:rsidRPr="00AC36D6">
              <w:rPr>
                <w:i/>
                <w:iCs/>
                <w:sz w:val="18"/>
                <w:szCs w:val="18"/>
              </w:rPr>
              <w:t>3</w:t>
            </w:r>
            <w:r w:rsidRPr="00AC36D6">
              <w:rPr>
                <w:i/>
                <w:iCs/>
                <w:sz w:val="18"/>
                <w:szCs w:val="18"/>
              </w:rPr>
              <w:t>.</w:t>
            </w:r>
            <w:r w:rsidR="00480E0E" w:rsidRPr="00AC36D6">
              <w:rPr>
                <w:i/>
                <w:iCs/>
                <w:sz w:val="18"/>
                <w:szCs w:val="18"/>
              </w:rPr>
              <w:t>0</w:t>
            </w:r>
            <w:r w:rsidRPr="00AC36D6">
              <w:rPr>
                <w:i/>
                <w:iCs/>
                <w:sz w:val="18"/>
                <w:szCs w:val="18"/>
              </w:rPr>
              <w:t>)</w:t>
            </w:r>
          </w:p>
        </w:tc>
        <w:tc>
          <w:tcPr>
            <w:tcW w:w="1139" w:type="dxa"/>
            <w:tcBorders>
              <w:top w:val="nil"/>
              <w:left w:val="nil"/>
              <w:bottom w:val="nil"/>
              <w:right w:val="double" w:sz="4" w:space="0" w:color="auto"/>
            </w:tcBorders>
            <w:vAlign w:val="center"/>
          </w:tcPr>
          <w:p w14:paraId="6B579DB2" w14:textId="2118308E" w:rsidR="00D17976" w:rsidRPr="00AC36D6" w:rsidRDefault="00D17976" w:rsidP="00D17976">
            <w:pPr>
              <w:jc w:val="center"/>
              <w:rPr>
                <w:sz w:val="18"/>
                <w:szCs w:val="18"/>
              </w:rPr>
            </w:pPr>
            <w:r w:rsidRPr="00AC36D6">
              <w:rPr>
                <w:sz w:val="18"/>
                <w:szCs w:val="18"/>
              </w:rPr>
              <w:t>-1.3</w:t>
            </w:r>
            <w:r w:rsidR="00480E0E" w:rsidRPr="00AC36D6">
              <w:rPr>
                <w:sz w:val="18"/>
                <w:szCs w:val="18"/>
              </w:rPr>
              <w:t>7</w:t>
            </w:r>
            <w:r w:rsidRPr="00AC36D6">
              <w:rPr>
                <w:sz w:val="18"/>
                <w:szCs w:val="18"/>
              </w:rPr>
              <w:t xml:space="preserve"> </w:t>
            </w:r>
            <w:r w:rsidRPr="00AC36D6">
              <w:rPr>
                <w:i/>
                <w:iCs/>
                <w:sz w:val="18"/>
                <w:szCs w:val="18"/>
              </w:rPr>
              <w:t>(-1</w:t>
            </w:r>
            <w:r w:rsidR="00480E0E" w:rsidRPr="00AC36D6">
              <w:rPr>
                <w:i/>
                <w:iCs/>
                <w:sz w:val="18"/>
                <w:szCs w:val="18"/>
              </w:rPr>
              <w:t>8</w:t>
            </w:r>
            <w:r w:rsidRPr="00AC36D6">
              <w:rPr>
                <w:i/>
                <w:iCs/>
                <w:sz w:val="18"/>
                <w:szCs w:val="18"/>
              </w:rPr>
              <w:t>.</w:t>
            </w:r>
            <w:r w:rsidR="00480E0E" w:rsidRPr="00AC36D6">
              <w:rPr>
                <w:i/>
                <w:iCs/>
                <w:sz w:val="18"/>
                <w:szCs w:val="18"/>
              </w:rPr>
              <w:t>3</w:t>
            </w:r>
            <w:r w:rsidRPr="00AC36D6">
              <w:rPr>
                <w:i/>
                <w:iCs/>
                <w:sz w:val="18"/>
                <w:szCs w:val="18"/>
              </w:rPr>
              <w:t>)</w:t>
            </w:r>
          </w:p>
        </w:tc>
        <w:tc>
          <w:tcPr>
            <w:tcW w:w="1132" w:type="dxa"/>
            <w:tcBorders>
              <w:top w:val="nil"/>
              <w:left w:val="double" w:sz="4" w:space="0" w:color="auto"/>
              <w:bottom w:val="nil"/>
              <w:right w:val="nil"/>
            </w:tcBorders>
            <w:vAlign w:val="center"/>
          </w:tcPr>
          <w:p w14:paraId="1B49A04A" w14:textId="19B2F1FE" w:rsidR="00D17976" w:rsidRPr="00AC36D6" w:rsidRDefault="00322923" w:rsidP="00D17976">
            <w:pPr>
              <w:jc w:val="center"/>
              <w:rPr>
                <w:sz w:val="18"/>
                <w:szCs w:val="18"/>
              </w:rPr>
            </w:pPr>
            <w:r w:rsidRPr="00AC36D6">
              <w:rPr>
                <w:sz w:val="18"/>
                <w:szCs w:val="18"/>
              </w:rPr>
              <w:t>1</w:t>
            </w:r>
            <w:r w:rsidR="00D17976" w:rsidRPr="00AC36D6">
              <w:rPr>
                <w:sz w:val="18"/>
                <w:szCs w:val="18"/>
              </w:rPr>
              <w:t>.</w:t>
            </w:r>
            <w:r w:rsidRPr="00AC36D6">
              <w:rPr>
                <w:sz w:val="18"/>
                <w:szCs w:val="18"/>
              </w:rPr>
              <w:t>61</w:t>
            </w:r>
            <w:r w:rsidR="00D17976" w:rsidRPr="00AC36D6">
              <w:rPr>
                <w:sz w:val="18"/>
                <w:szCs w:val="18"/>
              </w:rPr>
              <w:t xml:space="preserve"> </w:t>
            </w:r>
            <w:r w:rsidR="00D17976" w:rsidRPr="00AC36D6">
              <w:rPr>
                <w:i/>
                <w:iCs/>
                <w:sz w:val="18"/>
                <w:szCs w:val="18"/>
              </w:rPr>
              <w:t>(5.</w:t>
            </w:r>
            <w:r w:rsidRPr="00AC36D6">
              <w:rPr>
                <w:i/>
                <w:iCs/>
                <w:sz w:val="18"/>
                <w:szCs w:val="18"/>
              </w:rPr>
              <w:t>6</w:t>
            </w:r>
            <w:r w:rsidR="00D17976" w:rsidRPr="00AC36D6">
              <w:rPr>
                <w:i/>
                <w:iCs/>
                <w:sz w:val="18"/>
                <w:szCs w:val="18"/>
              </w:rPr>
              <w:t>)</w:t>
            </w:r>
          </w:p>
        </w:tc>
        <w:tc>
          <w:tcPr>
            <w:tcW w:w="1132" w:type="dxa"/>
            <w:tcBorders>
              <w:top w:val="nil"/>
              <w:left w:val="nil"/>
              <w:bottom w:val="nil"/>
              <w:right w:val="nil"/>
            </w:tcBorders>
            <w:vAlign w:val="center"/>
          </w:tcPr>
          <w:p w14:paraId="7296FCA3" w14:textId="2C4A882D" w:rsidR="00D17976" w:rsidRPr="00AC36D6" w:rsidRDefault="00D17976" w:rsidP="00D17976">
            <w:pPr>
              <w:jc w:val="center"/>
              <w:rPr>
                <w:sz w:val="18"/>
                <w:szCs w:val="18"/>
              </w:rPr>
            </w:pPr>
            <w:r w:rsidRPr="00AC36D6">
              <w:rPr>
                <w:sz w:val="18"/>
                <w:szCs w:val="18"/>
              </w:rPr>
              <w:t>3.</w:t>
            </w:r>
            <w:r w:rsidR="00322923" w:rsidRPr="00AC36D6">
              <w:rPr>
                <w:sz w:val="18"/>
                <w:szCs w:val="18"/>
              </w:rPr>
              <w:t>46</w:t>
            </w:r>
            <w:r w:rsidRPr="00AC36D6">
              <w:rPr>
                <w:sz w:val="18"/>
                <w:szCs w:val="18"/>
              </w:rPr>
              <w:t xml:space="preserve"> </w:t>
            </w:r>
            <w:r w:rsidRPr="00AC36D6">
              <w:rPr>
                <w:i/>
                <w:iCs/>
                <w:sz w:val="18"/>
                <w:szCs w:val="18"/>
              </w:rPr>
              <w:t>(1</w:t>
            </w:r>
            <w:r w:rsidR="00322923" w:rsidRPr="00AC36D6">
              <w:rPr>
                <w:i/>
                <w:iCs/>
                <w:sz w:val="18"/>
                <w:szCs w:val="18"/>
              </w:rPr>
              <w:t>1</w:t>
            </w:r>
            <w:r w:rsidRPr="00AC36D6">
              <w:rPr>
                <w:i/>
                <w:iCs/>
                <w:sz w:val="18"/>
                <w:szCs w:val="18"/>
              </w:rPr>
              <w:t>.</w:t>
            </w:r>
            <w:r w:rsidR="00322923"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2566FD8A" w14:textId="0514A67D" w:rsidR="00D17976" w:rsidRPr="00AC36D6" w:rsidRDefault="00322923" w:rsidP="00D17976">
            <w:pPr>
              <w:jc w:val="center"/>
              <w:rPr>
                <w:sz w:val="18"/>
                <w:szCs w:val="18"/>
              </w:rPr>
            </w:pPr>
            <w:r w:rsidRPr="00AC36D6">
              <w:rPr>
                <w:sz w:val="18"/>
                <w:szCs w:val="18"/>
              </w:rPr>
              <w:t>3</w:t>
            </w:r>
            <w:r w:rsidR="00D17976" w:rsidRPr="00AC36D6">
              <w:rPr>
                <w:sz w:val="18"/>
                <w:szCs w:val="18"/>
              </w:rPr>
              <w:t>.</w:t>
            </w:r>
            <w:r w:rsidRPr="00AC36D6">
              <w:rPr>
                <w:sz w:val="18"/>
                <w:szCs w:val="18"/>
              </w:rPr>
              <w:t>89</w:t>
            </w:r>
            <w:r w:rsidR="00D17976" w:rsidRPr="00AC36D6">
              <w:rPr>
                <w:sz w:val="18"/>
                <w:szCs w:val="18"/>
              </w:rPr>
              <w:t xml:space="preserve"> </w:t>
            </w:r>
            <w:r w:rsidR="00D17976" w:rsidRPr="00AC36D6">
              <w:rPr>
                <w:i/>
                <w:iCs/>
                <w:sz w:val="18"/>
                <w:szCs w:val="18"/>
              </w:rPr>
              <w:t>(</w:t>
            </w:r>
            <w:r w:rsidRPr="00AC36D6">
              <w:rPr>
                <w:i/>
                <w:iCs/>
                <w:sz w:val="18"/>
                <w:szCs w:val="18"/>
              </w:rPr>
              <w:t>5</w:t>
            </w:r>
            <w:r w:rsidR="00D17976" w:rsidRPr="00AC36D6">
              <w:rPr>
                <w:i/>
                <w:iCs/>
                <w:sz w:val="18"/>
                <w:szCs w:val="18"/>
              </w:rPr>
              <w:t>.</w:t>
            </w:r>
            <w:r w:rsidRPr="00AC36D6">
              <w:rPr>
                <w:i/>
                <w:iCs/>
                <w:sz w:val="18"/>
                <w:szCs w:val="18"/>
              </w:rPr>
              <w:t>7</w:t>
            </w:r>
            <w:r w:rsidR="00D17976" w:rsidRPr="00AC36D6">
              <w:rPr>
                <w:i/>
                <w:iCs/>
                <w:sz w:val="18"/>
                <w:szCs w:val="18"/>
              </w:rPr>
              <w:t>)</w:t>
            </w:r>
          </w:p>
        </w:tc>
        <w:tc>
          <w:tcPr>
            <w:tcW w:w="1132" w:type="dxa"/>
            <w:tcBorders>
              <w:top w:val="nil"/>
              <w:left w:val="nil"/>
              <w:bottom w:val="nil"/>
              <w:right w:val="nil"/>
            </w:tcBorders>
            <w:vAlign w:val="center"/>
          </w:tcPr>
          <w:p w14:paraId="7B196894" w14:textId="231D67DE" w:rsidR="00D17976" w:rsidRPr="00AC36D6" w:rsidRDefault="00B41E7A" w:rsidP="00D17976">
            <w:pPr>
              <w:jc w:val="center"/>
              <w:rPr>
                <w:sz w:val="18"/>
                <w:szCs w:val="18"/>
              </w:rPr>
            </w:pPr>
            <w:r w:rsidRPr="00AC36D6">
              <w:rPr>
                <w:sz w:val="18"/>
                <w:szCs w:val="18"/>
              </w:rPr>
              <w:t>2</w:t>
            </w:r>
            <w:r w:rsidR="00D17976" w:rsidRPr="00AC36D6">
              <w:rPr>
                <w:sz w:val="18"/>
                <w:szCs w:val="18"/>
              </w:rPr>
              <w:t>.</w:t>
            </w:r>
            <w:r w:rsidRPr="00AC36D6">
              <w:rPr>
                <w:sz w:val="18"/>
                <w:szCs w:val="18"/>
              </w:rPr>
              <w:t>78</w:t>
            </w:r>
            <w:r w:rsidR="00D17976" w:rsidRPr="00AC36D6">
              <w:rPr>
                <w:sz w:val="18"/>
                <w:szCs w:val="18"/>
              </w:rPr>
              <w:t xml:space="preserve"> </w:t>
            </w:r>
            <w:r w:rsidR="00D17976" w:rsidRPr="00AC36D6">
              <w:rPr>
                <w:i/>
                <w:iCs/>
                <w:sz w:val="18"/>
                <w:szCs w:val="18"/>
              </w:rPr>
              <w:t>(2.</w:t>
            </w:r>
            <w:r w:rsidRPr="00AC36D6">
              <w:rPr>
                <w:i/>
                <w:iCs/>
                <w:sz w:val="18"/>
                <w:szCs w:val="18"/>
              </w:rPr>
              <w:t>8</w:t>
            </w:r>
            <w:r w:rsidR="00D17976" w:rsidRPr="00AC36D6">
              <w:rPr>
                <w:i/>
                <w:iCs/>
                <w:sz w:val="18"/>
                <w:szCs w:val="18"/>
              </w:rPr>
              <w:t>)</w:t>
            </w:r>
          </w:p>
        </w:tc>
        <w:tc>
          <w:tcPr>
            <w:tcW w:w="1139" w:type="dxa"/>
            <w:tcBorders>
              <w:top w:val="nil"/>
              <w:left w:val="nil"/>
              <w:bottom w:val="nil"/>
              <w:right w:val="double" w:sz="4" w:space="0" w:color="auto"/>
            </w:tcBorders>
            <w:vAlign w:val="center"/>
          </w:tcPr>
          <w:p w14:paraId="18CDE09E" w14:textId="243AC20D" w:rsidR="00D17976" w:rsidRPr="00AC36D6" w:rsidRDefault="00B41E7A" w:rsidP="00D17976">
            <w:pPr>
              <w:jc w:val="center"/>
              <w:rPr>
                <w:sz w:val="18"/>
                <w:szCs w:val="18"/>
              </w:rPr>
            </w:pPr>
            <w:r w:rsidRPr="00AC36D6">
              <w:rPr>
                <w:sz w:val="18"/>
                <w:szCs w:val="18"/>
              </w:rPr>
              <w:t>3</w:t>
            </w:r>
            <w:r w:rsidR="00D17976" w:rsidRPr="00AC36D6">
              <w:rPr>
                <w:sz w:val="18"/>
                <w:szCs w:val="18"/>
              </w:rPr>
              <w:t xml:space="preserve">.00 </w:t>
            </w:r>
            <w:r w:rsidR="00D17976" w:rsidRPr="00AC36D6">
              <w:rPr>
                <w:i/>
                <w:iCs/>
                <w:sz w:val="18"/>
                <w:szCs w:val="18"/>
              </w:rPr>
              <w:t>(0.</w:t>
            </w:r>
            <w:r w:rsidRPr="00AC36D6">
              <w:rPr>
                <w:i/>
                <w:iCs/>
                <w:sz w:val="18"/>
                <w:szCs w:val="18"/>
              </w:rPr>
              <w:t>5</w:t>
            </w:r>
            <w:r w:rsidR="00D17976" w:rsidRPr="00AC36D6">
              <w:rPr>
                <w:i/>
                <w:iCs/>
                <w:sz w:val="18"/>
                <w:szCs w:val="18"/>
              </w:rPr>
              <w:t>)</w:t>
            </w:r>
          </w:p>
        </w:tc>
      </w:tr>
      <w:tr w:rsidR="00D17976" w:rsidRPr="00AC36D6" w14:paraId="2EA6DDDF" w14:textId="77777777" w:rsidTr="00DA6943">
        <w:trPr>
          <w:trHeight w:val="289"/>
        </w:trPr>
        <w:tc>
          <w:tcPr>
            <w:tcW w:w="3653" w:type="dxa"/>
            <w:tcBorders>
              <w:top w:val="nil"/>
              <w:left w:val="double" w:sz="4" w:space="0" w:color="auto"/>
              <w:bottom w:val="nil"/>
              <w:right w:val="double" w:sz="4" w:space="0" w:color="auto"/>
            </w:tcBorders>
          </w:tcPr>
          <w:p w14:paraId="75CCA17E" w14:textId="1595E10A" w:rsidR="00D17976" w:rsidRPr="00AC36D6" w:rsidRDefault="00554C37" w:rsidP="00D17976">
            <w:pPr>
              <w:rPr>
                <w:i/>
                <w:iCs/>
                <w:sz w:val="18"/>
                <w:szCs w:val="18"/>
              </w:rPr>
            </w:pPr>
            <w:r>
              <w:rPr>
                <w:i/>
                <w:iCs/>
                <w:sz w:val="18"/>
                <w:szCs w:val="18"/>
              </w:rPr>
              <w:t xml:space="preserve">  </w:t>
            </w:r>
            <w:r w:rsidR="00D17976" w:rsidRPr="00AC36D6">
              <w:rPr>
                <w:i/>
                <w:iCs/>
                <w:sz w:val="18"/>
                <w:szCs w:val="18"/>
              </w:rPr>
              <w:t>Household specific variables</w:t>
            </w:r>
          </w:p>
        </w:tc>
        <w:tc>
          <w:tcPr>
            <w:tcW w:w="5666" w:type="dxa"/>
            <w:gridSpan w:val="5"/>
            <w:tcBorders>
              <w:top w:val="nil"/>
              <w:left w:val="double" w:sz="4" w:space="0" w:color="auto"/>
              <w:bottom w:val="nil"/>
              <w:right w:val="double" w:sz="4" w:space="0" w:color="auto"/>
            </w:tcBorders>
            <w:vAlign w:val="center"/>
          </w:tcPr>
          <w:p w14:paraId="465C5370" w14:textId="77777777" w:rsidR="00D17976" w:rsidRPr="00AC36D6" w:rsidRDefault="00D17976" w:rsidP="00D17976">
            <w:pPr>
              <w:jc w:val="center"/>
              <w:rPr>
                <w:sz w:val="18"/>
                <w:szCs w:val="18"/>
              </w:rPr>
            </w:pPr>
          </w:p>
        </w:tc>
        <w:tc>
          <w:tcPr>
            <w:tcW w:w="5667" w:type="dxa"/>
            <w:gridSpan w:val="5"/>
            <w:tcBorders>
              <w:top w:val="nil"/>
              <w:left w:val="double" w:sz="4" w:space="0" w:color="auto"/>
              <w:bottom w:val="nil"/>
              <w:right w:val="double" w:sz="4" w:space="0" w:color="auto"/>
            </w:tcBorders>
            <w:vAlign w:val="center"/>
          </w:tcPr>
          <w:p w14:paraId="5EF9C27B" w14:textId="77777777" w:rsidR="00D17976" w:rsidRPr="00AC36D6" w:rsidRDefault="00D17976" w:rsidP="00D17976">
            <w:pPr>
              <w:jc w:val="center"/>
              <w:rPr>
                <w:sz w:val="18"/>
                <w:szCs w:val="18"/>
              </w:rPr>
            </w:pPr>
          </w:p>
        </w:tc>
      </w:tr>
      <w:tr w:rsidR="00D17976" w:rsidRPr="00AC36D6" w14:paraId="43F061B5" w14:textId="77777777" w:rsidTr="00DA6943">
        <w:trPr>
          <w:trHeight w:val="278"/>
        </w:trPr>
        <w:tc>
          <w:tcPr>
            <w:tcW w:w="3653" w:type="dxa"/>
            <w:tcBorders>
              <w:top w:val="nil"/>
              <w:left w:val="double" w:sz="4" w:space="0" w:color="auto"/>
              <w:bottom w:val="nil"/>
              <w:right w:val="double" w:sz="4" w:space="0" w:color="auto"/>
            </w:tcBorders>
          </w:tcPr>
          <w:p w14:paraId="529A9126" w14:textId="0390741B" w:rsidR="00D17976" w:rsidRPr="00AC36D6" w:rsidRDefault="00554C37" w:rsidP="00D17976">
            <w:pPr>
              <w:ind w:left="116"/>
              <w:rPr>
                <w:sz w:val="18"/>
                <w:szCs w:val="18"/>
              </w:rPr>
            </w:pPr>
            <w:r>
              <w:rPr>
                <w:sz w:val="18"/>
                <w:szCs w:val="18"/>
              </w:rPr>
              <w:t xml:space="preserve">  </w:t>
            </w:r>
            <w:r w:rsidR="00D17976" w:rsidRPr="00AC36D6">
              <w:rPr>
                <w:sz w:val="18"/>
                <w:szCs w:val="18"/>
              </w:rPr>
              <w:t>Urban household (Base category: Rural)</w:t>
            </w:r>
          </w:p>
        </w:tc>
        <w:tc>
          <w:tcPr>
            <w:tcW w:w="1133" w:type="dxa"/>
            <w:tcBorders>
              <w:top w:val="nil"/>
              <w:left w:val="double" w:sz="4" w:space="0" w:color="auto"/>
              <w:bottom w:val="nil"/>
              <w:right w:val="nil"/>
            </w:tcBorders>
            <w:vAlign w:val="center"/>
          </w:tcPr>
          <w:p w14:paraId="0EBF302E" w14:textId="3C1777CA" w:rsidR="00D17976" w:rsidRPr="00AC36D6" w:rsidRDefault="00D17976" w:rsidP="00D17976">
            <w:pPr>
              <w:jc w:val="center"/>
              <w:rPr>
                <w:sz w:val="18"/>
                <w:szCs w:val="18"/>
              </w:rPr>
            </w:pPr>
            <w:r w:rsidRPr="00AC36D6">
              <w:rPr>
                <w:sz w:val="18"/>
                <w:szCs w:val="18"/>
              </w:rPr>
              <w:t xml:space="preserve">0.08 </w:t>
            </w:r>
            <w:r w:rsidRPr="00AC36D6">
              <w:rPr>
                <w:i/>
                <w:iCs/>
                <w:sz w:val="18"/>
                <w:szCs w:val="18"/>
              </w:rPr>
              <w:t>(1.7)</w:t>
            </w:r>
          </w:p>
        </w:tc>
        <w:tc>
          <w:tcPr>
            <w:tcW w:w="1130" w:type="dxa"/>
            <w:tcBorders>
              <w:top w:val="nil"/>
              <w:left w:val="nil"/>
              <w:bottom w:val="nil"/>
              <w:right w:val="nil"/>
            </w:tcBorders>
            <w:vAlign w:val="center"/>
          </w:tcPr>
          <w:p w14:paraId="57A8123A"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65D019C7" w14:textId="220A2731" w:rsidR="00D17976" w:rsidRPr="00AC36D6" w:rsidRDefault="00D17976" w:rsidP="00D17976">
            <w:pPr>
              <w:jc w:val="center"/>
              <w:rPr>
                <w:sz w:val="18"/>
                <w:szCs w:val="18"/>
              </w:rPr>
            </w:pPr>
            <w:r w:rsidRPr="00AC36D6">
              <w:rPr>
                <w:sz w:val="18"/>
                <w:szCs w:val="18"/>
              </w:rPr>
              <w:t>-0.2</w:t>
            </w:r>
            <w:r w:rsidR="00480E0E" w:rsidRPr="00AC36D6">
              <w:rPr>
                <w:sz w:val="18"/>
                <w:szCs w:val="18"/>
              </w:rPr>
              <w:t>2</w:t>
            </w:r>
            <w:r w:rsidRPr="00AC36D6">
              <w:rPr>
                <w:sz w:val="18"/>
                <w:szCs w:val="18"/>
              </w:rPr>
              <w:t xml:space="preserve"> </w:t>
            </w:r>
            <w:r w:rsidRPr="00AC36D6">
              <w:rPr>
                <w:i/>
                <w:iCs/>
                <w:sz w:val="18"/>
                <w:szCs w:val="18"/>
              </w:rPr>
              <w:t>(-4.</w:t>
            </w:r>
            <w:r w:rsidR="00480E0E" w:rsidRPr="00AC36D6">
              <w:rPr>
                <w:i/>
                <w:iCs/>
                <w:sz w:val="18"/>
                <w:szCs w:val="18"/>
              </w:rPr>
              <w:t>1</w:t>
            </w:r>
            <w:r w:rsidRPr="00AC36D6">
              <w:rPr>
                <w:i/>
                <w:iCs/>
                <w:sz w:val="18"/>
                <w:szCs w:val="18"/>
              </w:rPr>
              <w:t>)</w:t>
            </w:r>
          </w:p>
        </w:tc>
        <w:tc>
          <w:tcPr>
            <w:tcW w:w="1132" w:type="dxa"/>
            <w:tcBorders>
              <w:top w:val="nil"/>
              <w:left w:val="nil"/>
              <w:bottom w:val="nil"/>
              <w:right w:val="nil"/>
            </w:tcBorders>
            <w:vAlign w:val="center"/>
          </w:tcPr>
          <w:p w14:paraId="7B79D7E8"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0C5CDFB6"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61FF097B" w14:textId="684A7404" w:rsidR="00D17976" w:rsidRPr="00AC36D6" w:rsidRDefault="00D17976" w:rsidP="00D17976">
            <w:pPr>
              <w:jc w:val="center"/>
              <w:rPr>
                <w:sz w:val="18"/>
                <w:szCs w:val="18"/>
              </w:rPr>
            </w:pPr>
            <w:r w:rsidRPr="00AC36D6">
              <w:rPr>
                <w:sz w:val="18"/>
                <w:szCs w:val="18"/>
              </w:rPr>
              <w:t>0.2</w:t>
            </w:r>
            <w:r w:rsidR="00B41E7A" w:rsidRPr="00AC36D6">
              <w:rPr>
                <w:sz w:val="18"/>
                <w:szCs w:val="18"/>
              </w:rPr>
              <w:t>3</w:t>
            </w:r>
            <w:r w:rsidRPr="00AC36D6">
              <w:rPr>
                <w:sz w:val="18"/>
                <w:szCs w:val="18"/>
              </w:rPr>
              <w:t xml:space="preserve"> </w:t>
            </w:r>
            <w:r w:rsidRPr="00AC36D6">
              <w:rPr>
                <w:i/>
                <w:iCs/>
                <w:sz w:val="18"/>
                <w:szCs w:val="18"/>
              </w:rPr>
              <w:t>(</w:t>
            </w:r>
            <w:r w:rsidR="00B41E7A" w:rsidRPr="00AC36D6">
              <w:rPr>
                <w:i/>
                <w:iCs/>
                <w:sz w:val="18"/>
                <w:szCs w:val="18"/>
              </w:rPr>
              <w:t>4</w:t>
            </w:r>
            <w:r w:rsidRPr="00AC36D6">
              <w:rPr>
                <w:i/>
                <w:iCs/>
                <w:sz w:val="18"/>
                <w:szCs w:val="18"/>
              </w:rPr>
              <w:t>.</w:t>
            </w:r>
            <w:r w:rsidR="00B41E7A" w:rsidRPr="00AC36D6">
              <w:rPr>
                <w:i/>
                <w:iCs/>
                <w:sz w:val="18"/>
                <w:szCs w:val="18"/>
              </w:rPr>
              <w:t>3</w:t>
            </w:r>
            <w:r w:rsidRPr="00AC36D6">
              <w:rPr>
                <w:i/>
                <w:iCs/>
                <w:sz w:val="18"/>
                <w:szCs w:val="18"/>
              </w:rPr>
              <w:t>)</w:t>
            </w:r>
          </w:p>
        </w:tc>
        <w:tc>
          <w:tcPr>
            <w:tcW w:w="1132" w:type="dxa"/>
            <w:tcBorders>
              <w:top w:val="nil"/>
              <w:left w:val="nil"/>
              <w:bottom w:val="nil"/>
              <w:right w:val="nil"/>
            </w:tcBorders>
            <w:vAlign w:val="center"/>
          </w:tcPr>
          <w:p w14:paraId="101B8EA6" w14:textId="7B8C6407" w:rsidR="00D17976" w:rsidRPr="00AC36D6" w:rsidRDefault="00D17976" w:rsidP="00D17976">
            <w:pPr>
              <w:jc w:val="center"/>
              <w:rPr>
                <w:sz w:val="18"/>
                <w:szCs w:val="18"/>
              </w:rPr>
            </w:pPr>
            <w:r w:rsidRPr="00AC36D6">
              <w:rPr>
                <w:sz w:val="18"/>
                <w:szCs w:val="18"/>
              </w:rPr>
              <w:t>0.1</w:t>
            </w:r>
            <w:r w:rsidR="00B41E7A" w:rsidRPr="00AC36D6">
              <w:rPr>
                <w:sz w:val="18"/>
                <w:szCs w:val="18"/>
              </w:rPr>
              <w:t>7</w:t>
            </w:r>
            <w:r w:rsidRPr="00AC36D6">
              <w:rPr>
                <w:sz w:val="18"/>
                <w:szCs w:val="18"/>
              </w:rPr>
              <w:t xml:space="preserve"> </w:t>
            </w:r>
            <w:r w:rsidRPr="00AC36D6">
              <w:rPr>
                <w:i/>
                <w:iCs/>
                <w:sz w:val="18"/>
                <w:szCs w:val="18"/>
              </w:rPr>
              <w:t>(</w:t>
            </w:r>
            <w:r w:rsidR="00B41E7A" w:rsidRPr="00AC36D6">
              <w:rPr>
                <w:i/>
                <w:iCs/>
                <w:sz w:val="18"/>
                <w:szCs w:val="18"/>
              </w:rPr>
              <w:t>4</w:t>
            </w:r>
            <w:r w:rsidRPr="00AC36D6">
              <w:rPr>
                <w:i/>
                <w:iCs/>
                <w:sz w:val="18"/>
                <w:szCs w:val="18"/>
              </w:rPr>
              <w:t>.</w:t>
            </w:r>
            <w:r w:rsidR="00B41E7A"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0C3C3D6A"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7E0CCD71"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4C326242" w14:textId="77777777" w:rsidR="00D17976" w:rsidRPr="00AC36D6" w:rsidRDefault="00D17976" w:rsidP="00D17976">
            <w:pPr>
              <w:jc w:val="center"/>
              <w:rPr>
                <w:sz w:val="18"/>
                <w:szCs w:val="18"/>
              </w:rPr>
            </w:pPr>
            <w:r w:rsidRPr="00AC36D6">
              <w:rPr>
                <w:sz w:val="18"/>
                <w:szCs w:val="18"/>
              </w:rPr>
              <w:t>-</w:t>
            </w:r>
          </w:p>
        </w:tc>
      </w:tr>
      <w:tr w:rsidR="00D17976" w:rsidRPr="00AC36D6" w14:paraId="307303E8" w14:textId="77777777" w:rsidTr="00DA6943">
        <w:trPr>
          <w:trHeight w:val="278"/>
        </w:trPr>
        <w:tc>
          <w:tcPr>
            <w:tcW w:w="3653" w:type="dxa"/>
            <w:tcBorders>
              <w:top w:val="nil"/>
              <w:left w:val="double" w:sz="4" w:space="0" w:color="auto"/>
              <w:bottom w:val="nil"/>
              <w:right w:val="double" w:sz="4" w:space="0" w:color="auto"/>
            </w:tcBorders>
          </w:tcPr>
          <w:p w14:paraId="77E12D86" w14:textId="49745488" w:rsidR="00D17976" w:rsidRPr="00AC36D6" w:rsidRDefault="00554C37" w:rsidP="00D17976">
            <w:pPr>
              <w:ind w:left="116"/>
              <w:rPr>
                <w:sz w:val="18"/>
                <w:szCs w:val="18"/>
              </w:rPr>
            </w:pPr>
            <w:r>
              <w:rPr>
                <w:sz w:val="18"/>
                <w:szCs w:val="18"/>
              </w:rPr>
              <w:t xml:space="preserve">  </w:t>
            </w:r>
            <w:r w:rsidR="00D17976" w:rsidRPr="00AC36D6">
              <w:rPr>
                <w:sz w:val="18"/>
                <w:szCs w:val="18"/>
              </w:rPr>
              <w:t>Income (Base category: UMCE &gt; ₹20K)</w:t>
            </w:r>
          </w:p>
        </w:tc>
        <w:tc>
          <w:tcPr>
            <w:tcW w:w="5666" w:type="dxa"/>
            <w:gridSpan w:val="5"/>
            <w:tcBorders>
              <w:top w:val="nil"/>
              <w:left w:val="double" w:sz="4" w:space="0" w:color="auto"/>
              <w:bottom w:val="nil"/>
              <w:right w:val="double" w:sz="4" w:space="0" w:color="auto"/>
            </w:tcBorders>
            <w:vAlign w:val="center"/>
          </w:tcPr>
          <w:p w14:paraId="149C668B" w14:textId="77777777" w:rsidR="00D17976" w:rsidRPr="00AC36D6" w:rsidRDefault="00D17976" w:rsidP="00D17976">
            <w:pPr>
              <w:jc w:val="center"/>
              <w:rPr>
                <w:sz w:val="18"/>
                <w:szCs w:val="18"/>
              </w:rPr>
            </w:pPr>
          </w:p>
        </w:tc>
        <w:tc>
          <w:tcPr>
            <w:tcW w:w="5667" w:type="dxa"/>
            <w:gridSpan w:val="5"/>
            <w:tcBorders>
              <w:top w:val="nil"/>
              <w:left w:val="double" w:sz="4" w:space="0" w:color="auto"/>
              <w:bottom w:val="nil"/>
              <w:right w:val="double" w:sz="4" w:space="0" w:color="auto"/>
            </w:tcBorders>
            <w:vAlign w:val="center"/>
          </w:tcPr>
          <w:p w14:paraId="4F169586" w14:textId="77777777" w:rsidR="00D17976" w:rsidRPr="00AC36D6" w:rsidRDefault="00D17976" w:rsidP="00D17976">
            <w:pPr>
              <w:jc w:val="center"/>
              <w:rPr>
                <w:sz w:val="18"/>
                <w:szCs w:val="18"/>
              </w:rPr>
            </w:pPr>
          </w:p>
        </w:tc>
      </w:tr>
      <w:tr w:rsidR="00D17976" w:rsidRPr="00AC36D6" w14:paraId="25B8A630" w14:textId="77777777" w:rsidTr="00DA6943">
        <w:trPr>
          <w:trHeight w:val="278"/>
        </w:trPr>
        <w:tc>
          <w:tcPr>
            <w:tcW w:w="3653" w:type="dxa"/>
            <w:tcBorders>
              <w:top w:val="nil"/>
              <w:left w:val="double" w:sz="4" w:space="0" w:color="auto"/>
              <w:bottom w:val="nil"/>
              <w:right w:val="double" w:sz="4" w:space="0" w:color="auto"/>
            </w:tcBorders>
          </w:tcPr>
          <w:p w14:paraId="4769A709" w14:textId="0EDBC0F9" w:rsidR="00D17976" w:rsidRPr="00AC36D6" w:rsidRDefault="00554C37" w:rsidP="00D17976">
            <w:pPr>
              <w:ind w:left="258"/>
              <w:rPr>
                <w:sz w:val="18"/>
                <w:szCs w:val="18"/>
              </w:rPr>
            </w:pPr>
            <w:r>
              <w:rPr>
                <w:sz w:val="18"/>
                <w:szCs w:val="18"/>
              </w:rPr>
              <w:t xml:space="preserve"> </w:t>
            </w:r>
            <w:r w:rsidR="00D17976" w:rsidRPr="00AC36D6">
              <w:rPr>
                <w:sz w:val="18"/>
                <w:szCs w:val="18"/>
              </w:rPr>
              <w:t>Low-income (UMCE &lt; ₹10K)</w:t>
            </w:r>
          </w:p>
        </w:tc>
        <w:tc>
          <w:tcPr>
            <w:tcW w:w="1133" w:type="dxa"/>
            <w:tcBorders>
              <w:top w:val="nil"/>
              <w:left w:val="double" w:sz="4" w:space="0" w:color="auto"/>
              <w:bottom w:val="nil"/>
              <w:right w:val="nil"/>
            </w:tcBorders>
            <w:vAlign w:val="center"/>
          </w:tcPr>
          <w:p w14:paraId="3B39D03F" w14:textId="6466A57C" w:rsidR="00D17976" w:rsidRPr="00AC36D6" w:rsidRDefault="00D17976" w:rsidP="00D17976">
            <w:pPr>
              <w:jc w:val="center"/>
              <w:rPr>
                <w:sz w:val="18"/>
                <w:szCs w:val="18"/>
              </w:rPr>
            </w:pPr>
            <w:r w:rsidRPr="00AC36D6">
              <w:rPr>
                <w:sz w:val="18"/>
                <w:szCs w:val="18"/>
              </w:rPr>
              <w:t>-0.</w:t>
            </w:r>
            <w:r w:rsidR="00480E0E" w:rsidRPr="00AC36D6">
              <w:rPr>
                <w:sz w:val="18"/>
                <w:szCs w:val="18"/>
              </w:rPr>
              <w:t>68</w:t>
            </w:r>
            <w:r w:rsidRPr="00AC36D6">
              <w:rPr>
                <w:sz w:val="18"/>
                <w:szCs w:val="18"/>
              </w:rPr>
              <w:t xml:space="preserve"> </w:t>
            </w:r>
            <w:r w:rsidRPr="00AC36D6">
              <w:rPr>
                <w:i/>
                <w:iCs/>
                <w:sz w:val="18"/>
                <w:szCs w:val="18"/>
              </w:rPr>
              <w:t>(-1</w:t>
            </w:r>
            <w:r w:rsidR="00480E0E" w:rsidRPr="00AC36D6">
              <w:rPr>
                <w:i/>
                <w:iCs/>
                <w:sz w:val="18"/>
                <w:szCs w:val="18"/>
              </w:rPr>
              <w:t>0</w:t>
            </w:r>
            <w:r w:rsidRPr="00AC36D6">
              <w:rPr>
                <w:i/>
                <w:iCs/>
                <w:sz w:val="18"/>
                <w:szCs w:val="18"/>
              </w:rPr>
              <w:t>.</w:t>
            </w:r>
            <w:r w:rsidR="00480E0E" w:rsidRPr="00AC36D6">
              <w:rPr>
                <w:i/>
                <w:iCs/>
                <w:sz w:val="18"/>
                <w:szCs w:val="18"/>
              </w:rPr>
              <w:t>9</w:t>
            </w:r>
            <w:r w:rsidRPr="00AC36D6">
              <w:rPr>
                <w:i/>
                <w:iCs/>
                <w:sz w:val="18"/>
                <w:szCs w:val="18"/>
              </w:rPr>
              <w:t>)</w:t>
            </w:r>
          </w:p>
        </w:tc>
        <w:tc>
          <w:tcPr>
            <w:tcW w:w="1130" w:type="dxa"/>
            <w:tcBorders>
              <w:top w:val="nil"/>
              <w:left w:val="nil"/>
              <w:bottom w:val="nil"/>
              <w:right w:val="nil"/>
            </w:tcBorders>
            <w:vAlign w:val="center"/>
          </w:tcPr>
          <w:p w14:paraId="33F6E1C5" w14:textId="25FB9235" w:rsidR="00D17976" w:rsidRPr="00AC36D6" w:rsidRDefault="00D17976" w:rsidP="00D17976">
            <w:pPr>
              <w:jc w:val="center"/>
              <w:rPr>
                <w:sz w:val="18"/>
                <w:szCs w:val="18"/>
              </w:rPr>
            </w:pPr>
            <w:r w:rsidRPr="00AC36D6">
              <w:rPr>
                <w:sz w:val="18"/>
                <w:szCs w:val="18"/>
              </w:rPr>
              <w:t>-0.4</w:t>
            </w:r>
            <w:r w:rsidR="00480E0E" w:rsidRPr="00AC36D6">
              <w:rPr>
                <w:sz w:val="18"/>
                <w:szCs w:val="18"/>
              </w:rPr>
              <w:t>3</w:t>
            </w:r>
            <w:r w:rsidRPr="00AC36D6">
              <w:rPr>
                <w:sz w:val="18"/>
                <w:szCs w:val="18"/>
              </w:rPr>
              <w:t xml:space="preserve"> </w:t>
            </w:r>
            <w:r w:rsidRPr="00AC36D6">
              <w:rPr>
                <w:i/>
                <w:iCs/>
                <w:sz w:val="18"/>
                <w:szCs w:val="18"/>
              </w:rPr>
              <w:t>(-3.</w:t>
            </w:r>
            <w:r w:rsidR="00480E0E" w:rsidRPr="00AC36D6">
              <w:rPr>
                <w:i/>
                <w:iCs/>
                <w:sz w:val="18"/>
                <w:szCs w:val="18"/>
              </w:rPr>
              <w:t>1</w:t>
            </w:r>
            <w:r w:rsidRPr="00AC36D6">
              <w:rPr>
                <w:i/>
                <w:iCs/>
                <w:sz w:val="18"/>
                <w:szCs w:val="18"/>
              </w:rPr>
              <w:t>)</w:t>
            </w:r>
          </w:p>
        </w:tc>
        <w:tc>
          <w:tcPr>
            <w:tcW w:w="1132" w:type="dxa"/>
            <w:tcBorders>
              <w:top w:val="nil"/>
              <w:left w:val="nil"/>
              <w:bottom w:val="nil"/>
              <w:right w:val="nil"/>
            </w:tcBorders>
            <w:vAlign w:val="center"/>
          </w:tcPr>
          <w:p w14:paraId="21401716" w14:textId="6A05E380" w:rsidR="00D17976" w:rsidRPr="00AC36D6" w:rsidRDefault="00D17976" w:rsidP="00D17976">
            <w:pPr>
              <w:jc w:val="center"/>
              <w:rPr>
                <w:sz w:val="18"/>
                <w:szCs w:val="18"/>
              </w:rPr>
            </w:pPr>
            <w:r w:rsidRPr="00AC36D6">
              <w:rPr>
                <w:sz w:val="18"/>
                <w:szCs w:val="18"/>
              </w:rPr>
              <w:t>-0.0</w:t>
            </w:r>
            <w:r w:rsidR="00480E0E" w:rsidRPr="00AC36D6">
              <w:rPr>
                <w:sz w:val="18"/>
                <w:szCs w:val="18"/>
              </w:rPr>
              <w:t>7</w:t>
            </w:r>
            <w:r w:rsidRPr="00AC36D6">
              <w:rPr>
                <w:sz w:val="18"/>
                <w:szCs w:val="18"/>
              </w:rPr>
              <w:t xml:space="preserve"> </w:t>
            </w:r>
            <w:r w:rsidRPr="00AC36D6">
              <w:rPr>
                <w:i/>
                <w:iCs/>
                <w:sz w:val="18"/>
                <w:szCs w:val="18"/>
              </w:rPr>
              <w:t>(-1.</w:t>
            </w:r>
            <w:r w:rsidR="00480E0E" w:rsidRPr="00AC36D6">
              <w:rPr>
                <w:i/>
                <w:iCs/>
                <w:sz w:val="18"/>
                <w:szCs w:val="18"/>
              </w:rPr>
              <w:t>4</w:t>
            </w:r>
            <w:r w:rsidRPr="00AC36D6">
              <w:rPr>
                <w:i/>
                <w:iCs/>
                <w:sz w:val="18"/>
                <w:szCs w:val="18"/>
              </w:rPr>
              <w:t>)</w:t>
            </w:r>
          </w:p>
        </w:tc>
        <w:tc>
          <w:tcPr>
            <w:tcW w:w="1132" w:type="dxa"/>
            <w:tcBorders>
              <w:top w:val="nil"/>
              <w:left w:val="nil"/>
              <w:bottom w:val="nil"/>
              <w:right w:val="nil"/>
            </w:tcBorders>
            <w:vAlign w:val="center"/>
          </w:tcPr>
          <w:p w14:paraId="32C27CA3" w14:textId="30D73C95" w:rsidR="00D17976" w:rsidRPr="00AC36D6" w:rsidRDefault="00D17976" w:rsidP="00D17976">
            <w:pPr>
              <w:jc w:val="center"/>
              <w:rPr>
                <w:sz w:val="18"/>
                <w:szCs w:val="18"/>
              </w:rPr>
            </w:pPr>
            <w:r w:rsidRPr="00AC36D6">
              <w:rPr>
                <w:sz w:val="18"/>
                <w:szCs w:val="18"/>
              </w:rPr>
              <w:t xml:space="preserve">-0.18 </w:t>
            </w:r>
            <w:r w:rsidRPr="00AC36D6">
              <w:rPr>
                <w:i/>
                <w:iCs/>
                <w:sz w:val="18"/>
                <w:szCs w:val="18"/>
              </w:rPr>
              <w:t>(-4.</w:t>
            </w:r>
            <w:r w:rsidR="00480E0E" w:rsidRPr="00AC36D6">
              <w:rPr>
                <w:i/>
                <w:iCs/>
                <w:sz w:val="18"/>
                <w:szCs w:val="18"/>
              </w:rPr>
              <w:t>2</w:t>
            </w:r>
            <w:r w:rsidRPr="00AC36D6">
              <w:rPr>
                <w:i/>
                <w:iCs/>
                <w:sz w:val="18"/>
                <w:szCs w:val="18"/>
              </w:rPr>
              <w:t>)</w:t>
            </w:r>
          </w:p>
        </w:tc>
        <w:tc>
          <w:tcPr>
            <w:tcW w:w="1139" w:type="dxa"/>
            <w:tcBorders>
              <w:top w:val="nil"/>
              <w:left w:val="nil"/>
              <w:bottom w:val="nil"/>
              <w:right w:val="double" w:sz="4" w:space="0" w:color="auto"/>
            </w:tcBorders>
            <w:vAlign w:val="center"/>
          </w:tcPr>
          <w:p w14:paraId="6A34444A"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722CCB3B" w14:textId="6445EC3A" w:rsidR="00D17976" w:rsidRPr="00AC36D6" w:rsidRDefault="00D17976" w:rsidP="00D17976">
            <w:pPr>
              <w:jc w:val="center"/>
              <w:rPr>
                <w:sz w:val="18"/>
                <w:szCs w:val="18"/>
              </w:rPr>
            </w:pPr>
            <w:r w:rsidRPr="00AC36D6">
              <w:rPr>
                <w:sz w:val="18"/>
                <w:szCs w:val="18"/>
              </w:rPr>
              <w:t>-0.</w:t>
            </w:r>
            <w:r w:rsidR="00B41E7A" w:rsidRPr="00AC36D6">
              <w:rPr>
                <w:sz w:val="18"/>
                <w:szCs w:val="18"/>
              </w:rPr>
              <w:t>89</w:t>
            </w:r>
            <w:r w:rsidRPr="00AC36D6">
              <w:rPr>
                <w:sz w:val="18"/>
                <w:szCs w:val="18"/>
              </w:rPr>
              <w:t xml:space="preserve"> </w:t>
            </w:r>
            <w:r w:rsidRPr="00AC36D6">
              <w:rPr>
                <w:i/>
                <w:iCs/>
                <w:sz w:val="18"/>
                <w:szCs w:val="18"/>
              </w:rPr>
              <w:t>(-1</w:t>
            </w:r>
            <w:r w:rsidR="00B41E7A" w:rsidRPr="00AC36D6">
              <w:rPr>
                <w:i/>
                <w:iCs/>
                <w:sz w:val="18"/>
                <w:szCs w:val="18"/>
              </w:rPr>
              <w:t>2</w:t>
            </w:r>
            <w:r w:rsidRPr="00AC36D6">
              <w:rPr>
                <w:i/>
                <w:iCs/>
                <w:sz w:val="18"/>
                <w:szCs w:val="18"/>
              </w:rPr>
              <w:t>.</w:t>
            </w:r>
            <w:r w:rsidR="00B41E7A" w:rsidRPr="00AC36D6">
              <w:rPr>
                <w:i/>
                <w:iCs/>
                <w:sz w:val="18"/>
                <w:szCs w:val="18"/>
              </w:rPr>
              <w:t>6</w:t>
            </w:r>
            <w:r w:rsidRPr="00AC36D6">
              <w:rPr>
                <w:i/>
                <w:iCs/>
                <w:sz w:val="18"/>
                <w:szCs w:val="18"/>
              </w:rPr>
              <w:t>)</w:t>
            </w:r>
          </w:p>
        </w:tc>
        <w:tc>
          <w:tcPr>
            <w:tcW w:w="1132" w:type="dxa"/>
            <w:tcBorders>
              <w:top w:val="nil"/>
              <w:left w:val="nil"/>
              <w:bottom w:val="nil"/>
              <w:right w:val="nil"/>
            </w:tcBorders>
            <w:vAlign w:val="center"/>
          </w:tcPr>
          <w:p w14:paraId="3B7D9C68" w14:textId="37CFF963" w:rsidR="00D17976" w:rsidRPr="00AC36D6" w:rsidRDefault="00D17976" w:rsidP="00D17976">
            <w:pPr>
              <w:jc w:val="center"/>
              <w:rPr>
                <w:sz w:val="18"/>
                <w:szCs w:val="18"/>
              </w:rPr>
            </w:pPr>
            <w:r w:rsidRPr="00AC36D6">
              <w:rPr>
                <w:sz w:val="18"/>
                <w:szCs w:val="18"/>
              </w:rPr>
              <w:t>-0.</w:t>
            </w:r>
            <w:r w:rsidR="00B41E7A" w:rsidRPr="00AC36D6">
              <w:rPr>
                <w:sz w:val="18"/>
                <w:szCs w:val="18"/>
              </w:rPr>
              <w:t>86</w:t>
            </w:r>
            <w:r w:rsidRPr="00AC36D6">
              <w:rPr>
                <w:sz w:val="18"/>
                <w:szCs w:val="18"/>
              </w:rPr>
              <w:t xml:space="preserve"> </w:t>
            </w:r>
            <w:r w:rsidRPr="00AC36D6">
              <w:rPr>
                <w:i/>
                <w:iCs/>
                <w:sz w:val="18"/>
                <w:szCs w:val="18"/>
              </w:rPr>
              <w:t>(-14.</w:t>
            </w:r>
            <w:r w:rsidR="00B41E7A" w:rsidRPr="00AC36D6">
              <w:rPr>
                <w:i/>
                <w:iCs/>
                <w:sz w:val="18"/>
                <w:szCs w:val="18"/>
              </w:rPr>
              <w:t>4</w:t>
            </w:r>
            <w:r w:rsidRPr="00AC36D6">
              <w:rPr>
                <w:i/>
                <w:iCs/>
                <w:sz w:val="18"/>
                <w:szCs w:val="18"/>
              </w:rPr>
              <w:t>)</w:t>
            </w:r>
          </w:p>
        </w:tc>
        <w:tc>
          <w:tcPr>
            <w:tcW w:w="1132" w:type="dxa"/>
            <w:tcBorders>
              <w:top w:val="nil"/>
              <w:left w:val="nil"/>
              <w:bottom w:val="nil"/>
              <w:right w:val="nil"/>
            </w:tcBorders>
            <w:vAlign w:val="center"/>
          </w:tcPr>
          <w:p w14:paraId="5CE612ED" w14:textId="5448B2F5" w:rsidR="00D17976" w:rsidRPr="00AC36D6" w:rsidRDefault="00D17976" w:rsidP="00D17976">
            <w:pPr>
              <w:jc w:val="center"/>
              <w:rPr>
                <w:sz w:val="18"/>
                <w:szCs w:val="18"/>
              </w:rPr>
            </w:pPr>
            <w:r w:rsidRPr="00AC36D6">
              <w:rPr>
                <w:sz w:val="18"/>
                <w:szCs w:val="18"/>
              </w:rPr>
              <w:t>-0.5</w:t>
            </w:r>
            <w:r w:rsidR="00B41E7A" w:rsidRPr="00AC36D6">
              <w:rPr>
                <w:sz w:val="18"/>
                <w:szCs w:val="18"/>
              </w:rPr>
              <w:t>1</w:t>
            </w:r>
            <w:r w:rsidRPr="00AC36D6">
              <w:rPr>
                <w:sz w:val="18"/>
                <w:szCs w:val="18"/>
              </w:rPr>
              <w:t xml:space="preserve"> </w:t>
            </w:r>
            <w:r w:rsidRPr="00AC36D6">
              <w:rPr>
                <w:i/>
                <w:iCs/>
                <w:sz w:val="18"/>
                <w:szCs w:val="18"/>
              </w:rPr>
              <w:t>(-7.</w:t>
            </w:r>
            <w:r w:rsidR="00B41E7A" w:rsidRPr="00AC36D6">
              <w:rPr>
                <w:i/>
                <w:iCs/>
                <w:sz w:val="18"/>
                <w:szCs w:val="18"/>
              </w:rPr>
              <w:t>1</w:t>
            </w:r>
            <w:r w:rsidRPr="00AC36D6">
              <w:rPr>
                <w:i/>
                <w:iCs/>
                <w:sz w:val="18"/>
                <w:szCs w:val="18"/>
              </w:rPr>
              <w:t>)</w:t>
            </w:r>
          </w:p>
        </w:tc>
        <w:tc>
          <w:tcPr>
            <w:tcW w:w="1132" w:type="dxa"/>
            <w:tcBorders>
              <w:top w:val="nil"/>
              <w:left w:val="nil"/>
              <w:bottom w:val="nil"/>
              <w:right w:val="nil"/>
            </w:tcBorders>
            <w:vAlign w:val="center"/>
          </w:tcPr>
          <w:p w14:paraId="01710371" w14:textId="2C6A6376" w:rsidR="00D17976" w:rsidRPr="00AC36D6" w:rsidRDefault="00D17976" w:rsidP="00D17976">
            <w:pPr>
              <w:jc w:val="center"/>
              <w:rPr>
                <w:sz w:val="18"/>
                <w:szCs w:val="18"/>
              </w:rPr>
            </w:pPr>
            <w:r w:rsidRPr="00AC36D6">
              <w:rPr>
                <w:sz w:val="18"/>
                <w:szCs w:val="18"/>
              </w:rPr>
              <w:t>-0.5</w:t>
            </w:r>
            <w:r w:rsidR="00B41E7A" w:rsidRPr="00AC36D6">
              <w:rPr>
                <w:sz w:val="18"/>
                <w:szCs w:val="18"/>
              </w:rPr>
              <w:t>7</w:t>
            </w:r>
            <w:r w:rsidRPr="00AC36D6">
              <w:rPr>
                <w:sz w:val="18"/>
                <w:szCs w:val="18"/>
              </w:rPr>
              <w:t xml:space="preserve"> </w:t>
            </w:r>
            <w:r w:rsidRPr="00AC36D6">
              <w:rPr>
                <w:i/>
                <w:iCs/>
                <w:sz w:val="18"/>
                <w:szCs w:val="18"/>
              </w:rPr>
              <w:t>(-</w:t>
            </w:r>
            <w:r w:rsidR="00B41E7A" w:rsidRPr="00AC36D6">
              <w:rPr>
                <w:i/>
                <w:iCs/>
                <w:sz w:val="18"/>
                <w:szCs w:val="18"/>
              </w:rPr>
              <w:t>7</w:t>
            </w:r>
            <w:r w:rsidRPr="00AC36D6">
              <w:rPr>
                <w:i/>
                <w:iCs/>
                <w:sz w:val="18"/>
                <w:szCs w:val="18"/>
              </w:rPr>
              <w:t>.</w:t>
            </w:r>
            <w:r w:rsidR="00B41E7A" w:rsidRPr="00AC36D6">
              <w:rPr>
                <w:i/>
                <w:iCs/>
                <w:sz w:val="18"/>
                <w:szCs w:val="18"/>
              </w:rPr>
              <w:t>2</w:t>
            </w:r>
            <w:r w:rsidRPr="00AC36D6">
              <w:rPr>
                <w:i/>
                <w:iCs/>
                <w:sz w:val="18"/>
                <w:szCs w:val="18"/>
              </w:rPr>
              <w:t>)</w:t>
            </w:r>
          </w:p>
        </w:tc>
        <w:tc>
          <w:tcPr>
            <w:tcW w:w="1139" w:type="dxa"/>
            <w:tcBorders>
              <w:top w:val="nil"/>
              <w:left w:val="nil"/>
              <w:bottom w:val="nil"/>
              <w:right w:val="double" w:sz="4" w:space="0" w:color="auto"/>
            </w:tcBorders>
            <w:vAlign w:val="center"/>
          </w:tcPr>
          <w:p w14:paraId="679DA465" w14:textId="7B533BD5" w:rsidR="00D17976" w:rsidRPr="00AC36D6" w:rsidRDefault="00D17976" w:rsidP="00D17976">
            <w:pPr>
              <w:jc w:val="center"/>
              <w:rPr>
                <w:sz w:val="18"/>
                <w:szCs w:val="18"/>
              </w:rPr>
            </w:pPr>
            <w:r w:rsidRPr="00AC36D6">
              <w:rPr>
                <w:sz w:val="18"/>
                <w:szCs w:val="18"/>
              </w:rPr>
              <w:t>-0.</w:t>
            </w:r>
            <w:r w:rsidR="00B41E7A" w:rsidRPr="00AC36D6">
              <w:rPr>
                <w:sz w:val="18"/>
                <w:szCs w:val="18"/>
              </w:rPr>
              <w:t>12</w:t>
            </w:r>
            <w:r w:rsidRPr="00AC36D6">
              <w:rPr>
                <w:sz w:val="18"/>
                <w:szCs w:val="18"/>
              </w:rPr>
              <w:t xml:space="preserve"> </w:t>
            </w:r>
            <w:r w:rsidRPr="00AC36D6">
              <w:rPr>
                <w:i/>
                <w:iCs/>
                <w:sz w:val="18"/>
                <w:szCs w:val="18"/>
              </w:rPr>
              <w:t>(-1.</w:t>
            </w:r>
            <w:r w:rsidR="00B41E7A" w:rsidRPr="00AC36D6">
              <w:rPr>
                <w:i/>
                <w:iCs/>
                <w:sz w:val="18"/>
                <w:szCs w:val="18"/>
              </w:rPr>
              <w:t>1</w:t>
            </w:r>
            <w:r w:rsidRPr="00AC36D6">
              <w:rPr>
                <w:i/>
                <w:iCs/>
                <w:sz w:val="18"/>
                <w:szCs w:val="18"/>
              </w:rPr>
              <w:t>)</w:t>
            </w:r>
          </w:p>
        </w:tc>
      </w:tr>
      <w:tr w:rsidR="00D17976" w:rsidRPr="00AC36D6" w14:paraId="3E2706EB" w14:textId="77777777" w:rsidTr="00DA6943">
        <w:trPr>
          <w:trHeight w:val="278"/>
        </w:trPr>
        <w:tc>
          <w:tcPr>
            <w:tcW w:w="3653" w:type="dxa"/>
            <w:tcBorders>
              <w:top w:val="nil"/>
              <w:left w:val="double" w:sz="4" w:space="0" w:color="auto"/>
              <w:bottom w:val="nil"/>
              <w:right w:val="double" w:sz="4" w:space="0" w:color="auto"/>
            </w:tcBorders>
          </w:tcPr>
          <w:p w14:paraId="37CC492B" w14:textId="1F86C296" w:rsidR="00D17976" w:rsidRPr="00AC36D6" w:rsidRDefault="00554C37" w:rsidP="00D17976">
            <w:pPr>
              <w:ind w:left="258"/>
              <w:rPr>
                <w:sz w:val="18"/>
                <w:szCs w:val="18"/>
              </w:rPr>
            </w:pPr>
            <w:r>
              <w:rPr>
                <w:sz w:val="18"/>
                <w:szCs w:val="18"/>
              </w:rPr>
              <w:t xml:space="preserve"> </w:t>
            </w:r>
            <w:r w:rsidR="00D17976" w:rsidRPr="00AC36D6">
              <w:rPr>
                <w:sz w:val="18"/>
                <w:szCs w:val="18"/>
              </w:rPr>
              <w:t>Medium-income (UMCE: ₹10</w:t>
            </w:r>
            <w:r w:rsidR="003A21DD" w:rsidRPr="00AC36D6">
              <w:rPr>
                <w:sz w:val="18"/>
                <w:szCs w:val="18"/>
              </w:rPr>
              <w:t>K</w:t>
            </w:r>
            <w:r w:rsidR="00D17976" w:rsidRPr="00AC36D6">
              <w:rPr>
                <w:sz w:val="18"/>
                <w:szCs w:val="18"/>
              </w:rPr>
              <w:t>-₹20K)</w:t>
            </w:r>
          </w:p>
        </w:tc>
        <w:tc>
          <w:tcPr>
            <w:tcW w:w="1133" w:type="dxa"/>
            <w:tcBorders>
              <w:top w:val="nil"/>
              <w:left w:val="double" w:sz="4" w:space="0" w:color="auto"/>
              <w:bottom w:val="nil"/>
              <w:right w:val="nil"/>
            </w:tcBorders>
            <w:vAlign w:val="center"/>
          </w:tcPr>
          <w:p w14:paraId="331FC645" w14:textId="7D56360B" w:rsidR="00D17976" w:rsidRPr="00AC36D6" w:rsidRDefault="00D17976" w:rsidP="00D17976">
            <w:pPr>
              <w:jc w:val="center"/>
              <w:rPr>
                <w:sz w:val="18"/>
                <w:szCs w:val="18"/>
              </w:rPr>
            </w:pPr>
            <w:r w:rsidRPr="00AC36D6">
              <w:rPr>
                <w:sz w:val="18"/>
                <w:szCs w:val="18"/>
              </w:rPr>
              <w:t>-0.3</w:t>
            </w:r>
            <w:r w:rsidR="00480E0E" w:rsidRPr="00AC36D6">
              <w:rPr>
                <w:sz w:val="18"/>
                <w:szCs w:val="18"/>
              </w:rPr>
              <w:t>2</w:t>
            </w:r>
            <w:r w:rsidRPr="00AC36D6">
              <w:rPr>
                <w:sz w:val="18"/>
                <w:szCs w:val="18"/>
              </w:rPr>
              <w:t xml:space="preserve"> </w:t>
            </w:r>
            <w:r w:rsidRPr="00AC36D6">
              <w:rPr>
                <w:i/>
                <w:iCs/>
                <w:sz w:val="18"/>
                <w:szCs w:val="18"/>
              </w:rPr>
              <w:t>(-</w:t>
            </w:r>
            <w:r w:rsidR="00480E0E" w:rsidRPr="00AC36D6">
              <w:rPr>
                <w:i/>
                <w:iCs/>
                <w:sz w:val="18"/>
                <w:szCs w:val="18"/>
              </w:rPr>
              <w:t>5</w:t>
            </w:r>
            <w:r w:rsidRPr="00AC36D6">
              <w:rPr>
                <w:i/>
                <w:iCs/>
                <w:sz w:val="18"/>
                <w:szCs w:val="18"/>
              </w:rPr>
              <w:t>.</w:t>
            </w:r>
            <w:r w:rsidR="00480E0E" w:rsidRPr="00AC36D6">
              <w:rPr>
                <w:i/>
                <w:iCs/>
                <w:sz w:val="18"/>
                <w:szCs w:val="18"/>
              </w:rPr>
              <w:t>8</w:t>
            </w:r>
            <w:r w:rsidRPr="00AC36D6">
              <w:rPr>
                <w:i/>
                <w:iCs/>
                <w:sz w:val="18"/>
                <w:szCs w:val="18"/>
              </w:rPr>
              <w:t>)</w:t>
            </w:r>
          </w:p>
        </w:tc>
        <w:tc>
          <w:tcPr>
            <w:tcW w:w="1130" w:type="dxa"/>
            <w:tcBorders>
              <w:top w:val="nil"/>
              <w:left w:val="nil"/>
              <w:bottom w:val="nil"/>
              <w:right w:val="nil"/>
            </w:tcBorders>
            <w:vAlign w:val="center"/>
          </w:tcPr>
          <w:p w14:paraId="65062220" w14:textId="05CE216E" w:rsidR="00D17976" w:rsidRPr="00AC36D6" w:rsidRDefault="00D17976" w:rsidP="00D17976">
            <w:pPr>
              <w:jc w:val="center"/>
              <w:rPr>
                <w:sz w:val="18"/>
                <w:szCs w:val="18"/>
              </w:rPr>
            </w:pPr>
            <w:r w:rsidRPr="00AC36D6">
              <w:rPr>
                <w:sz w:val="18"/>
                <w:szCs w:val="18"/>
              </w:rPr>
              <w:t>-0.2</w:t>
            </w:r>
            <w:r w:rsidR="00480E0E" w:rsidRPr="00AC36D6">
              <w:rPr>
                <w:sz w:val="18"/>
                <w:szCs w:val="18"/>
              </w:rPr>
              <w:t>4</w:t>
            </w:r>
            <w:r w:rsidRPr="00AC36D6">
              <w:rPr>
                <w:sz w:val="18"/>
                <w:szCs w:val="18"/>
              </w:rPr>
              <w:t xml:space="preserve"> </w:t>
            </w:r>
            <w:r w:rsidRPr="00AC36D6">
              <w:rPr>
                <w:i/>
                <w:iCs/>
                <w:sz w:val="18"/>
                <w:szCs w:val="18"/>
              </w:rPr>
              <w:t>(-1.</w:t>
            </w:r>
            <w:r w:rsidR="00480E0E" w:rsidRPr="00AC36D6">
              <w:rPr>
                <w:i/>
                <w:iCs/>
                <w:sz w:val="18"/>
                <w:szCs w:val="18"/>
              </w:rPr>
              <w:t>7</w:t>
            </w:r>
            <w:r w:rsidRPr="00AC36D6">
              <w:rPr>
                <w:i/>
                <w:iCs/>
                <w:sz w:val="18"/>
                <w:szCs w:val="18"/>
              </w:rPr>
              <w:t>)</w:t>
            </w:r>
          </w:p>
        </w:tc>
        <w:tc>
          <w:tcPr>
            <w:tcW w:w="1132" w:type="dxa"/>
            <w:tcBorders>
              <w:top w:val="nil"/>
              <w:left w:val="nil"/>
              <w:bottom w:val="nil"/>
              <w:right w:val="nil"/>
            </w:tcBorders>
            <w:vAlign w:val="center"/>
          </w:tcPr>
          <w:p w14:paraId="37581665"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495FE254"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7E7A8ED9"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3EC70EF9" w14:textId="14F4C30E" w:rsidR="00D17976" w:rsidRPr="00AC36D6" w:rsidRDefault="00D17976" w:rsidP="00D17976">
            <w:pPr>
              <w:jc w:val="center"/>
              <w:rPr>
                <w:sz w:val="18"/>
                <w:szCs w:val="18"/>
              </w:rPr>
            </w:pPr>
            <w:r w:rsidRPr="00AC36D6">
              <w:rPr>
                <w:sz w:val="18"/>
                <w:szCs w:val="18"/>
              </w:rPr>
              <w:t>-0.5</w:t>
            </w:r>
            <w:r w:rsidR="00B41E7A" w:rsidRPr="00AC36D6">
              <w:rPr>
                <w:sz w:val="18"/>
                <w:szCs w:val="18"/>
              </w:rPr>
              <w:t>1</w:t>
            </w:r>
            <w:r w:rsidRPr="00AC36D6">
              <w:rPr>
                <w:sz w:val="18"/>
                <w:szCs w:val="18"/>
              </w:rPr>
              <w:t xml:space="preserve"> </w:t>
            </w:r>
            <w:r w:rsidRPr="00AC36D6">
              <w:rPr>
                <w:i/>
                <w:iCs/>
                <w:sz w:val="18"/>
                <w:szCs w:val="18"/>
              </w:rPr>
              <w:t>(-8.</w:t>
            </w:r>
            <w:r w:rsidR="00B41E7A" w:rsidRPr="00AC36D6">
              <w:rPr>
                <w:i/>
                <w:iCs/>
                <w:sz w:val="18"/>
                <w:szCs w:val="18"/>
              </w:rPr>
              <w:t>9</w:t>
            </w:r>
            <w:r w:rsidRPr="00AC36D6">
              <w:rPr>
                <w:i/>
                <w:iCs/>
                <w:sz w:val="18"/>
                <w:szCs w:val="18"/>
              </w:rPr>
              <w:t>)</w:t>
            </w:r>
          </w:p>
        </w:tc>
        <w:tc>
          <w:tcPr>
            <w:tcW w:w="1132" w:type="dxa"/>
            <w:tcBorders>
              <w:top w:val="nil"/>
              <w:left w:val="nil"/>
              <w:bottom w:val="nil"/>
              <w:right w:val="nil"/>
            </w:tcBorders>
            <w:vAlign w:val="center"/>
          </w:tcPr>
          <w:p w14:paraId="75962EE9" w14:textId="09CAEFCD" w:rsidR="00D17976" w:rsidRPr="00AC36D6" w:rsidRDefault="00D17976" w:rsidP="00D17976">
            <w:pPr>
              <w:jc w:val="center"/>
              <w:rPr>
                <w:sz w:val="18"/>
                <w:szCs w:val="18"/>
              </w:rPr>
            </w:pPr>
            <w:r w:rsidRPr="00AC36D6">
              <w:rPr>
                <w:sz w:val="18"/>
                <w:szCs w:val="18"/>
              </w:rPr>
              <w:t>-0.</w:t>
            </w:r>
            <w:r w:rsidR="00B41E7A" w:rsidRPr="00AC36D6">
              <w:rPr>
                <w:sz w:val="18"/>
                <w:szCs w:val="18"/>
              </w:rPr>
              <w:t>47</w:t>
            </w:r>
            <w:r w:rsidRPr="00AC36D6">
              <w:rPr>
                <w:sz w:val="18"/>
                <w:szCs w:val="18"/>
              </w:rPr>
              <w:t xml:space="preserve"> </w:t>
            </w:r>
            <w:r w:rsidRPr="00AC36D6">
              <w:rPr>
                <w:i/>
                <w:iCs/>
                <w:sz w:val="18"/>
                <w:szCs w:val="18"/>
              </w:rPr>
              <w:t>(-</w:t>
            </w:r>
            <w:r w:rsidR="00B41E7A" w:rsidRPr="00AC36D6">
              <w:rPr>
                <w:i/>
                <w:iCs/>
                <w:sz w:val="18"/>
                <w:szCs w:val="18"/>
              </w:rPr>
              <w:t>8</w:t>
            </w:r>
            <w:r w:rsidRPr="00AC36D6">
              <w:rPr>
                <w:i/>
                <w:iCs/>
                <w:sz w:val="18"/>
                <w:szCs w:val="18"/>
              </w:rPr>
              <w:t>.</w:t>
            </w:r>
            <w:r w:rsidR="00B41E7A" w:rsidRPr="00AC36D6">
              <w:rPr>
                <w:i/>
                <w:iCs/>
                <w:sz w:val="18"/>
                <w:szCs w:val="18"/>
              </w:rPr>
              <w:t>6</w:t>
            </w:r>
            <w:r w:rsidRPr="00AC36D6">
              <w:rPr>
                <w:i/>
                <w:iCs/>
                <w:sz w:val="18"/>
                <w:szCs w:val="18"/>
              </w:rPr>
              <w:t>)</w:t>
            </w:r>
          </w:p>
        </w:tc>
        <w:tc>
          <w:tcPr>
            <w:tcW w:w="1132" w:type="dxa"/>
            <w:tcBorders>
              <w:top w:val="nil"/>
              <w:left w:val="nil"/>
              <w:bottom w:val="nil"/>
              <w:right w:val="nil"/>
            </w:tcBorders>
            <w:vAlign w:val="center"/>
          </w:tcPr>
          <w:p w14:paraId="1D92934A" w14:textId="17358D18" w:rsidR="00D17976" w:rsidRPr="00AC36D6" w:rsidRDefault="00D17976" w:rsidP="00D17976">
            <w:pPr>
              <w:jc w:val="center"/>
              <w:rPr>
                <w:sz w:val="18"/>
                <w:szCs w:val="18"/>
              </w:rPr>
            </w:pPr>
            <w:r w:rsidRPr="00AC36D6">
              <w:rPr>
                <w:sz w:val="18"/>
                <w:szCs w:val="18"/>
              </w:rPr>
              <w:t>-0.2</w:t>
            </w:r>
            <w:r w:rsidR="00B41E7A" w:rsidRPr="00AC36D6">
              <w:rPr>
                <w:sz w:val="18"/>
                <w:szCs w:val="18"/>
              </w:rPr>
              <w:t>5</w:t>
            </w:r>
            <w:r w:rsidRPr="00AC36D6">
              <w:rPr>
                <w:sz w:val="18"/>
                <w:szCs w:val="18"/>
              </w:rPr>
              <w:t xml:space="preserve"> </w:t>
            </w:r>
            <w:r w:rsidRPr="00AC36D6">
              <w:rPr>
                <w:i/>
                <w:iCs/>
                <w:sz w:val="18"/>
                <w:szCs w:val="18"/>
              </w:rPr>
              <w:t>(-</w:t>
            </w:r>
            <w:r w:rsidR="00B41E7A" w:rsidRPr="00AC36D6">
              <w:rPr>
                <w:i/>
                <w:iCs/>
                <w:sz w:val="18"/>
                <w:szCs w:val="18"/>
              </w:rPr>
              <w:t>3</w:t>
            </w:r>
            <w:r w:rsidRPr="00AC36D6">
              <w:rPr>
                <w:i/>
                <w:iCs/>
                <w:sz w:val="18"/>
                <w:szCs w:val="18"/>
              </w:rPr>
              <w:t>.</w:t>
            </w:r>
            <w:r w:rsidR="00B41E7A" w:rsidRPr="00AC36D6">
              <w:rPr>
                <w:i/>
                <w:iCs/>
                <w:sz w:val="18"/>
                <w:szCs w:val="18"/>
              </w:rPr>
              <w:t>6</w:t>
            </w:r>
            <w:r w:rsidRPr="00AC36D6">
              <w:rPr>
                <w:i/>
                <w:iCs/>
                <w:sz w:val="18"/>
                <w:szCs w:val="18"/>
              </w:rPr>
              <w:t>)</w:t>
            </w:r>
          </w:p>
        </w:tc>
        <w:tc>
          <w:tcPr>
            <w:tcW w:w="1132" w:type="dxa"/>
            <w:tcBorders>
              <w:top w:val="nil"/>
              <w:left w:val="nil"/>
              <w:bottom w:val="nil"/>
              <w:right w:val="nil"/>
            </w:tcBorders>
            <w:vAlign w:val="center"/>
          </w:tcPr>
          <w:p w14:paraId="1B292E10" w14:textId="4DE6C39F" w:rsidR="00D17976" w:rsidRPr="00AC36D6" w:rsidRDefault="00D17976" w:rsidP="00D17976">
            <w:pPr>
              <w:jc w:val="center"/>
              <w:rPr>
                <w:sz w:val="18"/>
                <w:szCs w:val="18"/>
              </w:rPr>
            </w:pPr>
            <w:r w:rsidRPr="00AC36D6">
              <w:rPr>
                <w:sz w:val="18"/>
                <w:szCs w:val="18"/>
              </w:rPr>
              <w:t>-0.1</w:t>
            </w:r>
            <w:r w:rsidR="00B41E7A" w:rsidRPr="00AC36D6">
              <w:rPr>
                <w:sz w:val="18"/>
                <w:szCs w:val="18"/>
              </w:rPr>
              <w:t>8</w:t>
            </w:r>
            <w:r w:rsidRPr="00AC36D6">
              <w:rPr>
                <w:sz w:val="18"/>
                <w:szCs w:val="18"/>
              </w:rPr>
              <w:t xml:space="preserve"> </w:t>
            </w:r>
            <w:r w:rsidRPr="00AC36D6">
              <w:rPr>
                <w:i/>
                <w:iCs/>
                <w:sz w:val="18"/>
                <w:szCs w:val="18"/>
              </w:rPr>
              <w:t>(-2.</w:t>
            </w:r>
            <w:r w:rsidR="00B41E7A" w:rsidRPr="00AC36D6">
              <w:rPr>
                <w:i/>
                <w:iCs/>
                <w:sz w:val="18"/>
                <w:szCs w:val="18"/>
              </w:rPr>
              <w:t>5</w:t>
            </w:r>
            <w:r w:rsidRPr="00AC36D6">
              <w:rPr>
                <w:i/>
                <w:iCs/>
                <w:sz w:val="18"/>
                <w:szCs w:val="18"/>
              </w:rPr>
              <w:t>)</w:t>
            </w:r>
          </w:p>
        </w:tc>
        <w:tc>
          <w:tcPr>
            <w:tcW w:w="1139" w:type="dxa"/>
            <w:tcBorders>
              <w:top w:val="nil"/>
              <w:left w:val="nil"/>
              <w:bottom w:val="nil"/>
              <w:right w:val="double" w:sz="4" w:space="0" w:color="auto"/>
            </w:tcBorders>
            <w:vAlign w:val="center"/>
          </w:tcPr>
          <w:p w14:paraId="15D8EDC9" w14:textId="77777777" w:rsidR="00D17976" w:rsidRPr="00AC36D6" w:rsidRDefault="00D17976" w:rsidP="00D17976">
            <w:pPr>
              <w:jc w:val="center"/>
              <w:rPr>
                <w:sz w:val="18"/>
                <w:szCs w:val="18"/>
              </w:rPr>
            </w:pPr>
            <w:r w:rsidRPr="00AC36D6">
              <w:rPr>
                <w:sz w:val="18"/>
                <w:szCs w:val="18"/>
              </w:rPr>
              <w:t>-</w:t>
            </w:r>
          </w:p>
        </w:tc>
      </w:tr>
      <w:tr w:rsidR="00D17976" w:rsidRPr="00AC36D6" w14:paraId="1831734F" w14:textId="77777777" w:rsidTr="00DA6943">
        <w:trPr>
          <w:trHeight w:val="278"/>
        </w:trPr>
        <w:tc>
          <w:tcPr>
            <w:tcW w:w="3653" w:type="dxa"/>
            <w:tcBorders>
              <w:top w:val="nil"/>
              <w:left w:val="double" w:sz="4" w:space="0" w:color="auto"/>
              <w:bottom w:val="nil"/>
              <w:right w:val="double" w:sz="4" w:space="0" w:color="auto"/>
            </w:tcBorders>
          </w:tcPr>
          <w:p w14:paraId="7A414979" w14:textId="2EA9647F" w:rsidR="00D17976" w:rsidRPr="00AC36D6" w:rsidRDefault="00554C37" w:rsidP="00D17976">
            <w:pPr>
              <w:rPr>
                <w:sz w:val="18"/>
                <w:szCs w:val="18"/>
              </w:rPr>
            </w:pPr>
            <w:r>
              <w:rPr>
                <w:i/>
                <w:iCs/>
                <w:sz w:val="18"/>
                <w:szCs w:val="18"/>
              </w:rPr>
              <w:t xml:space="preserve">  </w:t>
            </w:r>
            <w:r w:rsidR="00D17976" w:rsidRPr="00AC36D6">
              <w:rPr>
                <w:i/>
                <w:iCs/>
                <w:sz w:val="18"/>
                <w:szCs w:val="18"/>
              </w:rPr>
              <w:t>Travel group and trip specific variables</w:t>
            </w:r>
          </w:p>
        </w:tc>
        <w:tc>
          <w:tcPr>
            <w:tcW w:w="5666" w:type="dxa"/>
            <w:gridSpan w:val="5"/>
            <w:tcBorders>
              <w:top w:val="nil"/>
              <w:left w:val="double" w:sz="4" w:space="0" w:color="auto"/>
              <w:bottom w:val="nil"/>
              <w:right w:val="double" w:sz="4" w:space="0" w:color="auto"/>
            </w:tcBorders>
            <w:vAlign w:val="center"/>
          </w:tcPr>
          <w:p w14:paraId="35AC9A93" w14:textId="77777777" w:rsidR="00D17976" w:rsidRPr="00AC36D6" w:rsidRDefault="00D17976" w:rsidP="00D17976">
            <w:pPr>
              <w:jc w:val="center"/>
              <w:rPr>
                <w:sz w:val="18"/>
                <w:szCs w:val="18"/>
              </w:rPr>
            </w:pPr>
          </w:p>
        </w:tc>
        <w:tc>
          <w:tcPr>
            <w:tcW w:w="5667" w:type="dxa"/>
            <w:gridSpan w:val="5"/>
            <w:tcBorders>
              <w:top w:val="nil"/>
              <w:left w:val="double" w:sz="4" w:space="0" w:color="auto"/>
              <w:bottom w:val="nil"/>
              <w:right w:val="double" w:sz="4" w:space="0" w:color="auto"/>
            </w:tcBorders>
            <w:vAlign w:val="center"/>
          </w:tcPr>
          <w:p w14:paraId="39B2B75E" w14:textId="77777777" w:rsidR="00D17976" w:rsidRPr="00AC36D6" w:rsidRDefault="00D17976" w:rsidP="00D17976">
            <w:pPr>
              <w:jc w:val="center"/>
              <w:rPr>
                <w:sz w:val="18"/>
                <w:szCs w:val="18"/>
              </w:rPr>
            </w:pPr>
          </w:p>
        </w:tc>
      </w:tr>
      <w:tr w:rsidR="00D17976" w:rsidRPr="00AC36D6" w14:paraId="0508539C" w14:textId="77777777" w:rsidTr="00DA6943">
        <w:trPr>
          <w:trHeight w:val="278"/>
        </w:trPr>
        <w:tc>
          <w:tcPr>
            <w:tcW w:w="3653" w:type="dxa"/>
            <w:tcBorders>
              <w:top w:val="nil"/>
              <w:left w:val="double" w:sz="4" w:space="0" w:color="auto"/>
              <w:bottom w:val="nil"/>
              <w:right w:val="double" w:sz="4" w:space="0" w:color="auto"/>
            </w:tcBorders>
          </w:tcPr>
          <w:p w14:paraId="3C214F3A" w14:textId="7C40492C" w:rsidR="00D17976" w:rsidRPr="00AC36D6" w:rsidRDefault="00554C37" w:rsidP="00D17976">
            <w:pPr>
              <w:ind w:left="116"/>
              <w:rPr>
                <w:sz w:val="18"/>
                <w:szCs w:val="18"/>
              </w:rPr>
            </w:pPr>
            <w:r>
              <w:rPr>
                <w:sz w:val="18"/>
                <w:szCs w:val="18"/>
              </w:rPr>
              <w:t xml:space="preserve">  </w:t>
            </w:r>
            <w:r w:rsidR="00D17976" w:rsidRPr="00AC36D6">
              <w:rPr>
                <w:sz w:val="18"/>
                <w:szCs w:val="18"/>
              </w:rPr>
              <w:t>Size of the travel group</w:t>
            </w:r>
          </w:p>
        </w:tc>
        <w:tc>
          <w:tcPr>
            <w:tcW w:w="1133" w:type="dxa"/>
            <w:tcBorders>
              <w:top w:val="nil"/>
              <w:left w:val="double" w:sz="4" w:space="0" w:color="auto"/>
              <w:bottom w:val="nil"/>
              <w:right w:val="nil"/>
            </w:tcBorders>
            <w:vAlign w:val="center"/>
          </w:tcPr>
          <w:p w14:paraId="64E94061" w14:textId="72A65D45" w:rsidR="00D17976" w:rsidRPr="00AC36D6" w:rsidRDefault="00D17976" w:rsidP="00D17976">
            <w:pPr>
              <w:jc w:val="center"/>
              <w:rPr>
                <w:sz w:val="18"/>
                <w:szCs w:val="18"/>
              </w:rPr>
            </w:pPr>
            <w:r w:rsidRPr="00AC36D6">
              <w:rPr>
                <w:sz w:val="18"/>
                <w:szCs w:val="18"/>
              </w:rPr>
              <w:t>-0.0</w:t>
            </w:r>
            <w:r w:rsidR="00480E0E" w:rsidRPr="00AC36D6">
              <w:rPr>
                <w:sz w:val="18"/>
                <w:szCs w:val="18"/>
              </w:rPr>
              <w:t>4</w:t>
            </w:r>
            <w:r w:rsidRPr="00AC36D6">
              <w:rPr>
                <w:sz w:val="18"/>
                <w:szCs w:val="18"/>
              </w:rPr>
              <w:t xml:space="preserve"> </w:t>
            </w:r>
            <w:r w:rsidRPr="00AC36D6">
              <w:rPr>
                <w:i/>
                <w:iCs/>
                <w:sz w:val="18"/>
                <w:szCs w:val="18"/>
              </w:rPr>
              <w:t>(-2.</w:t>
            </w:r>
            <w:r w:rsidR="00480E0E" w:rsidRPr="00AC36D6">
              <w:rPr>
                <w:i/>
                <w:iCs/>
                <w:sz w:val="18"/>
                <w:szCs w:val="18"/>
              </w:rPr>
              <w:t>5</w:t>
            </w:r>
            <w:r w:rsidRPr="00AC36D6">
              <w:rPr>
                <w:i/>
                <w:iCs/>
                <w:sz w:val="18"/>
                <w:szCs w:val="18"/>
              </w:rPr>
              <w:t>)</w:t>
            </w:r>
          </w:p>
        </w:tc>
        <w:tc>
          <w:tcPr>
            <w:tcW w:w="1130" w:type="dxa"/>
            <w:tcBorders>
              <w:top w:val="nil"/>
              <w:left w:val="nil"/>
              <w:bottom w:val="nil"/>
              <w:right w:val="nil"/>
            </w:tcBorders>
            <w:vAlign w:val="center"/>
          </w:tcPr>
          <w:p w14:paraId="6357C10C"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895D435"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66FACFD7"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3F045C19"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254E01A0"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CA12919"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0DB272FC" w14:textId="77777777" w:rsidR="00D17976" w:rsidRPr="00AC36D6" w:rsidRDefault="00D17976" w:rsidP="00D17976">
            <w:pPr>
              <w:jc w:val="center"/>
              <w:rPr>
                <w:sz w:val="18"/>
                <w:szCs w:val="18"/>
              </w:rPr>
            </w:pPr>
            <w:r w:rsidRPr="00AC36D6">
              <w:rPr>
                <w:sz w:val="18"/>
                <w:szCs w:val="18"/>
              </w:rPr>
              <w:t xml:space="preserve">0.14 </w:t>
            </w:r>
            <w:r w:rsidRPr="00AC36D6">
              <w:rPr>
                <w:i/>
                <w:iCs/>
                <w:sz w:val="18"/>
                <w:szCs w:val="18"/>
              </w:rPr>
              <w:t>(8.4)</w:t>
            </w:r>
          </w:p>
        </w:tc>
        <w:tc>
          <w:tcPr>
            <w:tcW w:w="1132" w:type="dxa"/>
            <w:tcBorders>
              <w:top w:val="nil"/>
              <w:left w:val="nil"/>
              <w:bottom w:val="nil"/>
              <w:right w:val="nil"/>
            </w:tcBorders>
            <w:vAlign w:val="center"/>
          </w:tcPr>
          <w:p w14:paraId="11F1EB4A" w14:textId="7169F5A9" w:rsidR="00D17976" w:rsidRPr="00AC36D6" w:rsidRDefault="00D17976" w:rsidP="00D17976">
            <w:pPr>
              <w:jc w:val="center"/>
              <w:rPr>
                <w:sz w:val="18"/>
                <w:szCs w:val="18"/>
              </w:rPr>
            </w:pPr>
            <w:r w:rsidRPr="00AC36D6">
              <w:rPr>
                <w:sz w:val="18"/>
                <w:szCs w:val="18"/>
              </w:rPr>
              <w:t xml:space="preserve">0.11 </w:t>
            </w:r>
            <w:r w:rsidRPr="00AC36D6">
              <w:rPr>
                <w:i/>
                <w:iCs/>
                <w:sz w:val="18"/>
                <w:szCs w:val="18"/>
              </w:rPr>
              <w:t>(5.</w:t>
            </w:r>
            <w:r w:rsidR="00B41E7A" w:rsidRPr="00AC36D6">
              <w:rPr>
                <w:i/>
                <w:iCs/>
                <w:sz w:val="18"/>
                <w:szCs w:val="18"/>
              </w:rPr>
              <w:t>2</w:t>
            </w:r>
            <w:r w:rsidRPr="00AC36D6">
              <w:rPr>
                <w:i/>
                <w:iCs/>
                <w:sz w:val="18"/>
                <w:szCs w:val="18"/>
              </w:rPr>
              <w:t>)</w:t>
            </w:r>
          </w:p>
        </w:tc>
        <w:tc>
          <w:tcPr>
            <w:tcW w:w="1139" w:type="dxa"/>
            <w:tcBorders>
              <w:top w:val="nil"/>
              <w:left w:val="nil"/>
              <w:bottom w:val="nil"/>
              <w:right w:val="double" w:sz="4" w:space="0" w:color="auto"/>
            </w:tcBorders>
            <w:vAlign w:val="center"/>
          </w:tcPr>
          <w:p w14:paraId="08DC4323" w14:textId="77777777" w:rsidR="00D17976" w:rsidRPr="00AC36D6" w:rsidRDefault="00D17976" w:rsidP="00D17976">
            <w:pPr>
              <w:jc w:val="center"/>
              <w:rPr>
                <w:sz w:val="18"/>
                <w:szCs w:val="18"/>
              </w:rPr>
            </w:pPr>
            <w:r w:rsidRPr="00AC36D6">
              <w:rPr>
                <w:sz w:val="18"/>
                <w:szCs w:val="18"/>
              </w:rPr>
              <w:t>-</w:t>
            </w:r>
          </w:p>
        </w:tc>
      </w:tr>
      <w:tr w:rsidR="00D17976" w:rsidRPr="00AC36D6" w14:paraId="75C29360" w14:textId="77777777" w:rsidTr="00DA6943">
        <w:trPr>
          <w:trHeight w:val="278"/>
        </w:trPr>
        <w:tc>
          <w:tcPr>
            <w:tcW w:w="3653" w:type="dxa"/>
            <w:tcBorders>
              <w:top w:val="nil"/>
              <w:left w:val="double" w:sz="4" w:space="0" w:color="auto"/>
              <w:bottom w:val="nil"/>
              <w:right w:val="double" w:sz="4" w:space="0" w:color="auto"/>
            </w:tcBorders>
          </w:tcPr>
          <w:p w14:paraId="2B7C3C7F" w14:textId="56E3D7CE" w:rsidR="00D17976" w:rsidRPr="00AC36D6" w:rsidRDefault="00554C37" w:rsidP="00D17976">
            <w:pPr>
              <w:ind w:left="116"/>
              <w:rPr>
                <w:sz w:val="18"/>
                <w:szCs w:val="18"/>
              </w:rPr>
            </w:pPr>
            <w:r>
              <w:rPr>
                <w:sz w:val="18"/>
                <w:szCs w:val="18"/>
              </w:rPr>
              <w:t xml:space="preserve">  </w:t>
            </w:r>
            <w:r w:rsidR="00D17976" w:rsidRPr="00AC36D6">
              <w:rPr>
                <w:sz w:val="18"/>
                <w:szCs w:val="18"/>
              </w:rPr>
              <w:t xml:space="preserve">Proportion of </w:t>
            </w:r>
            <w:r w:rsidR="003223D8" w:rsidRPr="00AC36D6">
              <w:rPr>
                <w:sz w:val="18"/>
                <w:szCs w:val="18"/>
              </w:rPr>
              <w:t>women</w:t>
            </w:r>
            <w:r w:rsidR="00D17976" w:rsidRPr="00AC36D6">
              <w:rPr>
                <w:sz w:val="18"/>
                <w:szCs w:val="18"/>
              </w:rPr>
              <w:t xml:space="preserve"> in the group</w:t>
            </w:r>
          </w:p>
        </w:tc>
        <w:tc>
          <w:tcPr>
            <w:tcW w:w="1133" w:type="dxa"/>
            <w:tcBorders>
              <w:top w:val="nil"/>
              <w:left w:val="double" w:sz="4" w:space="0" w:color="auto"/>
              <w:bottom w:val="nil"/>
              <w:right w:val="nil"/>
            </w:tcBorders>
            <w:vAlign w:val="center"/>
          </w:tcPr>
          <w:p w14:paraId="5829B026" w14:textId="243F6354" w:rsidR="00D17976" w:rsidRPr="00AC36D6" w:rsidRDefault="00D17976" w:rsidP="00D17976">
            <w:pPr>
              <w:jc w:val="center"/>
              <w:rPr>
                <w:sz w:val="18"/>
                <w:szCs w:val="18"/>
              </w:rPr>
            </w:pPr>
            <w:r w:rsidRPr="00AC36D6">
              <w:rPr>
                <w:sz w:val="18"/>
                <w:szCs w:val="18"/>
              </w:rPr>
              <w:t xml:space="preserve">-0.22 </w:t>
            </w:r>
            <w:r w:rsidRPr="00AC36D6">
              <w:rPr>
                <w:i/>
                <w:iCs/>
                <w:sz w:val="18"/>
                <w:szCs w:val="18"/>
              </w:rPr>
              <w:t>(-3.</w:t>
            </w:r>
            <w:r w:rsidR="00480E0E" w:rsidRPr="00AC36D6">
              <w:rPr>
                <w:i/>
                <w:iCs/>
                <w:sz w:val="18"/>
                <w:szCs w:val="18"/>
              </w:rPr>
              <w:t>4</w:t>
            </w:r>
            <w:r w:rsidRPr="00AC36D6">
              <w:rPr>
                <w:i/>
                <w:iCs/>
                <w:sz w:val="18"/>
                <w:szCs w:val="18"/>
              </w:rPr>
              <w:t>)</w:t>
            </w:r>
          </w:p>
        </w:tc>
        <w:tc>
          <w:tcPr>
            <w:tcW w:w="1130" w:type="dxa"/>
            <w:tcBorders>
              <w:top w:val="nil"/>
              <w:left w:val="nil"/>
              <w:bottom w:val="nil"/>
              <w:right w:val="nil"/>
            </w:tcBorders>
            <w:vAlign w:val="center"/>
          </w:tcPr>
          <w:p w14:paraId="52577DBE" w14:textId="547EBCCD" w:rsidR="00D17976" w:rsidRPr="00AC36D6" w:rsidRDefault="00D17976" w:rsidP="00D17976">
            <w:pPr>
              <w:jc w:val="center"/>
              <w:rPr>
                <w:sz w:val="18"/>
                <w:szCs w:val="18"/>
              </w:rPr>
            </w:pPr>
            <w:r w:rsidRPr="00AC36D6">
              <w:rPr>
                <w:sz w:val="18"/>
                <w:szCs w:val="18"/>
              </w:rPr>
              <w:t>-0.5</w:t>
            </w:r>
            <w:r w:rsidR="00480E0E" w:rsidRPr="00AC36D6">
              <w:rPr>
                <w:sz w:val="18"/>
                <w:szCs w:val="18"/>
              </w:rPr>
              <w:t>0</w:t>
            </w:r>
            <w:r w:rsidRPr="00AC36D6">
              <w:rPr>
                <w:sz w:val="18"/>
                <w:szCs w:val="18"/>
              </w:rPr>
              <w:t xml:space="preserve"> </w:t>
            </w:r>
            <w:r w:rsidRPr="00AC36D6">
              <w:rPr>
                <w:i/>
                <w:iCs/>
                <w:sz w:val="18"/>
                <w:szCs w:val="18"/>
              </w:rPr>
              <w:t>(-5.</w:t>
            </w:r>
            <w:r w:rsidR="00480E0E" w:rsidRPr="00AC36D6">
              <w:rPr>
                <w:i/>
                <w:iCs/>
                <w:sz w:val="18"/>
                <w:szCs w:val="18"/>
              </w:rPr>
              <w:t>4</w:t>
            </w:r>
            <w:r w:rsidRPr="00AC36D6">
              <w:rPr>
                <w:i/>
                <w:iCs/>
                <w:sz w:val="18"/>
                <w:szCs w:val="18"/>
              </w:rPr>
              <w:t>)</w:t>
            </w:r>
          </w:p>
        </w:tc>
        <w:tc>
          <w:tcPr>
            <w:tcW w:w="1132" w:type="dxa"/>
            <w:tcBorders>
              <w:top w:val="nil"/>
              <w:left w:val="nil"/>
              <w:bottom w:val="nil"/>
              <w:right w:val="nil"/>
            </w:tcBorders>
            <w:vAlign w:val="center"/>
          </w:tcPr>
          <w:p w14:paraId="017FB6FF" w14:textId="72F10B3E" w:rsidR="00D17976" w:rsidRPr="00AC36D6" w:rsidRDefault="00D17976" w:rsidP="00D17976">
            <w:pPr>
              <w:jc w:val="center"/>
              <w:rPr>
                <w:sz w:val="18"/>
                <w:szCs w:val="18"/>
              </w:rPr>
            </w:pPr>
            <w:r w:rsidRPr="00AC36D6">
              <w:rPr>
                <w:sz w:val="18"/>
                <w:szCs w:val="18"/>
              </w:rPr>
              <w:t>0.</w:t>
            </w:r>
            <w:r w:rsidR="00480E0E" w:rsidRPr="00AC36D6">
              <w:rPr>
                <w:sz w:val="18"/>
                <w:szCs w:val="18"/>
              </w:rPr>
              <w:t>19</w:t>
            </w:r>
            <w:r w:rsidRPr="00AC36D6">
              <w:rPr>
                <w:sz w:val="18"/>
                <w:szCs w:val="18"/>
              </w:rPr>
              <w:t xml:space="preserve"> </w:t>
            </w:r>
            <w:r w:rsidRPr="00AC36D6">
              <w:rPr>
                <w:i/>
                <w:iCs/>
                <w:sz w:val="18"/>
                <w:szCs w:val="18"/>
              </w:rPr>
              <w:t>(2.</w:t>
            </w:r>
            <w:r w:rsidR="00480E0E" w:rsidRPr="00AC36D6">
              <w:rPr>
                <w:i/>
                <w:iCs/>
                <w:sz w:val="18"/>
                <w:szCs w:val="18"/>
              </w:rPr>
              <w:t>7</w:t>
            </w:r>
            <w:r w:rsidRPr="00AC36D6">
              <w:rPr>
                <w:i/>
                <w:iCs/>
                <w:sz w:val="18"/>
                <w:szCs w:val="18"/>
              </w:rPr>
              <w:t>)</w:t>
            </w:r>
          </w:p>
        </w:tc>
        <w:tc>
          <w:tcPr>
            <w:tcW w:w="1132" w:type="dxa"/>
            <w:tcBorders>
              <w:top w:val="nil"/>
              <w:left w:val="nil"/>
              <w:bottom w:val="nil"/>
              <w:right w:val="nil"/>
            </w:tcBorders>
            <w:vAlign w:val="center"/>
          </w:tcPr>
          <w:p w14:paraId="1B9C075E" w14:textId="77777777" w:rsidR="00D17976" w:rsidRPr="00AC36D6" w:rsidRDefault="00D17976" w:rsidP="00D17976">
            <w:pPr>
              <w:jc w:val="center"/>
              <w:rPr>
                <w:sz w:val="18"/>
                <w:szCs w:val="18"/>
              </w:rPr>
            </w:pPr>
          </w:p>
        </w:tc>
        <w:tc>
          <w:tcPr>
            <w:tcW w:w="1139" w:type="dxa"/>
            <w:tcBorders>
              <w:top w:val="nil"/>
              <w:left w:val="nil"/>
              <w:bottom w:val="nil"/>
              <w:right w:val="double" w:sz="4" w:space="0" w:color="auto"/>
            </w:tcBorders>
            <w:vAlign w:val="center"/>
          </w:tcPr>
          <w:p w14:paraId="4BD35380" w14:textId="77777777" w:rsidR="00D17976" w:rsidRPr="00AC36D6" w:rsidRDefault="00D17976" w:rsidP="00D17976">
            <w:pPr>
              <w:jc w:val="center"/>
              <w:rPr>
                <w:sz w:val="18"/>
                <w:szCs w:val="18"/>
              </w:rPr>
            </w:pPr>
          </w:p>
        </w:tc>
        <w:tc>
          <w:tcPr>
            <w:tcW w:w="1132" w:type="dxa"/>
            <w:tcBorders>
              <w:top w:val="nil"/>
              <w:left w:val="double" w:sz="4" w:space="0" w:color="auto"/>
              <w:bottom w:val="nil"/>
              <w:right w:val="nil"/>
            </w:tcBorders>
            <w:vAlign w:val="center"/>
          </w:tcPr>
          <w:p w14:paraId="05373D3E"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3352653"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190C1DD7"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00E172DD"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64002CC6" w14:textId="77777777" w:rsidR="00D17976" w:rsidRPr="00AC36D6" w:rsidRDefault="00D17976" w:rsidP="00D17976">
            <w:pPr>
              <w:jc w:val="center"/>
              <w:rPr>
                <w:sz w:val="18"/>
                <w:szCs w:val="18"/>
              </w:rPr>
            </w:pPr>
            <w:r w:rsidRPr="00AC36D6">
              <w:rPr>
                <w:sz w:val="18"/>
                <w:szCs w:val="18"/>
              </w:rPr>
              <w:t>-</w:t>
            </w:r>
          </w:p>
        </w:tc>
      </w:tr>
      <w:tr w:rsidR="00D17976" w:rsidRPr="00AC36D6" w14:paraId="0AE162D9" w14:textId="77777777" w:rsidTr="00DA6943">
        <w:trPr>
          <w:trHeight w:val="278"/>
        </w:trPr>
        <w:tc>
          <w:tcPr>
            <w:tcW w:w="3653" w:type="dxa"/>
            <w:tcBorders>
              <w:top w:val="nil"/>
              <w:left w:val="double" w:sz="4" w:space="0" w:color="auto"/>
              <w:bottom w:val="nil"/>
              <w:right w:val="double" w:sz="4" w:space="0" w:color="auto"/>
            </w:tcBorders>
          </w:tcPr>
          <w:p w14:paraId="449CC150" w14:textId="4FAC7D5F" w:rsidR="00D17976" w:rsidRPr="00AC36D6" w:rsidRDefault="00554C37" w:rsidP="00D17976">
            <w:pPr>
              <w:ind w:left="116"/>
              <w:rPr>
                <w:sz w:val="18"/>
                <w:szCs w:val="18"/>
              </w:rPr>
            </w:pPr>
            <w:r>
              <w:rPr>
                <w:sz w:val="18"/>
                <w:szCs w:val="18"/>
              </w:rPr>
              <w:t xml:space="preserve">  </w:t>
            </w:r>
            <w:r w:rsidR="001A3A9D" w:rsidRPr="00AC36D6">
              <w:rPr>
                <w:sz w:val="18"/>
                <w:szCs w:val="18"/>
              </w:rPr>
              <w:t>Proportion</w:t>
            </w:r>
            <w:r w:rsidR="00D17976" w:rsidRPr="00AC36D6">
              <w:rPr>
                <w:sz w:val="18"/>
                <w:szCs w:val="18"/>
              </w:rPr>
              <w:t xml:space="preserve"> of elderl</w:t>
            </w:r>
            <w:r w:rsidR="001A3A9D" w:rsidRPr="00AC36D6">
              <w:rPr>
                <w:sz w:val="18"/>
                <w:szCs w:val="18"/>
              </w:rPr>
              <w:t>y</w:t>
            </w:r>
            <w:r w:rsidR="00D17976" w:rsidRPr="00AC36D6">
              <w:rPr>
                <w:sz w:val="18"/>
                <w:szCs w:val="18"/>
              </w:rPr>
              <w:t xml:space="preserve"> in the group</w:t>
            </w:r>
          </w:p>
        </w:tc>
        <w:tc>
          <w:tcPr>
            <w:tcW w:w="1133" w:type="dxa"/>
            <w:tcBorders>
              <w:top w:val="nil"/>
              <w:left w:val="double" w:sz="4" w:space="0" w:color="auto"/>
              <w:bottom w:val="nil"/>
              <w:right w:val="nil"/>
            </w:tcBorders>
            <w:vAlign w:val="center"/>
          </w:tcPr>
          <w:p w14:paraId="4CB0E238" w14:textId="77777777" w:rsidR="00D17976" w:rsidRPr="00AC36D6" w:rsidRDefault="00D17976" w:rsidP="00D17976">
            <w:pPr>
              <w:jc w:val="center"/>
              <w:rPr>
                <w:sz w:val="18"/>
                <w:szCs w:val="18"/>
              </w:rPr>
            </w:pPr>
            <w:r w:rsidRPr="00AC36D6">
              <w:rPr>
                <w:sz w:val="18"/>
                <w:szCs w:val="18"/>
              </w:rPr>
              <w:t>-</w:t>
            </w:r>
          </w:p>
        </w:tc>
        <w:tc>
          <w:tcPr>
            <w:tcW w:w="1130" w:type="dxa"/>
            <w:tcBorders>
              <w:top w:val="nil"/>
              <w:left w:val="nil"/>
              <w:bottom w:val="nil"/>
              <w:right w:val="nil"/>
            </w:tcBorders>
            <w:vAlign w:val="center"/>
          </w:tcPr>
          <w:p w14:paraId="38E3551D"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0444FA0D"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65398742"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6B06D434" w14:textId="55827531" w:rsidR="00D17976" w:rsidRPr="00AC36D6" w:rsidRDefault="00D17976" w:rsidP="00D17976">
            <w:pPr>
              <w:jc w:val="center"/>
              <w:rPr>
                <w:sz w:val="18"/>
                <w:szCs w:val="18"/>
              </w:rPr>
            </w:pPr>
            <w:r w:rsidRPr="00AC36D6">
              <w:rPr>
                <w:sz w:val="18"/>
                <w:szCs w:val="18"/>
              </w:rPr>
              <w:t>0.</w:t>
            </w:r>
            <w:r w:rsidR="004E763B" w:rsidRPr="00AC36D6">
              <w:rPr>
                <w:sz w:val="18"/>
                <w:szCs w:val="18"/>
              </w:rPr>
              <w:t>42</w:t>
            </w:r>
            <w:r w:rsidRPr="00AC36D6">
              <w:rPr>
                <w:sz w:val="18"/>
                <w:szCs w:val="18"/>
              </w:rPr>
              <w:t xml:space="preserve"> </w:t>
            </w:r>
            <w:r w:rsidRPr="00AC36D6">
              <w:rPr>
                <w:i/>
                <w:iCs/>
                <w:sz w:val="18"/>
                <w:szCs w:val="18"/>
              </w:rPr>
              <w:t>(</w:t>
            </w:r>
            <w:r w:rsidR="004E763B" w:rsidRPr="00AC36D6">
              <w:rPr>
                <w:i/>
                <w:iCs/>
                <w:sz w:val="18"/>
                <w:szCs w:val="18"/>
              </w:rPr>
              <w:t>7</w:t>
            </w:r>
            <w:r w:rsidRPr="00AC36D6">
              <w:rPr>
                <w:i/>
                <w:iCs/>
                <w:sz w:val="18"/>
                <w:szCs w:val="18"/>
              </w:rPr>
              <w:t>.</w:t>
            </w:r>
            <w:r w:rsidR="004E763B" w:rsidRPr="00AC36D6">
              <w:rPr>
                <w:i/>
                <w:iCs/>
                <w:sz w:val="18"/>
                <w:szCs w:val="18"/>
              </w:rPr>
              <w:t>0</w:t>
            </w:r>
            <w:r w:rsidRPr="00AC36D6">
              <w:rPr>
                <w:i/>
                <w:iCs/>
                <w:sz w:val="18"/>
                <w:szCs w:val="18"/>
              </w:rPr>
              <w:t>)</w:t>
            </w:r>
          </w:p>
        </w:tc>
        <w:tc>
          <w:tcPr>
            <w:tcW w:w="1132" w:type="dxa"/>
            <w:tcBorders>
              <w:top w:val="nil"/>
              <w:left w:val="double" w:sz="4" w:space="0" w:color="auto"/>
              <w:bottom w:val="nil"/>
              <w:right w:val="nil"/>
            </w:tcBorders>
            <w:vAlign w:val="center"/>
          </w:tcPr>
          <w:p w14:paraId="0007B7F2"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43286581"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7FCACE3E"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225719D6"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0286DD38" w14:textId="77777777" w:rsidR="00D17976" w:rsidRPr="00AC36D6" w:rsidRDefault="00D17976" w:rsidP="00D17976">
            <w:pPr>
              <w:jc w:val="center"/>
              <w:rPr>
                <w:sz w:val="18"/>
                <w:szCs w:val="18"/>
              </w:rPr>
            </w:pPr>
            <w:r w:rsidRPr="00AC36D6">
              <w:rPr>
                <w:sz w:val="18"/>
                <w:szCs w:val="18"/>
              </w:rPr>
              <w:t>-</w:t>
            </w:r>
          </w:p>
        </w:tc>
      </w:tr>
      <w:tr w:rsidR="00D17976" w:rsidRPr="00AC36D6" w14:paraId="37146420" w14:textId="77777777" w:rsidTr="00DA6943">
        <w:trPr>
          <w:trHeight w:val="278"/>
        </w:trPr>
        <w:tc>
          <w:tcPr>
            <w:tcW w:w="3653" w:type="dxa"/>
            <w:tcBorders>
              <w:top w:val="nil"/>
              <w:left w:val="double" w:sz="4" w:space="0" w:color="auto"/>
              <w:bottom w:val="nil"/>
              <w:right w:val="double" w:sz="4" w:space="0" w:color="auto"/>
            </w:tcBorders>
          </w:tcPr>
          <w:p w14:paraId="0399C67A" w14:textId="243422A0" w:rsidR="00D17976" w:rsidRPr="00AC36D6" w:rsidRDefault="00554C37" w:rsidP="00D17976">
            <w:pPr>
              <w:ind w:left="116"/>
              <w:rPr>
                <w:sz w:val="18"/>
                <w:szCs w:val="18"/>
              </w:rPr>
            </w:pPr>
            <w:r>
              <w:rPr>
                <w:sz w:val="18"/>
                <w:szCs w:val="18"/>
              </w:rPr>
              <w:t xml:space="preserve">  </w:t>
            </w:r>
            <w:r w:rsidR="00D17976" w:rsidRPr="00AC36D6">
              <w:rPr>
                <w:sz w:val="18"/>
                <w:szCs w:val="18"/>
              </w:rPr>
              <w:t xml:space="preserve">Number of nights </w:t>
            </w:r>
          </w:p>
        </w:tc>
        <w:tc>
          <w:tcPr>
            <w:tcW w:w="1133" w:type="dxa"/>
            <w:tcBorders>
              <w:top w:val="nil"/>
              <w:left w:val="double" w:sz="4" w:space="0" w:color="auto"/>
              <w:bottom w:val="nil"/>
              <w:right w:val="nil"/>
            </w:tcBorders>
            <w:vAlign w:val="center"/>
          </w:tcPr>
          <w:p w14:paraId="3D5FDDCC" w14:textId="77777777" w:rsidR="00D17976" w:rsidRPr="00AC36D6" w:rsidRDefault="00D17976" w:rsidP="00D17976">
            <w:pPr>
              <w:jc w:val="center"/>
              <w:rPr>
                <w:sz w:val="18"/>
                <w:szCs w:val="18"/>
              </w:rPr>
            </w:pPr>
            <w:r w:rsidRPr="00AC36D6">
              <w:rPr>
                <w:sz w:val="18"/>
                <w:szCs w:val="18"/>
              </w:rPr>
              <w:t>-</w:t>
            </w:r>
          </w:p>
        </w:tc>
        <w:tc>
          <w:tcPr>
            <w:tcW w:w="1130" w:type="dxa"/>
            <w:tcBorders>
              <w:top w:val="nil"/>
              <w:left w:val="nil"/>
              <w:bottom w:val="nil"/>
              <w:right w:val="nil"/>
            </w:tcBorders>
            <w:vAlign w:val="center"/>
          </w:tcPr>
          <w:p w14:paraId="21CCC17E"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4727BE50"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5ABCDE19"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1AA15986" w14:textId="2C58DA98" w:rsidR="00D17976" w:rsidRPr="00AC36D6" w:rsidRDefault="00D17976" w:rsidP="00D17976">
            <w:pPr>
              <w:jc w:val="center"/>
              <w:rPr>
                <w:sz w:val="18"/>
                <w:szCs w:val="18"/>
              </w:rPr>
            </w:pPr>
            <w:r w:rsidRPr="00AC36D6">
              <w:rPr>
                <w:sz w:val="18"/>
                <w:szCs w:val="18"/>
              </w:rPr>
              <w:t>0.02 (9.</w:t>
            </w:r>
            <w:r w:rsidR="004E763B" w:rsidRPr="00AC36D6">
              <w:rPr>
                <w:sz w:val="18"/>
                <w:szCs w:val="18"/>
              </w:rPr>
              <w:t>7</w:t>
            </w:r>
            <w:r w:rsidRPr="00AC36D6">
              <w:rPr>
                <w:sz w:val="18"/>
                <w:szCs w:val="18"/>
              </w:rPr>
              <w:t>)</w:t>
            </w:r>
          </w:p>
        </w:tc>
        <w:tc>
          <w:tcPr>
            <w:tcW w:w="1132" w:type="dxa"/>
            <w:tcBorders>
              <w:top w:val="nil"/>
              <w:left w:val="double" w:sz="4" w:space="0" w:color="auto"/>
              <w:bottom w:val="nil"/>
              <w:right w:val="nil"/>
            </w:tcBorders>
            <w:vAlign w:val="center"/>
          </w:tcPr>
          <w:p w14:paraId="3AF4277F"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439C075B" w14:textId="7CC5E174" w:rsidR="00D17976" w:rsidRPr="00AC36D6" w:rsidRDefault="00D17976" w:rsidP="00D17976">
            <w:pPr>
              <w:jc w:val="center"/>
              <w:rPr>
                <w:sz w:val="18"/>
                <w:szCs w:val="18"/>
              </w:rPr>
            </w:pPr>
            <w:r w:rsidRPr="00AC36D6">
              <w:rPr>
                <w:sz w:val="18"/>
                <w:szCs w:val="18"/>
              </w:rPr>
              <w:t>0.0</w:t>
            </w:r>
            <w:r w:rsidR="00B41E7A" w:rsidRPr="00AC36D6">
              <w:rPr>
                <w:sz w:val="18"/>
                <w:szCs w:val="18"/>
              </w:rPr>
              <w:t>2</w:t>
            </w:r>
            <w:r w:rsidRPr="00AC36D6">
              <w:rPr>
                <w:sz w:val="18"/>
                <w:szCs w:val="18"/>
              </w:rPr>
              <w:t xml:space="preserve"> </w:t>
            </w:r>
            <w:r w:rsidRPr="00AC36D6">
              <w:rPr>
                <w:i/>
                <w:iCs/>
                <w:sz w:val="18"/>
                <w:szCs w:val="18"/>
              </w:rPr>
              <w:t>(11.</w:t>
            </w:r>
            <w:r w:rsidR="00B41E7A"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53D30E31" w14:textId="2C1F7F9C" w:rsidR="00D17976" w:rsidRPr="00AC36D6" w:rsidRDefault="00D17976" w:rsidP="00D17976">
            <w:pPr>
              <w:jc w:val="center"/>
              <w:rPr>
                <w:sz w:val="18"/>
                <w:szCs w:val="18"/>
              </w:rPr>
            </w:pPr>
            <w:r w:rsidRPr="00AC36D6">
              <w:rPr>
                <w:sz w:val="18"/>
                <w:szCs w:val="18"/>
              </w:rPr>
              <w:t xml:space="preserve">0.02 </w:t>
            </w:r>
            <w:r w:rsidRPr="00AC36D6">
              <w:rPr>
                <w:i/>
                <w:iCs/>
                <w:sz w:val="18"/>
                <w:szCs w:val="18"/>
              </w:rPr>
              <w:t>(</w:t>
            </w:r>
            <w:r w:rsidR="00B41E7A" w:rsidRPr="00AC36D6">
              <w:rPr>
                <w:i/>
                <w:iCs/>
                <w:sz w:val="18"/>
                <w:szCs w:val="18"/>
              </w:rPr>
              <w:t>8</w:t>
            </w:r>
            <w:r w:rsidRPr="00AC36D6">
              <w:rPr>
                <w:i/>
                <w:iCs/>
                <w:sz w:val="18"/>
                <w:szCs w:val="18"/>
              </w:rPr>
              <w:t>.</w:t>
            </w:r>
            <w:r w:rsidR="00B41E7A" w:rsidRPr="00AC36D6">
              <w:rPr>
                <w:i/>
                <w:iCs/>
                <w:sz w:val="18"/>
                <w:szCs w:val="18"/>
              </w:rPr>
              <w:t>9</w:t>
            </w:r>
            <w:r w:rsidRPr="00AC36D6">
              <w:rPr>
                <w:i/>
                <w:iCs/>
                <w:sz w:val="18"/>
                <w:szCs w:val="18"/>
              </w:rPr>
              <w:t>)</w:t>
            </w:r>
          </w:p>
        </w:tc>
        <w:tc>
          <w:tcPr>
            <w:tcW w:w="1132" w:type="dxa"/>
            <w:tcBorders>
              <w:top w:val="nil"/>
              <w:left w:val="nil"/>
              <w:bottom w:val="nil"/>
              <w:right w:val="nil"/>
            </w:tcBorders>
            <w:vAlign w:val="center"/>
          </w:tcPr>
          <w:p w14:paraId="62D4495D" w14:textId="4B592BEE" w:rsidR="00D17976" w:rsidRPr="00AC36D6" w:rsidRDefault="00D17976" w:rsidP="00D17976">
            <w:pPr>
              <w:jc w:val="center"/>
              <w:rPr>
                <w:sz w:val="18"/>
                <w:szCs w:val="18"/>
              </w:rPr>
            </w:pPr>
            <w:r w:rsidRPr="00AC36D6">
              <w:rPr>
                <w:sz w:val="18"/>
                <w:szCs w:val="18"/>
              </w:rPr>
              <w:t xml:space="preserve">0.01 </w:t>
            </w:r>
            <w:r w:rsidRPr="00AC36D6">
              <w:rPr>
                <w:i/>
                <w:iCs/>
                <w:sz w:val="18"/>
                <w:szCs w:val="18"/>
              </w:rPr>
              <w:t>(2.</w:t>
            </w:r>
            <w:r w:rsidR="00F47BFF" w:rsidRPr="00AC36D6">
              <w:rPr>
                <w:i/>
                <w:iCs/>
                <w:sz w:val="18"/>
                <w:szCs w:val="18"/>
              </w:rPr>
              <w:t>2</w:t>
            </w:r>
            <w:r w:rsidRPr="00AC36D6">
              <w:rPr>
                <w:i/>
                <w:iCs/>
                <w:sz w:val="18"/>
                <w:szCs w:val="18"/>
              </w:rPr>
              <w:t>)</w:t>
            </w:r>
          </w:p>
        </w:tc>
        <w:tc>
          <w:tcPr>
            <w:tcW w:w="1139" w:type="dxa"/>
            <w:tcBorders>
              <w:top w:val="nil"/>
              <w:left w:val="nil"/>
              <w:bottom w:val="nil"/>
              <w:right w:val="double" w:sz="4" w:space="0" w:color="auto"/>
            </w:tcBorders>
            <w:vAlign w:val="center"/>
          </w:tcPr>
          <w:p w14:paraId="050F4D48" w14:textId="1F0CEF78" w:rsidR="00D17976" w:rsidRPr="00AC36D6" w:rsidRDefault="00D17976" w:rsidP="00D17976">
            <w:pPr>
              <w:jc w:val="center"/>
              <w:rPr>
                <w:sz w:val="18"/>
                <w:szCs w:val="18"/>
              </w:rPr>
            </w:pPr>
            <w:r w:rsidRPr="00AC36D6">
              <w:rPr>
                <w:sz w:val="18"/>
                <w:szCs w:val="18"/>
              </w:rPr>
              <w:t>0.0</w:t>
            </w:r>
            <w:r w:rsidR="00F47BFF" w:rsidRPr="00AC36D6">
              <w:rPr>
                <w:sz w:val="18"/>
                <w:szCs w:val="18"/>
              </w:rPr>
              <w:t>4</w:t>
            </w:r>
            <w:r w:rsidRPr="00AC36D6">
              <w:rPr>
                <w:sz w:val="18"/>
                <w:szCs w:val="18"/>
              </w:rPr>
              <w:t xml:space="preserve"> </w:t>
            </w:r>
            <w:r w:rsidRPr="00AC36D6">
              <w:rPr>
                <w:i/>
                <w:iCs/>
                <w:sz w:val="18"/>
                <w:szCs w:val="18"/>
              </w:rPr>
              <w:t>(</w:t>
            </w:r>
            <w:r w:rsidR="00F47BFF" w:rsidRPr="00AC36D6">
              <w:rPr>
                <w:i/>
                <w:iCs/>
                <w:sz w:val="18"/>
                <w:szCs w:val="18"/>
              </w:rPr>
              <w:t>7</w:t>
            </w:r>
            <w:r w:rsidRPr="00AC36D6">
              <w:rPr>
                <w:i/>
                <w:iCs/>
                <w:sz w:val="18"/>
                <w:szCs w:val="18"/>
              </w:rPr>
              <w:t>.</w:t>
            </w:r>
            <w:r w:rsidR="00F47BFF" w:rsidRPr="00AC36D6">
              <w:rPr>
                <w:i/>
                <w:iCs/>
                <w:sz w:val="18"/>
                <w:szCs w:val="18"/>
              </w:rPr>
              <w:t>6</w:t>
            </w:r>
            <w:r w:rsidRPr="00AC36D6">
              <w:rPr>
                <w:i/>
                <w:iCs/>
                <w:sz w:val="18"/>
                <w:szCs w:val="18"/>
              </w:rPr>
              <w:t>)</w:t>
            </w:r>
          </w:p>
        </w:tc>
      </w:tr>
      <w:tr w:rsidR="00D17976" w:rsidRPr="00AC36D6" w14:paraId="43D48AE4" w14:textId="77777777" w:rsidTr="00DA6943">
        <w:trPr>
          <w:trHeight w:val="278"/>
        </w:trPr>
        <w:tc>
          <w:tcPr>
            <w:tcW w:w="3653" w:type="dxa"/>
            <w:tcBorders>
              <w:top w:val="nil"/>
              <w:left w:val="double" w:sz="4" w:space="0" w:color="auto"/>
              <w:bottom w:val="nil"/>
              <w:right w:val="double" w:sz="4" w:space="0" w:color="auto"/>
            </w:tcBorders>
          </w:tcPr>
          <w:p w14:paraId="2451F678" w14:textId="3571BF79" w:rsidR="00D17976" w:rsidRPr="00AC36D6" w:rsidRDefault="00554C37" w:rsidP="00D17976">
            <w:pPr>
              <w:ind w:left="116"/>
              <w:rPr>
                <w:sz w:val="18"/>
                <w:szCs w:val="18"/>
              </w:rPr>
            </w:pPr>
            <w:r>
              <w:rPr>
                <w:sz w:val="18"/>
                <w:szCs w:val="18"/>
              </w:rPr>
              <w:t xml:space="preserve">  </w:t>
            </w:r>
            <w:r w:rsidR="00D17976" w:rsidRPr="00AC36D6">
              <w:rPr>
                <w:sz w:val="18"/>
                <w:szCs w:val="18"/>
              </w:rPr>
              <w:t>Trip duration (Base: duration &gt; 10 nights)</w:t>
            </w:r>
          </w:p>
        </w:tc>
        <w:tc>
          <w:tcPr>
            <w:tcW w:w="5666" w:type="dxa"/>
            <w:gridSpan w:val="5"/>
            <w:tcBorders>
              <w:top w:val="nil"/>
              <w:left w:val="double" w:sz="4" w:space="0" w:color="auto"/>
              <w:bottom w:val="nil"/>
              <w:right w:val="double" w:sz="4" w:space="0" w:color="auto"/>
            </w:tcBorders>
            <w:vAlign w:val="center"/>
          </w:tcPr>
          <w:p w14:paraId="77692113" w14:textId="77777777" w:rsidR="00D17976" w:rsidRPr="00AC36D6" w:rsidRDefault="00D17976" w:rsidP="00D17976">
            <w:pPr>
              <w:jc w:val="center"/>
              <w:rPr>
                <w:sz w:val="18"/>
                <w:szCs w:val="18"/>
              </w:rPr>
            </w:pPr>
          </w:p>
        </w:tc>
        <w:tc>
          <w:tcPr>
            <w:tcW w:w="5667" w:type="dxa"/>
            <w:gridSpan w:val="5"/>
            <w:tcBorders>
              <w:top w:val="nil"/>
              <w:left w:val="double" w:sz="4" w:space="0" w:color="auto"/>
              <w:bottom w:val="nil"/>
              <w:right w:val="double" w:sz="4" w:space="0" w:color="auto"/>
            </w:tcBorders>
            <w:vAlign w:val="center"/>
          </w:tcPr>
          <w:p w14:paraId="1726BAAF" w14:textId="77777777" w:rsidR="00D17976" w:rsidRPr="00AC36D6" w:rsidRDefault="00D17976" w:rsidP="00D17976">
            <w:pPr>
              <w:jc w:val="center"/>
              <w:rPr>
                <w:sz w:val="18"/>
                <w:szCs w:val="18"/>
              </w:rPr>
            </w:pPr>
          </w:p>
        </w:tc>
      </w:tr>
      <w:tr w:rsidR="00D17976" w:rsidRPr="00AC36D6" w14:paraId="3B0B70D4" w14:textId="77777777" w:rsidTr="00DA6943">
        <w:trPr>
          <w:trHeight w:val="278"/>
        </w:trPr>
        <w:tc>
          <w:tcPr>
            <w:tcW w:w="3653" w:type="dxa"/>
            <w:tcBorders>
              <w:top w:val="nil"/>
              <w:left w:val="double" w:sz="4" w:space="0" w:color="auto"/>
              <w:bottom w:val="nil"/>
              <w:right w:val="double" w:sz="4" w:space="0" w:color="auto"/>
            </w:tcBorders>
          </w:tcPr>
          <w:p w14:paraId="4BE112F6" w14:textId="67CB6563" w:rsidR="00D17976" w:rsidRPr="00AC36D6" w:rsidRDefault="00554C37" w:rsidP="00D17976">
            <w:pPr>
              <w:ind w:left="258"/>
              <w:rPr>
                <w:sz w:val="18"/>
                <w:szCs w:val="18"/>
              </w:rPr>
            </w:pPr>
            <w:r>
              <w:rPr>
                <w:sz w:val="18"/>
                <w:szCs w:val="18"/>
              </w:rPr>
              <w:t xml:space="preserve"> </w:t>
            </w:r>
            <w:r w:rsidR="00D17976" w:rsidRPr="00AC36D6">
              <w:rPr>
                <w:sz w:val="18"/>
                <w:szCs w:val="18"/>
              </w:rPr>
              <w:t>Trip duration is 1-3 nights</w:t>
            </w:r>
          </w:p>
        </w:tc>
        <w:tc>
          <w:tcPr>
            <w:tcW w:w="1133" w:type="dxa"/>
            <w:tcBorders>
              <w:top w:val="nil"/>
              <w:left w:val="double" w:sz="4" w:space="0" w:color="auto"/>
              <w:bottom w:val="nil"/>
              <w:right w:val="nil"/>
            </w:tcBorders>
            <w:vAlign w:val="center"/>
          </w:tcPr>
          <w:p w14:paraId="14A141CF" w14:textId="7F3E4774" w:rsidR="00D17976" w:rsidRPr="00AC36D6" w:rsidRDefault="00D17976" w:rsidP="00D17976">
            <w:pPr>
              <w:jc w:val="center"/>
              <w:rPr>
                <w:sz w:val="18"/>
                <w:szCs w:val="18"/>
              </w:rPr>
            </w:pPr>
            <w:r w:rsidRPr="00AC36D6">
              <w:rPr>
                <w:sz w:val="18"/>
                <w:szCs w:val="18"/>
              </w:rPr>
              <w:t>1.0</w:t>
            </w:r>
            <w:r w:rsidR="004E763B" w:rsidRPr="00AC36D6">
              <w:rPr>
                <w:sz w:val="18"/>
                <w:szCs w:val="18"/>
              </w:rPr>
              <w:t>7</w:t>
            </w:r>
            <w:r w:rsidRPr="00AC36D6">
              <w:rPr>
                <w:sz w:val="18"/>
                <w:szCs w:val="18"/>
              </w:rPr>
              <w:t xml:space="preserve"> </w:t>
            </w:r>
            <w:r w:rsidRPr="00AC36D6">
              <w:rPr>
                <w:i/>
                <w:iCs/>
                <w:sz w:val="18"/>
                <w:szCs w:val="18"/>
              </w:rPr>
              <w:t>(13.</w:t>
            </w:r>
            <w:r w:rsidR="004E763B" w:rsidRPr="00AC36D6">
              <w:rPr>
                <w:i/>
                <w:iCs/>
                <w:sz w:val="18"/>
                <w:szCs w:val="18"/>
              </w:rPr>
              <w:t>3</w:t>
            </w:r>
            <w:r w:rsidRPr="00AC36D6">
              <w:rPr>
                <w:i/>
                <w:iCs/>
                <w:sz w:val="18"/>
                <w:szCs w:val="18"/>
              </w:rPr>
              <w:t>)</w:t>
            </w:r>
          </w:p>
        </w:tc>
        <w:tc>
          <w:tcPr>
            <w:tcW w:w="1130" w:type="dxa"/>
            <w:tcBorders>
              <w:top w:val="nil"/>
              <w:left w:val="nil"/>
              <w:bottom w:val="nil"/>
              <w:right w:val="nil"/>
            </w:tcBorders>
            <w:vAlign w:val="center"/>
          </w:tcPr>
          <w:p w14:paraId="09665EE5" w14:textId="672B3729"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7532F9D" w14:textId="4BB42E66"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0D566B43" w14:textId="44717546"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475D98EB" w14:textId="5E9CC49D"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6CC05652" w14:textId="11E9A3D3" w:rsidR="00D17976" w:rsidRPr="00AC36D6" w:rsidRDefault="00D17976" w:rsidP="00D17976">
            <w:pPr>
              <w:jc w:val="center"/>
              <w:rPr>
                <w:sz w:val="18"/>
                <w:szCs w:val="18"/>
              </w:rPr>
            </w:pPr>
            <w:r w:rsidRPr="00AC36D6">
              <w:rPr>
                <w:sz w:val="18"/>
                <w:szCs w:val="18"/>
              </w:rPr>
              <w:t>-0.3</w:t>
            </w:r>
            <w:r w:rsidR="00F47BFF" w:rsidRPr="00AC36D6">
              <w:rPr>
                <w:sz w:val="18"/>
                <w:szCs w:val="18"/>
              </w:rPr>
              <w:t>1</w:t>
            </w:r>
            <w:r w:rsidRPr="00AC36D6">
              <w:rPr>
                <w:sz w:val="18"/>
                <w:szCs w:val="18"/>
              </w:rPr>
              <w:t xml:space="preserve"> </w:t>
            </w:r>
            <w:r w:rsidRPr="00AC36D6">
              <w:rPr>
                <w:i/>
                <w:iCs/>
                <w:sz w:val="18"/>
                <w:szCs w:val="18"/>
              </w:rPr>
              <w:t>(-</w:t>
            </w:r>
            <w:r w:rsidR="00F47BFF" w:rsidRPr="00AC36D6">
              <w:rPr>
                <w:i/>
                <w:iCs/>
                <w:sz w:val="18"/>
                <w:szCs w:val="18"/>
              </w:rPr>
              <w:t>3</w:t>
            </w:r>
            <w:r w:rsidRPr="00AC36D6">
              <w:rPr>
                <w:i/>
                <w:iCs/>
                <w:sz w:val="18"/>
                <w:szCs w:val="18"/>
              </w:rPr>
              <w:t>.</w:t>
            </w:r>
            <w:r w:rsidR="00F47BFF" w:rsidRPr="00AC36D6">
              <w:rPr>
                <w:i/>
                <w:iCs/>
                <w:sz w:val="18"/>
                <w:szCs w:val="18"/>
              </w:rPr>
              <w:t>3</w:t>
            </w:r>
            <w:r w:rsidRPr="00AC36D6">
              <w:rPr>
                <w:i/>
                <w:iCs/>
                <w:sz w:val="18"/>
                <w:szCs w:val="18"/>
              </w:rPr>
              <w:t>)</w:t>
            </w:r>
          </w:p>
        </w:tc>
        <w:tc>
          <w:tcPr>
            <w:tcW w:w="1132" w:type="dxa"/>
            <w:tcBorders>
              <w:top w:val="nil"/>
              <w:left w:val="nil"/>
              <w:bottom w:val="nil"/>
              <w:right w:val="nil"/>
            </w:tcBorders>
            <w:vAlign w:val="center"/>
          </w:tcPr>
          <w:p w14:paraId="29BC77A9" w14:textId="3A02274B"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E474937" w14:textId="602285FE"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4FD08D02" w14:textId="448B6F2F"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0EBE7141" w14:textId="7A836899" w:rsidR="00D17976" w:rsidRPr="00AC36D6" w:rsidRDefault="00D17976" w:rsidP="00D17976">
            <w:pPr>
              <w:jc w:val="center"/>
              <w:rPr>
                <w:sz w:val="18"/>
                <w:szCs w:val="18"/>
              </w:rPr>
            </w:pPr>
            <w:r w:rsidRPr="00AC36D6">
              <w:rPr>
                <w:sz w:val="18"/>
                <w:szCs w:val="18"/>
              </w:rPr>
              <w:t>*</w:t>
            </w:r>
          </w:p>
        </w:tc>
      </w:tr>
      <w:tr w:rsidR="00D17976" w:rsidRPr="00AC36D6" w14:paraId="44653510" w14:textId="77777777" w:rsidTr="00DA6943">
        <w:trPr>
          <w:trHeight w:val="278"/>
        </w:trPr>
        <w:tc>
          <w:tcPr>
            <w:tcW w:w="3653" w:type="dxa"/>
            <w:tcBorders>
              <w:top w:val="nil"/>
              <w:left w:val="double" w:sz="4" w:space="0" w:color="auto"/>
              <w:bottom w:val="nil"/>
              <w:right w:val="double" w:sz="4" w:space="0" w:color="auto"/>
            </w:tcBorders>
          </w:tcPr>
          <w:p w14:paraId="40F440EB" w14:textId="00FD7E68" w:rsidR="00D17976" w:rsidRPr="00AC36D6" w:rsidRDefault="00554C37" w:rsidP="00D17976">
            <w:pPr>
              <w:ind w:left="258"/>
              <w:rPr>
                <w:sz w:val="18"/>
                <w:szCs w:val="18"/>
              </w:rPr>
            </w:pPr>
            <w:r>
              <w:rPr>
                <w:sz w:val="18"/>
                <w:szCs w:val="18"/>
              </w:rPr>
              <w:t xml:space="preserve"> </w:t>
            </w:r>
            <w:r w:rsidR="00D17976" w:rsidRPr="00AC36D6">
              <w:rPr>
                <w:sz w:val="18"/>
                <w:szCs w:val="18"/>
              </w:rPr>
              <w:t>Trip duration is 4-10 nights</w:t>
            </w:r>
          </w:p>
        </w:tc>
        <w:tc>
          <w:tcPr>
            <w:tcW w:w="1133" w:type="dxa"/>
            <w:tcBorders>
              <w:top w:val="nil"/>
              <w:left w:val="double" w:sz="4" w:space="0" w:color="auto"/>
              <w:bottom w:val="nil"/>
              <w:right w:val="nil"/>
            </w:tcBorders>
            <w:vAlign w:val="center"/>
          </w:tcPr>
          <w:p w14:paraId="756B5148" w14:textId="659A2116" w:rsidR="00D17976" w:rsidRPr="00AC36D6" w:rsidRDefault="00D17976" w:rsidP="00D17976">
            <w:pPr>
              <w:jc w:val="center"/>
              <w:rPr>
                <w:sz w:val="18"/>
                <w:szCs w:val="18"/>
              </w:rPr>
            </w:pPr>
            <w:r w:rsidRPr="00AC36D6">
              <w:rPr>
                <w:sz w:val="18"/>
                <w:szCs w:val="18"/>
              </w:rPr>
              <w:t>0.</w:t>
            </w:r>
            <w:r w:rsidR="004E763B" w:rsidRPr="00AC36D6">
              <w:rPr>
                <w:sz w:val="18"/>
                <w:szCs w:val="18"/>
              </w:rPr>
              <w:t>57</w:t>
            </w:r>
            <w:r w:rsidRPr="00AC36D6">
              <w:rPr>
                <w:sz w:val="18"/>
                <w:szCs w:val="18"/>
              </w:rPr>
              <w:t xml:space="preserve"> </w:t>
            </w:r>
            <w:r w:rsidRPr="00AC36D6">
              <w:rPr>
                <w:i/>
                <w:iCs/>
                <w:sz w:val="18"/>
                <w:szCs w:val="18"/>
              </w:rPr>
              <w:t>(</w:t>
            </w:r>
            <w:r w:rsidR="004E763B" w:rsidRPr="00AC36D6">
              <w:rPr>
                <w:i/>
                <w:iCs/>
                <w:sz w:val="18"/>
                <w:szCs w:val="18"/>
              </w:rPr>
              <w:t>7</w:t>
            </w:r>
            <w:r w:rsidRPr="00AC36D6">
              <w:rPr>
                <w:i/>
                <w:iCs/>
                <w:sz w:val="18"/>
                <w:szCs w:val="18"/>
              </w:rPr>
              <w:t>.</w:t>
            </w:r>
            <w:r w:rsidR="004E763B" w:rsidRPr="00AC36D6">
              <w:rPr>
                <w:i/>
                <w:iCs/>
                <w:sz w:val="18"/>
                <w:szCs w:val="18"/>
              </w:rPr>
              <w:t>2</w:t>
            </w:r>
            <w:r w:rsidRPr="00AC36D6">
              <w:rPr>
                <w:i/>
                <w:iCs/>
                <w:sz w:val="18"/>
                <w:szCs w:val="18"/>
              </w:rPr>
              <w:t>)</w:t>
            </w:r>
          </w:p>
        </w:tc>
        <w:tc>
          <w:tcPr>
            <w:tcW w:w="1130" w:type="dxa"/>
            <w:tcBorders>
              <w:top w:val="nil"/>
              <w:left w:val="nil"/>
              <w:bottom w:val="nil"/>
              <w:right w:val="nil"/>
            </w:tcBorders>
            <w:vAlign w:val="center"/>
          </w:tcPr>
          <w:p w14:paraId="311A3629" w14:textId="2B604DEF"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559C983D" w14:textId="6CD2B8FA"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738931BA" w14:textId="3398B042"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7145970A" w14:textId="23297C1D" w:rsidR="00D17976" w:rsidRPr="00AC36D6" w:rsidRDefault="00D17976" w:rsidP="00D17976">
            <w:pPr>
              <w:jc w:val="center"/>
              <w:rPr>
                <w:sz w:val="18"/>
                <w:szCs w:val="18"/>
              </w:rPr>
            </w:pPr>
            <w:r w:rsidRPr="00AC36D6">
              <w:rPr>
                <w:sz w:val="18"/>
                <w:szCs w:val="18"/>
              </w:rPr>
              <w:t>*</w:t>
            </w:r>
          </w:p>
        </w:tc>
        <w:tc>
          <w:tcPr>
            <w:tcW w:w="1132" w:type="dxa"/>
            <w:tcBorders>
              <w:top w:val="nil"/>
              <w:left w:val="double" w:sz="4" w:space="0" w:color="auto"/>
              <w:bottom w:val="nil"/>
              <w:right w:val="nil"/>
            </w:tcBorders>
            <w:vAlign w:val="center"/>
          </w:tcPr>
          <w:p w14:paraId="15C05F2F" w14:textId="016A8335" w:rsidR="00D17976" w:rsidRPr="00AC36D6" w:rsidRDefault="00D17976" w:rsidP="00D17976">
            <w:pPr>
              <w:jc w:val="center"/>
              <w:rPr>
                <w:sz w:val="18"/>
                <w:szCs w:val="18"/>
              </w:rPr>
            </w:pPr>
            <w:r w:rsidRPr="00AC36D6">
              <w:rPr>
                <w:sz w:val="18"/>
                <w:szCs w:val="18"/>
              </w:rPr>
              <w:t>-0.</w:t>
            </w:r>
            <w:r w:rsidR="00F47BFF" w:rsidRPr="00AC36D6">
              <w:rPr>
                <w:sz w:val="18"/>
                <w:szCs w:val="18"/>
              </w:rPr>
              <w:t>15</w:t>
            </w:r>
            <w:r w:rsidRPr="00AC36D6">
              <w:rPr>
                <w:sz w:val="18"/>
                <w:szCs w:val="18"/>
              </w:rPr>
              <w:t xml:space="preserve"> </w:t>
            </w:r>
            <w:r w:rsidRPr="00AC36D6">
              <w:rPr>
                <w:i/>
                <w:iCs/>
                <w:sz w:val="18"/>
                <w:szCs w:val="18"/>
              </w:rPr>
              <w:t>(-</w:t>
            </w:r>
            <w:r w:rsidR="00F47BFF" w:rsidRPr="00AC36D6">
              <w:rPr>
                <w:i/>
                <w:iCs/>
                <w:sz w:val="18"/>
                <w:szCs w:val="18"/>
              </w:rPr>
              <w:t>2.0</w:t>
            </w:r>
            <w:r w:rsidRPr="00AC36D6">
              <w:rPr>
                <w:i/>
                <w:iCs/>
                <w:sz w:val="18"/>
                <w:szCs w:val="18"/>
              </w:rPr>
              <w:t>)</w:t>
            </w:r>
          </w:p>
        </w:tc>
        <w:tc>
          <w:tcPr>
            <w:tcW w:w="1132" w:type="dxa"/>
            <w:tcBorders>
              <w:top w:val="nil"/>
              <w:left w:val="nil"/>
              <w:bottom w:val="nil"/>
              <w:right w:val="nil"/>
            </w:tcBorders>
            <w:vAlign w:val="center"/>
          </w:tcPr>
          <w:p w14:paraId="10104DFE" w14:textId="429C0D51"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5C8CBA6D" w14:textId="3E0A9409"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1DD8C76F" w14:textId="7A979346"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2067AD04" w14:textId="165B3439" w:rsidR="00D17976" w:rsidRPr="00AC36D6" w:rsidRDefault="00D17976" w:rsidP="00D17976">
            <w:pPr>
              <w:jc w:val="center"/>
              <w:rPr>
                <w:sz w:val="18"/>
                <w:szCs w:val="18"/>
              </w:rPr>
            </w:pPr>
            <w:r w:rsidRPr="00AC36D6">
              <w:rPr>
                <w:sz w:val="18"/>
                <w:szCs w:val="18"/>
              </w:rPr>
              <w:t>*</w:t>
            </w:r>
          </w:p>
        </w:tc>
      </w:tr>
      <w:tr w:rsidR="00D17976" w:rsidRPr="00AC36D6" w14:paraId="68D7D868" w14:textId="77777777" w:rsidTr="00DA6943">
        <w:trPr>
          <w:trHeight w:val="278"/>
        </w:trPr>
        <w:tc>
          <w:tcPr>
            <w:tcW w:w="3653" w:type="dxa"/>
            <w:tcBorders>
              <w:top w:val="nil"/>
              <w:left w:val="double" w:sz="4" w:space="0" w:color="auto"/>
              <w:bottom w:val="nil"/>
              <w:right w:val="double" w:sz="4" w:space="0" w:color="auto"/>
            </w:tcBorders>
          </w:tcPr>
          <w:p w14:paraId="79B19301" w14:textId="5921F924" w:rsidR="00D17976" w:rsidRPr="00AC36D6" w:rsidRDefault="00554C37" w:rsidP="00D17976">
            <w:pPr>
              <w:ind w:left="116"/>
              <w:rPr>
                <w:sz w:val="18"/>
                <w:szCs w:val="18"/>
              </w:rPr>
            </w:pPr>
            <w:r>
              <w:rPr>
                <w:sz w:val="18"/>
                <w:szCs w:val="18"/>
              </w:rPr>
              <w:t xml:space="preserve">  </w:t>
            </w:r>
            <w:r w:rsidR="00D17976" w:rsidRPr="00AC36D6">
              <w:rPr>
                <w:sz w:val="18"/>
                <w:szCs w:val="18"/>
              </w:rPr>
              <w:t>Trip destination (Base: Same as UPR)</w:t>
            </w:r>
          </w:p>
        </w:tc>
        <w:tc>
          <w:tcPr>
            <w:tcW w:w="5666" w:type="dxa"/>
            <w:gridSpan w:val="5"/>
            <w:tcBorders>
              <w:top w:val="nil"/>
              <w:left w:val="double" w:sz="4" w:space="0" w:color="auto"/>
              <w:bottom w:val="nil"/>
              <w:right w:val="double" w:sz="4" w:space="0" w:color="auto"/>
            </w:tcBorders>
            <w:vAlign w:val="center"/>
          </w:tcPr>
          <w:p w14:paraId="2C6198A8" w14:textId="77777777" w:rsidR="00D17976" w:rsidRPr="00AC36D6" w:rsidRDefault="00D17976" w:rsidP="00D17976">
            <w:pPr>
              <w:jc w:val="center"/>
              <w:rPr>
                <w:sz w:val="18"/>
                <w:szCs w:val="18"/>
              </w:rPr>
            </w:pPr>
          </w:p>
        </w:tc>
        <w:tc>
          <w:tcPr>
            <w:tcW w:w="5667" w:type="dxa"/>
            <w:gridSpan w:val="5"/>
            <w:tcBorders>
              <w:top w:val="nil"/>
              <w:left w:val="double" w:sz="4" w:space="0" w:color="auto"/>
              <w:bottom w:val="nil"/>
              <w:right w:val="double" w:sz="4" w:space="0" w:color="auto"/>
            </w:tcBorders>
            <w:vAlign w:val="center"/>
          </w:tcPr>
          <w:p w14:paraId="372A3248" w14:textId="77777777" w:rsidR="00D17976" w:rsidRPr="00AC36D6" w:rsidRDefault="00D17976" w:rsidP="00D17976">
            <w:pPr>
              <w:jc w:val="center"/>
              <w:rPr>
                <w:sz w:val="18"/>
                <w:szCs w:val="18"/>
              </w:rPr>
            </w:pPr>
          </w:p>
        </w:tc>
      </w:tr>
      <w:tr w:rsidR="00D17976" w:rsidRPr="00AC36D6" w14:paraId="57B30092" w14:textId="77777777" w:rsidTr="00DA6943">
        <w:trPr>
          <w:trHeight w:val="278"/>
        </w:trPr>
        <w:tc>
          <w:tcPr>
            <w:tcW w:w="3653" w:type="dxa"/>
            <w:tcBorders>
              <w:top w:val="nil"/>
              <w:left w:val="double" w:sz="4" w:space="0" w:color="auto"/>
              <w:bottom w:val="nil"/>
              <w:right w:val="double" w:sz="4" w:space="0" w:color="auto"/>
            </w:tcBorders>
          </w:tcPr>
          <w:p w14:paraId="3B960F55" w14:textId="574ADB37" w:rsidR="00D17976" w:rsidRPr="00AC36D6" w:rsidRDefault="00554C37" w:rsidP="00D17976">
            <w:pPr>
              <w:ind w:left="258"/>
              <w:rPr>
                <w:sz w:val="18"/>
                <w:szCs w:val="18"/>
              </w:rPr>
            </w:pPr>
            <w:r>
              <w:rPr>
                <w:sz w:val="18"/>
                <w:szCs w:val="18"/>
              </w:rPr>
              <w:t xml:space="preserve"> </w:t>
            </w:r>
            <w:r w:rsidR="00D17976" w:rsidRPr="00AC36D6">
              <w:rPr>
                <w:sz w:val="18"/>
                <w:szCs w:val="18"/>
              </w:rPr>
              <w:t>Same state of UPR (not same district)</w:t>
            </w:r>
          </w:p>
        </w:tc>
        <w:tc>
          <w:tcPr>
            <w:tcW w:w="1133" w:type="dxa"/>
            <w:tcBorders>
              <w:top w:val="nil"/>
              <w:left w:val="double" w:sz="4" w:space="0" w:color="auto"/>
              <w:bottom w:val="nil"/>
              <w:right w:val="nil"/>
            </w:tcBorders>
            <w:vAlign w:val="center"/>
          </w:tcPr>
          <w:p w14:paraId="06D70BE5" w14:textId="7C98659F" w:rsidR="00D17976" w:rsidRPr="00AC36D6" w:rsidRDefault="00D17976" w:rsidP="00D17976">
            <w:pPr>
              <w:jc w:val="center"/>
              <w:rPr>
                <w:sz w:val="18"/>
                <w:szCs w:val="18"/>
              </w:rPr>
            </w:pPr>
            <w:r w:rsidRPr="00AC36D6">
              <w:rPr>
                <w:sz w:val="18"/>
                <w:szCs w:val="18"/>
              </w:rPr>
              <w:t>0.</w:t>
            </w:r>
            <w:r w:rsidR="004E763B" w:rsidRPr="00AC36D6">
              <w:rPr>
                <w:sz w:val="18"/>
                <w:szCs w:val="18"/>
              </w:rPr>
              <w:t>81</w:t>
            </w:r>
            <w:r w:rsidRPr="00AC36D6">
              <w:rPr>
                <w:sz w:val="18"/>
                <w:szCs w:val="18"/>
              </w:rPr>
              <w:t xml:space="preserve"> </w:t>
            </w:r>
            <w:r w:rsidRPr="00AC36D6">
              <w:rPr>
                <w:i/>
                <w:iCs/>
                <w:sz w:val="18"/>
                <w:szCs w:val="18"/>
              </w:rPr>
              <w:t>(</w:t>
            </w:r>
            <w:r w:rsidR="004E763B" w:rsidRPr="00AC36D6">
              <w:rPr>
                <w:i/>
                <w:iCs/>
                <w:sz w:val="18"/>
                <w:szCs w:val="18"/>
              </w:rPr>
              <w:t>10</w:t>
            </w:r>
            <w:r w:rsidRPr="00AC36D6">
              <w:rPr>
                <w:i/>
                <w:iCs/>
                <w:sz w:val="18"/>
                <w:szCs w:val="18"/>
              </w:rPr>
              <w:t>.</w:t>
            </w:r>
            <w:r w:rsidR="004E763B" w:rsidRPr="00AC36D6">
              <w:rPr>
                <w:i/>
                <w:iCs/>
                <w:sz w:val="18"/>
                <w:szCs w:val="18"/>
              </w:rPr>
              <w:t>2</w:t>
            </w:r>
            <w:r w:rsidRPr="00AC36D6">
              <w:rPr>
                <w:i/>
                <w:iCs/>
                <w:sz w:val="18"/>
                <w:szCs w:val="18"/>
              </w:rPr>
              <w:t>)</w:t>
            </w:r>
          </w:p>
        </w:tc>
        <w:tc>
          <w:tcPr>
            <w:tcW w:w="1130" w:type="dxa"/>
            <w:tcBorders>
              <w:top w:val="nil"/>
              <w:left w:val="nil"/>
              <w:bottom w:val="nil"/>
              <w:right w:val="nil"/>
            </w:tcBorders>
            <w:vAlign w:val="center"/>
          </w:tcPr>
          <w:p w14:paraId="02F005C5" w14:textId="2AFDD89F" w:rsidR="00D17976" w:rsidRPr="00AC36D6" w:rsidRDefault="00D17976" w:rsidP="00D17976">
            <w:pPr>
              <w:jc w:val="center"/>
              <w:rPr>
                <w:sz w:val="18"/>
                <w:szCs w:val="18"/>
              </w:rPr>
            </w:pPr>
            <w:r w:rsidRPr="00AC36D6">
              <w:rPr>
                <w:sz w:val="18"/>
                <w:szCs w:val="18"/>
              </w:rPr>
              <w:t>0.5</w:t>
            </w:r>
            <w:r w:rsidR="004E763B" w:rsidRPr="00AC36D6">
              <w:rPr>
                <w:sz w:val="18"/>
                <w:szCs w:val="18"/>
              </w:rPr>
              <w:t>7</w:t>
            </w:r>
            <w:r w:rsidRPr="00AC36D6">
              <w:rPr>
                <w:sz w:val="18"/>
                <w:szCs w:val="18"/>
              </w:rPr>
              <w:t xml:space="preserve"> </w:t>
            </w:r>
            <w:r w:rsidRPr="00AC36D6">
              <w:rPr>
                <w:i/>
                <w:iCs/>
                <w:sz w:val="18"/>
                <w:szCs w:val="18"/>
              </w:rPr>
              <w:t>(6.</w:t>
            </w:r>
            <w:r w:rsidR="004E763B" w:rsidRPr="00AC36D6">
              <w:rPr>
                <w:i/>
                <w:iCs/>
                <w:sz w:val="18"/>
                <w:szCs w:val="18"/>
              </w:rPr>
              <w:t>9</w:t>
            </w:r>
            <w:r w:rsidRPr="00AC36D6">
              <w:rPr>
                <w:i/>
                <w:iCs/>
                <w:sz w:val="18"/>
                <w:szCs w:val="18"/>
              </w:rPr>
              <w:t>)</w:t>
            </w:r>
          </w:p>
        </w:tc>
        <w:tc>
          <w:tcPr>
            <w:tcW w:w="1132" w:type="dxa"/>
            <w:tcBorders>
              <w:top w:val="nil"/>
              <w:left w:val="nil"/>
              <w:bottom w:val="nil"/>
              <w:right w:val="nil"/>
            </w:tcBorders>
            <w:vAlign w:val="center"/>
          </w:tcPr>
          <w:p w14:paraId="4D1A052C" w14:textId="2CEC11B5" w:rsidR="00D17976" w:rsidRPr="00AC36D6" w:rsidRDefault="00D17976" w:rsidP="00D17976">
            <w:pPr>
              <w:jc w:val="center"/>
              <w:rPr>
                <w:sz w:val="18"/>
                <w:szCs w:val="18"/>
              </w:rPr>
            </w:pPr>
            <w:r w:rsidRPr="00AC36D6">
              <w:rPr>
                <w:sz w:val="18"/>
                <w:szCs w:val="18"/>
              </w:rPr>
              <w:t>0.3</w:t>
            </w:r>
            <w:r w:rsidR="004E763B" w:rsidRPr="00AC36D6">
              <w:rPr>
                <w:sz w:val="18"/>
                <w:szCs w:val="18"/>
              </w:rPr>
              <w:t>7</w:t>
            </w:r>
            <w:r w:rsidRPr="00AC36D6">
              <w:rPr>
                <w:sz w:val="18"/>
                <w:szCs w:val="18"/>
              </w:rPr>
              <w:t xml:space="preserve"> </w:t>
            </w:r>
            <w:r w:rsidRPr="00AC36D6">
              <w:rPr>
                <w:i/>
                <w:iCs/>
                <w:sz w:val="18"/>
                <w:szCs w:val="18"/>
              </w:rPr>
              <w:t>(</w:t>
            </w:r>
            <w:r w:rsidR="004E763B" w:rsidRPr="00AC36D6">
              <w:rPr>
                <w:i/>
                <w:iCs/>
                <w:sz w:val="18"/>
                <w:szCs w:val="18"/>
              </w:rPr>
              <w:t>5</w:t>
            </w:r>
            <w:r w:rsidRPr="00AC36D6">
              <w:rPr>
                <w:i/>
                <w:iCs/>
                <w:sz w:val="18"/>
                <w:szCs w:val="18"/>
              </w:rPr>
              <w:t>.</w:t>
            </w:r>
            <w:r w:rsidR="004E763B"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7A454213" w14:textId="3FB9BDEB" w:rsidR="00D17976" w:rsidRPr="00AC36D6" w:rsidRDefault="00D17976" w:rsidP="00D17976">
            <w:pPr>
              <w:jc w:val="center"/>
              <w:rPr>
                <w:sz w:val="18"/>
                <w:szCs w:val="18"/>
              </w:rPr>
            </w:pPr>
            <w:r w:rsidRPr="00AC36D6">
              <w:rPr>
                <w:sz w:val="18"/>
                <w:szCs w:val="18"/>
              </w:rPr>
              <w:t>0.6</w:t>
            </w:r>
            <w:r w:rsidR="004E763B" w:rsidRPr="00AC36D6">
              <w:rPr>
                <w:sz w:val="18"/>
                <w:szCs w:val="18"/>
              </w:rPr>
              <w:t>4</w:t>
            </w:r>
            <w:r w:rsidRPr="00AC36D6">
              <w:rPr>
                <w:sz w:val="18"/>
                <w:szCs w:val="18"/>
              </w:rPr>
              <w:t xml:space="preserve"> </w:t>
            </w:r>
            <w:r w:rsidRPr="00AC36D6">
              <w:rPr>
                <w:i/>
                <w:iCs/>
                <w:sz w:val="18"/>
                <w:szCs w:val="18"/>
              </w:rPr>
              <w:t>(</w:t>
            </w:r>
            <w:r w:rsidR="004E763B" w:rsidRPr="00AC36D6">
              <w:rPr>
                <w:i/>
                <w:iCs/>
                <w:sz w:val="18"/>
                <w:szCs w:val="18"/>
              </w:rPr>
              <w:t>8</w:t>
            </w:r>
            <w:r w:rsidRPr="00AC36D6">
              <w:rPr>
                <w:i/>
                <w:iCs/>
                <w:sz w:val="18"/>
                <w:szCs w:val="18"/>
              </w:rPr>
              <w:t>.</w:t>
            </w:r>
            <w:r w:rsidR="004E763B" w:rsidRPr="00AC36D6">
              <w:rPr>
                <w:i/>
                <w:iCs/>
                <w:sz w:val="18"/>
                <w:szCs w:val="18"/>
              </w:rPr>
              <w:t>1</w:t>
            </w:r>
            <w:r w:rsidRPr="00AC36D6">
              <w:rPr>
                <w:i/>
                <w:iCs/>
                <w:sz w:val="18"/>
                <w:szCs w:val="18"/>
              </w:rPr>
              <w:t>)</w:t>
            </w:r>
          </w:p>
        </w:tc>
        <w:tc>
          <w:tcPr>
            <w:tcW w:w="1139" w:type="dxa"/>
            <w:tcBorders>
              <w:top w:val="nil"/>
              <w:left w:val="nil"/>
              <w:bottom w:val="nil"/>
              <w:right w:val="double" w:sz="4" w:space="0" w:color="auto"/>
            </w:tcBorders>
            <w:vAlign w:val="center"/>
          </w:tcPr>
          <w:p w14:paraId="4E04C29F" w14:textId="218383F7" w:rsidR="00D17976" w:rsidRPr="00AC36D6" w:rsidRDefault="00D17976" w:rsidP="00D17976">
            <w:pPr>
              <w:jc w:val="center"/>
              <w:rPr>
                <w:sz w:val="18"/>
                <w:szCs w:val="18"/>
              </w:rPr>
            </w:pPr>
            <w:r w:rsidRPr="00AC36D6">
              <w:rPr>
                <w:sz w:val="18"/>
                <w:szCs w:val="18"/>
              </w:rPr>
              <w:t>0.2</w:t>
            </w:r>
            <w:r w:rsidR="004E763B" w:rsidRPr="00AC36D6">
              <w:rPr>
                <w:sz w:val="18"/>
                <w:szCs w:val="18"/>
              </w:rPr>
              <w:t>8</w:t>
            </w:r>
            <w:r w:rsidRPr="00AC36D6">
              <w:rPr>
                <w:sz w:val="18"/>
                <w:szCs w:val="18"/>
              </w:rPr>
              <w:t xml:space="preserve"> </w:t>
            </w:r>
            <w:r w:rsidRPr="00AC36D6">
              <w:rPr>
                <w:i/>
                <w:iCs/>
                <w:sz w:val="18"/>
                <w:szCs w:val="18"/>
              </w:rPr>
              <w:t>(</w:t>
            </w:r>
            <w:r w:rsidR="004E763B" w:rsidRPr="00AC36D6">
              <w:rPr>
                <w:i/>
                <w:iCs/>
                <w:sz w:val="18"/>
                <w:szCs w:val="18"/>
              </w:rPr>
              <w:t>3</w:t>
            </w:r>
            <w:r w:rsidRPr="00AC36D6">
              <w:rPr>
                <w:i/>
                <w:iCs/>
                <w:sz w:val="18"/>
                <w:szCs w:val="18"/>
              </w:rPr>
              <w:t>.</w:t>
            </w:r>
            <w:r w:rsidR="004E763B" w:rsidRPr="00AC36D6">
              <w:rPr>
                <w:i/>
                <w:iCs/>
                <w:sz w:val="18"/>
                <w:szCs w:val="18"/>
              </w:rPr>
              <w:t>4</w:t>
            </w:r>
            <w:r w:rsidRPr="00AC36D6">
              <w:rPr>
                <w:i/>
                <w:iCs/>
                <w:sz w:val="18"/>
                <w:szCs w:val="18"/>
              </w:rPr>
              <w:t>)</w:t>
            </w:r>
          </w:p>
        </w:tc>
        <w:tc>
          <w:tcPr>
            <w:tcW w:w="1132" w:type="dxa"/>
            <w:tcBorders>
              <w:top w:val="nil"/>
              <w:left w:val="double" w:sz="4" w:space="0" w:color="auto"/>
              <w:bottom w:val="nil"/>
              <w:right w:val="nil"/>
            </w:tcBorders>
            <w:vAlign w:val="center"/>
          </w:tcPr>
          <w:p w14:paraId="27AB2102" w14:textId="31D530F1" w:rsidR="00D17976" w:rsidRPr="00AC36D6" w:rsidRDefault="00D17976" w:rsidP="00D17976">
            <w:pPr>
              <w:jc w:val="center"/>
              <w:rPr>
                <w:sz w:val="18"/>
                <w:szCs w:val="18"/>
              </w:rPr>
            </w:pPr>
            <w:r w:rsidRPr="00AC36D6">
              <w:rPr>
                <w:sz w:val="18"/>
                <w:szCs w:val="18"/>
              </w:rPr>
              <w:t>0.</w:t>
            </w:r>
            <w:r w:rsidR="00F47BFF" w:rsidRPr="00AC36D6">
              <w:rPr>
                <w:sz w:val="18"/>
                <w:szCs w:val="18"/>
              </w:rPr>
              <w:t>74</w:t>
            </w:r>
            <w:r w:rsidRPr="00AC36D6">
              <w:rPr>
                <w:sz w:val="18"/>
                <w:szCs w:val="18"/>
              </w:rPr>
              <w:t xml:space="preserve"> </w:t>
            </w:r>
            <w:r w:rsidRPr="00AC36D6">
              <w:rPr>
                <w:i/>
                <w:iCs/>
                <w:sz w:val="18"/>
                <w:szCs w:val="18"/>
              </w:rPr>
              <w:t>(</w:t>
            </w:r>
            <w:r w:rsidR="00F47BFF" w:rsidRPr="00AC36D6">
              <w:rPr>
                <w:i/>
                <w:iCs/>
                <w:sz w:val="18"/>
                <w:szCs w:val="18"/>
              </w:rPr>
              <w:t>6</w:t>
            </w:r>
            <w:r w:rsidRPr="00AC36D6">
              <w:rPr>
                <w:i/>
                <w:iCs/>
                <w:sz w:val="18"/>
                <w:szCs w:val="18"/>
              </w:rPr>
              <w:t>,</w:t>
            </w:r>
            <w:r w:rsidR="00F47BFF" w:rsidRPr="00AC36D6">
              <w:rPr>
                <w:i/>
                <w:iCs/>
                <w:sz w:val="18"/>
                <w:szCs w:val="18"/>
              </w:rPr>
              <w:t>1</w:t>
            </w:r>
            <w:r w:rsidRPr="00AC36D6">
              <w:rPr>
                <w:i/>
                <w:iCs/>
                <w:sz w:val="18"/>
                <w:szCs w:val="18"/>
              </w:rPr>
              <w:t>)</w:t>
            </w:r>
          </w:p>
        </w:tc>
        <w:tc>
          <w:tcPr>
            <w:tcW w:w="1132" w:type="dxa"/>
            <w:tcBorders>
              <w:top w:val="nil"/>
              <w:left w:val="nil"/>
              <w:bottom w:val="nil"/>
              <w:right w:val="nil"/>
            </w:tcBorders>
            <w:vAlign w:val="center"/>
          </w:tcPr>
          <w:p w14:paraId="6B1E1BFF" w14:textId="1E782161" w:rsidR="00D17976" w:rsidRPr="00AC36D6" w:rsidRDefault="00D17976" w:rsidP="00D17976">
            <w:pPr>
              <w:jc w:val="center"/>
              <w:rPr>
                <w:sz w:val="18"/>
                <w:szCs w:val="18"/>
              </w:rPr>
            </w:pPr>
            <w:r w:rsidRPr="00AC36D6">
              <w:rPr>
                <w:sz w:val="18"/>
                <w:szCs w:val="18"/>
              </w:rPr>
              <w:t>0.7</w:t>
            </w:r>
            <w:r w:rsidR="00F47BFF" w:rsidRPr="00AC36D6">
              <w:rPr>
                <w:sz w:val="18"/>
                <w:szCs w:val="18"/>
              </w:rPr>
              <w:t>7</w:t>
            </w:r>
            <w:r w:rsidRPr="00AC36D6">
              <w:rPr>
                <w:sz w:val="18"/>
                <w:szCs w:val="18"/>
              </w:rPr>
              <w:t xml:space="preserve"> </w:t>
            </w:r>
            <w:r w:rsidRPr="00AC36D6">
              <w:rPr>
                <w:i/>
                <w:iCs/>
                <w:sz w:val="18"/>
                <w:szCs w:val="18"/>
              </w:rPr>
              <w:t>(</w:t>
            </w:r>
            <w:r w:rsidR="00F47BFF" w:rsidRPr="00AC36D6">
              <w:rPr>
                <w:i/>
                <w:iCs/>
                <w:sz w:val="18"/>
                <w:szCs w:val="18"/>
              </w:rPr>
              <w:t>11</w:t>
            </w:r>
            <w:r w:rsidRPr="00AC36D6">
              <w:rPr>
                <w:i/>
                <w:iCs/>
                <w:sz w:val="18"/>
                <w:szCs w:val="18"/>
              </w:rPr>
              <w:t>.</w:t>
            </w:r>
            <w:r w:rsidR="00F47BFF"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7D24F068" w14:textId="07C4446A" w:rsidR="00D17976" w:rsidRPr="00AC36D6" w:rsidRDefault="00D17976" w:rsidP="00D17976">
            <w:pPr>
              <w:jc w:val="center"/>
              <w:rPr>
                <w:sz w:val="18"/>
                <w:szCs w:val="18"/>
              </w:rPr>
            </w:pPr>
            <w:r w:rsidRPr="00AC36D6">
              <w:rPr>
                <w:sz w:val="18"/>
                <w:szCs w:val="18"/>
              </w:rPr>
              <w:t>0.</w:t>
            </w:r>
            <w:r w:rsidR="00F47BFF" w:rsidRPr="00AC36D6">
              <w:rPr>
                <w:sz w:val="18"/>
                <w:szCs w:val="18"/>
              </w:rPr>
              <w:t>51</w:t>
            </w:r>
            <w:r w:rsidRPr="00AC36D6">
              <w:rPr>
                <w:sz w:val="18"/>
                <w:szCs w:val="18"/>
              </w:rPr>
              <w:t xml:space="preserve"> </w:t>
            </w:r>
            <w:r w:rsidRPr="00AC36D6">
              <w:rPr>
                <w:i/>
                <w:iCs/>
                <w:sz w:val="18"/>
                <w:szCs w:val="18"/>
              </w:rPr>
              <w:t>(</w:t>
            </w:r>
            <w:r w:rsidR="00F47BFF" w:rsidRPr="00AC36D6">
              <w:rPr>
                <w:i/>
                <w:iCs/>
                <w:sz w:val="18"/>
                <w:szCs w:val="18"/>
              </w:rPr>
              <w:t>6</w:t>
            </w:r>
            <w:r w:rsidRPr="00AC36D6">
              <w:rPr>
                <w:i/>
                <w:iCs/>
                <w:sz w:val="18"/>
                <w:szCs w:val="18"/>
              </w:rPr>
              <w:t>.</w:t>
            </w:r>
            <w:r w:rsidR="00F47BFF"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0D27BFD8" w14:textId="5D29A16F" w:rsidR="00D17976" w:rsidRPr="00AC36D6" w:rsidRDefault="00D17976" w:rsidP="00D17976">
            <w:pPr>
              <w:jc w:val="center"/>
              <w:rPr>
                <w:sz w:val="18"/>
                <w:szCs w:val="18"/>
              </w:rPr>
            </w:pPr>
            <w:r w:rsidRPr="00AC36D6">
              <w:rPr>
                <w:sz w:val="18"/>
                <w:szCs w:val="18"/>
              </w:rPr>
              <w:t>0.</w:t>
            </w:r>
            <w:r w:rsidR="00F47BFF" w:rsidRPr="00AC36D6">
              <w:rPr>
                <w:sz w:val="18"/>
                <w:szCs w:val="18"/>
              </w:rPr>
              <w:t>64</w:t>
            </w:r>
            <w:r w:rsidRPr="00AC36D6">
              <w:rPr>
                <w:sz w:val="18"/>
                <w:szCs w:val="18"/>
              </w:rPr>
              <w:t xml:space="preserve"> </w:t>
            </w:r>
            <w:r w:rsidRPr="00AC36D6">
              <w:rPr>
                <w:i/>
                <w:iCs/>
                <w:sz w:val="18"/>
                <w:szCs w:val="18"/>
              </w:rPr>
              <w:t>(</w:t>
            </w:r>
            <w:r w:rsidR="00F47BFF" w:rsidRPr="00AC36D6">
              <w:rPr>
                <w:i/>
                <w:iCs/>
                <w:sz w:val="18"/>
                <w:szCs w:val="18"/>
              </w:rPr>
              <w:t>4</w:t>
            </w:r>
            <w:r w:rsidRPr="00AC36D6">
              <w:rPr>
                <w:i/>
                <w:iCs/>
                <w:sz w:val="18"/>
                <w:szCs w:val="18"/>
              </w:rPr>
              <w:t>.</w:t>
            </w:r>
            <w:r w:rsidR="00F47BFF" w:rsidRPr="00AC36D6">
              <w:rPr>
                <w:i/>
                <w:iCs/>
                <w:sz w:val="18"/>
                <w:szCs w:val="18"/>
              </w:rPr>
              <w:t>8</w:t>
            </w:r>
            <w:r w:rsidRPr="00AC36D6">
              <w:rPr>
                <w:i/>
                <w:iCs/>
                <w:sz w:val="18"/>
                <w:szCs w:val="18"/>
              </w:rPr>
              <w:t>)</w:t>
            </w:r>
          </w:p>
        </w:tc>
        <w:tc>
          <w:tcPr>
            <w:tcW w:w="1139" w:type="dxa"/>
            <w:tcBorders>
              <w:top w:val="nil"/>
              <w:left w:val="nil"/>
              <w:bottom w:val="nil"/>
              <w:right w:val="double" w:sz="4" w:space="0" w:color="auto"/>
            </w:tcBorders>
            <w:vAlign w:val="center"/>
          </w:tcPr>
          <w:p w14:paraId="48F770E6" w14:textId="18C2278B" w:rsidR="00D17976" w:rsidRPr="00AC36D6" w:rsidRDefault="00D17976" w:rsidP="00D17976">
            <w:pPr>
              <w:jc w:val="center"/>
              <w:rPr>
                <w:sz w:val="18"/>
                <w:szCs w:val="18"/>
              </w:rPr>
            </w:pPr>
            <w:r w:rsidRPr="00AC36D6">
              <w:rPr>
                <w:sz w:val="18"/>
                <w:szCs w:val="18"/>
              </w:rPr>
              <w:t>0.</w:t>
            </w:r>
            <w:r w:rsidR="00F47BFF" w:rsidRPr="00AC36D6">
              <w:rPr>
                <w:sz w:val="18"/>
                <w:szCs w:val="18"/>
              </w:rPr>
              <w:t>07</w:t>
            </w:r>
            <w:r w:rsidRPr="00AC36D6">
              <w:rPr>
                <w:sz w:val="18"/>
                <w:szCs w:val="18"/>
              </w:rPr>
              <w:t xml:space="preserve"> </w:t>
            </w:r>
            <w:r w:rsidRPr="00AC36D6">
              <w:rPr>
                <w:i/>
                <w:iCs/>
                <w:sz w:val="18"/>
                <w:szCs w:val="18"/>
              </w:rPr>
              <w:t>(1.</w:t>
            </w:r>
            <w:r w:rsidR="00F47BFF" w:rsidRPr="00AC36D6">
              <w:rPr>
                <w:i/>
                <w:iCs/>
                <w:sz w:val="18"/>
                <w:szCs w:val="18"/>
              </w:rPr>
              <w:t>0</w:t>
            </w:r>
            <w:r w:rsidRPr="00AC36D6">
              <w:rPr>
                <w:i/>
                <w:iCs/>
                <w:sz w:val="18"/>
                <w:szCs w:val="18"/>
              </w:rPr>
              <w:t>)</w:t>
            </w:r>
          </w:p>
        </w:tc>
      </w:tr>
      <w:tr w:rsidR="00D17976" w:rsidRPr="00AC36D6" w14:paraId="501150D3" w14:textId="77777777" w:rsidTr="00DA6943">
        <w:trPr>
          <w:trHeight w:val="278"/>
        </w:trPr>
        <w:tc>
          <w:tcPr>
            <w:tcW w:w="3653" w:type="dxa"/>
            <w:tcBorders>
              <w:top w:val="nil"/>
              <w:left w:val="double" w:sz="4" w:space="0" w:color="auto"/>
              <w:bottom w:val="single" w:sz="12" w:space="0" w:color="auto"/>
              <w:right w:val="double" w:sz="4" w:space="0" w:color="auto"/>
            </w:tcBorders>
          </w:tcPr>
          <w:p w14:paraId="0929B2CA" w14:textId="6DC8C3C7" w:rsidR="00D17976" w:rsidRPr="00AC36D6" w:rsidRDefault="00554C37" w:rsidP="00D17976">
            <w:pPr>
              <w:ind w:left="258"/>
              <w:rPr>
                <w:sz w:val="18"/>
                <w:szCs w:val="18"/>
              </w:rPr>
            </w:pPr>
            <w:r>
              <w:rPr>
                <w:sz w:val="18"/>
                <w:szCs w:val="18"/>
              </w:rPr>
              <w:t xml:space="preserve"> </w:t>
            </w:r>
            <w:r w:rsidR="00D17976" w:rsidRPr="00AC36D6">
              <w:rPr>
                <w:sz w:val="18"/>
                <w:szCs w:val="18"/>
              </w:rPr>
              <w:t>Outside the state of UPR</w:t>
            </w:r>
          </w:p>
        </w:tc>
        <w:tc>
          <w:tcPr>
            <w:tcW w:w="1133" w:type="dxa"/>
            <w:tcBorders>
              <w:top w:val="nil"/>
              <w:left w:val="double" w:sz="4" w:space="0" w:color="auto"/>
              <w:bottom w:val="single" w:sz="12" w:space="0" w:color="auto"/>
              <w:right w:val="nil"/>
            </w:tcBorders>
            <w:vAlign w:val="center"/>
          </w:tcPr>
          <w:p w14:paraId="1FBCA961" w14:textId="4DC4D7C6" w:rsidR="00D17976" w:rsidRPr="00AC36D6" w:rsidRDefault="00D17976" w:rsidP="00D17976">
            <w:pPr>
              <w:jc w:val="center"/>
              <w:rPr>
                <w:sz w:val="18"/>
                <w:szCs w:val="18"/>
              </w:rPr>
            </w:pPr>
            <w:r w:rsidRPr="00AC36D6">
              <w:rPr>
                <w:sz w:val="18"/>
                <w:szCs w:val="18"/>
              </w:rPr>
              <w:t>1.</w:t>
            </w:r>
            <w:r w:rsidR="004E763B" w:rsidRPr="00AC36D6">
              <w:rPr>
                <w:sz w:val="18"/>
                <w:szCs w:val="18"/>
              </w:rPr>
              <w:t>43</w:t>
            </w:r>
            <w:r w:rsidRPr="00AC36D6">
              <w:rPr>
                <w:sz w:val="18"/>
                <w:szCs w:val="18"/>
              </w:rPr>
              <w:t xml:space="preserve"> </w:t>
            </w:r>
            <w:r w:rsidRPr="00AC36D6">
              <w:rPr>
                <w:i/>
                <w:iCs/>
                <w:sz w:val="18"/>
                <w:szCs w:val="18"/>
              </w:rPr>
              <w:t>(1</w:t>
            </w:r>
            <w:r w:rsidR="004E763B" w:rsidRPr="00AC36D6">
              <w:rPr>
                <w:i/>
                <w:iCs/>
                <w:sz w:val="18"/>
                <w:szCs w:val="18"/>
              </w:rPr>
              <w:t>7</w:t>
            </w:r>
            <w:r w:rsidRPr="00AC36D6">
              <w:rPr>
                <w:i/>
                <w:iCs/>
                <w:sz w:val="18"/>
                <w:szCs w:val="18"/>
              </w:rPr>
              <w:t>.</w:t>
            </w:r>
            <w:r w:rsidR="004E763B" w:rsidRPr="00AC36D6">
              <w:rPr>
                <w:i/>
                <w:iCs/>
                <w:sz w:val="18"/>
                <w:szCs w:val="18"/>
              </w:rPr>
              <w:t>5</w:t>
            </w:r>
            <w:r w:rsidRPr="00AC36D6">
              <w:rPr>
                <w:i/>
                <w:iCs/>
                <w:sz w:val="18"/>
                <w:szCs w:val="18"/>
              </w:rPr>
              <w:t>)</w:t>
            </w:r>
          </w:p>
        </w:tc>
        <w:tc>
          <w:tcPr>
            <w:tcW w:w="1130" w:type="dxa"/>
            <w:tcBorders>
              <w:top w:val="nil"/>
              <w:left w:val="nil"/>
              <w:bottom w:val="single" w:sz="12" w:space="0" w:color="auto"/>
              <w:right w:val="nil"/>
            </w:tcBorders>
            <w:vAlign w:val="center"/>
          </w:tcPr>
          <w:p w14:paraId="23BAB858" w14:textId="15AAEB58" w:rsidR="00D17976" w:rsidRPr="00AC36D6" w:rsidRDefault="00D17976" w:rsidP="00D17976">
            <w:pPr>
              <w:jc w:val="center"/>
              <w:rPr>
                <w:sz w:val="18"/>
                <w:szCs w:val="18"/>
              </w:rPr>
            </w:pPr>
            <w:r w:rsidRPr="00AC36D6">
              <w:rPr>
                <w:sz w:val="18"/>
                <w:szCs w:val="18"/>
              </w:rPr>
              <w:t xml:space="preserve">1.09 </w:t>
            </w:r>
            <w:r w:rsidRPr="00AC36D6">
              <w:rPr>
                <w:i/>
                <w:iCs/>
                <w:sz w:val="18"/>
                <w:szCs w:val="18"/>
              </w:rPr>
              <w:t>(10.</w:t>
            </w:r>
            <w:r w:rsidR="004E763B" w:rsidRPr="00AC36D6">
              <w:rPr>
                <w:i/>
                <w:iCs/>
                <w:sz w:val="18"/>
                <w:szCs w:val="18"/>
              </w:rPr>
              <w:t>5</w:t>
            </w:r>
            <w:r w:rsidRPr="00AC36D6">
              <w:rPr>
                <w:i/>
                <w:iCs/>
                <w:sz w:val="18"/>
                <w:szCs w:val="18"/>
              </w:rPr>
              <w:t>)</w:t>
            </w:r>
          </w:p>
        </w:tc>
        <w:tc>
          <w:tcPr>
            <w:tcW w:w="1132" w:type="dxa"/>
            <w:tcBorders>
              <w:top w:val="nil"/>
              <w:left w:val="nil"/>
              <w:bottom w:val="single" w:sz="12" w:space="0" w:color="auto"/>
              <w:right w:val="nil"/>
            </w:tcBorders>
            <w:vAlign w:val="center"/>
          </w:tcPr>
          <w:p w14:paraId="4D3ED418" w14:textId="5A0A4D91" w:rsidR="00D17976" w:rsidRPr="00AC36D6" w:rsidRDefault="00D17976" w:rsidP="00D17976">
            <w:pPr>
              <w:jc w:val="center"/>
              <w:rPr>
                <w:sz w:val="18"/>
                <w:szCs w:val="18"/>
              </w:rPr>
            </w:pPr>
            <w:r w:rsidRPr="00AC36D6">
              <w:rPr>
                <w:sz w:val="18"/>
                <w:szCs w:val="18"/>
              </w:rPr>
              <w:t>0.6</w:t>
            </w:r>
            <w:r w:rsidR="004E763B" w:rsidRPr="00AC36D6">
              <w:rPr>
                <w:sz w:val="18"/>
                <w:szCs w:val="18"/>
              </w:rPr>
              <w:t>8</w:t>
            </w:r>
            <w:r w:rsidRPr="00AC36D6">
              <w:rPr>
                <w:sz w:val="18"/>
                <w:szCs w:val="18"/>
              </w:rPr>
              <w:t xml:space="preserve"> </w:t>
            </w:r>
            <w:r w:rsidRPr="00AC36D6">
              <w:rPr>
                <w:i/>
                <w:iCs/>
                <w:sz w:val="18"/>
                <w:szCs w:val="18"/>
              </w:rPr>
              <w:t>(8.</w:t>
            </w:r>
            <w:r w:rsidR="004E763B" w:rsidRPr="00AC36D6">
              <w:rPr>
                <w:i/>
                <w:iCs/>
                <w:sz w:val="18"/>
                <w:szCs w:val="18"/>
              </w:rPr>
              <w:t>5</w:t>
            </w:r>
            <w:r w:rsidRPr="00AC36D6">
              <w:rPr>
                <w:i/>
                <w:iCs/>
                <w:sz w:val="18"/>
                <w:szCs w:val="18"/>
              </w:rPr>
              <w:t>)</w:t>
            </w:r>
          </w:p>
        </w:tc>
        <w:tc>
          <w:tcPr>
            <w:tcW w:w="1132" w:type="dxa"/>
            <w:tcBorders>
              <w:top w:val="nil"/>
              <w:left w:val="nil"/>
              <w:bottom w:val="single" w:sz="12" w:space="0" w:color="auto"/>
              <w:right w:val="nil"/>
            </w:tcBorders>
            <w:vAlign w:val="center"/>
          </w:tcPr>
          <w:p w14:paraId="7E5B8B89" w14:textId="061A0A3E" w:rsidR="00D17976" w:rsidRPr="00AC36D6" w:rsidRDefault="00D17976" w:rsidP="00D17976">
            <w:pPr>
              <w:jc w:val="center"/>
              <w:rPr>
                <w:sz w:val="18"/>
                <w:szCs w:val="18"/>
              </w:rPr>
            </w:pPr>
            <w:r w:rsidRPr="00AC36D6">
              <w:rPr>
                <w:sz w:val="18"/>
                <w:szCs w:val="18"/>
              </w:rPr>
              <w:t xml:space="preserve">1.0 </w:t>
            </w:r>
            <w:r w:rsidRPr="00AC36D6">
              <w:rPr>
                <w:i/>
                <w:iCs/>
                <w:sz w:val="18"/>
                <w:szCs w:val="18"/>
              </w:rPr>
              <w:t>(1</w:t>
            </w:r>
            <w:r w:rsidR="004E763B" w:rsidRPr="00AC36D6">
              <w:rPr>
                <w:i/>
                <w:iCs/>
                <w:sz w:val="18"/>
                <w:szCs w:val="18"/>
              </w:rPr>
              <w:t>3</w:t>
            </w:r>
            <w:r w:rsidRPr="00AC36D6">
              <w:rPr>
                <w:i/>
                <w:iCs/>
                <w:sz w:val="18"/>
                <w:szCs w:val="18"/>
              </w:rPr>
              <w:t>.</w:t>
            </w:r>
            <w:r w:rsidR="004E763B" w:rsidRPr="00AC36D6">
              <w:rPr>
                <w:i/>
                <w:iCs/>
                <w:sz w:val="18"/>
                <w:szCs w:val="18"/>
              </w:rPr>
              <w:t>1</w:t>
            </w:r>
            <w:r w:rsidRPr="00AC36D6">
              <w:rPr>
                <w:i/>
                <w:iCs/>
                <w:sz w:val="18"/>
                <w:szCs w:val="18"/>
              </w:rPr>
              <w:t>)</w:t>
            </w:r>
          </w:p>
        </w:tc>
        <w:tc>
          <w:tcPr>
            <w:tcW w:w="1139" w:type="dxa"/>
            <w:tcBorders>
              <w:top w:val="nil"/>
              <w:left w:val="nil"/>
              <w:bottom w:val="single" w:sz="12" w:space="0" w:color="auto"/>
              <w:right w:val="double" w:sz="4" w:space="0" w:color="auto"/>
            </w:tcBorders>
            <w:vAlign w:val="center"/>
          </w:tcPr>
          <w:p w14:paraId="1904F96A" w14:textId="512843BD" w:rsidR="00D17976" w:rsidRPr="00AC36D6" w:rsidRDefault="00D17976" w:rsidP="00D17976">
            <w:pPr>
              <w:jc w:val="center"/>
              <w:rPr>
                <w:sz w:val="18"/>
                <w:szCs w:val="18"/>
              </w:rPr>
            </w:pPr>
            <w:r w:rsidRPr="00AC36D6">
              <w:rPr>
                <w:sz w:val="18"/>
                <w:szCs w:val="18"/>
              </w:rPr>
              <w:t>0.</w:t>
            </w:r>
            <w:r w:rsidR="004E763B" w:rsidRPr="00AC36D6">
              <w:rPr>
                <w:sz w:val="18"/>
                <w:szCs w:val="18"/>
              </w:rPr>
              <w:t>43</w:t>
            </w:r>
            <w:r w:rsidRPr="00AC36D6">
              <w:rPr>
                <w:sz w:val="18"/>
                <w:szCs w:val="18"/>
              </w:rPr>
              <w:t xml:space="preserve"> </w:t>
            </w:r>
            <w:r w:rsidRPr="00AC36D6">
              <w:rPr>
                <w:i/>
                <w:iCs/>
                <w:sz w:val="18"/>
                <w:szCs w:val="18"/>
              </w:rPr>
              <w:t>(</w:t>
            </w:r>
            <w:r w:rsidR="004E763B" w:rsidRPr="00AC36D6">
              <w:rPr>
                <w:i/>
                <w:iCs/>
                <w:sz w:val="18"/>
                <w:szCs w:val="18"/>
              </w:rPr>
              <w:t>5</w:t>
            </w:r>
            <w:r w:rsidRPr="00AC36D6">
              <w:rPr>
                <w:i/>
                <w:iCs/>
                <w:sz w:val="18"/>
                <w:szCs w:val="18"/>
              </w:rPr>
              <w:t>.4)</w:t>
            </w:r>
          </w:p>
        </w:tc>
        <w:tc>
          <w:tcPr>
            <w:tcW w:w="1132" w:type="dxa"/>
            <w:tcBorders>
              <w:top w:val="nil"/>
              <w:left w:val="double" w:sz="4" w:space="0" w:color="auto"/>
              <w:bottom w:val="single" w:sz="8" w:space="0" w:color="auto"/>
              <w:right w:val="nil"/>
            </w:tcBorders>
            <w:vAlign w:val="center"/>
          </w:tcPr>
          <w:p w14:paraId="6EE107AF" w14:textId="4A9928D8" w:rsidR="00D17976" w:rsidRPr="00AC36D6" w:rsidRDefault="00D17976" w:rsidP="00D17976">
            <w:pPr>
              <w:jc w:val="center"/>
              <w:rPr>
                <w:sz w:val="18"/>
                <w:szCs w:val="18"/>
              </w:rPr>
            </w:pPr>
            <w:r w:rsidRPr="00AC36D6">
              <w:rPr>
                <w:sz w:val="18"/>
                <w:szCs w:val="18"/>
              </w:rPr>
              <w:t>1.</w:t>
            </w:r>
            <w:r w:rsidR="00F47BFF" w:rsidRPr="00AC36D6">
              <w:rPr>
                <w:sz w:val="18"/>
                <w:szCs w:val="18"/>
              </w:rPr>
              <w:t>45</w:t>
            </w:r>
            <w:r w:rsidRPr="00AC36D6">
              <w:rPr>
                <w:sz w:val="18"/>
                <w:szCs w:val="18"/>
              </w:rPr>
              <w:t xml:space="preserve"> </w:t>
            </w:r>
            <w:r w:rsidRPr="00AC36D6">
              <w:rPr>
                <w:i/>
                <w:iCs/>
                <w:sz w:val="18"/>
                <w:szCs w:val="18"/>
              </w:rPr>
              <w:t>(</w:t>
            </w:r>
            <w:r w:rsidR="00F47BFF" w:rsidRPr="00AC36D6">
              <w:rPr>
                <w:i/>
                <w:iCs/>
                <w:sz w:val="18"/>
                <w:szCs w:val="18"/>
              </w:rPr>
              <w:t>10</w:t>
            </w:r>
            <w:r w:rsidRPr="00AC36D6">
              <w:rPr>
                <w:i/>
                <w:iCs/>
                <w:sz w:val="18"/>
                <w:szCs w:val="18"/>
              </w:rPr>
              <w:t>.</w:t>
            </w:r>
            <w:r w:rsidR="00F47BFF" w:rsidRPr="00AC36D6">
              <w:rPr>
                <w:i/>
                <w:iCs/>
                <w:sz w:val="18"/>
                <w:szCs w:val="18"/>
              </w:rPr>
              <w:t>5</w:t>
            </w:r>
            <w:r w:rsidRPr="00AC36D6">
              <w:rPr>
                <w:i/>
                <w:iCs/>
                <w:sz w:val="18"/>
                <w:szCs w:val="18"/>
              </w:rPr>
              <w:t>)</w:t>
            </w:r>
          </w:p>
        </w:tc>
        <w:tc>
          <w:tcPr>
            <w:tcW w:w="1132" w:type="dxa"/>
            <w:tcBorders>
              <w:top w:val="nil"/>
              <w:left w:val="nil"/>
              <w:bottom w:val="single" w:sz="8" w:space="0" w:color="auto"/>
              <w:right w:val="nil"/>
            </w:tcBorders>
            <w:vAlign w:val="center"/>
          </w:tcPr>
          <w:p w14:paraId="49F0BCE9" w14:textId="0F453BE6" w:rsidR="00D17976" w:rsidRPr="00AC36D6" w:rsidRDefault="00D17976" w:rsidP="00D17976">
            <w:pPr>
              <w:jc w:val="center"/>
              <w:rPr>
                <w:sz w:val="18"/>
                <w:szCs w:val="18"/>
              </w:rPr>
            </w:pPr>
            <w:r w:rsidRPr="00AC36D6">
              <w:rPr>
                <w:sz w:val="18"/>
                <w:szCs w:val="18"/>
              </w:rPr>
              <w:t>1.</w:t>
            </w:r>
            <w:r w:rsidR="00F47BFF" w:rsidRPr="00AC36D6">
              <w:rPr>
                <w:sz w:val="18"/>
                <w:szCs w:val="18"/>
              </w:rPr>
              <w:t>50</w:t>
            </w:r>
            <w:r w:rsidRPr="00AC36D6">
              <w:rPr>
                <w:sz w:val="18"/>
                <w:szCs w:val="18"/>
              </w:rPr>
              <w:t xml:space="preserve"> </w:t>
            </w:r>
            <w:r w:rsidRPr="00AC36D6">
              <w:rPr>
                <w:i/>
                <w:iCs/>
                <w:sz w:val="18"/>
                <w:szCs w:val="18"/>
              </w:rPr>
              <w:t>(1</w:t>
            </w:r>
            <w:r w:rsidR="00F47BFF" w:rsidRPr="00AC36D6">
              <w:rPr>
                <w:i/>
                <w:iCs/>
                <w:sz w:val="18"/>
                <w:szCs w:val="18"/>
              </w:rPr>
              <w:t>9</w:t>
            </w:r>
            <w:r w:rsidRPr="00AC36D6">
              <w:rPr>
                <w:i/>
                <w:iCs/>
                <w:sz w:val="18"/>
                <w:szCs w:val="18"/>
              </w:rPr>
              <w:t>.</w:t>
            </w:r>
            <w:r w:rsidR="00F47BFF" w:rsidRPr="00AC36D6">
              <w:rPr>
                <w:i/>
                <w:iCs/>
                <w:sz w:val="18"/>
                <w:szCs w:val="18"/>
              </w:rPr>
              <w:t>7</w:t>
            </w:r>
            <w:r w:rsidRPr="00AC36D6">
              <w:rPr>
                <w:i/>
                <w:iCs/>
                <w:sz w:val="18"/>
                <w:szCs w:val="18"/>
              </w:rPr>
              <w:t>)</w:t>
            </w:r>
          </w:p>
        </w:tc>
        <w:tc>
          <w:tcPr>
            <w:tcW w:w="1132" w:type="dxa"/>
            <w:tcBorders>
              <w:top w:val="nil"/>
              <w:left w:val="nil"/>
              <w:bottom w:val="single" w:sz="8" w:space="0" w:color="auto"/>
              <w:right w:val="nil"/>
            </w:tcBorders>
            <w:vAlign w:val="center"/>
          </w:tcPr>
          <w:p w14:paraId="338C05B2" w14:textId="2844E8A5" w:rsidR="00D17976" w:rsidRPr="00AC36D6" w:rsidRDefault="00D17976" w:rsidP="00D17976">
            <w:pPr>
              <w:jc w:val="center"/>
              <w:rPr>
                <w:sz w:val="18"/>
                <w:szCs w:val="18"/>
              </w:rPr>
            </w:pPr>
            <w:r w:rsidRPr="00AC36D6">
              <w:rPr>
                <w:sz w:val="18"/>
                <w:szCs w:val="18"/>
              </w:rPr>
              <w:t>1.</w:t>
            </w:r>
            <w:r w:rsidR="00F47BFF" w:rsidRPr="00AC36D6">
              <w:rPr>
                <w:sz w:val="18"/>
                <w:szCs w:val="18"/>
              </w:rPr>
              <w:t>26</w:t>
            </w:r>
            <w:r w:rsidRPr="00AC36D6">
              <w:rPr>
                <w:sz w:val="18"/>
                <w:szCs w:val="18"/>
              </w:rPr>
              <w:t xml:space="preserve"> </w:t>
            </w:r>
            <w:r w:rsidRPr="00AC36D6">
              <w:rPr>
                <w:i/>
                <w:iCs/>
                <w:sz w:val="18"/>
                <w:szCs w:val="18"/>
              </w:rPr>
              <w:t>(</w:t>
            </w:r>
            <w:r w:rsidR="00F47BFF" w:rsidRPr="00AC36D6">
              <w:rPr>
                <w:i/>
                <w:iCs/>
                <w:sz w:val="18"/>
                <w:szCs w:val="18"/>
              </w:rPr>
              <w:t>14</w:t>
            </w:r>
            <w:r w:rsidRPr="00AC36D6">
              <w:rPr>
                <w:i/>
                <w:iCs/>
                <w:sz w:val="18"/>
                <w:szCs w:val="18"/>
              </w:rPr>
              <w:t>.</w:t>
            </w:r>
            <w:r w:rsidR="00F47BFF" w:rsidRPr="00AC36D6">
              <w:rPr>
                <w:i/>
                <w:iCs/>
                <w:sz w:val="18"/>
                <w:szCs w:val="18"/>
              </w:rPr>
              <w:t>6</w:t>
            </w:r>
            <w:r w:rsidRPr="00AC36D6">
              <w:rPr>
                <w:i/>
                <w:iCs/>
                <w:sz w:val="18"/>
                <w:szCs w:val="18"/>
              </w:rPr>
              <w:t>)</w:t>
            </w:r>
          </w:p>
        </w:tc>
        <w:tc>
          <w:tcPr>
            <w:tcW w:w="1132" w:type="dxa"/>
            <w:tcBorders>
              <w:top w:val="nil"/>
              <w:left w:val="nil"/>
              <w:bottom w:val="single" w:sz="8" w:space="0" w:color="auto"/>
              <w:right w:val="nil"/>
            </w:tcBorders>
            <w:vAlign w:val="center"/>
          </w:tcPr>
          <w:p w14:paraId="1DC34958" w14:textId="10DFA471" w:rsidR="00D17976" w:rsidRPr="00AC36D6" w:rsidRDefault="00F47BFF" w:rsidP="00D17976">
            <w:pPr>
              <w:jc w:val="center"/>
              <w:rPr>
                <w:sz w:val="18"/>
                <w:szCs w:val="18"/>
              </w:rPr>
            </w:pPr>
            <w:r w:rsidRPr="00AC36D6">
              <w:rPr>
                <w:sz w:val="18"/>
                <w:szCs w:val="18"/>
              </w:rPr>
              <w:t>1.23</w:t>
            </w:r>
            <w:r w:rsidR="00D17976" w:rsidRPr="00AC36D6">
              <w:rPr>
                <w:sz w:val="18"/>
                <w:szCs w:val="18"/>
              </w:rPr>
              <w:t xml:space="preserve"> </w:t>
            </w:r>
            <w:r w:rsidR="00D17976" w:rsidRPr="00AC36D6">
              <w:rPr>
                <w:i/>
                <w:iCs/>
                <w:sz w:val="18"/>
                <w:szCs w:val="18"/>
              </w:rPr>
              <w:t>(</w:t>
            </w:r>
            <w:r w:rsidRPr="00AC36D6">
              <w:rPr>
                <w:i/>
                <w:iCs/>
                <w:sz w:val="18"/>
                <w:szCs w:val="18"/>
              </w:rPr>
              <w:t>9</w:t>
            </w:r>
            <w:r w:rsidR="00D17976" w:rsidRPr="00AC36D6">
              <w:rPr>
                <w:i/>
                <w:iCs/>
                <w:sz w:val="18"/>
                <w:szCs w:val="18"/>
              </w:rPr>
              <w:t>.</w:t>
            </w:r>
            <w:r w:rsidRPr="00AC36D6">
              <w:rPr>
                <w:i/>
                <w:iCs/>
                <w:sz w:val="18"/>
                <w:szCs w:val="18"/>
              </w:rPr>
              <w:t>2</w:t>
            </w:r>
            <w:r w:rsidR="00D17976" w:rsidRPr="00AC36D6">
              <w:rPr>
                <w:i/>
                <w:iCs/>
                <w:sz w:val="18"/>
                <w:szCs w:val="18"/>
              </w:rPr>
              <w:t>)</w:t>
            </w:r>
          </w:p>
        </w:tc>
        <w:tc>
          <w:tcPr>
            <w:tcW w:w="1139" w:type="dxa"/>
            <w:tcBorders>
              <w:top w:val="nil"/>
              <w:left w:val="nil"/>
              <w:bottom w:val="single" w:sz="8" w:space="0" w:color="auto"/>
              <w:right w:val="double" w:sz="4" w:space="0" w:color="auto"/>
            </w:tcBorders>
            <w:vAlign w:val="center"/>
          </w:tcPr>
          <w:p w14:paraId="67E179FA" w14:textId="2C44D6B0" w:rsidR="00D17976" w:rsidRPr="00AC36D6" w:rsidRDefault="00D17976" w:rsidP="00D17976">
            <w:pPr>
              <w:jc w:val="center"/>
              <w:rPr>
                <w:sz w:val="18"/>
                <w:szCs w:val="18"/>
              </w:rPr>
            </w:pPr>
            <w:r w:rsidRPr="00AC36D6">
              <w:rPr>
                <w:sz w:val="18"/>
                <w:szCs w:val="18"/>
              </w:rPr>
              <w:t>0.</w:t>
            </w:r>
            <w:r w:rsidR="00F47BFF" w:rsidRPr="00AC36D6">
              <w:rPr>
                <w:sz w:val="18"/>
                <w:szCs w:val="18"/>
              </w:rPr>
              <w:t>57</w:t>
            </w:r>
            <w:r w:rsidRPr="00AC36D6">
              <w:rPr>
                <w:sz w:val="18"/>
                <w:szCs w:val="18"/>
              </w:rPr>
              <w:t xml:space="preserve"> </w:t>
            </w:r>
            <w:r w:rsidRPr="00AC36D6">
              <w:rPr>
                <w:i/>
                <w:iCs/>
                <w:sz w:val="18"/>
                <w:szCs w:val="18"/>
              </w:rPr>
              <w:t>(3.</w:t>
            </w:r>
            <w:r w:rsidR="00F47BFF" w:rsidRPr="00AC36D6">
              <w:rPr>
                <w:i/>
                <w:iCs/>
                <w:sz w:val="18"/>
                <w:szCs w:val="18"/>
              </w:rPr>
              <w:t>1</w:t>
            </w:r>
            <w:r w:rsidRPr="00AC36D6">
              <w:rPr>
                <w:i/>
                <w:iCs/>
                <w:sz w:val="18"/>
                <w:szCs w:val="18"/>
              </w:rPr>
              <w:t>)</w:t>
            </w:r>
          </w:p>
        </w:tc>
      </w:tr>
      <w:tr w:rsidR="00D17976" w:rsidRPr="00AC36D6" w14:paraId="2EB286A7" w14:textId="77777777" w:rsidTr="00DA6943">
        <w:trPr>
          <w:trHeight w:val="278"/>
        </w:trPr>
        <w:tc>
          <w:tcPr>
            <w:tcW w:w="3653" w:type="dxa"/>
            <w:tcBorders>
              <w:top w:val="single" w:sz="12" w:space="0" w:color="auto"/>
              <w:left w:val="double" w:sz="4" w:space="0" w:color="auto"/>
              <w:bottom w:val="nil"/>
              <w:right w:val="double" w:sz="4" w:space="0" w:color="auto"/>
            </w:tcBorders>
          </w:tcPr>
          <w:p w14:paraId="435682CC" w14:textId="77777777" w:rsidR="00D17976" w:rsidRPr="00AC36D6" w:rsidRDefault="00D17976" w:rsidP="00D17976">
            <w:pPr>
              <w:rPr>
                <w:b/>
                <w:bCs/>
                <w:sz w:val="18"/>
                <w:szCs w:val="18"/>
              </w:rPr>
            </w:pPr>
            <w:r w:rsidRPr="00AC36D6">
              <w:rPr>
                <w:b/>
                <w:bCs/>
                <w:sz w:val="18"/>
                <w:szCs w:val="18"/>
              </w:rPr>
              <w:t>Satiation function</w:t>
            </w:r>
          </w:p>
        </w:tc>
        <w:tc>
          <w:tcPr>
            <w:tcW w:w="5666" w:type="dxa"/>
            <w:gridSpan w:val="5"/>
            <w:tcBorders>
              <w:top w:val="nil"/>
              <w:left w:val="double" w:sz="4" w:space="0" w:color="auto"/>
              <w:bottom w:val="nil"/>
              <w:right w:val="double" w:sz="4" w:space="0" w:color="auto"/>
            </w:tcBorders>
            <w:vAlign w:val="center"/>
          </w:tcPr>
          <w:p w14:paraId="68E4A546" w14:textId="77777777" w:rsidR="00D17976" w:rsidRPr="00AC36D6" w:rsidRDefault="00D17976" w:rsidP="00D17976">
            <w:pPr>
              <w:jc w:val="center"/>
              <w:rPr>
                <w:sz w:val="18"/>
                <w:szCs w:val="18"/>
              </w:rPr>
            </w:pPr>
          </w:p>
        </w:tc>
        <w:tc>
          <w:tcPr>
            <w:tcW w:w="5667" w:type="dxa"/>
            <w:gridSpan w:val="5"/>
            <w:tcBorders>
              <w:top w:val="single" w:sz="12" w:space="0" w:color="auto"/>
              <w:left w:val="double" w:sz="4" w:space="0" w:color="auto"/>
              <w:bottom w:val="nil"/>
              <w:right w:val="double" w:sz="4" w:space="0" w:color="auto"/>
            </w:tcBorders>
            <w:vAlign w:val="center"/>
          </w:tcPr>
          <w:p w14:paraId="26A54E1D" w14:textId="77777777" w:rsidR="00D17976" w:rsidRPr="00AC36D6" w:rsidRDefault="00D17976" w:rsidP="00D17976">
            <w:pPr>
              <w:jc w:val="center"/>
              <w:rPr>
                <w:sz w:val="18"/>
                <w:szCs w:val="18"/>
              </w:rPr>
            </w:pPr>
          </w:p>
        </w:tc>
      </w:tr>
      <w:tr w:rsidR="00D17976" w:rsidRPr="00AC36D6" w14:paraId="486AE373" w14:textId="77777777" w:rsidTr="00DA6943">
        <w:trPr>
          <w:trHeight w:val="278"/>
        </w:trPr>
        <w:tc>
          <w:tcPr>
            <w:tcW w:w="3653" w:type="dxa"/>
            <w:tcBorders>
              <w:top w:val="nil"/>
              <w:left w:val="double" w:sz="4" w:space="0" w:color="auto"/>
              <w:bottom w:val="nil"/>
              <w:right w:val="double" w:sz="4" w:space="0" w:color="auto"/>
            </w:tcBorders>
          </w:tcPr>
          <w:p w14:paraId="11E47F86" w14:textId="7D3143D1" w:rsidR="00D17976" w:rsidRPr="00AC36D6" w:rsidRDefault="0029270A" w:rsidP="00D17976">
            <w:pPr>
              <w:rPr>
                <w:sz w:val="18"/>
                <w:szCs w:val="18"/>
              </w:rPr>
            </w:pPr>
            <w:r>
              <w:rPr>
                <w:sz w:val="18"/>
                <w:szCs w:val="18"/>
              </w:rPr>
              <w:t xml:space="preserve">  </w:t>
            </w:r>
            <w:r w:rsidR="00D17976" w:rsidRPr="00AC36D6">
              <w:rPr>
                <w:sz w:val="18"/>
                <w:szCs w:val="18"/>
              </w:rPr>
              <w:t>Constants</w:t>
            </w:r>
          </w:p>
        </w:tc>
        <w:tc>
          <w:tcPr>
            <w:tcW w:w="5666" w:type="dxa"/>
            <w:gridSpan w:val="5"/>
            <w:vMerge w:val="restart"/>
            <w:tcBorders>
              <w:top w:val="nil"/>
              <w:left w:val="double" w:sz="4" w:space="0" w:color="auto"/>
              <w:bottom w:val="nil"/>
              <w:right w:val="double" w:sz="4" w:space="0" w:color="auto"/>
            </w:tcBorders>
            <w:vAlign w:val="center"/>
          </w:tcPr>
          <w:p w14:paraId="05FCFCC4" w14:textId="67C6C1F9" w:rsidR="00D17976" w:rsidRPr="00AC36D6" w:rsidRDefault="00D17976" w:rsidP="00D17976">
            <w:pPr>
              <w:jc w:val="center"/>
              <w:rPr>
                <w:sz w:val="18"/>
                <w:szCs w:val="18"/>
              </w:rPr>
            </w:pPr>
          </w:p>
        </w:tc>
        <w:tc>
          <w:tcPr>
            <w:tcW w:w="1132" w:type="dxa"/>
            <w:tcBorders>
              <w:top w:val="nil"/>
              <w:left w:val="double" w:sz="4" w:space="0" w:color="auto"/>
              <w:bottom w:val="nil"/>
              <w:right w:val="nil"/>
            </w:tcBorders>
            <w:vAlign w:val="center"/>
          </w:tcPr>
          <w:p w14:paraId="5579B0CF" w14:textId="3A442817" w:rsidR="00D17976" w:rsidRPr="00AC36D6" w:rsidRDefault="00D17976" w:rsidP="00D17976">
            <w:pPr>
              <w:jc w:val="center"/>
              <w:rPr>
                <w:sz w:val="18"/>
                <w:szCs w:val="18"/>
              </w:rPr>
            </w:pPr>
            <w:r w:rsidRPr="00AC36D6">
              <w:rPr>
                <w:sz w:val="18"/>
                <w:szCs w:val="18"/>
              </w:rPr>
              <w:t>0.</w:t>
            </w:r>
            <w:r w:rsidR="00322923" w:rsidRPr="00AC36D6">
              <w:rPr>
                <w:sz w:val="18"/>
                <w:szCs w:val="18"/>
              </w:rPr>
              <w:t>0</w:t>
            </w:r>
            <w:r w:rsidRPr="00AC36D6">
              <w:rPr>
                <w:sz w:val="18"/>
                <w:szCs w:val="18"/>
              </w:rPr>
              <w:t xml:space="preserve"> </w:t>
            </w:r>
            <w:r w:rsidRPr="00AC36D6">
              <w:rPr>
                <w:i/>
                <w:iCs/>
                <w:sz w:val="18"/>
                <w:szCs w:val="18"/>
              </w:rPr>
              <w:t>(</w:t>
            </w:r>
            <w:r w:rsidR="00322923" w:rsidRPr="00AC36D6">
              <w:rPr>
                <w:i/>
                <w:iCs/>
                <w:sz w:val="18"/>
                <w:szCs w:val="18"/>
              </w:rPr>
              <w:t>0</w:t>
            </w:r>
            <w:r w:rsidRPr="00AC36D6">
              <w:rPr>
                <w:i/>
                <w:iCs/>
                <w:sz w:val="18"/>
                <w:szCs w:val="18"/>
              </w:rPr>
              <w:t>.</w:t>
            </w:r>
            <w:r w:rsidR="00322923" w:rsidRPr="00AC36D6">
              <w:rPr>
                <w:i/>
                <w:iCs/>
                <w:sz w:val="18"/>
                <w:szCs w:val="18"/>
              </w:rPr>
              <w:t>0</w:t>
            </w:r>
            <w:r w:rsidRPr="00AC36D6">
              <w:rPr>
                <w:i/>
                <w:iCs/>
                <w:sz w:val="18"/>
                <w:szCs w:val="18"/>
              </w:rPr>
              <w:t>)</w:t>
            </w:r>
          </w:p>
        </w:tc>
        <w:tc>
          <w:tcPr>
            <w:tcW w:w="1132" w:type="dxa"/>
            <w:tcBorders>
              <w:top w:val="nil"/>
              <w:left w:val="nil"/>
              <w:bottom w:val="nil"/>
              <w:right w:val="nil"/>
            </w:tcBorders>
            <w:vAlign w:val="center"/>
          </w:tcPr>
          <w:p w14:paraId="3880EB96" w14:textId="7EA09F33" w:rsidR="00D17976" w:rsidRPr="00AC36D6" w:rsidRDefault="00D17976" w:rsidP="00D17976">
            <w:pPr>
              <w:jc w:val="center"/>
              <w:rPr>
                <w:sz w:val="18"/>
                <w:szCs w:val="18"/>
              </w:rPr>
            </w:pPr>
            <w:r w:rsidRPr="00AC36D6">
              <w:rPr>
                <w:sz w:val="18"/>
                <w:szCs w:val="18"/>
              </w:rPr>
              <w:t>-2.</w:t>
            </w:r>
            <w:r w:rsidR="00322923" w:rsidRPr="00AC36D6">
              <w:rPr>
                <w:sz w:val="18"/>
                <w:szCs w:val="18"/>
              </w:rPr>
              <w:t>53</w:t>
            </w:r>
            <w:r w:rsidRPr="00AC36D6">
              <w:rPr>
                <w:sz w:val="18"/>
                <w:szCs w:val="18"/>
              </w:rPr>
              <w:t xml:space="preserve"> </w:t>
            </w:r>
            <w:r w:rsidRPr="00AC36D6">
              <w:rPr>
                <w:i/>
                <w:iCs/>
                <w:sz w:val="18"/>
                <w:szCs w:val="18"/>
              </w:rPr>
              <w:t>(-</w:t>
            </w:r>
            <w:r w:rsidR="00322923" w:rsidRPr="00AC36D6">
              <w:rPr>
                <w:i/>
                <w:iCs/>
                <w:sz w:val="18"/>
                <w:szCs w:val="18"/>
              </w:rPr>
              <w:t>8</w:t>
            </w:r>
            <w:r w:rsidRPr="00AC36D6">
              <w:rPr>
                <w:i/>
                <w:iCs/>
                <w:sz w:val="18"/>
                <w:szCs w:val="18"/>
              </w:rPr>
              <w:t>.</w:t>
            </w:r>
            <w:r w:rsidR="00322923" w:rsidRPr="00AC36D6">
              <w:rPr>
                <w:i/>
                <w:iCs/>
                <w:sz w:val="18"/>
                <w:szCs w:val="18"/>
              </w:rPr>
              <w:t>1</w:t>
            </w:r>
            <w:r w:rsidRPr="00AC36D6">
              <w:rPr>
                <w:i/>
                <w:iCs/>
                <w:sz w:val="18"/>
                <w:szCs w:val="18"/>
              </w:rPr>
              <w:t>)</w:t>
            </w:r>
          </w:p>
        </w:tc>
        <w:tc>
          <w:tcPr>
            <w:tcW w:w="1132" w:type="dxa"/>
            <w:tcBorders>
              <w:top w:val="nil"/>
              <w:left w:val="nil"/>
              <w:bottom w:val="nil"/>
              <w:right w:val="nil"/>
            </w:tcBorders>
            <w:vAlign w:val="center"/>
          </w:tcPr>
          <w:p w14:paraId="44DAB308" w14:textId="2A759659" w:rsidR="00D17976" w:rsidRPr="00AC36D6" w:rsidRDefault="00D17976" w:rsidP="00D17976">
            <w:pPr>
              <w:jc w:val="center"/>
              <w:rPr>
                <w:sz w:val="18"/>
                <w:szCs w:val="18"/>
              </w:rPr>
            </w:pPr>
            <w:r w:rsidRPr="00AC36D6">
              <w:rPr>
                <w:sz w:val="18"/>
                <w:szCs w:val="18"/>
              </w:rPr>
              <w:t>-2.</w:t>
            </w:r>
            <w:r w:rsidR="00322923" w:rsidRPr="00AC36D6">
              <w:rPr>
                <w:sz w:val="18"/>
                <w:szCs w:val="18"/>
              </w:rPr>
              <w:t>94</w:t>
            </w:r>
            <w:r w:rsidRPr="00AC36D6">
              <w:rPr>
                <w:sz w:val="18"/>
                <w:szCs w:val="18"/>
              </w:rPr>
              <w:t xml:space="preserve"> </w:t>
            </w:r>
            <w:r w:rsidRPr="00AC36D6">
              <w:rPr>
                <w:i/>
                <w:iCs/>
                <w:sz w:val="18"/>
                <w:szCs w:val="18"/>
              </w:rPr>
              <w:t>(-4.</w:t>
            </w:r>
            <w:r w:rsidR="00322923" w:rsidRPr="00AC36D6">
              <w:rPr>
                <w:i/>
                <w:iCs/>
                <w:sz w:val="18"/>
                <w:szCs w:val="18"/>
              </w:rPr>
              <w:t>3</w:t>
            </w:r>
            <w:r w:rsidRPr="00AC36D6">
              <w:rPr>
                <w:i/>
                <w:iCs/>
                <w:sz w:val="18"/>
                <w:szCs w:val="18"/>
              </w:rPr>
              <w:t>)</w:t>
            </w:r>
          </w:p>
        </w:tc>
        <w:tc>
          <w:tcPr>
            <w:tcW w:w="1132" w:type="dxa"/>
            <w:tcBorders>
              <w:top w:val="nil"/>
              <w:left w:val="nil"/>
              <w:bottom w:val="nil"/>
              <w:right w:val="nil"/>
            </w:tcBorders>
            <w:vAlign w:val="center"/>
          </w:tcPr>
          <w:p w14:paraId="15131612" w14:textId="628B389E" w:rsidR="00D17976" w:rsidRPr="00AC36D6" w:rsidRDefault="00D17976" w:rsidP="00D17976">
            <w:pPr>
              <w:jc w:val="center"/>
              <w:rPr>
                <w:sz w:val="18"/>
                <w:szCs w:val="18"/>
              </w:rPr>
            </w:pPr>
            <w:r w:rsidRPr="00AC36D6">
              <w:rPr>
                <w:sz w:val="18"/>
                <w:szCs w:val="18"/>
              </w:rPr>
              <w:t>-</w:t>
            </w:r>
            <w:r w:rsidR="00322923" w:rsidRPr="00AC36D6">
              <w:rPr>
                <w:sz w:val="18"/>
                <w:szCs w:val="18"/>
              </w:rPr>
              <w:t>3</w:t>
            </w:r>
            <w:r w:rsidRPr="00AC36D6">
              <w:rPr>
                <w:sz w:val="18"/>
                <w:szCs w:val="18"/>
              </w:rPr>
              <w:t>.</w:t>
            </w:r>
            <w:r w:rsidR="00322923" w:rsidRPr="00AC36D6">
              <w:rPr>
                <w:sz w:val="18"/>
                <w:szCs w:val="18"/>
              </w:rPr>
              <w:t>24</w:t>
            </w:r>
            <w:r w:rsidRPr="00AC36D6">
              <w:rPr>
                <w:sz w:val="18"/>
                <w:szCs w:val="18"/>
              </w:rPr>
              <w:t xml:space="preserve"> </w:t>
            </w:r>
            <w:r w:rsidRPr="00AC36D6">
              <w:rPr>
                <w:i/>
                <w:iCs/>
                <w:sz w:val="18"/>
                <w:szCs w:val="18"/>
              </w:rPr>
              <w:t>(-3.</w:t>
            </w:r>
            <w:r w:rsidR="00322923" w:rsidRPr="00AC36D6">
              <w:rPr>
                <w:i/>
                <w:iCs/>
                <w:sz w:val="18"/>
                <w:szCs w:val="18"/>
              </w:rPr>
              <w:t>2</w:t>
            </w:r>
            <w:r w:rsidRPr="00AC36D6">
              <w:rPr>
                <w:i/>
                <w:iCs/>
                <w:sz w:val="18"/>
                <w:szCs w:val="18"/>
              </w:rPr>
              <w:t>)</w:t>
            </w:r>
          </w:p>
        </w:tc>
        <w:tc>
          <w:tcPr>
            <w:tcW w:w="1139" w:type="dxa"/>
            <w:tcBorders>
              <w:top w:val="nil"/>
              <w:left w:val="nil"/>
              <w:bottom w:val="nil"/>
              <w:right w:val="double" w:sz="4" w:space="0" w:color="auto"/>
            </w:tcBorders>
            <w:vAlign w:val="center"/>
          </w:tcPr>
          <w:p w14:paraId="1842740D" w14:textId="2F830E61" w:rsidR="00D17976" w:rsidRPr="00AC36D6" w:rsidRDefault="00D17976" w:rsidP="00D17976">
            <w:pPr>
              <w:jc w:val="center"/>
              <w:rPr>
                <w:sz w:val="18"/>
                <w:szCs w:val="18"/>
              </w:rPr>
            </w:pPr>
            <w:r w:rsidRPr="00AC36D6">
              <w:rPr>
                <w:sz w:val="18"/>
                <w:szCs w:val="18"/>
              </w:rPr>
              <w:t>-</w:t>
            </w:r>
            <w:r w:rsidR="00322923" w:rsidRPr="00AC36D6">
              <w:rPr>
                <w:sz w:val="18"/>
                <w:szCs w:val="18"/>
              </w:rPr>
              <w:t>5</w:t>
            </w:r>
            <w:r w:rsidRPr="00AC36D6">
              <w:rPr>
                <w:sz w:val="18"/>
                <w:szCs w:val="18"/>
              </w:rPr>
              <w:t>.</w:t>
            </w:r>
            <w:r w:rsidR="00322923" w:rsidRPr="00AC36D6">
              <w:rPr>
                <w:sz w:val="18"/>
                <w:szCs w:val="18"/>
              </w:rPr>
              <w:t>6</w:t>
            </w:r>
            <w:r w:rsidRPr="00AC36D6">
              <w:rPr>
                <w:sz w:val="18"/>
                <w:szCs w:val="18"/>
              </w:rPr>
              <w:t xml:space="preserve"> </w:t>
            </w:r>
            <w:r w:rsidRPr="00AC36D6">
              <w:rPr>
                <w:i/>
                <w:iCs/>
                <w:sz w:val="18"/>
                <w:szCs w:val="18"/>
              </w:rPr>
              <w:t>(</w:t>
            </w:r>
            <w:r w:rsidR="00322923" w:rsidRPr="00AC36D6">
              <w:rPr>
                <w:i/>
                <w:iCs/>
                <w:sz w:val="18"/>
                <w:szCs w:val="18"/>
              </w:rPr>
              <w:t>-1.0</w:t>
            </w:r>
            <w:r w:rsidRPr="00AC36D6">
              <w:rPr>
                <w:i/>
                <w:iCs/>
                <w:sz w:val="18"/>
                <w:szCs w:val="18"/>
              </w:rPr>
              <w:t>)</w:t>
            </w:r>
          </w:p>
        </w:tc>
      </w:tr>
      <w:tr w:rsidR="00D17976" w:rsidRPr="00AC36D6" w14:paraId="1ED4785E" w14:textId="77777777" w:rsidTr="00DA6943">
        <w:trPr>
          <w:trHeight w:val="278"/>
        </w:trPr>
        <w:tc>
          <w:tcPr>
            <w:tcW w:w="3653" w:type="dxa"/>
            <w:tcBorders>
              <w:top w:val="nil"/>
              <w:left w:val="double" w:sz="4" w:space="0" w:color="auto"/>
              <w:bottom w:val="nil"/>
              <w:right w:val="double" w:sz="4" w:space="0" w:color="auto"/>
            </w:tcBorders>
          </w:tcPr>
          <w:p w14:paraId="47A48C9E" w14:textId="35DDE457" w:rsidR="00D17976" w:rsidRPr="00AC36D6" w:rsidRDefault="0029270A" w:rsidP="00D17976">
            <w:pPr>
              <w:rPr>
                <w:sz w:val="18"/>
                <w:szCs w:val="18"/>
              </w:rPr>
            </w:pPr>
            <w:r>
              <w:rPr>
                <w:sz w:val="18"/>
                <w:szCs w:val="18"/>
              </w:rPr>
              <w:t xml:space="preserve">  </w:t>
            </w:r>
            <w:r w:rsidR="00D17976" w:rsidRPr="00AC36D6">
              <w:rPr>
                <w:sz w:val="18"/>
                <w:szCs w:val="18"/>
              </w:rPr>
              <w:t>Size of the travel group</w:t>
            </w:r>
          </w:p>
        </w:tc>
        <w:tc>
          <w:tcPr>
            <w:tcW w:w="5666" w:type="dxa"/>
            <w:gridSpan w:val="5"/>
            <w:vMerge/>
            <w:tcBorders>
              <w:top w:val="nil"/>
              <w:left w:val="double" w:sz="4" w:space="0" w:color="auto"/>
              <w:bottom w:val="nil"/>
              <w:right w:val="double" w:sz="4" w:space="0" w:color="auto"/>
            </w:tcBorders>
            <w:vAlign w:val="center"/>
          </w:tcPr>
          <w:p w14:paraId="0EB35B13" w14:textId="77777777" w:rsidR="00D17976" w:rsidRPr="00AC36D6" w:rsidRDefault="00D17976" w:rsidP="00D17976">
            <w:pPr>
              <w:jc w:val="center"/>
              <w:rPr>
                <w:sz w:val="18"/>
                <w:szCs w:val="18"/>
              </w:rPr>
            </w:pPr>
          </w:p>
        </w:tc>
        <w:tc>
          <w:tcPr>
            <w:tcW w:w="1132" w:type="dxa"/>
            <w:tcBorders>
              <w:top w:val="nil"/>
              <w:left w:val="double" w:sz="4" w:space="0" w:color="auto"/>
              <w:bottom w:val="nil"/>
              <w:right w:val="nil"/>
            </w:tcBorders>
            <w:vAlign w:val="center"/>
          </w:tcPr>
          <w:p w14:paraId="11B99AEF" w14:textId="06B9FCE3" w:rsidR="00D17976" w:rsidRPr="00AC36D6" w:rsidRDefault="00D17976" w:rsidP="00D17976">
            <w:pPr>
              <w:jc w:val="center"/>
              <w:rPr>
                <w:sz w:val="18"/>
                <w:szCs w:val="18"/>
              </w:rPr>
            </w:pPr>
            <w:r w:rsidRPr="00AC36D6">
              <w:rPr>
                <w:sz w:val="18"/>
                <w:szCs w:val="18"/>
              </w:rPr>
              <w:t xml:space="preserve">0.07 </w:t>
            </w:r>
            <w:r w:rsidRPr="00AC36D6">
              <w:rPr>
                <w:i/>
                <w:iCs/>
                <w:sz w:val="18"/>
                <w:szCs w:val="18"/>
              </w:rPr>
              <w:t>(4.</w:t>
            </w:r>
            <w:r w:rsidR="00322923" w:rsidRPr="00AC36D6">
              <w:rPr>
                <w:i/>
                <w:iCs/>
                <w:sz w:val="18"/>
                <w:szCs w:val="18"/>
              </w:rPr>
              <w:t>3</w:t>
            </w:r>
            <w:r w:rsidRPr="00AC36D6">
              <w:rPr>
                <w:i/>
                <w:iCs/>
                <w:sz w:val="18"/>
                <w:szCs w:val="18"/>
              </w:rPr>
              <w:t>)</w:t>
            </w:r>
          </w:p>
        </w:tc>
        <w:tc>
          <w:tcPr>
            <w:tcW w:w="1132" w:type="dxa"/>
            <w:tcBorders>
              <w:top w:val="nil"/>
              <w:left w:val="nil"/>
              <w:bottom w:val="nil"/>
              <w:right w:val="nil"/>
            </w:tcBorders>
            <w:vAlign w:val="center"/>
          </w:tcPr>
          <w:p w14:paraId="18796AB0" w14:textId="08182730" w:rsidR="00D17976" w:rsidRPr="00AC36D6" w:rsidRDefault="00D17976" w:rsidP="00D17976">
            <w:pPr>
              <w:jc w:val="center"/>
              <w:rPr>
                <w:sz w:val="18"/>
                <w:szCs w:val="18"/>
              </w:rPr>
            </w:pPr>
            <w:r w:rsidRPr="00AC36D6">
              <w:rPr>
                <w:sz w:val="18"/>
                <w:szCs w:val="18"/>
              </w:rPr>
              <w:t xml:space="preserve">0.12 </w:t>
            </w:r>
            <w:r w:rsidRPr="00AC36D6">
              <w:rPr>
                <w:i/>
                <w:iCs/>
                <w:sz w:val="18"/>
                <w:szCs w:val="18"/>
              </w:rPr>
              <w:t>(9.</w:t>
            </w:r>
            <w:r w:rsidR="00322923" w:rsidRPr="00AC36D6">
              <w:rPr>
                <w:i/>
                <w:iCs/>
                <w:sz w:val="18"/>
                <w:szCs w:val="18"/>
              </w:rPr>
              <w:t>4</w:t>
            </w:r>
            <w:r w:rsidRPr="00AC36D6">
              <w:rPr>
                <w:i/>
                <w:iCs/>
                <w:sz w:val="18"/>
                <w:szCs w:val="18"/>
              </w:rPr>
              <w:t>)</w:t>
            </w:r>
          </w:p>
        </w:tc>
        <w:tc>
          <w:tcPr>
            <w:tcW w:w="1132" w:type="dxa"/>
            <w:tcBorders>
              <w:top w:val="nil"/>
              <w:left w:val="nil"/>
              <w:bottom w:val="nil"/>
              <w:right w:val="nil"/>
            </w:tcBorders>
            <w:vAlign w:val="center"/>
          </w:tcPr>
          <w:p w14:paraId="04FEADB2"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95A2B47"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533B23AD" w14:textId="77777777" w:rsidR="00D17976" w:rsidRPr="00AC36D6" w:rsidRDefault="00D17976" w:rsidP="00D17976">
            <w:pPr>
              <w:jc w:val="center"/>
              <w:rPr>
                <w:sz w:val="18"/>
                <w:szCs w:val="18"/>
              </w:rPr>
            </w:pPr>
            <w:r w:rsidRPr="00AC36D6">
              <w:rPr>
                <w:sz w:val="18"/>
                <w:szCs w:val="18"/>
              </w:rPr>
              <w:t>-</w:t>
            </w:r>
          </w:p>
        </w:tc>
      </w:tr>
      <w:tr w:rsidR="00D17976" w:rsidRPr="00AC36D6" w14:paraId="5F9BECA2" w14:textId="77777777" w:rsidTr="00DA6943">
        <w:trPr>
          <w:trHeight w:val="278"/>
        </w:trPr>
        <w:tc>
          <w:tcPr>
            <w:tcW w:w="3653" w:type="dxa"/>
            <w:tcBorders>
              <w:top w:val="nil"/>
              <w:left w:val="double" w:sz="4" w:space="0" w:color="auto"/>
              <w:bottom w:val="nil"/>
              <w:right w:val="double" w:sz="4" w:space="0" w:color="auto"/>
            </w:tcBorders>
          </w:tcPr>
          <w:p w14:paraId="581A83CA" w14:textId="00FD6209" w:rsidR="00D17976" w:rsidRPr="00AC36D6" w:rsidRDefault="0029270A" w:rsidP="00D17976">
            <w:pPr>
              <w:rPr>
                <w:sz w:val="18"/>
                <w:szCs w:val="18"/>
              </w:rPr>
            </w:pPr>
            <w:r>
              <w:rPr>
                <w:sz w:val="18"/>
                <w:szCs w:val="18"/>
              </w:rPr>
              <w:t xml:space="preserve">  </w:t>
            </w:r>
            <w:r w:rsidR="00D17976" w:rsidRPr="00AC36D6">
              <w:rPr>
                <w:sz w:val="18"/>
                <w:szCs w:val="18"/>
              </w:rPr>
              <w:t xml:space="preserve">Proportion of </w:t>
            </w:r>
            <w:r w:rsidR="003223D8" w:rsidRPr="00AC36D6">
              <w:rPr>
                <w:sz w:val="18"/>
                <w:szCs w:val="18"/>
              </w:rPr>
              <w:t>women</w:t>
            </w:r>
            <w:r w:rsidR="00D17976" w:rsidRPr="00AC36D6">
              <w:rPr>
                <w:sz w:val="18"/>
                <w:szCs w:val="18"/>
              </w:rPr>
              <w:t xml:space="preserve"> in the group</w:t>
            </w:r>
          </w:p>
        </w:tc>
        <w:tc>
          <w:tcPr>
            <w:tcW w:w="5666" w:type="dxa"/>
            <w:gridSpan w:val="5"/>
            <w:vMerge/>
            <w:tcBorders>
              <w:top w:val="nil"/>
              <w:left w:val="double" w:sz="4" w:space="0" w:color="auto"/>
              <w:bottom w:val="nil"/>
              <w:right w:val="double" w:sz="4" w:space="0" w:color="auto"/>
            </w:tcBorders>
            <w:vAlign w:val="center"/>
          </w:tcPr>
          <w:p w14:paraId="0C3ECDD4" w14:textId="77777777" w:rsidR="00D17976" w:rsidRPr="00AC36D6" w:rsidRDefault="00D17976" w:rsidP="00D17976">
            <w:pPr>
              <w:jc w:val="center"/>
              <w:rPr>
                <w:sz w:val="18"/>
                <w:szCs w:val="18"/>
              </w:rPr>
            </w:pPr>
          </w:p>
        </w:tc>
        <w:tc>
          <w:tcPr>
            <w:tcW w:w="1132" w:type="dxa"/>
            <w:tcBorders>
              <w:top w:val="nil"/>
              <w:left w:val="double" w:sz="4" w:space="0" w:color="auto"/>
              <w:bottom w:val="nil"/>
              <w:right w:val="nil"/>
            </w:tcBorders>
            <w:vAlign w:val="center"/>
          </w:tcPr>
          <w:p w14:paraId="606AF1A4" w14:textId="2F3407F9" w:rsidR="00D17976" w:rsidRPr="00AC36D6" w:rsidRDefault="00D17976" w:rsidP="00D17976">
            <w:pPr>
              <w:jc w:val="center"/>
              <w:rPr>
                <w:sz w:val="18"/>
                <w:szCs w:val="18"/>
              </w:rPr>
            </w:pPr>
            <w:r w:rsidRPr="00AC36D6">
              <w:rPr>
                <w:sz w:val="18"/>
                <w:szCs w:val="18"/>
              </w:rPr>
              <w:t>0.2</w:t>
            </w:r>
            <w:r w:rsidR="00322923" w:rsidRPr="00AC36D6">
              <w:rPr>
                <w:sz w:val="18"/>
                <w:szCs w:val="18"/>
              </w:rPr>
              <w:t>1</w:t>
            </w:r>
            <w:r w:rsidRPr="00AC36D6">
              <w:rPr>
                <w:sz w:val="18"/>
                <w:szCs w:val="18"/>
              </w:rPr>
              <w:t xml:space="preserve"> </w:t>
            </w:r>
            <w:r w:rsidRPr="00AC36D6">
              <w:rPr>
                <w:i/>
                <w:iCs/>
                <w:sz w:val="18"/>
                <w:szCs w:val="18"/>
              </w:rPr>
              <w:t>(2.8)</w:t>
            </w:r>
          </w:p>
        </w:tc>
        <w:tc>
          <w:tcPr>
            <w:tcW w:w="1132" w:type="dxa"/>
            <w:tcBorders>
              <w:top w:val="nil"/>
              <w:left w:val="nil"/>
              <w:bottom w:val="nil"/>
              <w:right w:val="nil"/>
            </w:tcBorders>
            <w:vAlign w:val="center"/>
          </w:tcPr>
          <w:p w14:paraId="01C50031"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7DA50295"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nil"/>
              <w:right w:val="nil"/>
            </w:tcBorders>
            <w:vAlign w:val="center"/>
          </w:tcPr>
          <w:p w14:paraId="3E610378"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nil"/>
              <w:right w:val="double" w:sz="4" w:space="0" w:color="auto"/>
            </w:tcBorders>
            <w:vAlign w:val="center"/>
          </w:tcPr>
          <w:p w14:paraId="2ACEEE62" w14:textId="77777777" w:rsidR="00D17976" w:rsidRPr="00AC36D6" w:rsidRDefault="00D17976" w:rsidP="00D17976">
            <w:pPr>
              <w:jc w:val="center"/>
              <w:rPr>
                <w:sz w:val="18"/>
                <w:szCs w:val="18"/>
              </w:rPr>
            </w:pPr>
            <w:r w:rsidRPr="00AC36D6">
              <w:rPr>
                <w:sz w:val="18"/>
                <w:szCs w:val="18"/>
              </w:rPr>
              <w:t>-</w:t>
            </w:r>
          </w:p>
        </w:tc>
      </w:tr>
      <w:tr w:rsidR="00D17976" w:rsidRPr="00AC36D6" w14:paraId="59ADF90C" w14:textId="77777777" w:rsidTr="00DA6943">
        <w:trPr>
          <w:trHeight w:val="278"/>
        </w:trPr>
        <w:tc>
          <w:tcPr>
            <w:tcW w:w="3653" w:type="dxa"/>
            <w:tcBorders>
              <w:top w:val="nil"/>
              <w:left w:val="double" w:sz="4" w:space="0" w:color="auto"/>
              <w:bottom w:val="single" w:sz="12" w:space="0" w:color="auto"/>
              <w:right w:val="double" w:sz="4" w:space="0" w:color="auto"/>
            </w:tcBorders>
          </w:tcPr>
          <w:p w14:paraId="7BD1E42E" w14:textId="78977EBE" w:rsidR="00D17976" w:rsidRPr="00AC36D6" w:rsidRDefault="0029270A" w:rsidP="00D17976">
            <w:pPr>
              <w:rPr>
                <w:sz w:val="18"/>
                <w:szCs w:val="18"/>
              </w:rPr>
            </w:pPr>
            <w:r>
              <w:rPr>
                <w:sz w:val="18"/>
                <w:szCs w:val="18"/>
              </w:rPr>
              <w:t xml:space="preserve">  </w:t>
            </w:r>
            <w:r w:rsidR="00D17976" w:rsidRPr="00AC36D6">
              <w:rPr>
                <w:sz w:val="18"/>
                <w:szCs w:val="18"/>
              </w:rPr>
              <w:t>Proportion of elderl</w:t>
            </w:r>
            <w:r w:rsidR="003E5CD8" w:rsidRPr="00AC36D6">
              <w:rPr>
                <w:sz w:val="18"/>
                <w:szCs w:val="18"/>
              </w:rPr>
              <w:t>y</w:t>
            </w:r>
            <w:r w:rsidR="00D17976" w:rsidRPr="00AC36D6">
              <w:rPr>
                <w:sz w:val="18"/>
                <w:szCs w:val="18"/>
              </w:rPr>
              <w:t xml:space="preserve"> in the group</w:t>
            </w:r>
          </w:p>
        </w:tc>
        <w:tc>
          <w:tcPr>
            <w:tcW w:w="5666" w:type="dxa"/>
            <w:gridSpan w:val="5"/>
            <w:vMerge/>
            <w:tcBorders>
              <w:top w:val="nil"/>
              <w:left w:val="double" w:sz="4" w:space="0" w:color="auto"/>
              <w:bottom w:val="single" w:sz="12" w:space="0" w:color="auto"/>
              <w:right w:val="double" w:sz="4" w:space="0" w:color="auto"/>
            </w:tcBorders>
            <w:vAlign w:val="center"/>
          </w:tcPr>
          <w:p w14:paraId="3E2BB70A" w14:textId="77777777" w:rsidR="00D17976" w:rsidRPr="00AC36D6" w:rsidRDefault="00D17976" w:rsidP="00D17976">
            <w:pPr>
              <w:jc w:val="center"/>
              <w:rPr>
                <w:sz w:val="18"/>
                <w:szCs w:val="18"/>
              </w:rPr>
            </w:pPr>
          </w:p>
        </w:tc>
        <w:tc>
          <w:tcPr>
            <w:tcW w:w="1132" w:type="dxa"/>
            <w:tcBorders>
              <w:top w:val="nil"/>
              <w:left w:val="double" w:sz="4" w:space="0" w:color="auto"/>
              <w:bottom w:val="single" w:sz="12" w:space="0" w:color="auto"/>
              <w:right w:val="nil"/>
            </w:tcBorders>
            <w:vAlign w:val="center"/>
          </w:tcPr>
          <w:p w14:paraId="2E19DE10"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single" w:sz="12" w:space="0" w:color="auto"/>
              <w:right w:val="nil"/>
            </w:tcBorders>
            <w:vAlign w:val="center"/>
          </w:tcPr>
          <w:p w14:paraId="3168E714"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single" w:sz="12" w:space="0" w:color="auto"/>
              <w:right w:val="nil"/>
            </w:tcBorders>
            <w:vAlign w:val="center"/>
          </w:tcPr>
          <w:p w14:paraId="2075A6E3" w14:textId="77777777" w:rsidR="00D17976" w:rsidRPr="00AC36D6" w:rsidRDefault="00D17976" w:rsidP="00D17976">
            <w:pPr>
              <w:jc w:val="center"/>
              <w:rPr>
                <w:sz w:val="18"/>
                <w:szCs w:val="18"/>
              </w:rPr>
            </w:pPr>
            <w:r w:rsidRPr="00AC36D6">
              <w:rPr>
                <w:sz w:val="18"/>
                <w:szCs w:val="18"/>
              </w:rPr>
              <w:t>-</w:t>
            </w:r>
          </w:p>
        </w:tc>
        <w:tc>
          <w:tcPr>
            <w:tcW w:w="1132" w:type="dxa"/>
            <w:tcBorders>
              <w:top w:val="nil"/>
              <w:left w:val="nil"/>
              <w:bottom w:val="single" w:sz="12" w:space="0" w:color="auto"/>
              <w:right w:val="nil"/>
            </w:tcBorders>
            <w:vAlign w:val="center"/>
          </w:tcPr>
          <w:p w14:paraId="5C9003EB" w14:textId="77777777" w:rsidR="00D17976" w:rsidRPr="00AC36D6" w:rsidRDefault="00D17976" w:rsidP="00D17976">
            <w:pPr>
              <w:jc w:val="center"/>
              <w:rPr>
                <w:sz w:val="18"/>
                <w:szCs w:val="18"/>
              </w:rPr>
            </w:pPr>
            <w:r w:rsidRPr="00AC36D6">
              <w:rPr>
                <w:sz w:val="18"/>
                <w:szCs w:val="18"/>
              </w:rPr>
              <w:t>-</w:t>
            </w:r>
          </w:p>
        </w:tc>
        <w:tc>
          <w:tcPr>
            <w:tcW w:w="1139" w:type="dxa"/>
            <w:tcBorders>
              <w:top w:val="nil"/>
              <w:left w:val="nil"/>
              <w:bottom w:val="single" w:sz="12" w:space="0" w:color="auto"/>
              <w:right w:val="double" w:sz="4" w:space="0" w:color="auto"/>
            </w:tcBorders>
            <w:vAlign w:val="center"/>
          </w:tcPr>
          <w:p w14:paraId="1BF323B8" w14:textId="270A3A24" w:rsidR="00D17976" w:rsidRPr="00AC36D6" w:rsidRDefault="00D17976" w:rsidP="00D17976">
            <w:pPr>
              <w:jc w:val="center"/>
              <w:rPr>
                <w:sz w:val="18"/>
                <w:szCs w:val="18"/>
              </w:rPr>
            </w:pPr>
            <w:r w:rsidRPr="00AC36D6">
              <w:rPr>
                <w:sz w:val="18"/>
                <w:szCs w:val="18"/>
              </w:rPr>
              <w:t>1.</w:t>
            </w:r>
            <w:r w:rsidR="00322923" w:rsidRPr="00AC36D6">
              <w:rPr>
                <w:sz w:val="18"/>
                <w:szCs w:val="18"/>
              </w:rPr>
              <w:t>26</w:t>
            </w:r>
            <w:r w:rsidRPr="00AC36D6">
              <w:rPr>
                <w:sz w:val="18"/>
                <w:szCs w:val="18"/>
              </w:rPr>
              <w:t xml:space="preserve"> </w:t>
            </w:r>
            <w:r w:rsidRPr="00AC36D6">
              <w:rPr>
                <w:i/>
                <w:iCs/>
                <w:sz w:val="18"/>
                <w:szCs w:val="18"/>
              </w:rPr>
              <w:t>(</w:t>
            </w:r>
            <w:r w:rsidR="00322923" w:rsidRPr="00AC36D6">
              <w:rPr>
                <w:i/>
                <w:iCs/>
                <w:sz w:val="18"/>
                <w:szCs w:val="18"/>
              </w:rPr>
              <w:t>6</w:t>
            </w:r>
            <w:r w:rsidRPr="00AC36D6">
              <w:rPr>
                <w:i/>
                <w:iCs/>
                <w:sz w:val="18"/>
                <w:szCs w:val="18"/>
              </w:rPr>
              <w:t>.</w:t>
            </w:r>
            <w:r w:rsidR="00322923" w:rsidRPr="00AC36D6">
              <w:rPr>
                <w:i/>
                <w:iCs/>
                <w:sz w:val="18"/>
                <w:szCs w:val="18"/>
              </w:rPr>
              <w:t>3</w:t>
            </w:r>
            <w:r w:rsidRPr="00AC36D6">
              <w:rPr>
                <w:i/>
                <w:iCs/>
                <w:sz w:val="18"/>
                <w:szCs w:val="18"/>
              </w:rPr>
              <w:t>)</w:t>
            </w:r>
          </w:p>
        </w:tc>
      </w:tr>
      <w:tr w:rsidR="00D17976" w:rsidRPr="00AC36D6" w14:paraId="6B1362A5" w14:textId="77777777" w:rsidTr="00DA6943">
        <w:trPr>
          <w:trHeight w:val="278"/>
        </w:trPr>
        <w:tc>
          <w:tcPr>
            <w:tcW w:w="3653" w:type="dxa"/>
            <w:tcBorders>
              <w:top w:val="single" w:sz="12" w:space="0" w:color="auto"/>
              <w:left w:val="double" w:sz="4" w:space="0" w:color="auto"/>
              <w:bottom w:val="nil"/>
              <w:right w:val="double" w:sz="4" w:space="0" w:color="auto"/>
            </w:tcBorders>
          </w:tcPr>
          <w:p w14:paraId="02382BD6" w14:textId="77777777" w:rsidR="00D17976" w:rsidRPr="00AC36D6" w:rsidRDefault="00D17976" w:rsidP="00D17976">
            <w:pPr>
              <w:rPr>
                <w:b/>
                <w:bCs/>
                <w:sz w:val="18"/>
                <w:szCs w:val="18"/>
              </w:rPr>
            </w:pPr>
            <w:r w:rsidRPr="00AC36D6">
              <w:rPr>
                <w:b/>
                <w:bCs/>
                <w:sz w:val="18"/>
                <w:szCs w:val="18"/>
              </w:rPr>
              <w:t>Goodness of fit measures</w:t>
            </w:r>
          </w:p>
        </w:tc>
        <w:tc>
          <w:tcPr>
            <w:tcW w:w="11333" w:type="dxa"/>
            <w:gridSpan w:val="10"/>
            <w:tcBorders>
              <w:top w:val="nil"/>
              <w:left w:val="double" w:sz="4" w:space="0" w:color="auto"/>
              <w:bottom w:val="nil"/>
              <w:right w:val="double" w:sz="4" w:space="0" w:color="auto"/>
            </w:tcBorders>
          </w:tcPr>
          <w:p w14:paraId="3FF6687D" w14:textId="77777777" w:rsidR="00D17976" w:rsidRPr="00AC36D6" w:rsidRDefault="00D17976" w:rsidP="00D17976">
            <w:pPr>
              <w:rPr>
                <w:sz w:val="18"/>
                <w:szCs w:val="18"/>
              </w:rPr>
            </w:pPr>
          </w:p>
        </w:tc>
      </w:tr>
      <w:tr w:rsidR="00D17976" w:rsidRPr="00AC36D6" w14:paraId="161278C2" w14:textId="77777777" w:rsidTr="00DA6943">
        <w:trPr>
          <w:trHeight w:val="278"/>
        </w:trPr>
        <w:tc>
          <w:tcPr>
            <w:tcW w:w="3653" w:type="dxa"/>
            <w:tcBorders>
              <w:top w:val="nil"/>
              <w:left w:val="double" w:sz="4" w:space="0" w:color="auto"/>
              <w:bottom w:val="nil"/>
              <w:right w:val="double" w:sz="4" w:space="0" w:color="auto"/>
            </w:tcBorders>
          </w:tcPr>
          <w:p w14:paraId="61BC3F9D" w14:textId="27D12FD7" w:rsidR="00D17976" w:rsidRPr="00AC36D6" w:rsidRDefault="0029270A" w:rsidP="00D17976">
            <w:pPr>
              <w:rPr>
                <w:sz w:val="18"/>
                <w:szCs w:val="18"/>
              </w:rPr>
            </w:pPr>
            <w:r>
              <w:rPr>
                <w:sz w:val="18"/>
                <w:szCs w:val="18"/>
              </w:rPr>
              <w:t xml:space="preserve">  </w:t>
            </w:r>
            <w:r w:rsidR="00D17976" w:rsidRPr="00AC36D6">
              <w:rPr>
                <w:sz w:val="18"/>
                <w:szCs w:val="18"/>
              </w:rPr>
              <w:t>Number of cases</w:t>
            </w:r>
          </w:p>
        </w:tc>
        <w:tc>
          <w:tcPr>
            <w:tcW w:w="11333" w:type="dxa"/>
            <w:gridSpan w:val="10"/>
            <w:tcBorders>
              <w:top w:val="nil"/>
              <w:left w:val="double" w:sz="4" w:space="0" w:color="auto"/>
              <w:bottom w:val="nil"/>
              <w:right w:val="double" w:sz="4" w:space="0" w:color="auto"/>
            </w:tcBorders>
            <w:vAlign w:val="center"/>
          </w:tcPr>
          <w:p w14:paraId="0DE144A0" w14:textId="77777777" w:rsidR="00D17976" w:rsidRPr="00AC36D6" w:rsidRDefault="00D17976" w:rsidP="00D17976">
            <w:pPr>
              <w:rPr>
                <w:sz w:val="18"/>
                <w:szCs w:val="18"/>
              </w:rPr>
            </w:pPr>
            <w:r w:rsidRPr="00AC36D6">
              <w:rPr>
                <w:sz w:val="18"/>
                <w:szCs w:val="18"/>
              </w:rPr>
              <w:t>3500</w:t>
            </w:r>
          </w:p>
        </w:tc>
      </w:tr>
      <w:tr w:rsidR="00D17976" w:rsidRPr="00AC36D6" w14:paraId="45D44243" w14:textId="77777777" w:rsidTr="00DA6943">
        <w:trPr>
          <w:trHeight w:val="278"/>
        </w:trPr>
        <w:tc>
          <w:tcPr>
            <w:tcW w:w="3653" w:type="dxa"/>
            <w:tcBorders>
              <w:top w:val="nil"/>
              <w:left w:val="double" w:sz="4" w:space="0" w:color="auto"/>
              <w:bottom w:val="nil"/>
              <w:right w:val="double" w:sz="4" w:space="0" w:color="auto"/>
            </w:tcBorders>
          </w:tcPr>
          <w:p w14:paraId="5DAF5AA7" w14:textId="6D71DBD2" w:rsidR="00D17976" w:rsidRPr="00AC36D6" w:rsidRDefault="0029270A" w:rsidP="00D17976">
            <w:pPr>
              <w:rPr>
                <w:sz w:val="18"/>
                <w:szCs w:val="18"/>
              </w:rPr>
            </w:pPr>
            <w:r>
              <w:rPr>
                <w:sz w:val="18"/>
                <w:szCs w:val="18"/>
              </w:rPr>
              <w:t xml:space="preserve">  </w:t>
            </w:r>
            <w:r w:rsidR="00D17976" w:rsidRPr="00AC36D6">
              <w:rPr>
                <w:sz w:val="18"/>
                <w:szCs w:val="18"/>
              </w:rPr>
              <w:t>Number of parameters</w:t>
            </w:r>
          </w:p>
        </w:tc>
        <w:tc>
          <w:tcPr>
            <w:tcW w:w="11333" w:type="dxa"/>
            <w:gridSpan w:val="10"/>
            <w:tcBorders>
              <w:top w:val="nil"/>
              <w:left w:val="double" w:sz="4" w:space="0" w:color="auto"/>
              <w:bottom w:val="nil"/>
              <w:right w:val="double" w:sz="4" w:space="0" w:color="auto"/>
            </w:tcBorders>
            <w:vAlign w:val="center"/>
          </w:tcPr>
          <w:p w14:paraId="2B35B101" w14:textId="6B58A4A9" w:rsidR="00D17976" w:rsidRPr="00AC36D6" w:rsidRDefault="00A654D2" w:rsidP="00D17976">
            <w:pPr>
              <w:rPr>
                <w:sz w:val="18"/>
                <w:szCs w:val="18"/>
              </w:rPr>
            </w:pPr>
            <w:r w:rsidRPr="00AC36D6">
              <w:rPr>
                <w:sz w:val="18"/>
                <w:szCs w:val="18"/>
              </w:rPr>
              <w:t>102</w:t>
            </w:r>
          </w:p>
        </w:tc>
      </w:tr>
      <w:tr w:rsidR="00D17976" w:rsidRPr="00AC36D6" w14:paraId="3FF9A016" w14:textId="77777777" w:rsidTr="00DA6943">
        <w:trPr>
          <w:trHeight w:val="278"/>
        </w:trPr>
        <w:tc>
          <w:tcPr>
            <w:tcW w:w="3653" w:type="dxa"/>
            <w:tcBorders>
              <w:top w:val="nil"/>
              <w:left w:val="double" w:sz="4" w:space="0" w:color="auto"/>
              <w:bottom w:val="nil"/>
              <w:right w:val="double" w:sz="4" w:space="0" w:color="auto"/>
            </w:tcBorders>
            <w:vAlign w:val="center"/>
          </w:tcPr>
          <w:p w14:paraId="7AFEE871" w14:textId="7131D7BC" w:rsidR="00D17976" w:rsidRPr="00AC36D6" w:rsidRDefault="0029270A" w:rsidP="00D17976">
            <w:pPr>
              <w:rPr>
                <w:sz w:val="18"/>
                <w:szCs w:val="18"/>
              </w:rPr>
            </w:pPr>
            <w:r>
              <w:rPr>
                <w:sz w:val="18"/>
                <w:szCs w:val="18"/>
              </w:rPr>
              <w:t xml:space="preserve">  </w:t>
            </w:r>
            <w:r w:rsidR="00D17976" w:rsidRPr="00AC36D6">
              <w:rPr>
                <w:sz w:val="18"/>
                <w:szCs w:val="18"/>
              </w:rPr>
              <w:t>Log-likelihood for constant only model</w:t>
            </w:r>
          </w:p>
        </w:tc>
        <w:tc>
          <w:tcPr>
            <w:tcW w:w="11333" w:type="dxa"/>
            <w:gridSpan w:val="10"/>
            <w:tcBorders>
              <w:top w:val="nil"/>
              <w:left w:val="double" w:sz="4" w:space="0" w:color="auto"/>
              <w:bottom w:val="nil"/>
              <w:right w:val="double" w:sz="4" w:space="0" w:color="auto"/>
            </w:tcBorders>
            <w:vAlign w:val="center"/>
          </w:tcPr>
          <w:p w14:paraId="20282AAB" w14:textId="5316534F" w:rsidR="00D17976" w:rsidRPr="00AC36D6" w:rsidRDefault="00D17976" w:rsidP="00D17976">
            <w:pPr>
              <w:rPr>
                <w:sz w:val="18"/>
                <w:szCs w:val="18"/>
              </w:rPr>
            </w:pPr>
            <w:r w:rsidRPr="00AC36D6">
              <w:rPr>
                <w:sz w:val="18"/>
                <w:szCs w:val="18"/>
              </w:rPr>
              <w:t>-4</w:t>
            </w:r>
            <w:r w:rsidR="00BF4415" w:rsidRPr="00AC36D6">
              <w:rPr>
                <w:sz w:val="18"/>
                <w:szCs w:val="18"/>
              </w:rPr>
              <w:t>3</w:t>
            </w:r>
            <w:r w:rsidRPr="00AC36D6">
              <w:rPr>
                <w:sz w:val="18"/>
                <w:szCs w:val="18"/>
              </w:rPr>
              <w:t>,</w:t>
            </w:r>
            <w:r w:rsidR="00BF4415" w:rsidRPr="00AC36D6">
              <w:rPr>
                <w:sz w:val="18"/>
                <w:szCs w:val="18"/>
              </w:rPr>
              <w:t>106</w:t>
            </w:r>
            <w:r w:rsidRPr="00AC36D6">
              <w:rPr>
                <w:sz w:val="18"/>
                <w:szCs w:val="18"/>
              </w:rPr>
              <w:t>.</w:t>
            </w:r>
            <w:r w:rsidR="00BF4415" w:rsidRPr="00AC36D6">
              <w:rPr>
                <w:sz w:val="18"/>
                <w:szCs w:val="18"/>
              </w:rPr>
              <w:t>1</w:t>
            </w:r>
            <w:r w:rsidRPr="00AC36D6">
              <w:rPr>
                <w:sz w:val="18"/>
                <w:szCs w:val="18"/>
              </w:rPr>
              <w:t xml:space="preserve">0 </w:t>
            </w:r>
          </w:p>
        </w:tc>
      </w:tr>
      <w:tr w:rsidR="00D17976" w:rsidRPr="00AC36D6" w14:paraId="59C38BF9" w14:textId="77777777" w:rsidTr="00DA6943">
        <w:trPr>
          <w:trHeight w:val="278"/>
        </w:trPr>
        <w:tc>
          <w:tcPr>
            <w:tcW w:w="3653" w:type="dxa"/>
            <w:tcBorders>
              <w:top w:val="nil"/>
              <w:left w:val="double" w:sz="4" w:space="0" w:color="auto"/>
              <w:bottom w:val="nil"/>
              <w:right w:val="double" w:sz="4" w:space="0" w:color="auto"/>
            </w:tcBorders>
            <w:vAlign w:val="center"/>
          </w:tcPr>
          <w:p w14:paraId="667F4E25" w14:textId="280A0763" w:rsidR="00D17976" w:rsidRPr="00AC36D6" w:rsidRDefault="0029270A" w:rsidP="00D17976">
            <w:pPr>
              <w:rPr>
                <w:sz w:val="18"/>
                <w:szCs w:val="18"/>
              </w:rPr>
            </w:pPr>
            <w:r>
              <w:rPr>
                <w:sz w:val="18"/>
                <w:szCs w:val="18"/>
              </w:rPr>
              <w:t xml:space="preserve">  </w:t>
            </w:r>
            <w:r w:rsidR="00D17976" w:rsidRPr="00AC36D6">
              <w:rPr>
                <w:sz w:val="18"/>
                <w:szCs w:val="18"/>
              </w:rPr>
              <w:t>Log-likelihood of the final specification</w:t>
            </w:r>
          </w:p>
        </w:tc>
        <w:tc>
          <w:tcPr>
            <w:tcW w:w="11333" w:type="dxa"/>
            <w:gridSpan w:val="10"/>
            <w:tcBorders>
              <w:top w:val="nil"/>
              <w:left w:val="double" w:sz="4" w:space="0" w:color="auto"/>
              <w:bottom w:val="nil"/>
              <w:right w:val="double" w:sz="4" w:space="0" w:color="auto"/>
            </w:tcBorders>
            <w:vAlign w:val="center"/>
          </w:tcPr>
          <w:p w14:paraId="3CE5DFB2" w14:textId="54E78FDC" w:rsidR="00D17976" w:rsidRPr="00AC36D6" w:rsidRDefault="00D17976" w:rsidP="00D17976">
            <w:pPr>
              <w:rPr>
                <w:sz w:val="18"/>
                <w:szCs w:val="18"/>
              </w:rPr>
            </w:pPr>
            <w:r w:rsidRPr="00AC36D6">
              <w:rPr>
                <w:sz w:val="18"/>
                <w:szCs w:val="18"/>
              </w:rPr>
              <w:t>-40,1</w:t>
            </w:r>
            <w:r w:rsidR="002F35DC" w:rsidRPr="00AC36D6">
              <w:rPr>
                <w:sz w:val="18"/>
                <w:szCs w:val="18"/>
              </w:rPr>
              <w:t>61</w:t>
            </w:r>
            <w:r w:rsidRPr="00AC36D6">
              <w:rPr>
                <w:sz w:val="18"/>
                <w:szCs w:val="18"/>
              </w:rPr>
              <w:t>.</w:t>
            </w:r>
            <w:r w:rsidR="002F35DC" w:rsidRPr="00AC36D6">
              <w:rPr>
                <w:sz w:val="18"/>
                <w:szCs w:val="18"/>
              </w:rPr>
              <w:t>80</w:t>
            </w:r>
          </w:p>
        </w:tc>
      </w:tr>
      <w:tr w:rsidR="00D17976" w:rsidRPr="00AC36D6" w14:paraId="289509D0" w14:textId="77777777" w:rsidTr="00DA6943">
        <w:trPr>
          <w:trHeight w:val="278"/>
        </w:trPr>
        <w:tc>
          <w:tcPr>
            <w:tcW w:w="3653" w:type="dxa"/>
            <w:tcBorders>
              <w:top w:val="nil"/>
              <w:left w:val="double" w:sz="4" w:space="0" w:color="auto"/>
              <w:bottom w:val="nil"/>
              <w:right w:val="double" w:sz="4" w:space="0" w:color="auto"/>
            </w:tcBorders>
            <w:vAlign w:val="center"/>
          </w:tcPr>
          <w:p w14:paraId="3DDDC745" w14:textId="1E4D78E2" w:rsidR="00D17976" w:rsidRPr="00AC36D6" w:rsidRDefault="0029270A" w:rsidP="00D17976">
            <w:pPr>
              <w:rPr>
                <w:sz w:val="18"/>
                <w:szCs w:val="18"/>
              </w:rPr>
            </w:pPr>
            <w:r>
              <w:rPr>
                <w:sz w:val="18"/>
                <w:szCs w:val="18"/>
              </w:rPr>
              <w:t xml:space="preserve">  </w:t>
            </w:r>
            <w:r w:rsidR="00D17976" w:rsidRPr="00AC36D6">
              <w:rPr>
                <w:sz w:val="18"/>
                <w:szCs w:val="18"/>
              </w:rPr>
              <w:t>Akaike information criterion (AIC)</w:t>
            </w:r>
          </w:p>
        </w:tc>
        <w:tc>
          <w:tcPr>
            <w:tcW w:w="11333" w:type="dxa"/>
            <w:gridSpan w:val="10"/>
            <w:tcBorders>
              <w:top w:val="nil"/>
              <w:left w:val="double" w:sz="4" w:space="0" w:color="auto"/>
              <w:bottom w:val="nil"/>
              <w:right w:val="double" w:sz="4" w:space="0" w:color="auto"/>
            </w:tcBorders>
            <w:vAlign w:val="center"/>
          </w:tcPr>
          <w:p w14:paraId="0032668E" w14:textId="05498D84" w:rsidR="00D17976" w:rsidRPr="00AC36D6" w:rsidRDefault="00D17976" w:rsidP="00D17976">
            <w:pPr>
              <w:rPr>
                <w:sz w:val="18"/>
                <w:szCs w:val="18"/>
              </w:rPr>
            </w:pPr>
            <w:r w:rsidRPr="00AC36D6">
              <w:rPr>
                <w:sz w:val="18"/>
                <w:szCs w:val="18"/>
              </w:rPr>
              <w:t>80,</w:t>
            </w:r>
            <w:r w:rsidR="00033566" w:rsidRPr="00AC36D6">
              <w:rPr>
                <w:sz w:val="18"/>
                <w:szCs w:val="18"/>
              </w:rPr>
              <w:t>527</w:t>
            </w:r>
            <w:r w:rsidRPr="00AC36D6">
              <w:rPr>
                <w:sz w:val="18"/>
                <w:szCs w:val="18"/>
              </w:rPr>
              <w:t>.</w:t>
            </w:r>
            <w:r w:rsidR="00033566" w:rsidRPr="00AC36D6">
              <w:rPr>
                <w:sz w:val="18"/>
                <w:szCs w:val="18"/>
              </w:rPr>
              <w:t>6</w:t>
            </w:r>
            <w:r w:rsidR="00A654D2" w:rsidRPr="00AC36D6">
              <w:rPr>
                <w:sz w:val="18"/>
                <w:szCs w:val="18"/>
              </w:rPr>
              <w:t>0</w:t>
            </w:r>
          </w:p>
        </w:tc>
      </w:tr>
      <w:tr w:rsidR="00D17976" w:rsidRPr="00AC36D6" w14:paraId="6B7DF22F" w14:textId="77777777" w:rsidTr="00DA6943">
        <w:trPr>
          <w:trHeight w:val="278"/>
        </w:trPr>
        <w:tc>
          <w:tcPr>
            <w:tcW w:w="3653" w:type="dxa"/>
            <w:tcBorders>
              <w:top w:val="nil"/>
              <w:left w:val="double" w:sz="4" w:space="0" w:color="auto"/>
              <w:bottom w:val="double" w:sz="4" w:space="0" w:color="auto"/>
              <w:right w:val="double" w:sz="4" w:space="0" w:color="auto"/>
            </w:tcBorders>
            <w:vAlign w:val="center"/>
          </w:tcPr>
          <w:p w14:paraId="78A63B30" w14:textId="6C491E8B" w:rsidR="00D17976" w:rsidRPr="00AC36D6" w:rsidRDefault="0029270A" w:rsidP="00D17976">
            <w:pPr>
              <w:rPr>
                <w:sz w:val="18"/>
                <w:szCs w:val="18"/>
              </w:rPr>
            </w:pPr>
            <w:r>
              <w:rPr>
                <w:sz w:val="18"/>
                <w:szCs w:val="18"/>
              </w:rPr>
              <w:t xml:space="preserve">  </w:t>
            </w:r>
            <w:r w:rsidR="00D17976" w:rsidRPr="00AC36D6">
              <w:rPr>
                <w:sz w:val="18"/>
                <w:szCs w:val="18"/>
              </w:rPr>
              <w:t>Bayesian information criterion (BIC)</w:t>
            </w:r>
          </w:p>
        </w:tc>
        <w:tc>
          <w:tcPr>
            <w:tcW w:w="11333" w:type="dxa"/>
            <w:gridSpan w:val="10"/>
            <w:tcBorders>
              <w:top w:val="nil"/>
              <w:left w:val="double" w:sz="4" w:space="0" w:color="auto"/>
              <w:bottom w:val="double" w:sz="4" w:space="0" w:color="auto"/>
              <w:right w:val="double" w:sz="4" w:space="0" w:color="auto"/>
            </w:tcBorders>
            <w:vAlign w:val="center"/>
          </w:tcPr>
          <w:p w14:paraId="1C39ABBB" w14:textId="23AEBCA0" w:rsidR="00D17976" w:rsidRPr="00AC36D6" w:rsidRDefault="00D17976" w:rsidP="00D17976">
            <w:pPr>
              <w:rPr>
                <w:sz w:val="18"/>
                <w:szCs w:val="18"/>
              </w:rPr>
            </w:pPr>
            <w:r w:rsidRPr="00AC36D6">
              <w:rPr>
                <w:sz w:val="18"/>
                <w:szCs w:val="18"/>
              </w:rPr>
              <w:t>81,</w:t>
            </w:r>
            <w:r w:rsidR="00033566" w:rsidRPr="00AC36D6">
              <w:rPr>
                <w:sz w:val="18"/>
                <w:szCs w:val="18"/>
              </w:rPr>
              <w:t>155</w:t>
            </w:r>
            <w:r w:rsidRPr="00AC36D6">
              <w:rPr>
                <w:sz w:val="18"/>
                <w:szCs w:val="18"/>
              </w:rPr>
              <w:t>.</w:t>
            </w:r>
            <w:r w:rsidR="00033566" w:rsidRPr="00AC36D6">
              <w:rPr>
                <w:sz w:val="18"/>
                <w:szCs w:val="18"/>
              </w:rPr>
              <w:t>9</w:t>
            </w:r>
            <w:r w:rsidRPr="00AC36D6">
              <w:rPr>
                <w:sz w:val="18"/>
                <w:szCs w:val="18"/>
              </w:rPr>
              <w:t>7</w:t>
            </w:r>
          </w:p>
        </w:tc>
      </w:tr>
    </w:tbl>
    <w:bookmarkEnd w:id="13"/>
    <w:p w14:paraId="05BCA88A" w14:textId="77777777" w:rsidR="00EA3F38" w:rsidRPr="00AC36D6" w:rsidRDefault="00D17976" w:rsidP="00DC5E61">
      <w:pPr>
        <w:spacing w:after="0" w:line="240" w:lineRule="auto"/>
        <w:rPr>
          <w:color w:val="000000" w:themeColor="text1"/>
          <w:sz w:val="18"/>
          <w:szCs w:val="18"/>
        </w:rPr>
      </w:pPr>
      <w:r w:rsidRPr="00AC36D6">
        <w:rPr>
          <w:color w:val="000000" w:themeColor="text1"/>
          <w:sz w:val="20"/>
          <w:szCs w:val="20"/>
        </w:rPr>
        <w:t>-:</w:t>
      </w:r>
      <w:r w:rsidRPr="00AC36D6">
        <w:rPr>
          <w:color w:val="000000" w:themeColor="text1"/>
          <w:sz w:val="18"/>
          <w:szCs w:val="18"/>
        </w:rPr>
        <w:t xml:space="preserve"> </w:t>
      </w:r>
      <w:r w:rsidR="002E73DB" w:rsidRPr="00AC36D6">
        <w:rPr>
          <w:color w:val="000000" w:themeColor="text1"/>
          <w:sz w:val="18"/>
          <w:szCs w:val="18"/>
        </w:rPr>
        <w:t xml:space="preserve">Coefficient was </w:t>
      </w:r>
      <w:r w:rsidR="00EA3F38" w:rsidRPr="00AC36D6">
        <w:rPr>
          <w:color w:val="000000" w:themeColor="text1"/>
          <w:sz w:val="18"/>
          <w:szCs w:val="18"/>
        </w:rPr>
        <w:t>dropped from the specification as it was not statistically significant</w:t>
      </w:r>
      <w:r w:rsidR="00CE392B" w:rsidRPr="00AC36D6">
        <w:rPr>
          <w:color w:val="000000" w:themeColor="text1"/>
          <w:sz w:val="18"/>
          <w:szCs w:val="18"/>
        </w:rPr>
        <w:t xml:space="preserve">. </w:t>
      </w:r>
    </w:p>
    <w:p w14:paraId="30A43A36" w14:textId="35CE5612" w:rsidR="00D17976" w:rsidRPr="00AC36D6" w:rsidRDefault="00D456C9" w:rsidP="00DC5E61">
      <w:pPr>
        <w:spacing w:after="0" w:line="240" w:lineRule="auto"/>
        <w:rPr>
          <w:sz w:val="18"/>
          <w:szCs w:val="18"/>
        </w:rPr>
      </w:pPr>
      <w:r w:rsidRPr="00AC36D6">
        <w:rPr>
          <w:color w:val="000000" w:themeColor="text1"/>
          <w:sz w:val="18"/>
          <w:szCs w:val="18"/>
        </w:rPr>
        <w:t>*</w:t>
      </w:r>
      <w:r w:rsidR="00EA3F38" w:rsidRPr="00AC36D6">
        <w:rPr>
          <w:color w:val="000000" w:themeColor="text1"/>
          <w:sz w:val="18"/>
          <w:szCs w:val="18"/>
        </w:rPr>
        <w:t xml:space="preserve">: </w:t>
      </w:r>
      <w:r w:rsidR="00CE392B" w:rsidRPr="00AC36D6">
        <w:rPr>
          <w:color w:val="000000" w:themeColor="text1"/>
          <w:sz w:val="18"/>
          <w:szCs w:val="18"/>
        </w:rPr>
        <w:t>Nu</w:t>
      </w:r>
      <w:r w:rsidRPr="00AC36D6">
        <w:rPr>
          <w:color w:val="000000" w:themeColor="text1"/>
          <w:sz w:val="18"/>
          <w:szCs w:val="18"/>
        </w:rPr>
        <w:t xml:space="preserve">mber of nights </w:t>
      </w:r>
      <w:r w:rsidRPr="00AC36D6">
        <w:rPr>
          <w:sz w:val="18"/>
          <w:szCs w:val="18"/>
        </w:rPr>
        <w:t xml:space="preserve">was specified as </w:t>
      </w:r>
      <w:r w:rsidR="001A3A9D" w:rsidRPr="00AC36D6">
        <w:rPr>
          <w:sz w:val="18"/>
          <w:szCs w:val="18"/>
        </w:rPr>
        <w:t xml:space="preserve">a </w:t>
      </w:r>
      <w:r w:rsidRPr="00AC36D6">
        <w:rPr>
          <w:sz w:val="18"/>
          <w:szCs w:val="18"/>
        </w:rPr>
        <w:t xml:space="preserve">categorical variable in the accommodation </w:t>
      </w:r>
      <w:r w:rsidR="00857C9C" w:rsidRPr="00AC36D6">
        <w:rPr>
          <w:sz w:val="18"/>
          <w:szCs w:val="18"/>
        </w:rPr>
        <w:t xml:space="preserve">utility </w:t>
      </w:r>
      <w:r w:rsidRPr="00AC36D6">
        <w:rPr>
          <w:sz w:val="18"/>
          <w:szCs w:val="18"/>
        </w:rPr>
        <w:t xml:space="preserve">function and continuous variable in other </w:t>
      </w:r>
      <w:r w:rsidR="00857C9C" w:rsidRPr="00AC36D6">
        <w:rPr>
          <w:sz w:val="18"/>
          <w:szCs w:val="18"/>
        </w:rPr>
        <w:t xml:space="preserve">utility </w:t>
      </w:r>
      <w:r w:rsidRPr="00AC36D6">
        <w:rPr>
          <w:sz w:val="18"/>
          <w:szCs w:val="18"/>
        </w:rPr>
        <w:t>functions.</w:t>
      </w:r>
    </w:p>
    <w:p w14:paraId="1960C3CB" w14:textId="1C9BF726" w:rsidR="00EA3F38" w:rsidRPr="00AC36D6" w:rsidRDefault="00141713" w:rsidP="00DC5E61">
      <w:pPr>
        <w:spacing w:after="0" w:line="240" w:lineRule="auto"/>
        <w:rPr>
          <w:sz w:val="18"/>
          <w:szCs w:val="18"/>
        </w:rPr>
        <w:sectPr w:rsidR="00EA3F38" w:rsidRPr="00AC36D6" w:rsidSect="00D456C9">
          <w:pgSz w:w="15840" w:h="12240" w:orient="landscape"/>
          <w:pgMar w:top="720" w:right="720" w:bottom="720" w:left="720" w:header="720" w:footer="0" w:gutter="0"/>
          <w:cols w:space="720"/>
          <w:titlePg/>
          <w:docGrid w:linePitch="360"/>
        </w:sectPr>
      </w:pPr>
      <w:r w:rsidRPr="00AC36D6">
        <w:rPr>
          <w:sz w:val="18"/>
          <w:szCs w:val="18"/>
        </w:rPr>
        <w:t>t-statistics are reported in parentheses next to the parameter estimates.</w:t>
      </w:r>
    </w:p>
    <w:p w14:paraId="74AC84C0" w14:textId="77777777" w:rsidR="008F4597" w:rsidRPr="00AC36D6" w:rsidRDefault="008F4597" w:rsidP="00141713">
      <w:pPr>
        <w:jc w:val="center"/>
        <w:rPr>
          <w:b/>
          <w:bCs/>
        </w:rPr>
      </w:pPr>
    </w:p>
    <w:p w14:paraId="754487F5" w14:textId="320493F2" w:rsidR="00CE392B" w:rsidRPr="00AC36D6" w:rsidRDefault="00CE392B" w:rsidP="00141713">
      <w:pPr>
        <w:jc w:val="center"/>
      </w:pPr>
      <w:r w:rsidRPr="00AC36D6">
        <w:rPr>
          <w:b/>
          <w:bCs/>
        </w:rPr>
        <w:t>Table 3</w:t>
      </w:r>
      <w:r w:rsidRPr="00AC36D6">
        <w:t xml:space="preserve">. </w:t>
      </w:r>
      <w:r w:rsidR="00D456C9" w:rsidRPr="00AC36D6">
        <w:t>C</w:t>
      </w:r>
      <w:r w:rsidRPr="00AC36D6">
        <w:t>ovariance matrix</w:t>
      </w:r>
      <w:r w:rsidR="00141713" w:rsidRPr="00AC36D6">
        <w:t xml:space="preserve"> of error terms in the model</w:t>
      </w:r>
    </w:p>
    <w:tbl>
      <w:tblPr>
        <w:tblStyle w:val="TableGrid"/>
        <w:tblW w:w="9423"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5"/>
        <w:gridCol w:w="694"/>
        <w:gridCol w:w="816"/>
        <w:gridCol w:w="828"/>
        <w:gridCol w:w="828"/>
        <w:gridCol w:w="828"/>
        <w:gridCol w:w="942"/>
        <w:gridCol w:w="800"/>
        <w:gridCol w:w="810"/>
        <w:gridCol w:w="810"/>
        <w:gridCol w:w="812"/>
        <w:gridCol w:w="790"/>
      </w:tblGrid>
      <w:tr w:rsidR="00CE392B" w:rsidRPr="00AC36D6" w14:paraId="41396090" w14:textId="77777777" w:rsidTr="00274839">
        <w:trPr>
          <w:trHeight w:val="239"/>
          <w:jc w:val="center"/>
        </w:trPr>
        <w:tc>
          <w:tcPr>
            <w:tcW w:w="1159" w:type="dxa"/>
            <w:gridSpan w:val="2"/>
            <w:vMerge w:val="restart"/>
            <w:tcBorders>
              <w:top w:val="double" w:sz="4" w:space="0" w:color="auto"/>
              <w:bottom w:val="single" w:sz="4" w:space="0" w:color="auto"/>
              <w:right w:val="double" w:sz="4" w:space="0" w:color="auto"/>
            </w:tcBorders>
          </w:tcPr>
          <w:p w14:paraId="6120AD86" w14:textId="77777777" w:rsidR="00CE392B" w:rsidRPr="00AC36D6" w:rsidRDefault="00CE392B" w:rsidP="00DA6943">
            <w:pPr>
              <w:jc w:val="center"/>
            </w:pPr>
          </w:p>
        </w:tc>
        <w:tc>
          <w:tcPr>
            <w:tcW w:w="4242" w:type="dxa"/>
            <w:gridSpan w:val="5"/>
            <w:tcBorders>
              <w:top w:val="double" w:sz="4" w:space="0" w:color="auto"/>
              <w:left w:val="double" w:sz="4" w:space="0" w:color="auto"/>
              <w:bottom w:val="single" w:sz="4" w:space="0" w:color="auto"/>
              <w:right w:val="double" w:sz="4" w:space="0" w:color="auto"/>
            </w:tcBorders>
            <w:vAlign w:val="center"/>
          </w:tcPr>
          <w:p w14:paraId="3DADE0B2" w14:textId="77777777" w:rsidR="00CE392B" w:rsidRPr="00AC36D6" w:rsidRDefault="00CE392B" w:rsidP="00DA6943">
            <w:pPr>
              <w:jc w:val="center"/>
              <w:rPr>
                <w:sz w:val="20"/>
                <w:szCs w:val="20"/>
              </w:rPr>
            </w:pPr>
            <w:r w:rsidRPr="00AC36D6">
              <w:rPr>
                <w:sz w:val="20"/>
                <w:szCs w:val="20"/>
              </w:rPr>
              <w:t>Discrete preferences</w:t>
            </w:r>
          </w:p>
        </w:tc>
        <w:tc>
          <w:tcPr>
            <w:tcW w:w="4022" w:type="dxa"/>
            <w:gridSpan w:val="5"/>
            <w:tcBorders>
              <w:top w:val="double" w:sz="4" w:space="0" w:color="auto"/>
              <w:left w:val="double" w:sz="4" w:space="0" w:color="auto"/>
              <w:bottom w:val="single" w:sz="4" w:space="0" w:color="auto"/>
            </w:tcBorders>
            <w:vAlign w:val="center"/>
          </w:tcPr>
          <w:p w14:paraId="5291DF89" w14:textId="77777777" w:rsidR="00CE392B" w:rsidRPr="00AC36D6" w:rsidRDefault="00CE392B" w:rsidP="00DA6943">
            <w:pPr>
              <w:jc w:val="center"/>
              <w:rPr>
                <w:sz w:val="20"/>
                <w:szCs w:val="20"/>
              </w:rPr>
            </w:pPr>
            <w:r w:rsidRPr="00AC36D6">
              <w:rPr>
                <w:sz w:val="20"/>
                <w:szCs w:val="20"/>
              </w:rPr>
              <w:t>Continuous preferences</w:t>
            </w:r>
          </w:p>
        </w:tc>
      </w:tr>
      <w:tr w:rsidR="000239EB" w:rsidRPr="00AC36D6" w14:paraId="1A7B026C" w14:textId="77777777" w:rsidTr="00274839">
        <w:trPr>
          <w:trHeight w:val="239"/>
          <w:jc w:val="center"/>
        </w:trPr>
        <w:tc>
          <w:tcPr>
            <w:tcW w:w="1159" w:type="dxa"/>
            <w:gridSpan w:val="2"/>
            <w:vMerge/>
            <w:tcBorders>
              <w:top w:val="single" w:sz="4" w:space="0" w:color="auto"/>
              <w:bottom w:val="single" w:sz="4" w:space="0" w:color="auto"/>
              <w:right w:val="double" w:sz="4" w:space="0" w:color="auto"/>
            </w:tcBorders>
          </w:tcPr>
          <w:p w14:paraId="513A4D54" w14:textId="77777777" w:rsidR="00CE392B" w:rsidRPr="00AC36D6" w:rsidRDefault="00CE392B" w:rsidP="00DA6943">
            <w:pPr>
              <w:jc w:val="center"/>
            </w:pPr>
          </w:p>
        </w:tc>
        <w:tc>
          <w:tcPr>
            <w:tcW w:w="816" w:type="dxa"/>
            <w:tcBorders>
              <w:top w:val="single" w:sz="4" w:space="0" w:color="auto"/>
              <w:left w:val="double" w:sz="4" w:space="0" w:color="auto"/>
              <w:bottom w:val="single" w:sz="4" w:space="0" w:color="auto"/>
            </w:tcBorders>
            <w:vAlign w:val="center"/>
          </w:tcPr>
          <w:p w14:paraId="44B56143" w14:textId="77777777" w:rsidR="00CE392B" w:rsidRPr="00AC36D6" w:rsidRDefault="00CE392B" w:rsidP="00DA6943">
            <w:pPr>
              <w:jc w:val="center"/>
              <w:rPr>
                <w:sz w:val="20"/>
                <w:szCs w:val="20"/>
              </w:rPr>
            </w:pPr>
            <w:r w:rsidRPr="00AC36D6">
              <w:rPr>
                <w:sz w:val="20"/>
                <w:szCs w:val="20"/>
              </w:rPr>
              <w:t>Acc.</w:t>
            </w:r>
          </w:p>
        </w:tc>
        <w:tc>
          <w:tcPr>
            <w:tcW w:w="828" w:type="dxa"/>
            <w:tcBorders>
              <w:top w:val="single" w:sz="4" w:space="0" w:color="auto"/>
              <w:bottom w:val="single" w:sz="4" w:space="0" w:color="auto"/>
            </w:tcBorders>
            <w:vAlign w:val="center"/>
          </w:tcPr>
          <w:p w14:paraId="7D6127B2" w14:textId="77777777" w:rsidR="00CE392B" w:rsidRPr="00AC36D6" w:rsidRDefault="00CE392B" w:rsidP="00DA6943">
            <w:pPr>
              <w:jc w:val="center"/>
              <w:rPr>
                <w:sz w:val="20"/>
                <w:szCs w:val="20"/>
              </w:rPr>
            </w:pPr>
            <w:r w:rsidRPr="00AC36D6">
              <w:rPr>
                <w:sz w:val="20"/>
                <w:szCs w:val="20"/>
              </w:rPr>
              <w:t>F&amp;B</w:t>
            </w:r>
          </w:p>
        </w:tc>
        <w:tc>
          <w:tcPr>
            <w:tcW w:w="828" w:type="dxa"/>
            <w:tcBorders>
              <w:top w:val="single" w:sz="4" w:space="0" w:color="auto"/>
              <w:bottom w:val="single" w:sz="4" w:space="0" w:color="auto"/>
            </w:tcBorders>
            <w:vAlign w:val="center"/>
          </w:tcPr>
          <w:p w14:paraId="133CC822" w14:textId="3D7D76BB" w:rsidR="00CE392B" w:rsidRPr="00AC36D6" w:rsidRDefault="00CE392B" w:rsidP="00DA6943">
            <w:pPr>
              <w:jc w:val="center"/>
              <w:rPr>
                <w:sz w:val="20"/>
                <w:szCs w:val="20"/>
              </w:rPr>
            </w:pPr>
            <w:r w:rsidRPr="00AC36D6">
              <w:rPr>
                <w:sz w:val="20"/>
                <w:szCs w:val="20"/>
              </w:rPr>
              <w:t>Sh</w:t>
            </w:r>
            <w:r w:rsidR="0022181C" w:rsidRPr="00AC36D6">
              <w:rPr>
                <w:sz w:val="20"/>
                <w:szCs w:val="20"/>
              </w:rPr>
              <w:t>op</w:t>
            </w:r>
          </w:p>
        </w:tc>
        <w:tc>
          <w:tcPr>
            <w:tcW w:w="828" w:type="dxa"/>
            <w:tcBorders>
              <w:top w:val="single" w:sz="4" w:space="0" w:color="auto"/>
              <w:bottom w:val="single" w:sz="4" w:space="0" w:color="auto"/>
            </w:tcBorders>
            <w:vAlign w:val="center"/>
          </w:tcPr>
          <w:p w14:paraId="1DD68C8E" w14:textId="77777777" w:rsidR="00CE392B" w:rsidRPr="00AC36D6" w:rsidRDefault="00CE392B" w:rsidP="00DA6943">
            <w:pPr>
              <w:jc w:val="center"/>
              <w:rPr>
                <w:sz w:val="20"/>
                <w:szCs w:val="20"/>
              </w:rPr>
            </w:pPr>
            <w:r w:rsidRPr="00AC36D6">
              <w:rPr>
                <w:sz w:val="20"/>
                <w:szCs w:val="20"/>
              </w:rPr>
              <w:t>R&amp;L</w:t>
            </w:r>
          </w:p>
        </w:tc>
        <w:tc>
          <w:tcPr>
            <w:tcW w:w="942" w:type="dxa"/>
            <w:tcBorders>
              <w:top w:val="single" w:sz="4" w:space="0" w:color="auto"/>
              <w:bottom w:val="single" w:sz="4" w:space="0" w:color="auto"/>
              <w:right w:val="double" w:sz="4" w:space="0" w:color="auto"/>
            </w:tcBorders>
            <w:vAlign w:val="center"/>
          </w:tcPr>
          <w:p w14:paraId="4ADAF302" w14:textId="77777777" w:rsidR="00CE392B" w:rsidRPr="00AC36D6" w:rsidRDefault="00CE392B" w:rsidP="00DA6943">
            <w:pPr>
              <w:jc w:val="center"/>
              <w:rPr>
                <w:sz w:val="20"/>
                <w:szCs w:val="20"/>
              </w:rPr>
            </w:pPr>
            <w:r w:rsidRPr="00AC36D6">
              <w:rPr>
                <w:sz w:val="20"/>
                <w:szCs w:val="20"/>
              </w:rPr>
              <w:t>H&amp;M</w:t>
            </w:r>
          </w:p>
        </w:tc>
        <w:tc>
          <w:tcPr>
            <w:tcW w:w="800" w:type="dxa"/>
            <w:tcBorders>
              <w:top w:val="single" w:sz="4" w:space="0" w:color="auto"/>
              <w:left w:val="double" w:sz="4" w:space="0" w:color="auto"/>
              <w:bottom w:val="single" w:sz="4" w:space="0" w:color="auto"/>
            </w:tcBorders>
            <w:vAlign w:val="center"/>
          </w:tcPr>
          <w:p w14:paraId="4CA9823F" w14:textId="77777777" w:rsidR="00CE392B" w:rsidRPr="00AC36D6" w:rsidRDefault="00CE392B" w:rsidP="00DA6943">
            <w:pPr>
              <w:jc w:val="center"/>
              <w:rPr>
                <w:sz w:val="20"/>
                <w:szCs w:val="20"/>
              </w:rPr>
            </w:pPr>
            <w:r w:rsidRPr="00AC36D6">
              <w:rPr>
                <w:sz w:val="20"/>
                <w:szCs w:val="20"/>
              </w:rPr>
              <w:t>Acc.</w:t>
            </w:r>
          </w:p>
        </w:tc>
        <w:tc>
          <w:tcPr>
            <w:tcW w:w="810" w:type="dxa"/>
            <w:tcBorders>
              <w:top w:val="single" w:sz="4" w:space="0" w:color="auto"/>
              <w:bottom w:val="single" w:sz="4" w:space="0" w:color="auto"/>
            </w:tcBorders>
            <w:vAlign w:val="center"/>
          </w:tcPr>
          <w:p w14:paraId="1DF681A8" w14:textId="77777777" w:rsidR="00CE392B" w:rsidRPr="00AC36D6" w:rsidRDefault="00CE392B" w:rsidP="00DA6943">
            <w:pPr>
              <w:jc w:val="center"/>
              <w:rPr>
                <w:sz w:val="20"/>
                <w:szCs w:val="20"/>
              </w:rPr>
            </w:pPr>
            <w:r w:rsidRPr="00AC36D6">
              <w:rPr>
                <w:sz w:val="20"/>
                <w:szCs w:val="20"/>
              </w:rPr>
              <w:t>F&amp;B</w:t>
            </w:r>
          </w:p>
        </w:tc>
        <w:tc>
          <w:tcPr>
            <w:tcW w:w="810" w:type="dxa"/>
            <w:tcBorders>
              <w:top w:val="single" w:sz="4" w:space="0" w:color="auto"/>
              <w:bottom w:val="single" w:sz="4" w:space="0" w:color="auto"/>
            </w:tcBorders>
            <w:vAlign w:val="center"/>
          </w:tcPr>
          <w:p w14:paraId="14D8CA8C" w14:textId="153CE8C2" w:rsidR="00CE392B" w:rsidRPr="00AC36D6" w:rsidRDefault="00CE392B" w:rsidP="00DA6943">
            <w:pPr>
              <w:jc w:val="center"/>
              <w:rPr>
                <w:sz w:val="20"/>
                <w:szCs w:val="20"/>
              </w:rPr>
            </w:pPr>
            <w:r w:rsidRPr="00AC36D6">
              <w:rPr>
                <w:sz w:val="20"/>
                <w:szCs w:val="20"/>
              </w:rPr>
              <w:t>Sh</w:t>
            </w:r>
            <w:r w:rsidR="0022181C" w:rsidRPr="00AC36D6">
              <w:rPr>
                <w:sz w:val="20"/>
                <w:szCs w:val="20"/>
              </w:rPr>
              <w:t>op</w:t>
            </w:r>
          </w:p>
        </w:tc>
        <w:tc>
          <w:tcPr>
            <w:tcW w:w="812" w:type="dxa"/>
            <w:tcBorders>
              <w:top w:val="single" w:sz="4" w:space="0" w:color="auto"/>
              <w:bottom w:val="single" w:sz="4" w:space="0" w:color="auto"/>
            </w:tcBorders>
            <w:vAlign w:val="center"/>
          </w:tcPr>
          <w:p w14:paraId="5BDF1F65" w14:textId="77777777" w:rsidR="00CE392B" w:rsidRPr="00AC36D6" w:rsidRDefault="00CE392B" w:rsidP="00DA6943">
            <w:pPr>
              <w:jc w:val="center"/>
              <w:rPr>
                <w:sz w:val="20"/>
                <w:szCs w:val="20"/>
              </w:rPr>
            </w:pPr>
            <w:r w:rsidRPr="00AC36D6">
              <w:rPr>
                <w:sz w:val="20"/>
                <w:szCs w:val="20"/>
              </w:rPr>
              <w:t>R&amp;L</w:t>
            </w:r>
          </w:p>
        </w:tc>
        <w:tc>
          <w:tcPr>
            <w:tcW w:w="790" w:type="dxa"/>
            <w:tcBorders>
              <w:top w:val="single" w:sz="4" w:space="0" w:color="auto"/>
              <w:bottom w:val="single" w:sz="4" w:space="0" w:color="auto"/>
            </w:tcBorders>
            <w:vAlign w:val="center"/>
          </w:tcPr>
          <w:p w14:paraId="19C44AEC" w14:textId="77777777" w:rsidR="00CE392B" w:rsidRPr="00AC36D6" w:rsidRDefault="00CE392B" w:rsidP="00DA6943">
            <w:pPr>
              <w:jc w:val="center"/>
              <w:rPr>
                <w:sz w:val="20"/>
                <w:szCs w:val="20"/>
              </w:rPr>
            </w:pPr>
            <w:r w:rsidRPr="00AC36D6">
              <w:rPr>
                <w:sz w:val="20"/>
                <w:szCs w:val="20"/>
              </w:rPr>
              <w:t>H&amp;M</w:t>
            </w:r>
          </w:p>
        </w:tc>
      </w:tr>
      <w:tr w:rsidR="000239EB" w:rsidRPr="00AC36D6" w14:paraId="0148453A" w14:textId="77777777" w:rsidTr="00274839">
        <w:trPr>
          <w:trHeight w:val="477"/>
          <w:jc w:val="center"/>
        </w:trPr>
        <w:tc>
          <w:tcPr>
            <w:tcW w:w="465" w:type="dxa"/>
            <w:vMerge w:val="restart"/>
            <w:tcBorders>
              <w:top w:val="single" w:sz="4" w:space="0" w:color="auto"/>
              <w:bottom w:val="single" w:sz="4" w:space="0" w:color="auto"/>
            </w:tcBorders>
            <w:textDirection w:val="btLr"/>
          </w:tcPr>
          <w:p w14:paraId="7C18B608" w14:textId="77777777" w:rsidR="00CE392B" w:rsidRPr="00AC36D6" w:rsidRDefault="00CE392B" w:rsidP="00DA6943">
            <w:pPr>
              <w:spacing w:before="100" w:beforeAutospacing="1"/>
              <w:ind w:left="113" w:right="113"/>
              <w:jc w:val="center"/>
              <w:rPr>
                <w:sz w:val="20"/>
                <w:szCs w:val="20"/>
              </w:rPr>
            </w:pPr>
            <w:r w:rsidRPr="00AC36D6">
              <w:rPr>
                <w:sz w:val="20"/>
                <w:szCs w:val="20"/>
              </w:rPr>
              <w:t>Discrete preferences</w:t>
            </w:r>
          </w:p>
        </w:tc>
        <w:tc>
          <w:tcPr>
            <w:tcW w:w="694" w:type="dxa"/>
            <w:tcBorders>
              <w:top w:val="single" w:sz="4" w:space="0" w:color="auto"/>
              <w:bottom w:val="single" w:sz="4" w:space="0" w:color="auto"/>
              <w:right w:val="double" w:sz="4" w:space="0" w:color="auto"/>
            </w:tcBorders>
            <w:vAlign w:val="center"/>
          </w:tcPr>
          <w:p w14:paraId="5B0C5813" w14:textId="77777777" w:rsidR="00CE392B" w:rsidRPr="00AC36D6" w:rsidRDefault="00CE392B" w:rsidP="00DA6943">
            <w:pPr>
              <w:jc w:val="center"/>
            </w:pPr>
            <w:r w:rsidRPr="00AC36D6">
              <w:rPr>
                <w:sz w:val="20"/>
                <w:szCs w:val="20"/>
              </w:rPr>
              <w:t>Acc.</w:t>
            </w:r>
          </w:p>
        </w:tc>
        <w:tc>
          <w:tcPr>
            <w:tcW w:w="816" w:type="dxa"/>
            <w:tcBorders>
              <w:top w:val="single" w:sz="4" w:space="0" w:color="auto"/>
              <w:left w:val="double" w:sz="4" w:space="0" w:color="auto"/>
              <w:bottom w:val="single" w:sz="4" w:space="0" w:color="auto"/>
            </w:tcBorders>
            <w:vAlign w:val="center"/>
          </w:tcPr>
          <w:p w14:paraId="039BC4D2" w14:textId="77777777" w:rsidR="00CE392B" w:rsidRPr="00AC36D6" w:rsidRDefault="00CE392B" w:rsidP="00DA6943">
            <w:pPr>
              <w:jc w:val="center"/>
              <w:rPr>
                <w:sz w:val="20"/>
                <w:szCs w:val="20"/>
              </w:rPr>
            </w:pPr>
            <w:r w:rsidRPr="00AC36D6">
              <w:rPr>
                <w:sz w:val="20"/>
                <w:szCs w:val="20"/>
              </w:rPr>
              <w:t>0.5</w:t>
            </w:r>
          </w:p>
          <w:p w14:paraId="09DA5FB2" w14:textId="77777777" w:rsidR="00CE392B" w:rsidRPr="00AC36D6" w:rsidRDefault="00CE392B" w:rsidP="00DA6943">
            <w:pPr>
              <w:jc w:val="center"/>
              <w:rPr>
                <w:i/>
                <w:iCs/>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1995D402" w14:textId="77777777" w:rsidR="00CE392B" w:rsidRPr="00AC36D6" w:rsidRDefault="00CE392B" w:rsidP="00DA6943">
            <w:pPr>
              <w:jc w:val="center"/>
              <w:rPr>
                <w:sz w:val="20"/>
                <w:szCs w:val="20"/>
              </w:rPr>
            </w:pPr>
          </w:p>
        </w:tc>
        <w:tc>
          <w:tcPr>
            <w:tcW w:w="828" w:type="dxa"/>
            <w:tcBorders>
              <w:top w:val="single" w:sz="4" w:space="0" w:color="auto"/>
              <w:bottom w:val="single" w:sz="4" w:space="0" w:color="auto"/>
            </w:tcBorders>
            <w:vAlign w:val="center"/>
          </w:tcPr>
          <w:p w14:paraId="23F307E0" w14:textId="77777777" w:rsidR="00CE392B" w:rsidRPr="00AC36D6" w:rsidRDefault="00CE392B" w:rsidP="00DA6943">
            <w:pPr>
              <w:jc w:val="center"/>
              <w:rPr>
                <w:sz w:val="20"/>
                <w:szCs w:val="20"/>
              </w:rPr>
            </w:pPr>
          </w:p>
        </w:tc>
        <w:tc>
          <w:tcPr>
            <w:tcW w:w="828" w:type="dxa"/>
            <w:tcBorders>
              <w:top w:val="single" w:sz="4" w:space="0" w:color="auto"/>
              <w:bottom w:val="single" w:sz="4" w:space="0" w:color="auto"/>
            </w:tcBorders>
            <w:vAlign w:val="center"/>
          </w:tcPr>
          <w:p w14:paraId="3D81EA3A" w14:textId="77777777" w:rsidR="00CE392B" w:rsidRPr="00AC36D6" w:rsidRDefault="00CE392B" w:rsidP="00DA6943">
            <w:pPr>
              <w:jc w:val="center"/>
              <w:rPr>
                <w:sz w:val="20"/>
                <w:szCs w:val="20"/>
              </w:rPr>
            </w:pPr>
          </w:p>
        </w:tc>
        <w:tc>
          <w:tcPr>
            <w:tcW w:w="942" w:type="dxa"/>
            <w:tcBorders>
              <w:top w:val="single" w:sz="4" w:space="0" w:color="auto"/>
              <w:bottom w:val="single" w:sz="4" w:space="0" w:color="auto"/>
              <w:right w:val="double" w:sz="4" w:space="0" w:color="auto"/>
            </w:tcBorders>
            <w:vAlign w:val="center"/>
          </w:tcPr>
          <w:p w14:paraId="3C038258" w14:textId="77777777" w:rsidR="00CE392B" w:rsidRPr="00AC36D6" w:rsidRDefault="00CE392B" w:rsidP="00DA6943">
            <w:pPr>
              <w:jc w:val="center"/>
              <w:rPr>
                <w:sz w:val="20"/>
                <w:szCs w:val="20"/>
              </w:rPr>
            </w:pPr>
          </w:p>
        </w:tc>
        <w:tc>
          <w:tcPr>
            <w:tcW w:w="800" w:type="dxa"/>
            <w:tcBorders>
              <w:top w:val="single" w:sz="4" w:space="0" w:color="auto"/>
              <w:left w:val="double" w:sz="4" w:space="0" w:color="auto"/>
              <w:bottom w:val="single" w:sz="4" w:space="0" w:color="auto"/>
            </w:tcBorders>
            <w:vAlign w:val="bottom"/>
          </w:tcPr>
          <w:p w14:paraId="6DAC4A8D"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05B4E23C"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0757D791" w14:textId="77777777" w:rsidR="00CE392B" w:rsidRPr="00AC36D6" w:rsidRDefault="00CE392B" w:rsidP="00DA6943">
            <w:pPr>
              <w:jc w:val="center"/>
              <w:rPr>
                <w:sz w:val="20"/>
                <w:szCs w:val="20"/>
              </w:rPr>
            </w:pPr>
          </w:p>
        </w:tc>
        <w:tc>
          <w:tcPr>
            <w:tcW w:w="812" w:type="dxa"/>
            <w:tcBorders>
              <w:top w:val="single" w:sz="4" w:space="0" w:color="auto"/>
              <w:bottom w:val="single" w:sz="4" w:space="0" w:color="auto"/>
            </w:tcBorders>
            <w:vAlign w:val="bottom"/>
          </w:tcPr>
          <w:p w14:paraId="4FF578E4"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bottom"/>
          </w:tcPr>
          <w:p w14:paraId="172BAAE8" w14:textId="77777777" w:rsidR="00CE392B" w:rsidRPr="00AC36D6" w:rsidRDefault="00CE392B" w:rsidP="00DA6943">
            <w:pPr>
              <w:jc w:val="center"/>
              <w:rPr>
                <w:sz w:val="20"/>
                <w:szCs w:val="20"/>
              </w:rPr>
            </w:pPr>
          </w:p>
        </w:tc>
      </w:tr>
      <w:tr w:rsidR="000239EB" w:rsidRPr="00AC36D6" w14:paraId="0DD1DED7" w14:textId="77777777" w:rsidTr="00274839">
        <w:trPr>
          <w:trHeight w:val="477"/>
          <w:jc w:val="center"/>
        </w:trPr>
        <w:tc>
          <w:tcPr>
            <w:tcW w:w="465" w:type="dxa"/>
            <w:vMerge/>
            <w:tcBorders>
              <w:top w:val="single" w:sz="4" w:space="0" w:color="auto"/>
              <w:bottom w:val="single" w:sz="4" w:space="0" w:color="auto"/>
            </w:tcBorders>
          </w:tcPr>
          <w:p w14:paraId="4C94655C" w14:textId="77777777" w:rsidR="00CE392B" w:rsidRPr="00AC36D6" w:rsidRDefault="00CE392B" w:rsidP="00DA6943">
            <w:pPr>
              <w:spacing w:before="100" w:beforeAutospacing="1"/>
              <w:jc w:val="center"/>
              <w:rPr>
                <w:sz w:val="20"/>
                <w:szCs w:val="20"/>
              </w:rPr>
            </w:pPr>
          </w:p>
        </w:tc>
        <w:tc>
          <w:tcPr>
            <w:tcW w:w="694" w:type="dxa"/>
            <w:tcBorders>
              <w:top w:val="single" w:sz="4" w:space="0" w:color="auto"/>
              <w:bottom w:val="single" w:sz="4" w:space="0" w:color="auto"/>
              <w:right w:val="double" w:sz="4" w:space="0" w:color="auto"/>
            </w:tcBorders>
            <w:vAlign w:val="center"/>
          </w:tcPr>
          <w:p w14:paraId="74016977" w14:textId="77777777" w:rsidR="00CE392B" w:rsidRPr="00AC36D6" w:rsidRDefault="00CE392B" w:rsidP="00DA6943">
            <w:pPr>
              <w:jc w:val="center"/>
            </w:pPr>
            <w:r w:rsidRPr="00AC36D6">
              <w:rPr>
                <w:sz w:val="20"/>
                <w:szCs w:val="20"/>
              </w:rPr>
              <w:t>F&amp;B</w:t>
            </w:r>
          </w:p>
        </w:tc>
        <w:tc>
          <w:tcPr>
            <w:tcW w:w="816" w:type="dxa"/>
            <w:tcBorders>
              <w:top w:val="single" w:sz="4" w:space="0" w:color="auto"/>
              <w:left w:val="double" w:sz="4" w:space="0" w:color="auto"/>
              <w:bottom w:val="single" w:sz="4" w:space="0" w:color="auto"/>
            </w:tcBorders>
            <w:vAlign w:val="center"/>
          </w:tcPr>
          <w:p w14:paraId="7537E6E0" w14:textId="77777777" w:rsidR="00CE392B" w:rsidRPr="00AC36D6" w:rsidRDefault="00CE392B" w:rsidP="00DA6943">
            <w:pPr>
              <w:jc w:val="center"/>
              <w:rPr>
                <w:sz w:val="20"/>
                <w:szCs w:val="20"/>
              </w:rPr>
            </w:pPr>
            <w:r w:rsidRPr="00AC36D6">
              <w:rPr>
                <w:sz w:val="20"/>
                <w:szCs w:val="20"/>
              </w:rPr>
              <w:t>0</w:t>
            </w:r>
          </w:p>
          <w:p w14:paraId="7CA107E6"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48B8EB61" w14:textId="77777777" w:rsidR="00CE392B" w:rsidRPr="00AC36D6" w:rsidRDefault="00CE392B" w:rsidP="00DA6943">
            <w:pPr>
              <w:jc w:val="center"/>
              <w:rPr>
                <w:sz w:val="20"/>
                <w:szCs w:val="20"/>
              </w:rPr>
            </w:pPr>
            <w:r w:rsidRPr="00AC36D6">
              <w:rPr>
                <w:sz w:val="20"/>
                <w:szCs w:val="20"/>
              </w:rPr>
              <w:t>0.5</w:t>
            </w:r>
          </w:p>
          <w:p w14:paraId="792AC692" w14:textId="77777777" w:rsidR="00CE392B" w:rsidRPr="00AC36D6" w:rsidRDefault="00CE392B" w:rsidP="00DA6943">
            <w:pPr>
              <w:jc w:val="center"/>
              <w:rPr>
                <w:i/>
                <w:iCs/>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7910C32D" w14:textId="77777777" w:rsidR="00CE392B" w:rsidRPr="00AC36D6" w:rsidRDefault="00CE392B" w:rsidP="00DA6943">
            <w:pPr>
              <w:jc w:val="center"/>
              <w:rPr>
                <w:sz w:val="20"/>
                <w:szCs w:val="20"/>
              </w:rPr>
            </w:pPr>
          </w:p>
        </w:tc>
        <w:tc>
          <w:tcPr>
            <w:tcW w:w="828" w:type="dxa"/>
            <w:tcBorders>
              <w:top w:val="single" w:sz="4" w:space="0" w:color="auto"/>
              <w:bottom w:val="single" w:sz="4" w:space="0" w:color="auto"/>
            </w:tcBorders>
            <w:vAlign w:val="center"/>
          </w:tcPr>
          <w:p w14:paraId="131C842B" w14:textId="77777777" w:rsidR="00CE392B" w:rsidRPr="00AC36D6" w:rsidRDefault="00CE392B" w:rsidP="00DA6943">
            <w:pPr>
              <w:jc w:val="center"/>
              <w:rPr>
                <w:sz w:val="20"/>
                <w:szCs w:val="20"/>
              </w:rPr>
            </w:pPr>
          </w:p>
        </w:tc>
        <w:tc>
          <w:tcPr>
            <w:tcW w:w="942" w:type="dxa"/>
            <w:tcBorders>
              <w:top w:val="single" w:sz="4" w:space="0" w:color="auto"/>
              <w:bottom w:val="single" w:sz="4" w:space="0" w:color="auto"/>
              <w:right w:val="double" w:sz="4" w:space="0" w:color="auto"/>
            </w:tcBorders>
            <w:vAlign w:val="center"/>
          </w:tcPr>
          <w:p w14:paraId="480731F9" w14:textId="77777777" w:rsidR="00CE392B" w:rsidRPr="00AC36D6" w:rsidRDefault="00CE392B" w:rsidP="00DA6943">
            <w:pPr>
              <w:jc w:val="center"/>
              <w:rPr>
                <w:sz w:val="20"/>
                <w:szCs w:val="20"/>
              </w:rPr>
            </w:pPr>
          </w:p>
        </w:tc>
        <w:tc>
          <w:tcPr>
            <w:tcW w:w="800" w:type="dxa"/>
            <w:tcBorders>
              <w:top w:val="single" w:sz="4" w:space="0" w:color="auto"/>
              <w:left w:val="double" w:sz="4" w:space="0" w:color="auto"/>
              <w:bottom w:val="single" w:sz="4" w:space="0" w:color="auto"/>
            </w:tcBorders>
            <w:vAlign w:val="bottom"/>
          </w:tcPr>
          <w:p w14:paraId="5714FAD1"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5AE70A34"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6C7F4468" w14:textId="77777777" w:rsidR="00CE392B" w:rsidRPr="00AC36D6" w:rsidRDefault="00CE392B" w:rsidP="00DA6943">
            <w:pPr>
              <w:jc w:val="center"/>
              <w:rPr>
                <w:sz w:val="20"/>
                <w:szCs w:val="20"/>
              </w:rPr>
            </w:pPr>
          </w:p>
        </w:tc>
        <w:tc>
          <w:tcPr>
            <w:tcW w:w="812" w:type="dxa"/>
            <w:tcBorders>
              <w:top w:val="single" w:sz="4" w:space="0" w:color="auto"/>
              <w:bottom w:val="single" w:sz="4" w:space="0" w:color="auto"/>
            </w:tcBorders>
            <w:vAlign w:val="bottom"/>
          </w:tcPr>
          <w:p w14:paraId="6970299D"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bottom"/>
          </w:tcPr>
          <w:p w14:paraId="0EF9522A" w14:textId="77777777" w:rsidR="00CE392B" w:rsidRPr="00AC36D6" w:rsidRDefault="00CE392B" w:rsidP="00DA6943">
            <w:pPr>
              <w:jc w:val="center"/>
              <w:rPr>
                <w:sz w:val="20"/>
                <w:szCs w:val="20"/>
              </w:rPr>
            </w:pPr>
          </w:p>
        </w:tc>
      </w:tr>
      <w:tr w:rsidR="000239EB" w:rsidRPr="00AC36D6" w14:paraId="25F6F7A9" w14:textId="77777777" w:rsidTr="00274839">
        <w:trPr>
          <w:trHeight w:val="489"/>
          <w:jc w:val="center"/>
        </w:trPr>
        <w:tc>
          <w:tcPr>
            <w:tcW w:w="465" w:type="dxa"/>
            <w:vMerge/>
            <w:tcBorders>
              <w:top w:val="single" w:sz="4" w:space="0" w:color="auto"/>
              <w:bottom w:val="single" w:sz="4" w:space="0" w:color="auto"/>
            </w:tcBorders>
          </w:tcPr>
          <w:p w14:paraId="475E9FD1" w14:textId="77777777" w:rsidR="00CE392B" w:rsidRPr="00AC36D6" w:rsidRDefault="00CE392B" w:rsidP="00DA6943">
            <w:pPr>
              <w:spacing w:before="100" w:beforeAutospacing="1"/>
              <w:jc w:val="center"/>
              <w:rPr>
                <w:sz w:val="20"/>
                <w:szCs w:val="20"/>
              </w:rPr>
            </w:pPr>
          </w:p>
        </w:tc>
        <w:tc>
          <w:tcPr>
            <w:tcW w:w="694" w:type="dxa"/>
            <w:tcBorders>
              <w:top w:val="single" w:sz="4" w:space="0" w:color="auto"/>
              <w:bottom w:val="single" w:sz="4" w:space="0" w:color="auto"/>
              <w:right w:val="double" w:sz="4" w:space="0" w:color="auto"/>
            </w:tcBorders>
            <w:vAlign w:val="center"/>
          </w:tcPr>
          <w:p w14:paraId="1425FA3B" w14:textId="5CBA13F2" w:rsidR="00CE392B" w:rsidRPr="00AC36D6" w:rsidRDefault="00CE392B" w:rsidP="00DA6943">
            <w:pPr>
              <w:jc w:val="center"/>
            </w:pPr>
            <w:r w:rsidRPr="00AC36D6">
              <w:rPr>
                <w:sz w:val="20"/>
                <w:szCs w:val="20"/>
              </w:rPr>
              <w:t>Sh</w:t>
            </w:r>
            <w:r w:rsidR="0022181C" w:rsidRPr="00AC36D6">
              <w:rPr>
                <w:sz w:val="20"/>
                <w:szCs w:val="20"/>
              </w:rPr>
              <w:t>o</w:t>
            </w:r>
            <w:r w:rsidRPr="00AC36D6">
              <w:rPr>
                <w:sz w:val="20"/>
                <w:szCs w:val="20"/>
              </w:rPr>
              <w:t>p</w:t>
            </w:r>
          </w:p>
        </w:tc>
        <w:tc>
          <w:tcPr>
            <w:tcW w:w="816" w:type="dxa"/>
            <w:tcBorders>
              <w:top w:val="single" w:sz="4" w:space="0" w:color="auto"/>
              <w:left w:val="double" w:sz="4" w:space="0" w:color="auto"/>
              <w:bottom w:val="single" w:sz="4" w:space="0" w:color="auto"/>
            </w:tcBorders>
            <w:vAlign w:val="center"/>
          </w:tcPr>
          <w:p w14:paraId="0FFD7317" w14:textId="77777777" w:rsidR="00CE392B" w:rsidRPr="00AC36D6" w:rsidRDefault="00CE392B" w:rsidP="00DA6943">
            <w:pPr>
              <w:jc w:val="center"/>
              <w:rPr>
                <w:sz w:val="20"/>
                <w:szCs w:val="20"/>
              </w:rPr>
            </w:pPr>
            <w:r w:rsidRPr="00AC36D6">
              <w:rPr>
                <w:sz w:val="20"/>
                <w:szCs w:val="20"/>
              </w:rPr>
              <w:t>0</w:t>
            </w:r>
          </w:p>
          <w:p w14:paraId="0935020A"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519BF473" w14:textId="77777777" w:rsidR="00CE392B" w:rsidRPr="00AC36D6" w:rsidRDefault="00CE392B" w:rsidP="00DA6943">
            <w:pPr>
              <w:jc w:val="center"/>
              <w:rPr>
                <w:sz w:val="20"/>
                <w:szCs w:val="20"/>
              </w:rPr>
            </w:pPr>
            <w:r w:rsidRPr="00AC36D6">
              <w:rPr>
                <w:sz w:val="20"/>
                <w:szCs w:val="20"/>
              </w:rPr>
              <w:t>0</w:t>
            </w:r>
          </w:p>
          <w:p w14:paraId="66FDD02B"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3227ED25" w14:textId="77777777" w:rsidR="00CE392B" w:rsidRPr="00AC36D6" w:rsidRDefault="00CE392B" w:rsidP="00DA6943">
            <w:pPr>
              <w:jc w:val="center"/>
              <w:rPr>
                <w:sz w:val="20"/>
                <w:szCs w:val="20"/>
              </w:rPr>
            </w:pPr>
            <w:r w:rsidRPr="00AC36D6">
              <w:rPr>
                <w:sz w:val="20"/>
                <w:szCs w:val="20"/>
              </w:rPr>
              <w:t>0.5</w:t>
            </w:r>
          </w:p>
          <w:p w14:paraId="40C17105" w14:textId="77777777" w:rsidR="00CE392B" w:rsidRPr="00AC36D6" w:rsidRDefault="00CE392B" w:rsidP="00DA6943">
            <w:pPr>
              <w:jc w:val="center"/>
              <w:rPr>
                <w:i/>
                <w:iCs/>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581998B8" w14:textId="77777777" w:rsidR="00CE392B" w:rsidRPr="00AC36D6" w:rsidRDefault="00CE392B" w:rsidP="00DA6943">
            <w:pPr>
              <w:jc w:val="center"/>
              <w:rPr>
                <w:sz w:val="20"/>
                <w:szCs w:val="20"/>
              </w:rPr>
            </w:pPr>
          </w:p>
        </w:tc>
        <w:tc>
          <w:tcPr>
            <w:tcW w:w="942" w:type="dxa"/>
            <w:tcBorders>
              <w:top w:val="single" w:sz="4" w:space="0" w:color="auto"/>
              <w:bottom w:val="single" w:sz="4" w:space="0" w:color="auto"/>
              <w:right w:val="double" w:sz="4" w:space="0" w:color="auto"/>
            </w:tcBorders>
            <w:vAlign w:val="center"/>
          </w:tcPr>
          <w:p w14:paraId="6904A4C1" w14:textId="77777777" w:rsidR="00CE392B" w:rsidRPr="00AC36D6" w:rsidRDefault="00CE392B" w:rsidP="00DA6943">
            <w:pPr>
              <w:jc w:val="center"/>
              <w:rPr>
                <w:sz w:val="20"/>
                <w:szCs w:val="20"/>
              </w:rPr>
            </w:pPr>
          </w:p>
        </w:tc>
        <w:tc>
          <w:tcPr>
            <w:tcW w:w="800" w:type="dxa"/>
            <w:tcBorders>
              <w:top w:val="single" w:sz="4" w:space="0" w:color="auto"/>
              <w:left w:val="double" w:sz="4" w:space="0" w:color="auto"/>
              <w:bottom w:val="single" w:sz="4" w:space="0" w:color="auto"/>
            </w:tcBorders>
            <w:vAlign w:val="bottom"/>
          </w:tcPr>
          <w:p w14:paraId="72317F1D"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6FE6772A"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77767B5E" w14:textId="77777777" w:rsidR="00CE392B" w:rsidRPr="00AC36D6" w:rsidRDefault="00CE392B" w:rsidP="00DA6943">
            <w:pPr>
              <w:jc w:val="center"/>
              <w:rPr>
                <w:sz w:val="20"/>
                <w:szCs w:val="20"/>
              </w:rPr>
            </w:pPr>
          </w:p>
        </w:tc>
        <w:tc>
          <w:tcPr>
            <w:tcW w:w="812" w:type="dxa"/>
            <w:tcBorders>
              <w:top w:val="single" w:sz="4" w:space="0" w:color="auto"/>
              <w:bottom w:val="single" w:sz="4" w:space="0" w:color="auto"/>
            </w:tcBorders>
            <w:vAlign w:val="bottom"/>
          </w:tcPr>
          <w:p w14:paraId="1767C1C2"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bottom"/>
          </w:tcPr>
          <w:p w14:paraId="0280E5A7" w14:textId="77777777" w:rsidR="00CE392B" w:rsidRPr="00AC36D6" w:rsidRDefault="00CE392B" w:rsidP="00DA6943">
            <w:pPr>
              <w:jc w:val="center"/>
              <w:rPr>
                <w:sz w:val="20"/>
                <w:szCs w:val="20"/>
              </w:rPr>
            </w:pPr>
          </w:p>
        </w:tc>
      </w:tr>
      <w:tr w:rsidR="000239EB" w:rsidRPr="00AC36D6" w14:paraId="6924605C" w14:textId="77777777" w:rsidTr="00274839">
        <w:trPr>
          <w:trHeight w:val="477"/>
          <w:jc w:val="center"/>
        </w:trPr>
        <w:tc>
          <w:tcPr>
            <w:tcW w:w="465" w:type="dxa"/>
            <w:vMerge/>
            <w:tcBorders>
              <w:top w:val="single" w:sz="4" w:space="0" w:color="auto"/>
              <w:bottom w:val="single" w:sz="4" w:space="0" w:color="auto"/>
            </w:tcBorders>
          </w:tcPr>
          <w:p w14:paraId="0E87C686" w14:textId="77777777" w:rsidR="00CE392B" w:rsidRPr="00AC36D6" w:rsidRDefault="00CE392B" w:rsidP="00DA6943">
            <w:pPr>
              <w:spacing w:before="100" w:beforeAutospacing="1"/>
              <w:jc w:val="center"/>
              <w:rPr>
                <w:sz w:val="20"/>
                <w:szCs w:val="20"/>
              </w:rPr>
            </w:pPr>
          </w:p>
        </w:tc>
        <w:tc>
          <w:tcPr>
            <w:tcW w:w="694" w:type="dxa"/>
            <w:tcBorders>
              <w:top w:val="single" w:sz="4" w:space="0" w:color="auto"/>
              <w:bottom w:val="single" w:sz="4" w:space="0" w:color="auto"/>
              <w:right w:val="double" w:sz="4" w:space="0" w:color="auto"/>
            </w:tcBorders>
            <w:vAlign w:val="center"/>
          </w:tcPr>
          <w:p w14:paraId="09D7A8AC" w14:textId="77777777" w:rsidR="00CE392B" w:rsidRPr="00AC36D6" w:rsidRDefault="00CE392B" w:rsidP="00DA6943">
            <w:pPr>
              <w:jc w:val="center"/>
            </w:pPr>
            <w:r w:rsidRPr="00AC36D6">
              <w:rPr>
                <w:sz w:val="20"/>
                <w:szCs w:val="20"/>
              </w:rPr>
              <w:t>R&amp;L</w:t>
            </w:r>
          </w:p>
        </w:tc>
        <w:tc>
          <w:tcPr>
            <w:tcW w:w="816" w:type="dxa"/>
            <w:tcBorders>
              <w:top w:val="single" w:sz="4" w:space="0" w:color="auto"/>
              <w:left w:val="double" w:sz="4" w:space="0" w:color="auto"/>
              <w:bottom w:val="single" w:sz="4" w:space="0" w:color="auto"/>
            </w:tcBorders>
            <w:vAlign w:val="center"/>
          </w:tcPr>
          <w:p w14:paraId="316E857C" w14:textId="77777777" w:rsidR="00CE392B" w:rsidRPr="00AC36D6" w:rsidRDefault="00CE392B" w:rsidP="00DA6943">
            <w:pPr>
              <w:jc w:val="center"/>
              <w:rPr>
                <w:sz w:val="20"/>
                <w:szCs w:val="20"/>
              </w:rPr>
            </w:pPr>
            <w:r w:rsidRPr="00AC36D6">
              <w:rPr>
                <w:sz w:val="20"/>
                <w:szCs w:val="20"/>
              </w:rPr>
              <w:t>0</w:t>
            </w:r>
          </w:p>
          <w:p w14:paraId="7803A5F5"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3F02A5E2" w14:textId="77777777" w:rsidR="00CE392B" w:rsidRPr="00AC36D6" w:rsidRDefault="00CE392B" w:rsidP="00DA6943">
            <w:pPr>
              <w:jc w:val="center"/>
              <w:rPr>
                <w:sz w:val="20"/>
                <w:szCs w:val="20"/>
              </w:rPr>
            </w:pPr>
            <w:r w:rsidRPr="00AC36D6">
              <w:rPr>
                <w:sz w:val="20"/>
                <w:szCs w:val="20"/>
              </w:rPr>
              <w:t>0</w:t>
            </w:r>
          </w:p>
          <w:p w14:paraId="63A2AEEF"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731DECE0" w14:textId="77777777" w:rsidR="00CE392B" w:rsidRPr="00AC36D6" w:rsidRDefault="00CE392B" w:rsidP="00DA6943">
            <w:pPr>
              <w:jc w:val="center"/>
              <w:rPr>
                <w:sz w:val="20"/>
                <w:szCs w:val="20"/>
              </w:rPr>
            </w:pPr>
            <w:r w:rsidRPr="00AC36D6">
              <w:rPr>
                <w:sz w:val="20"/>
                <w:szCs w:val="20"/>
              </w:rPr>
              <w:t>0</w:t>
            </w:r>
          </w:p>
          <w:p w14:paraId="5E153659"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single" w:sz="4" w:space="0" w:color="auto"/>
            </w:tcBorders>
            <w:vAlign w:val="center"/>
          </w:tcPr>
          <w:p w14:paraId="6ED2E09A" w14:textId="77777777" w:rsidR="00CE392B" w:rsidRPr="00AC36D6" w:rsidRDefault="00CE392B" w:rsidP="00DA6943">
            <w:pPr>
              <w:jc w:val="center"/>
              <w:rPr>
                <w:sz w:val="20"/>
                <w:szCs w:val="20"/>
              </w:rPr>
            </w:pPr>
            <w:r w:rsidRPr="00AC36D6">
              <w:rPr>
                <w:sz w:val="20"/>
                <w:szCs w:val="20"/>
              </w:rPr>
              <w:t>0.5</w:t>
            </w:r>
          </w:p>
          <w:p w14:paraId="2AFF5FD8" w14:textId="77777777" w:rsidR="00CE392B" w:rsidRPr="00AC36D6" w:rsidRDefault="00CE392B" w:rsidP="00DA6943">
            <w:pPr>
              <w:jc w:val="center"/>
              <w:rPr>
                <w:i/>
                <w:iCs/>
                <w:sz w:val="20"/>
                <w:szCs w:val="20"/>
              </w:rPr>
            </w:pPr>
            <w:r w:rsidRPr="00AC36D6">
              <w:rPr>
                <w:i/>
                <w:iCs/>
                <w:sz w:val="20"/>
                <w:szCs w:val="20"/>
              </w:rPr>
              <w:t>(fixed)</w:t>
            </w:r>
          </w:p>
        </w:tc>
        <w:tc>
          <w:tcPr>
            <w:tcW w:w="942" w:type="dxa"/>
            <w:tcBorders>
              <w:top w:val="single" w:sz="4" w:space="0" w:color="auto"/>
              <w:bottom w:val="single" w:sz="4" w:space="0" w:color="auto"/>
              <w:right w:val="double" w:sz="4" w:space="0" w:color="auto"/>
            </w:tcBorders>
            <w:vAlign w:val="center"/>
          </w:tcPr>
          <w:p w14:paraId="220CAA87" w14:textId="77777777" w:rsidR="00CE392B" w:rsidRPr="00AC36D6" w:rsidRDefault="00CE392B" w:rsidP="00DA6943">
            <w:pPr>
              <w:jc w:val="center"/>
              <w:rPr>
                <w:sz w:val="20"/>
                <w:szCs w:val="20"/>
              </w:rPr>
            </w:pPr>
          </w:p>
        </w:tc>
        <w:tc>
          <w:tcPr>
            <w:tcW w:w="800" w:type="dxa"/>
            <w:tcBorders>
              <w:top w:val="single" w:sz="4" w:space="0" w:color="auto"/>
              <w:left w:val="double" w:sz="4" w:space="0" w:color="auto"/>
              <w:bottom w:val="single" w:sz="4" w:space="0" w:color="auto"/>
            </w:tcBorders>
            <w:vAlign w:val="bottom"/>
          </w:tcPr>
          <w:p w14:paraId="5AF6B457"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45714965" w14:textId="77777777" w:rsidR="00CE392B" w:rsidRPr="00AC36D6" w:rsidRDefault="00CE392B" w:rsidP="00DA6943">
            <w:pPr>
              <w:jc w:val="center"/>
              <w:rPr>
                <w:sz w:val="20"/>
                <w:szCs w:val="20"/>
              </w:rPr>
            </w:pPr>
          </w:p>
        </w:tc>
        <w:tc>
          <w:tcPr>
            <w:tcW w:w="810" w:type="dxa"/>
            <w:tcBorders>
              <w:top w:val="single" w:sz="4" w:space="0" w:color="auto"/>
              <w:bottom w:val="single" w:sz="4" w:space="0" w:color="auto"/>
            </w:tcBorders>
            <w:vAlign w:val="bottom"/>
          </w:tcPr>
          <w:p w14:paraId="26196EBA" w14:textId="77777777" w:rsidR="00CE392B" w:rsidRPr="00AC36D6" w:rsidRDefault="00CE392B" w:rsidP="00DA6943">
            <w:pPr>
              <w:jc w:val="center"/>
              <w:rPr>
                <w:sz w:val="20"/>
                <w:szCs w:val="20"/>
              </w:rPr>
            </w:pPr>
          </w:p>
        </w:tc>
        <w:tc>
          <w:tcPr>
            <w:tcW w:w="812" w:type="dxa"/>
            <w:tcBorders>
              <w:top w:val="single" w:sz="4" w:space="0" w:color="auto"/>
              <w:bottom w:val="single" w:sz="4" w:space="0" w:color="auto"/>
            </w:tcBorders>
            <w:vAlign w:val="bottom"/>
          </w:tcPr>
          <w:p w14:paraId="38B9908A"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bottom"/>
          </w:tcPr>
          <w:p w14:paraId="41EAD619" w14:textId="77777777" w:rsidR="00CE392B" w:rsidRPr="00AC36D6" w:rsidRDefault="00CE392B" w:rsidP="00DA6943">
            <w:pPr>
              <w:jc w:val="center"/>
              <w:rPr>
                <w:sz w:val="20"/>
                <w:szCs w:val="20"/>
              </w:rPr>
            </w:pPr>
          </w:p>
        </w:tc>
      </w:tr>
      <w:tr w:rsidR="000239EB" w:rsidRPr="00AC36D6" w14:paraId="1CAC83AD" w14:textId="77777777" w:rsidTr="00274839">
        <w:trPr>
          <w:trHeight w:val="477"/>
          <w:jc w:val="center"/>
        </w:trPr>
        <w:tc>
          <w:tcPr>
            <w:tcW w:w="465" w:type="dxa"/>
            <w:vMerge/>
            <w:tcBorders>
              <w:top w:val="single" w:sz="4" w:space="0" w:color="auto"/>
              <w:bottom w:val="double" w:sz="4" w:space="0" w:color="auto"/>
            </w:tcBorders>
          </w:tcPr>
          <w:p w14:paraId="33919D1D" w14:textId="77777777" w:rsidR="00CE392B" w:rsidRPr="00AC36D6" w:rsidRDefault="00CE392B" w:rsidP="00DA6943">
            <w:pPr>
              <w:spacing w:before="100" w:beforeAutospacing="1"/>
              <w:jc w:val="center"/>
              <w:rPr>
                <w:sz w:val="20"/>
                <w:szCs w:val="20"/>
              </w:rPr>
            </w:pPr>
          </w:p>
        </w:tc>
        <w:tc>
          <w:tcPr>
            <w:tcW w:w="694" w:type="dxa"/>
            <w:tcBorders>
              <w:top w:val="single" w:sz="4" w:space="0" w:color="auto"/>
              <w:bottom w:val="double" w:sz="4" w:space="0" w:color="auto"/>
              <w:right w:val="double" w:sz="4" w:space="0" w:color="auto"/>
            </w:tcBorders>
            <w:vAlign w:val="center"/>
          </w:tcPr>
          <w:p w14:paraId="74452664" w14:textId="77777777" w:rsidR="00CE392B" w:rsidRPr="00AC36D6" w:rsidRDefault="00CE392B" w:rsidP="00DA6943">
            <w:pPr>
              <w:jc w:val="center"/>
            </w:pPr>
            <w:r w:rsidRPr="00AC36D6">
              <w:rPr>
                <w:sz w:val="20"/>
                <w:szCs w:val="20"/>
              </w:rPr>
              <w:t>H&amp;M</w:t>
            </w:r>
          </w:p>
        </w:tc>
        <w:tc>
          <w:tcPr>
            <w:tcW w:w="816" w:type="dxa"/>
            <w:tcBorders>
              <w:top w:val="single" w:sz="4" w:space="0" w:color="auto"/>
              <w:left w:val="double" w:sz="4" w:space="0" w:color="auto"/>
              <w:bottom w:val="double" w:sz="4" w:space="0" w:color="auto"/>
            </w:tcBorders>
            <w:vAlign w:val="center"/>
          </w:tcPr>
          <w:p w14:paraId="1BDEC7C3" w14:textId="77777777" w:rsidR="00CE392B" w:rsidRPr="00AC36D6" w:rsidRDefault="00CE392B" w:rsidP="00DA6943">
            <w:pPr>
              <w:jc w:val="center"/>
              <w:rPr>
                <w:sz w:val="20"/>
                <w:szCs w:val="20"/>
              </w:rPr>
            </w:pPr>
            <w:r w:rsidRPr="00AC36D6">
              <w:rPr>
                <w:sz w:val="20"/>
                <w:szCs w:val="20"/>
              </w:rPr>
              <w:t>0</w:t>
            </w:r>
          </w:p>
          <w:p w14:paraId="4CA23A03"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double" w:sz="4" w:space="0" w:color="auto"/>
            </w:tcBorders>
            <w:vAlign w:val="center"/>
          </w:tcPr>
          <w:p w14:paraId="06986B72" w14:textId="77777777" w:rsidR="00CE392B" w:rsidRPr="00AC36D6" w:rsidRDefault="00CE392B" w:rsidP="00DA6943">
            <w:pPr>
              <w:jc w:val="center"/>
              <w:rPr>
                <w:sz w:val="20"/>
                <w:szCs w:val="20"/>
              </w:rPr>
            </w:pPr>
            <w:r w:rsidRPr="00AC36D6">
              <w:rPr>
                <w:sz w:val="20"/>
                <w:szCs w:val="20"/>
              </w:rPr>
              <w:t>0</w:t>
            </w:r>
          </w:p>
          <w:p w14:paraId="205EAC8A"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double" w:sz="4" w:space="0" w:color="auto"/>
            </w:tcBorders>
            <w:vAlign w:val="center"/>
          </w:tcPr>
          <w:p w14:paraId="6B0DDF7B" w14:textId="77777777" w:rsidR="00CE392B" w:rsidRPr="00AC36D6" w:rsidRDefault="00CE392B" w:rsidP="00DA6943">
            <w:pPr>
              <w:jc w:val="center"/>
              <w:rPr>
                <w:sz w:val="20"/>
                <w:szCs w:val="20"/>
              </w:rPr>
            </w:pPr>
            <w:r w:rsidRPr="00AC36D6">
              <w:rPr>
                <w:sz w:val="20"/>
                <w:szCs w:val="20"/>
              </w:rPr>
              <w:t>0</w:t>
            </w:r>
          </w:p>
          <w:p w14:paraId="0E43581D" w14:textId="77777777" w:rsidR="00CE392B" w:rsidRPr="00AC36D6" w:rsidRDefault="00CE392B" w:rsidP="00DA6943">
            <w:pPr>
              <w:jc w:val="center"/>
              <w:rPr>
                <w:sz w:val="20"/>
                <w:szCs w:val="20"/>
              </w:rPr>
            </w:pPr>
            <w:r w:rsidRPr="00AC36D6">
              <w:rPr>
                <w:i/>
                <w:iCs/>
                <w:sz w:val="20"/>
                <w:szCs w:val="20"/>
              </w:rPr>
              <w:t>(fixed)</w:t>
            </w:r>
          </w:p>
        </w:tc>
        <w:tc>
          <w:tcPr>
            <w:tcW w:w="828" w:type="dxa"/>
            <w:tcBorders>
              <w:top w:val="single" w:sz="4" w:space="0" w:color="auto"/>
              <w:bottom w:val="double" w:sz="4" w:space="0" w:color="auto"/>
            </w:tcBorders>
            <w:vAlign w:val="center"/>
          </w:tcPr>
          <w:p w14:paraId="48980FB3" w14:textId="77777777" w:rsidR="00CE392B" w:rsidRPr="00AC36D6" w:rsidRDefault="00CE392B" w:rsidP="00DA6943">
            <w:pPr>
              <w:jc w:val="center"/>
              <w:rPr>
                <w:sz w:val="20"/>
                <w:szCs w:val="20"/>
              </w:rPr>
            </w:pPr>
            <w:r w:rsidRPr="00AC36D6">
              <w:rPr>
                <w:sz w:val="20"/>
                <w:szCs w:val="20"/>
              </w:rPr>
              <w:t>0</w:t>
            </w:r>
          </w:p>
          <w:p w14:paraId="0C9F2497" w14:textId="77777777" w:rsidR="00CE392B" w:rsidRPr="00AC36D6" w:rsidRDefault="00CE392B" w:rsidP="00DA6943">
            <w:pPr>
              <w:jc w:val="center"/>
              <w:rPr>
                <w:sz w:val="20"/>
                <w:szCs w:val="20"/>
              </w:rPr>
            </w:pPr>
            <w:r w:rsidRPr="00AC36D6">
              <w:rPr>
                <w:i/>
                <w:iCs/>
                <w:sz w:val="20"/>
                <w:szCs w:val="20"/>
              </w:rPr>
              <w:t>(fixed)</w:t>
            </w:r>
          </w:p>
        </w:tc>
        <w:tc>
          <w:tcPr>
            <w:tcW w:w="942" w:type="dxa"/>
            <w:tcBorders>
              <w:top w:val="single" w:sz="4" w:space="0" w:color="auto"/>
              <w:bottom w:val="double" w:sz="4" w:space="0" w:color="auto"/>
              <w:right w:val="double" w:sz="4" w:space="0" w:color="auto"/>
            </w:tcBorders>
            <w:vAlign w:val="center"/>
          </w:tcPr>
          <w:p w14:paraId="504B712C" w14:textId="77777777" w:rsidR="00CE392B" w:rsidRPr="00AC36D6" w:rsidRDefault="00CE392B" w:rsidP="00DA6943">
            <w:pPr>
              <w:jc w:val="center"/>
              <w:rPr>
                <w:sz w:val="20"/>
                <w:szCs w:val="20"/>
              </w:rPr>
            </w:pPr>
            <w:r w:rsidRPr="00AC36D6">
              <w:rPr>
                <w:sz w:val="20"/>
                <w:szCs w:val="20"/>
              </w:rPr>
              <w:t>0.5</w:t>
            </w:r>
          </w:p>
          <w:p w14:paraId="7941874A" w14:textId="77777777" w:rsidR="00CE392B" w:rsidRPr="00AC36D6" w:rsidRDefault="00CE392B" w:rsidP="00DA6943">
            <w:pPr>
              <w:jc w:val="center"/>
              <w:rPr>
                <w:i/>
                <w:iCs/>
                <w:sz w:val="20"/>
                <w:szCs w:val="20"/>
              </w:rPr>
            </w:pPr>
            <w:r w:rsidRPr="00AC36D6">
              <w:rPr>
                <w:i/>
                <w:iCs/>
                <w:sz w:val="20"/>
                <w:szCs w:val="20"/>
              </w:rPr>
              <w:t>(fixed)</w:t>
            </w:r>
          </w:p>
        </w:tc>
        <w:tc>
          <w:tcPr>
            <w:tcW w:w="800" w:type="dxa"/>
            <w:tcBorders>
              <w:top w:val="single" w:sz="4" w:space="0" w:color="auto"/>
              <w:left w:val="double" w:sz="4" w:space="0" w:color="auto"/>
              <w:bottom w:val="double" w:sz="4" w:space="0" w:color="auto"/>
            </w:tcBorders>
            <w:vAlign w:val="bottom"/>
          </w:tcPr>
          <w:p w14:paraId="61F007B5" w14:textId="77777777" w:rsidR="00CE392B" w:rsidRPr="00AC36D6" w:rsidRDefault="00CE392B" w:rsidP="00DA6943">
            <w:pPr>
              <w:jc w:val="center"/>
              <w:rPr>
                <w:sz w:val="20"/>
                <w:szCs w:val="20"/>
              </w:rPr>
            </w:pPr>
          </w:p>
        </w:tc>
        <w:tc>
          <w:tcPr>
            <w:tcW w:w="810" w:type="dxa"/>
            <w:tcBorders>
              <w:top w:val="single" w:sz="4" w:space="0" w:color="auto"/>
              <w:bottom w:val="double" w:sz="4" w:space="0" w:color="auto"/>
            </w:tcBorders>
            <w:vAlign w:val="bottom"/>
          </w:tcPr>
          <w:p w14:paraId="5064A543" w14:textId="77777777" w:rsidR="00CE392B" w:rsidRPr="00AC36D6" w:rsidRDefault="00CE392B" w:rsidP="00DA6943">
            <w:pPr>
              <w:jc w:val="center"/>
              <w:rPr>
                <w:sz w:val="20"/>
                <w:szCs w:val="20"/>
              </w:rPr>
            </w:pPr>
          </w:p>
        </w:tc>
        <w:tc>
          <w:tcPr>
            <w:tcW w:w="810" w:type="dxa"/>
            <w:tcBorders>
              <w:top w:val="single" w:sz="4" w:space="0" w:color="auto"/>
              <w:bottom w:val="double" w:sz="4" w:space="0" w:color="auto"/>
            </w:tcBorders>
            <w:vAlign w:val="bottom"/>
          </w:tcPr>
          <w:p w14:paraId="4024D481" w14:textId="77777777" w:rsidR="00CE392B" w:rsidRPr="00AC36D6" w:rsidRDefault="00CE392B" w:rsidP="00DA6943">
            <w:pPr>
              <w:jc w:val="center"/>
              <w:rPr>
                <w:sz w:val="20"/>
                <w:szCs w:val="20"/>
              </w:rPr>
            </w:pPr>
          </w:p>
        </w:tc>
        <w:tc>
          <w:tcPr>
            <w:tcW w:w="812" w:type="dxa"/>
            <w:tcBorders>
              <w:top w:val="single" w:sz="4" w:space="0" w:color="auto"/>
              <w:bottom w:val="double" w:sz="4" w:space="0" w:color="auto"/>
            </w:tcBorders>
            <w:vAlign w:val="bottom"/>
          </w:tcPr>
          <w:p w14:paraId="5FF9388C" w14:textId="77777777" w:rsidR="00CE392B" w:rsidRPr="00AC36D6" w:rsidRDefault="00CE392B" w:rsidP="00DA6943">
            <w:pPr>
              <w:jc w:val="center"/>
              <w:rPr>
                <w:sz w:val="20"/>
                <w:szCs w:val="20"/>
              </w:rPr>
            </w:pPr>
          </w:p>
        </w:tc>
        <w:tc>
          <w:tcPr>
            <w:tcW w:w="790" w:type="dxa"/>
            <w:tcBorders>
              <w:top w:val="single" w:sz="4" w:space="0" w:color="auto"/>
              <w:bottom w:val="double" w:sz="4" w:space="0" w:color="auto"/>
            </w:tcBorders>
            <w:vAlign w:val="bottom"/>
          </w:tcPr>
          <w:p w14:paraId="76FB2AF9" w14:textId="77777777" w:rsidR="00CE392B" w:rsidRPr="00AC36D6" w:rsidRDefault="00CE392B" w:rsidP="00DA6943">
            <w:pPr>
              <w:jc w:val="center"/>
              <w:rPr>
                <w:sz w:val="20"/>
                <w:szCs w:val="20"/>
              </w:rPr>
            </w:pPr>
          </w:p>
        </w:tc>
      </w:tr>
      <w:tr w:rsidR="000239EB" w:rsidRPr="00AC36D6" w14:paraId="3D7378CC" w14:textId="77777777" w:rsidTr="00274839">
        <w:trPr>
          <w:trHeight w:val="477"/>
          <w:jc w:val="center"/>
        </w:trPr>
        <w:tc>
          <w:tcPr>
            <w:tcW w:w="465" w:type="dxa"/>
            <w:vMerge w:val="restart"/>
            <w:tcBorders>
              <w:top w:val="double" w:sz="4" w:space="0" w:color="auto"/>
            </w:tcBorders>
            <w:textDirection w:val="btLr"/>
          </w:tcPr>
          <w:p w14:paraId="21444902" w14:textId="77777777" w:rsidR="00CE392B" w:rsidRPr="00AC36D6" w:rsidRDefault="00CE392B" w:rsidP="00DA6943">
            <w:pPr>
              <w:spacing w:before="100" w:beforeAutospacing="1"/>
              <w:ind w:left="113" w:right="113"/>
              <w:jc w:val="center"/>
              <w:rPr>
                <w:sz w:val="20"/>
                <w:szCs w:val="20"/>
              </w:rPr>
            </w:pPr>
            <w:r w:rsidRPr="00AC36D6">
              <w:rPr>
                <w:sz w:val="20"/>
                <w:szCs w:val="20"/>
              </w:rPr>
              <w:t>Continuous preferences</w:t>
            </w:r>
          </w:p>
        </w:tc>
        <w:tc>
          <w:tcPr>
            <w:tcW w:w="694" w:type="dxa"/>
            <w:tcBorders>
              <w:top w:val="double" w:sz="4" w:space="0" w:color="auto"/>
              <w:right w:val="double" w:sz="4" w:space="0" w:color="auto"/>
            </w:tcBorders>
            <w:vAlign w:val="center"/>
          </w:tcPr>
          <w:p w14:paraId="53B19E4D" w14:textId="77777777" w:rsidR="00CE392B" w:rsidRPr="00AC36D6" w:rsidRDefault="00CE392B" w:rsidP="00DA6943">
            <w:pPr>
              <w:jc w:val="center"/>
            </w:pPr>
            <w:r w:rsidRPr="00AC36D6">
              <w:rPr>
                <w:sz w:val="20"/>
                <w:szCs w:val="20"/>
              </w:rPr>
              <w:t>Acc.</w:t>
            </w:r>
          </w:p>
        </w:tc>
        <w:tc>
          <w:tcPr>
            <w:tcW w:w="816" w:type="dxa"/>
            <w:tcBorders>
              <w:top w:val="double" w:sz="4" w:space="0" w:color="auto"/>
              <w:left w:val="double" w:sz="4" w:space="0" w:color="auto"/>
              <w:bottom w:val="single" w:sz="4" w:space="0" w:color="auto"/>
            </w:tcBorders>
            <w:vAlign w:val="center"/>
          </w:tcPr>
          <w:p w14:paraId="6012E23D" w14:textId="07940A28" w:rsidR="00CE392B" w:rsidRPr="00AC36D6" w:rsidRDefault="00CE392B" w:rsidP="00DA6943">
            <w:pPr>
              <w:jc w:val="center"/>
              <w:rPr>
                <w:sz w:val="20"/>
                <w:szCs w:val="20"/>
              </w:rPr>
            </w:pPr>
            <w:r w:rsidRPr="00AC36D6">
              <w:rPr>
                <w:sz w:val="20"/>
                <w:szCs w:val="20"/>
              </w:rPr>
              <w:t>0.1</w:t>
            </w:r>
            <w:r w:rsidR="007A55B8" w:rsidRPr="00AC36D6">
              <w:rPr>
                <w:sz w:val="20"/>
                <w:szCs w:val="20"/>
              </w:rPr>
              <w:t>91</w:t>
            </w:r>
          </w:p>
          <w:p w14:paraId="4F7E1813" w14:textId="77777777" w:rsidR="00CE392B" w:rsidRPr="00AC36D6" w:rsidRDefault="00CE392B" w:rsidP="00DA6943">
            <w:pPr>
              <w:jc w:val="center"/>
              <w:rPr>
                <w:i/>
                <w:iCs/>
                <w:sz w:val="20"/>
                <w:szCs w:val="20"/>
              </w:rPr>
            </w:pPr>
            <w:r w:rsidRPr="00AC36D6">
              <w:rPr>
                <w:i/>
                <w:iCs/>
                <w:sz w:val="20"/>
                <w:szCs w:val="20"/>
              </w:rPr>
              <w:t>(3.35)</w:t>
            </w:r>
          </w:p>
        </w:tc>
        <w:tc>
          <w:tcPr>
            <w:tcW w:w="828" w:type="dxa"/>
            <w:tcBorders>
              <w:top w:val="double" w:sz="4" w:space="0" w:color="auto"/>
              <w:bottom w:val="single" w:sz="4" w:space="0" w:color="auto"/>
            </w:tcBorders>
            <w:vAlign w:val="center"/>
          </w:tcPr>
          <w:p w14:paraId="336E698B" w14:textId="2A99B576" w:rsidR="00CE392B" w:rsidRPr="00AC36D6" w:rsidRDefault="00CE392B" w:rsidP="00DA6943">
            <w:pPr>
              <w:jc w:val="center"/>
              <w:rPr>
                <w:sz w:val="20"/>
                <w:szCs w:val="20"/>
              </w:rPr>
            </w:pPr>
            <w:r w:rsidRPr="00AC36D6">
              <w:rPr>
                <w:sz w:val="20"/>
                <w:szCs w:val="20"/>
              </w:rPr>
              <w:t>-0.2</w:t>
            </w:r>
            <w:r w:rsidR="007A55B8" w:rsidRPr="00AC36D6">
              <w:rPr>
                <w:sz w:val="20"/>
                <w:szCs w:val="20"/>
              </w:rPr>
              <w:t>66</w:t>
            </w:r>
          </w:p>
          <w:p w14:paraId="2DD3CEC4" w14:textId="3CE03E50" w:rsidR="00CE392B" w:rsidRPr="00AC36D6" w:rsidRDefault="00CE392B" w:rsidP="00DA6943">
            <w:pPr>
              <w:jc w:val="center"/>
              <w:rPr>
                <w:i/>
                <w:iCs/>
                <w:sz w:val="20"/>
                <w:szCs w:val="20"/>
              </w:rPr>
            </w:pPr>
            <w:r w:rsidRPr="00AC36D6">
              <w:rPr>
                <w:i/>
                <w:iCs/>
                <w:sz w:val="20"/>
                <w:szCs w:val="20"/>
              </w:rPr>
              <w:t>(-2.</w:t>
            </w:r>
            <w:r w:rsidR="007A55B8" w:rsidRPr="00AC36D6">
              <w:rPr>
                <w:i/>
                <w:iCs/>
                <w:sz w:val="20"/>
                <w:szCs w:val="20"/>
              </w:rPr>
              <w:t>94</w:t>
            </w:r>
            <w:r w:rsidRPr="00AC36D6">
              <w:rPr>
                <w:i/>
                <w:iCs/>
                <w:sz w:val="20"/>
                <w:szCs w:val="20"/>
              </w:rPr>
              <w:t>)</w:t>
            </w:r>
          </w:p>
        </w:tc>
        <w:tc>
          <w:tcPr>
            <w:tcW w:w="828" w:type="dxa"/>
            <w:tcBorders>
              <w:top w:val="double" w:sz="4" w:space="0" w:color="auto"/>
              <w:bottom w:val="single" w:sz="4" w:space="0" w:color="auto"/>
            </w:tcBorders>
            <w:vAlign w:val="center"/>
          </w:tcPr>
          <w:p w14:paraId="31B003CE" w14:textId="12F29F6B" w:rsidR="00CE392B" w:rsidRPr="00AC36D6" w:rsidRDefault="00CE392B" w:rsidP="00DA6943">
            <w:pPr>
              <w:jc w:val="center"/>
              <w:rPr>
                <w:sz w:val="20"/>
                <w:szCs w:val="20"/>
              </w:rPr>
            </w:pPr>
            <w:r w:rsidRPr="00AC36D6">
              <w:rPr>
                <w:sz w:val="20"/>
                <w:szCs w:val="20"/>
              </w:rPr>
              <w:t>-0.2</w:t>
            </w:r>
            <w:r w:rsidR="007A55B8" w:rsidRPr="00AC36D6">
              <w:rPr>
                <w:sz w:val="20"/>
                <w:szCs w:val="20"/>
              </w:rPr>
              <w:t>03</w:t>
            </w:r>
          </w:p>
          <w:p w14:paraId="488EBE11" w14:textId="59B8E67A" w:rsidR="00CE392B" w:rsidRPr="00AC36D6" w:rsidRDefault="00CE392B" w:rsidP="00DA6943">
            <w:pPr>
              <w:jc w:val="center"/>
              <w:rPr>
                <w:sz w:val="20"/>
                <w:szCs w:val="20"/>
              </w:rPr>
            </w:pPr>
            <w:r w:rsidRPr="00AC36D6">
              <w:rPr>
                <w:sz w:val="20"/>
                <w:szCs w:val="20"/>
              </w:rPr>
              <w:t>(-6.5</w:t>
            </w:r>
            <w:r w:rsidR="007A55B8" w:rsidRPr="00AC36D6">
              <w:rPr>
                <w:sz w:val="20"/>
                <w:szCs w:val="20"/>
              </w:rPr>
              <w:t>0</w:t>
            </w:r>
            <w:r w:rsidRPr="00AC36D6">
              <w:rPr>
                <w:sz w:val="20"/>
                <w:szCs w:val="20"/>
              </w:rPr>
              <w:t>)</w:t>
            </w:r>
          </w:p>
        </w:tc>
        <w:tc>
          <w:tcPr>
            <w:tcW w:w="828" w:type="dxa"/>
            <w:tcBorders>
              <w:top w:val="double" w:sz="4" w:space="0" w:color="auto"/>
              <w:bottom w:val="single" w:sz="4" w:space="0" w:color="auto"/>
            </w:tcBorders>
            <w:vAlign w:val="center"/>
          </w:tcPr>
          <w:p w14:paraId="271E6FEA" w14:textId="57B34BEF" w:rsidR="00CE392B" w:rsidRPr="00AC36D6" w:rsidRDefault="00CE392B" w:rsidP="00DA6943">
            <w:pPr>
              <w:jc w:val="center"/>
              <w:rPr>
                <w:sz w:val="20"/>
                <w:szCs w:val="20"/>
              </w:rPr>
            </w:pPr>
            <w:r w:rsidRPr="00AC36D6">
              <w:rPr>
                <w:sz w:val="20"/>
                <w:szCs w:val="20"/>
              </w:rPr>
              <w:t>-0.1</w:t>
            </w:r>
            <w:r w:rsidR="004042B2" w:rsidRPr="00AC36D6">
              <w:rPr>
                <w:sz w:val="20"/>
                <w:szCs w:val="20"/>
              </w:rPr>
              <w:t>25</w:t>
            </w:r>
          </w:p>
          <w:p w14:paraId="55B82066" w14:textId="142D1D2B"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5.48</w:t>
            </w:r>
            <w:r w:rsidRPr="00AC36D6">
              <w:rPr>
                <w:i/>
                <w:iCs/>
                <w:sz w:val="20"/>
                <w:szCs w:val="20"/>
              </w:rPr>
              <w:t>)</w:t>
            </w:r>
          </w:p>
        </w:tc>
        <w:tc>
          <w:tcPr>
            <w:tcW w:w="942" w:type="dxa"/>
            <w:tcBorders>
              <w:top w:val="double" w:sz="4" w:space="0" w:color="auto"/>
              <w:bottom w:val="single" w:sz="4" w:space="0" w:color="auto"/>
              <w:right w:val="double" w:sz="4" w:space="0" w:color="auto"/>
            </w:tcBorders>
            <w:vAlign w:val="center"/>
          </w:tcPr>
          <w:p w14:paraId="13BFD255" w14:textId="59380C7D" w:rsidR="00CE392B" w:rsidRPr="00AC36D6" w:rsidRDefault="00CE392B" w:rsidP="00DA6943">
            <w:pPr>
              <w:jc w:val="center"/>
              <w:rPr>
                <w:sz w:val="20"/>
                <w:szCs w:val="20"/>
              </w:rPr>
            </w:pPr>
            <w:r w:rsidRPr="00AC36D6">
              <w:rPr>
                <w:sz w:val="20"/>
                <w:szCs w:val="20"/>
              </w:rPr>
              <w:t>-0.2</w:t>
            </w:r>
            <w:r w:rsidR="004042B2" w:rsidRPr="00AC36D6">
              <w:rPr>
                <w:sz w:val="20"/>
                <w:szCs w:val="20"/>
              </w:rPr>
              <w:t>05</w:t>
            </w:r>
          </w:p>
          <w:p w14:paraId="40F4C239" w14:textId="7EFDD2C7"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7.76</w:t>
            </w:r>
            <w:r w:rsidRPr="00AC36D6">
              <w:rPr>
                <w:i/>
                <w:iCs/>
                <w:sz w:val="20"/>
                <w:szCs w:val="20"/>
              </w:rPr>
              <w:t>)</w:t>
            </w:r>
          </w:p>
        </w:tc>
        <w:tc>
          <w:tcPr>
            <w:tcW w:w="800" w:type="dxa"/>
            <w:tcBorders>
              <w:top w:val="double" w:sz="4" w:space="0" w:color="auto"/>
              <w:left w:val="double" w:sz="4" w:space="0" w:color="auto"/>
              <w:bottom w:val="single" w:sz="4" w:space="0" w:color="auto"/>
            </w:tcBorders>
            <w:vAlign w:val="center"/>
          </w:tcPr>
          <w:p w14:paraId="08CBD928" w14:textId="1A81E8AF" w:rsidR="00CE392B" w:rsidRPr="00AC36D6" w:rsidRDefault="00CE392B" w:rsidP="00DA6943">
            <w:pPr>
              <w:jc w:val="center"/>
              <w:rPr>
                <w:sz w:val="20"/>
                <w:szCs w:val="20"/>
              </w:rPr>
            </w:pPr>
            <w:r w:rsidRPr="00AC36D6">
              <w:rPr>
                <w:sz w:val="20"/>
                <w:szCs w:val="20"/>
              </w:rPr>
              <w:t>0.6</w:t>
            </w:r>
            <w:r w:rsidR="004042B2" w:rsidRPr="00AC36D6">
              <w:rPr>
                <w:sz w:val="20"/>
                <w:szCs w:val="20"/>
              </w:rPr>
              <w:t>21</w:t>
            </w:r>
          </w:p>
          <w:p w14:paraId="0F567BD9" w14:textId="131D5D91" w:rsidR="00CE392B" w:rsidRPr="00AC36D6" w:rsidRDefault="00CE392B" w:rsidP="00DA6943">
            <w:pPr>
              <w:jc w:val="center"/>
              <w:rPr>
                <w:i/>
                <w:iCs/>
                <w:sz w:val="20"/>
                <w:szCs w:val="20"/>
              </w:rPr>
            </w:pPr>
            <w:r w:rsidRPr="00AC36D6">
              <w:rPr>
                <w:i/>
                <w:iCs/>
                <w:sz w:val="20"/>
                <w:szCs w:val="20"/>
              </w:rPr>
              <w:t>(25.4</w:t>
            </w:r>
            <w:r w:rsidR="004042B2" w:rsidRPr="00AC36D6">
              <w:rPr>
                <w:i/>
                <w:iCs/>
                <w:sz w:val="20"/>
                <w:szCs w:val="20"/>
              </w:rPr>
              <w:t>8</w:t>
            </w:r>
            <w:r w:rsidRPr="00AC36D6">
              <w:rPr>
                <w:i/>
                <w:iCs/>
                <w:sz w:val="20"/>
                <w:szCs w:val="20"/>
              </w:rPr>
              <w:t>)</w:t>
            </w:r>
          </w:p>
        </w:tc>
        <w:tc>
          <w:tcPr>
            <w:tcW w:w="810" w:type="dxa"/>
            <w:tcBorders>
              <w:top w:val="double" w:sz="4" w:space="0" w:color="auto"/>
              <w:bottom w:val="single" w:sz="4" w:space="0" w:color="auto"/>
            </w:tcBorders>
            <w:vAlign w:val="center"/>
          </w:tcPr>
          <w:p w14:paraId="03D9DCAC" w14:textId="77777777" w:rsidR="00CE392B" w:rsidRPr="00AC36D6" w:rsidRDefault="00CE392B" w:rsidP="00DA6943">
            <w:pPr>
              <w:jc w:val="center"/>
              <w:rPr>
                <w:sz w:val="20"/>
                <w:szCs w:val="20"/>
              </w:rPr>
            </w:pPr>
          </w:p>
        </w:tc>
        <w:tc>
          <w:tcPr>
            <w:tcW w:w="810" w:type="dxa"/>
            <w:tcBorders>
              <w:top w:val="double" w:sz="4" w:space="0" w:color="auto"/>
              <w:bottom w:val="single" w:sz="4" w:space="0" w:color="auto"/>
            </w:tcBorders>
            <w:vAlign w:val="center"/>
          </w:tcPr>
          <w:p w14:paraId="57F365BC" w14:textId="77777777" w:rsidR="00CE392B" w:rsidRPr="00AC36D6" w:rsidRDefault="00CE392B" w:rsidP="00DA6943">
            <w:pPr>
              <w:jc w:val="center"/>
              <w:rPr>
                <w:sz w:val="20"/>
                <w:szCs w:val="20"/>
              </w:rPr>
            </w:pPr>
          </w:p>
        </w:tc>
        <w:tc>
          <w:tcPr>
            <w:tcW w:w="812" w:type="dxa"/>
            <w:tcBorders>
              <w:top w:val="double" w:sz="4" w:space="0" w:color="auto"/>
              <w:bottom w:val="single" w:sz="4" w:space="0" w:color="auto"/>
            </w:tcBorders>
            <w:vAlign w:val="center"/>
          </w:tcPr>
          <w:p w14:paraId="2F92C06E" w14:textId="77777777" w:rsidR="00CE392B" w:rsidRPr="00AC36D6" w:rsidRDefault="00CE392B" w:rsidP="00DA6943">
            <w:pPr>
              <w:jc w:val="center"/>
              <w:rPr>
                <w:sz w:val="20"/>
                <w:szCs w:val="20"/>
              </w:rPr>
            </w:pPr>
          </w:p>
        </w:tc>
        <w:tc>
          <w:tcPr>
            <w:tcW w:w="790" w:type="dxa"/>
            <w:tcBorders>
              <w:top w:val="double" w:sz="4" w:space="0" w:color="auto"/>
              <w:bottom w:val="single" w:sz="4" w:space="0" w:color="auto"/>
            </w:tcBorders>
            <w:vAlign w:val="center"/>
          </w:tcPr>
          <w:p w14:paraId="2BECFB5A" w14:textId="77777777" w:rsidR="00CE392B" w:rsidRPr="00AC36D6" w:rsidRDefault="00CE392B" w:rsidP="00DA6943">
            <w:pPr>
              <w:jc w:val="center"/>
              <w:rPr>
                <w:sz w:val="20"/>
                <w:szCs w:val="20"/>
              </w:rPr>
            </w:pPr>
          </w:p>
        </w:tc>
      </w:tr>
      <w:tr w:rsidR="000239EB" w:rsidRPr="00AC36D6" w14:paraId="78595061" w14:textId="77777777" w:rsidTr="00274839">
        <w:trPr>
          <w:trHeight w:val="477"/>
          <w:jc w:val="center"/>
        </w:trPr>
        <w:tc>
          <w:tcPr>
            <w:tcW w:w="465" w:type="dxa"/>
            <w:vMerge/>
          </w:tcPr>
          <w:p w14:paraId="11EE006E" w14:textId="77777777" w:rsidR="00CE392B" w:rsidRPr="00AC36D6" w:rsidRDefault="00CE392B" w:rsidP="00DA6943">
            <w:pPr>
              <w:jc w:val="center"/>
            </w:pPr>
          </w:p>
        </w:tc>
        <w:tc>
          <w:tcPr>
            <w:tcW w:w="694" w:type="dxa"/>
            <w:tcBorders>
              <w:right w:val="double" w:sz="4" w:space="0" w:color="auto"/>
            </w:tcBorders>
            <w:vAlign w:val="center"/>
          </w:tcPr>
          <w:p w14:paraId="72933906" w14:textId="77777777" w:rsidR="00CE392B" w:rsidRPr="00AC36D6" w:rsidRDefault="00CE392B" w:rsidP="00DA6943">
            <w:pPr>
              <w:jc w:val="center"/>
            </w:pPr>
            <w:r w:rsidRPr="00AC36D6">
              <w:rPr>
                <w:sz w:val="20"/>
                <w:szCs w:val="20"/>
              </w:rPr>
              <w:t>F&amp;B</w:t>
            </w:r>
          </w:p>
        </w:tc>
        <w:tc>
          <w:tcPr>
            <w:tcW w:w="816" w:type="dxa"/>
            <w:tcBorders>
              <w:top w:val="single" w:sz="4" w:space="0" w:color="auto"/>
              <w:left w:val="double" w:sz="4" w:space="0" w:color="auto"/>
              <w:bottom w:val="single" w:sz="4" w:space="0" w:color="auto"/>
            </w:tcBorders>
            <w:vAlign w:val="center"/>
          </w:tcPr>
          <w:p w14:paraId="14FF9CCF" w14:textId="2DBB5AB8" w:rsidR="00CE392B" w:rsidRPr="00AC36D6" w:rsidRDefault="00CE392B" w:rsidP="00DA6943">
            <w:pPr>
              <w:jc w:val="center"/>
              <w:rPr>
                <w:sz w:val="20"/>
                <w:szCs w:val="20"/>
              </w:rPr>
            </w:pPr>
            <w:r w:rsidRPr="00AC36D6">
              <w:rPr>
                <w:sz w:val="20"/>
                <w:szCs w:val="20"/>
              </w:rPr>
              <w:t>0.</w:t>
            </w:r>
            <w:r w:rsidR="007A55B8" w:rsidRPr="00AC36D6">
              <w:rPr>
                <w:sz w:val="20"/>
                <w:szCs w:val="20"/>
              </w:rPr>
              <w:t>320</w:t>
            </w:r>
          </w:p>
          <w:p w14:paraId="2D2F6DF8" w14:textId="77777777" w:rsidR="00CE392B" w:rsidRPr="00AC36D6" w:rsidRDefault="00CE392B" w:rsidP="00DA6943">
            <w:pPr>
              <w:jc w:val="center"/>
              <w:rPr>
                <w:i/>
                <w:iCs/>
                <w:sz w:val="20"/>
                <w:szCs w:val="20"/>
              </w:rPr>
            </w:pPr>
            <w:r w:rsidRPr="00AC36D6">
              <w:rPr>
                <w:i/>
                <w:iCs/>
                <w:sz w:val="20"/>
                <w:szCs w:val="20"/>
              </w:rPr>
              <w:t>(11.49)</w:t>
            </w:r>
          </w:p>
        </w:tc>
        <w:tc>
          <w:tcPr>
            <w:tcW w:w="828" w:type="dxa"/>
            <w:tcBorders>
              <w:top w:val="single" w:sz="4" w:space="0" w:color="auto"/>
              <w:bottom w:val="single" w:sz="4" w:space="0" w:color="auto"/>
            </w:tcBorders>
            <w:vAlign w:val="center"/>
          </w:tcPr>
          <w:p w14:paraId="0F9A827D" w14:textId="66EC8A71" w:rsidR="00CE392B" w:rsidRPr="00AC36D6" w:rsidRDefault="00CE392B" w:rsidP="00DA6943">
            <w:pPr>
              <w:jc w:val="center"/>
              <w:rPr>
                <w:sz w:val="20"/>
                <w:szCs w:val="20"/>
              </w:rPr>
            </w:pPr>
            <w:r w:rsidRPr="00AC36D6">
              <w:rPr>
                <w:sz w:val="20"/>
                <w:szCs w:val="20"/>
              </w:rPr>
              <w:t>-0.2</w:t>
            </w:r>
            <w:r w:rsidR="007A55B8" w:rsidRPr="00AC36D6">
              <w:rPr>
                <w:sz w:val="20"/>
                <w:szCs w:val="20"/>
              </w:rPr>
              <w:t>48</w:t>
            </w:r>
          </w:p>
          <w:p w14:paraId="358C9C26" w14:textId="0BA5A396" w:rsidR="00CE392B" w:rsidRPr="00AC36D6" w:rsidRDefault="00CE392B" w:rsidP="00DA6943">
            <w:pPr>
              <w:jc w:val="center"/>
              <w:rPr>
                <w:i/>
                <w:iCs/>
                <w:sz w:val="20"/>
                <w:szCs w:val="20"/>
              </w:rPr>
            </w:pPr>
            <w:r w:rsidRPr="00AC36D6">
              <w:rPr>
                <w:i/>
                <w:iCs/>
                <w:sz w:val="20"/>
                <w:szCs w:val="20"/>
              </w:rPr>
              <w:t>(-1.</w:t>
            </w:r>
            <w:r w:rsidR="007A55B8" w:rsidRPr="00AC36D6">
              <w:rPr>
                <w:i/>
                <w:iCs/>
                <w:sz w:val="20"/>
                <w:szCs w:val="20"/>
              </w:rPr>
              <w:t>10</w:t>
            </w:r>
            <w:r w:rsidRPr="00AC36D6">
              <w:rPr>
                <w:i/>
                <w:iCs/>
                <w:sz w:val="20"/>
                <w:szCs w:val="20"/>
              </w:rPr>
              <w:t>)</w:t>
            </w:r>
          </w:p>
        </w:tc>
        <w:tc>
          <w:tcPr>
            <w:tcW w:w="828" w:type="dxa"/>
            <w:tcBorders>
              <w:top w:val="single" w:sz="4" w:space="0" w:color="auto"/>
              <w:bottom w:val="single" w:sz="4" w:space="0" w:color="auto"/>
            </w:tcBorders>
            <w:vAlign w:val="center"/>
          </w:tcPr>
          <w:p w14:paraId="6E4F341F" w14:textId="1548537D" w:rsidR="00CE392B" w:rsidRPr="00AC36D6" w:rsidRDefault="00CE392B" w:rsidP="00DA6943">
            <w:pPr>
              <w:jc w:val="center"/>
              <w:rPr>
                <w:sz w:val="20"/>
                <w:szCs w:val="20"/>
              </w:rPr>
            </w:pPr>
            <w:r w:rsidRPr="00AC36D6">
              <w:rPr>
                <w:sz w:val="20"/>
                <w:szCs w:val="20"/>
              </w:rPr>
              <w:t>-0.1</w:t>
            </w:r>
            <w:r w:rsidR="007A55B8" w:rsidRPr="00AC36D6">
              <w:rPr>
                <w:sz w:val="20"/>
                <w:szCs w:val="20"/>
              </w:rPr>
              <w:t>49</w:t>
            </w:r>
          </w:p>
          <w:p w14:paraId="6F8F6CB0" w14:textId="79AA5B01" w:rsidR="00CE392B" w:rsidRPr="00AC36D6" w:rsidRDefault="00CE392B" w:rsidP="00DA6943">
            <w:pPr>
              <w:jc w:val="center"/>
              <w:rPr>
                <w:sz w:val="20"/>
                <w:szCs w:val="20"/>
              </w:rPr>
            </w:pPr>
            <w:r w:rsidRPr="00AC36D6">
              <w:rPr>
                <w:sz w:val="20"/>
                <w:szCs w:val="20"/>
              </w:rPr>
              <w:t>(-</w:t>
            </w:r>
            <w:r w:rsidR="007A55B8" w:rsidRPr="00AC36D6">
              <w:rPr>
                <w:sz w:val="20"/>
                <w:szCs w:val="20"/>
              </w:rPr>
              <w:t>5</w:t>
            </w:r>
            <w:r w:rsidRPr="00AC36D6">
              <w:rPr>
                <w:sz w:val="20"/>
                <w:szCs w:val="20"/>
              </w:rPr>
              <w:t>.</w:t>
            </w:r>
            <w:r w:rsidR="007A55B8" w:rsidRPr="00AC36D6">
              <w:rPr>
                <w:sz w:val="20"/>
                <w:szCs w:val="20"/>
              </w:rPr>
              <w:t>8</w:t>
            </w:r>
            <w:r w:rsidRPr="00AC36D6">
              <w:rPr>
                <w:sz w:val="20"/>
                <w:szCs w:val="20"/>
              </w:rPr>
              <w:t>0)</w:t>
            </w:r>
          </w:p>
        </w:tc>
        <w:tc>
          <w:tcPr>
            <w:tcW w:w="828" w:type="dxa"/>
            <w:tcBorders>
              <w:top w:val="single" w:sz="4" w:space="0" w:color="auto"/>
              <w:bottom w:val="single" w:sz="4" w:space="0" w:color="auto"/>
            </w:tcBorders>
            <w:vAlign w:val="center"/>
          </w:tcPr>
          <w:p w14:paraId="6C499DA3" w14:textId="58616437" w:rsidR="00CE392B" w:rsidRPr="00AC36D6" w:rsidRDefault="004042B2" w:rsidP="00DA6943">
            <w:pPr>
              <w:jc w:val="center"/>
              <w:rPr>
                <w:sz w:val="20"/>
                <w:szCs w:val="20"/>
              </w:rPr>
            </w:pPr>
            <w:r w:rsidRPr="00AC36D6">
              <w:rPr>
                <w:sz w:val="20"/>
                <w:szCs w:val="20"/>
              </w:rPr>
              <w:t>0.000</w:t>
            </w:r>
            <w:r w:rsidR="005F6A10" w:rsidRPr="00AC36D6">
              <w:rPr>
                <w:sz w:val="20"/>
                <w:szCs w:val="20"/>
                <w:vertAlign w:val="superscript"/>
              </w:rPr>
              <w:t>#</w:t>
            </w:r>
          </w:p>
          <w:p w14:paraId="5F31603D" w14:textId="6675FD7B"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0.00</w:t>
            </w:r>
            <w:r w:rsidRPr="00AC36D6">
              <w:rPr>
                <w:i/>
                <w:iCs/>
                <w:sz w:val="20"/>
                <w:szCs w:val="20"/>
              </w:rPr>
              <w:t>)</w:t>
            </w:r>
          </w:p>
        </w:tc>
        <w:tc>
          <w:tcPr>
            <w:tcW w:w="942" w:type="dxa"/>
            <w:tcBorders>
              <w:top w:val="single" w:sz="4" w:space="0" w:color="auto"/>
              <w:bottom w:val="single" w:sz="4" w:space="0" w:color="auto"/>
              <w:right w:val="double" w:sz="4" w:space="0" w:color="auto"/>
            </w:tcBorders>
            <w:vAlign w:val="center"/>
          </w:tcPr>
          <w:p w14:paraId="0445DEE7" w14:textId="302F449E" w:rsidR="00CE392B" w:rsidRPr="00AC36D6" w:rsidRDefault="007A55B8" w:rsidP="00DA6943">
            <w:pPr>
              <w:jc w:val="center"/>
              <w:rPr>
                <w:sz w:val="20"/>
                <w:szCs w:val="20"/>
              </w:rPr>
            </w:pPr>
            <w:r w:rsidRPr="00AC36D6">
              <w:rPr>
                <w:sz w:val="20"/>
                <w:szCs w:val="20"/>
              </w:rPr>
              <w:t>-</w:t>
            </w:r>
            <w:r w:rsidR="00CE392B" w:rsidRPr="00AC36D6">
              <w:rPr>
                <w:sz w:val="20"/>
                <w:szCs w:val="20"/>
              </w:rPr>
              <w:t>0.</w:t>
            </w:r>
            <w:r w:rsidRPr="00AC36D6">
              <w:rPr>
                <w:sz w:val="20"/>
                <w:szCs w:val="20"/>
              </w:rPr>
              <w:t>110</w:t>
            </w:r>
          </w:p>
          <w:p w14:paraId="0784F620" w14:textId="25CD6FBF"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4</w:t>
            </w:r>
            <w:r w:rsidRPr="00AC36D6">
              <w:rPr>
                <w:i/>
                <w:iCs/>
                <w:sz w:val="20"/>
                <w:szCs w:val="20"/>
              </w:rPr>
              <w:t>.</w:t>
            </w:r>
            <w:r w:rsidR="007A55B8" w:rsidRPr="00AC36D6">
              <w:rPr>
                <w:i/>
                <w:iCs/>
                <w:sz w:val="20"/>
                <w:szCs w:val="20"/>
              </w:rPr>
              <w:t>54</w:t>
            </w:r>
            <w:r w:rsidRPr="00AC36D6">
              <w:rPr>
                <w:i/>
                <w:iCs/>
                <w:sz w:val="20"/>
                <w:szCs w:val="20"/>
              </w:rPr>
              <w:t>)</w:t>
            </w:r>
          </w:p>
        </w:tc>
        <w:tc>
          <w:tcPr>
            <w:tcW w:w="800" w:type="dxa"/>
            <w:tcBorders>
              <w:top w:val="single" w:sz="4" w:space="0" w:color="auto"/>
              <w:left w:val="double" w:sz="4" w:space="0" w:color="auto"/>
              <w:bottom w:val="single" w:sz="4" w:space="0" w:color="auto"/>
            </w:tcBorders>
            <w:vAlign w:val="center"/>
          </w:tcPr>
          <w:p w14:paraId="12E2D191" w14:textId="6EC2F6F6" w:rsidR="00CE392B" w:rsidRPr="00AC36D6" w:rsidRDefault="00CE392B" w:rsidP="00DA6943">
            <w:pPr>
              <w:jc w:val="center"/>
              <w:rPr>
                <w:sz w:val="20"/>
                <w:szCs w:val="20"/>
              </w:rPr>
            </w:pPr>
            <w:r w:rsidRPr="00AC36D6">
              <w:rPr>
                <w:sz w:val="20"/>
                <w:szCs w:val="20"/>
              </w:rPr>
              <w:t>0.4</w:t>
            </w:r>
            <w:r w:rsidR="004042B2" w:rsidRPr="00AC36D6">
              <w:rPr>
                <w:sz w:val="20"/>
                <w:szCs w:val="20"/>
              </w:rPr>
              <w:t>51</w:t>
            </w:r>
          </w:p>
          <w:p w14:paraId="228E5409" w14:textId="0D8D671E" w:rsidR="00CE392B" w:rsidRPr="00AC36D6" w:rsidRDefault="00CE392B" w:rsidP="00DA6943">
            <w:pPr>
              <w:jc w:val="center"/>
              <w:rPr>
                <w:i/>
                <w:iCs/>
                <w:sz w:val="20"/>
                <w:szCs w:val="20"/>
              </w:rPr>
            </w:pPr>
            <w:r w:rsidRPr="00AC36D6">
              <w:rPr>
                <w:i/>
                <w:iCs/>
                <w:sz w:val="20"/>
                <w:szCs w:val="20"/>
              </w:rPr>
              <w:t>(2.</w:t>
            </w:r>
            <w:r w:rsidR="004042B2" w:rsidRPr="00AC36D6">
              <w:rPr>
                <w:i/>
                <w:iCs/>
                <w:sz w:val="20"/>
                <w:szCs w:val="20"/>
              </w:rPr>
              <w:t>76</w:t>
            </w:r>
            <w:r w:rsidRPr="00AC36D6">
              <w:rPr>
                <w:i/>
                <w:iCs/>
                <w:sz w:val="20"/>
                <w:szCs w:val="20"/>
              </w:rPr>
              <w:t>)</w:t>
            </w:r>
          </w:p>
        </w:tc>
        <w:tc>
          <w:tcPr>
            <w:tcW w:w="810" w:type="dxa"/>
            <w:tcBorders>
              <w:top w:val="single" w:sz="4" w:space="0" w:color="auto"/>
              <w:bottom w:val="single" w:sz="4" w:space="0" w:color="auto"/>
            </w:tcBorders>
            <w:vAlign w:val="center"/>
          </w:tcPr>
          <w:p w14:paraId="493AA520" w14:textId="11F5BC77" w:rsidR="00CE392B" w:rsidRPr="00AC36D6" w:rsidRDefault="00CE392B" w:rsidP="00DA6943">
            <w:pPr>
              <w:jc w:val="center"/>
              <w:rPr>
                <w:sz w:val="20"/>
                <w:szCs w:val="20"/>
              </w:rPr>
            </w:pPr>
            <w:r w:rsidRPr="00AC36D6">
              <w:rPr>
                <w:sz w:val="20"/>
                <w:szCs w:val="20"/>
              </w:rPr>
              <w:t>0.8</w:t>
            </w:r>
            <w:r w:rsidR="004042B2" w:rsidRPr="00AC36D6">
              <w:rPr>
                <w:sz w:val="20"/>
                <w:szCs w:val="20"/>
              </w:rPr>
              <w:t>22</w:t>
            </w:r>
          </w:p>
          <w:p w14:paraId="69DD9DE1" w14:textId="6538E39F" w:rsidR="00CE392B" w:rsidRPr="00AC36D6" w:rsidRDefault="00CE392B" w:rsidP="00DA6943">
            <w:pPr>
              <w:jc w:val="center"/>
              <w:rPr>
                <w:i/>
                <w:iCs/>
                <w:sz w:val="20"/>
                <w:szCs w:val="20"/>
              </w:rPr>
            </w:pPr>
            <w:r w:rsidRPr="00AC36D6">
              <w:rPr>
                <w:i/>
                <w:iCs/>
                <w:sz w:val="20"/>
                <w:szCs w:val="20"/>
              </w:rPr>
              <w:t>(2</w:t>
            </w:r>
            <w:r w:rsidR="004042B2" w:rsidRPr="00AC36D6">
              <w:rPr>
                <w:i/>
                <w:iCs/>
                <w:sz w:val="20"/>
                <w:szCs w:val="20"/>
              </w:rPr>
              <w:t>9</w:t>
            </w:r>
            <w:r w:rsidRPr="00AC36D6">
              <w:rPr>
                <w:i/>
                <w:iCs/>
                <w:sz w:val="20"/>
                <w:szCs w:val="20"/>
              </w:rPr>
              <w:t>.</w:t>
            </w:r>
            <w:r w:rsidR="004042B2" w:rsidRPr="00AC36D6">
              <w:rPr>
                <w:i/>
                <w:iCs/>
                <w:sz w:val="20"/>
                <w:szCs w:val="20"/>
              </w:rPr>
              <w:t>61</w:t>
            </w:r>
            <w:r w:rsidRPr="00AC36D6">
              <w:rPr>
                <w:i/>
                <w:iCs/>
                <w:sz w:val="20"/>
                <w:szCs w:val="20"/>
              </w:rPr>
              <w:t>)</w:t>
            </w:r>
          </w:p>
        </w:tc>
        <w:tc>
          <w:tcPr>
            <w:tcW w:w="810" w:type="dxa"/>
            <w:tcBorders>
              <w:top w:val="single" w:sz="4" w:space="0" w:color="auto"/>
              <w:bottom w:val="single" w:sz="4" w:space="0" w:color="auto"/>
            </w:tcBorders>
            <w:vAlign w:val="center"/>
          </w:tcPr>
          <w:p w14:paraId="75FEB819" w14:textId="77777777" w:rsidR="00CE392B" w:rsidRPr="00AC36D6" w:rsidRDefault="00CE392B" w:rsidP="00DA6943">
            <w:pPr>
              <w:jc w:val="center"/>
              <w:rPr>
                <w:sz w:val="20"/>
                <w:szCs w:val="20"/>
              </w:rPr>
            </w:pPr>
          </w:p>
        </w:tc>
        <w:tc>
          <w:tcPr>
            <w:tcW w:w="812" w:type="dxa"/>
            <w:tcBorders>
              <w:top w:val="single" w:sz="4" w:space="0" w:color="auto"/>
              <w:bottom w:val="single" w:sz="4" w:space="0" w:color="auto"/>
            </w:tcBorders>
            <w:vAlign w:val="center"/>
          </w:tcPr>
          <w:p w14:paraId="47E97E7C"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center"/>
          </w:tcPr>
          <w:p w14:paraId="63A627FF" w14:textId="77777777" w:rsidR="00CE392B" w:rsidRPr="00AC36D6" w:rsidRDefault="00CE392B" w:rsidP="00DA6943">
            <w:pPr>
              <w:jc w:val="center"/>
              <w:rPr>
                <w:sz w:val="20"/>
                <w:szCs w:val="20"/>
              </w:rPr>
            </w:pPr>
          </w:p>
        </w:tc>
      </w:tr>
      <w:tr w:rsidR="000239EB" w:rsidRPr="00AC36D6" w14:paraId="205F89DE" w14:textId="77777777" w:rsidTr="00274839">
        <w:trPr>
          <w:trHeight w:val="489"/>
          <w:jc w:val="center"/>
        </w:trPr>
        <w:tc>
          <w:tcPr>
            <w:tcW w:w="465" w:type="dxa"/>
            <w:vMerge/>
          </w:tcPr>
          <w:p w14:paraId="156D84EA" w14:textId="77777777" w:rsidR="00CE392B" w:rsidRPr="00AC36D6" w:rsidRDefault="00CE392B" w:rsidP="00DA6943">
            <w:pPr>
              <w:jc w:val="center"/>
            </w:pPr>
          </w:p>
        </w:tc>
        <w:tc>
          <w:tcPr>
            <w:tcW w:w="694" w:type="dxa"/>
            <w:tcBorders>
              <w:right w:val="double" w:sz="4" w:space="0" w:color="auto"/>
            </w:tcBorders>
            <w:vAlign w:val="center"/>
          </w:tcPr>
          <w:p w14:paraId="2590B93C" w14:textId="699C10F7" w:rsidR="00CE392B" w:rsidRPr="00AC36D6" w:rsidRDefault="00CE392B" w:rsidP="00DA6943">
            <w:pPr>
              <w:jc w:val="center"/>
            </w:pPr>
            <w:r w:rsidRPr="00AC36D6">
              <w:rPr>
                <w:sz w:val="20"/>
                <w:szCs w:val="20"/>
              </w:rPr>
              <w:t>Sh</w:t>
            </w:r>
            <w:r w:rsidR="0022181C" w:rsidRPr="00AC36D6">
              <w:rPr>
                <w:sz w:val="20"/>
                <w:szCs w:val="20"/>
              </w:rPr>
              <w:t>o</w:t>
            </w:r>
            <w:r w:rsidRPr="00AC36D6">
              <w:rPr>
                <w:sz w:val="20"/>
                <w:szCs w:val="20"/>
              </w:rPr>
              <w:t>p</w:t>
            </w:r>
          </w:p>
        </w:tc>
        <w:tc>
          <w:tcPr>
            <w:tcW w:w="816" w:type="dxa"/>
            <w:tcBorders>
              <w:top w:val="single" w:sz="4" w:space="0" w:color="auto"/>
              <w:left w:val="double" w:sz="4" w:space="0" w:color="auto"/>
              <w:bottom w:val="single" w:sz="4" w:space="0" w:color="auto"/>
            </w:tcBorders>
            <w:vAlign w:val="center"/>
          </w:tcPr>
          <w:p w14:paraId="3C1EFD6D" w14:textId="14FC4A4E" w:rsidR="00CE392B" w:rsidRPr="00AC36D6" w:rsidRDefault="00CE392B" w:rsidP="00DA6943">
            <w:pPr>
              <w:jc w:val="center"/>
              <w:rPr>
                <w:sz w:val="20"/>
                <w:szCs w:val="20"/>
              </w:rPr>
            </w:pPr>
            <w:r w:rsidRPr="00AC36D6">
              <w:rPr>
                <w:sz w:val="20"/>
                <w:szCs w:val="20"/>
              </w:rPr>
              <w:t>-0.</w:t>
            </w:r>
            <w:r w:rsidR="007A55B8" w:rsidRPr="00AC36D6">
              <w:rPr>
                <w:sz w:val="20"/>
                <w:szCs w:val="20"/>
              </w:rPr>
              <w:t>077</w:t>
            </w:r>
          </w:p>
          <w:p w14:paraId="0BED1525" w14:textId="77777777" w:rsidR="00CE392B" w:rsidRPr="00AC36D6" w:rsidRDefault="00CE392B" w:rsidP="00DA6943">
            <w:pPr>
              <w:jc w:val="center"/>
              <w:rPr>
                <w:sz w:val="20"/>
                <w:szCs w:val="20"/>
              </w:rPr>
            </w:pPr>
            <w:r w:rsidRPr="00AC36D6">
              <w:rPr>
                <w:sz w:val="20"/>
                <w:szCs w:val="20"/>
              </w:rPr>
              <w:t>(-6.27)</w:t>
            </w:r>
          </w:p>
        </w:tc>
        <w:tc>
          <w:tcPr>
            <w:tcW w:w="828" w:type="dxa"/>
            <w:tcBorders>
              <w:top w:val="single" w:sz="4" w:space="0" w:color="auto"/>
              <w:bottom w:val="single" w:sz="4" w:space="0" w:color="auto"/>
            </w:tcBorders>
            <w:vAlign w:val="center"/>
          </w:tcPr>
          <w:p w14:paraId="2150D80D" w14:textId="4179080B" w:rsidR="00CE392B" w:rsidRPr="00AC36D6" w:rsidRDefault="007A55B8" w:rsidP="00DA6943">
            <w:pPr>
              <w:jc w:val="center"/>
              <w:rPr>
                <w:sz w:val="20"/>
                <w:szCs w:val="20"/>
                <w:vertAlign w:val="superscript"/>
              </w:rPr>
            </w:pPr>
            <w:r w:rsidRPr="00AC36D6">
              <w:rPr>
                <w:sz w:val="20"/>
                <w:szCs w:val="20"/>
              </w:rPr>
              <w:t>0.000</w:t>
            </w:r>
            <w:r w:rsidR="005F6A10" w:rsidRPr="00AC36D6">
              <w:rPr>
                <w:sz w:val="20"/>
                <w:szCs w:val="20"/>
                <w:vertAlign w:val="superscript"/>
              </w:rPr>
              <w:t>#</w:t>
            </w:r>
          </w:p>
          <w:p w14:paraId="357D39A0" w14:textId="74F336B6"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0.00</w:t>
            </w:r>
            <w:r w:rsidRPr="00AC36D6">
              <w:rPr>
                <w:i/>
                <w:iCs/>
                <w:sz w:val="20"/>
                <w:szCs w:val="20"/>
              </w:rPr>
              <w:t>)</w:t>
            </w:r>
          </w:p>
        </w:tc>
        <w:tc>
          <w:tcPr>
            <w:tcW w:w="828" w:type="dxa"/>
            <w:tcBorders>
              <w:top w:val="single" w:sz="4" w:space="0" w:color="auto"/>
              <w:bottom w:val="single" w:sz="4" w:space="0" w:color="auto"/>
            </w:tcBorders>
            <w:vAlign w:val="center"/>
          </w:tcPr>
          <w:p w14:paraId="20186CDE" w14:textId="2F27E0DF" w:rsidR="00CE392B" w:rsidRPr="00AC36D6" w:rsidRDefault="007A55B8" w:rsidP="00DA6943">
            <w:pPr>
              <w:jc w:val="center"/>
              <w:rPr>
                <w:sz w:val="20"/>
                <w:szCs w:val="20"/>
              </w:rPr>
            </w:pPr>
            <w:r w:rsidRPr="00AC36D6">
              <w:rPr>
                <w:sz w:val="20"/>
                <w:szCs w:val="20"/>
              </w:rPr>
              <w:t>0.090</w:t>
            </w:r>
            <w:r w:rsidR="004849F4" w:rsidRPr="00AC36D6">
              <w:rPr>
                <w:sz w:val="20"/>
                <w:szCs w:val="20"/>
                <w:vertAlign w:val="superscript"/>
              </w:rPr>
              <w:t>#</w:t>
            </w:r>
          </w:p>
          <w:p w14:paraId="64154DE6" w14:textId="3EF9AD5F" w:rsidR="00CE392B" w:rsidRPr="00AC36D6" w:rsidRDefault="00CE392B" w:rsidP="00DA6943">
            <w:pPr>
              <w:jc w:val="center"/>
              <w:rPr>
                <w:sz w:val="20"/>
                <w:szCs w:val="20"/>
              </w:rPr>
            </w:pPr>
            <w:r w:rsidRPr="00AC36D6">
              <w:rPr>
                <w:sz w:val="20"/>
                <w:szCs w:val="20"/>
              </w:rPr>
              <w:t>(</w:t>
            </w:r>
            <w:r w:rsidR="007A55B8" w:rsidRPr="00AC36D6">
              <w:rPr>
                <w:sz w:val="20"/>
                <w:szCs w:val="20"/>
              </w:rPr>
              <w:t>0.54</w:t>
            </w:r>
            <w:r w:rsidRPr="00AC36D6">
              <w:rPr>
                <w:sz w:val="20"/>
                <w:szCs w:val="20"/>
              </w:rPr>
              <w:t>)</w:t>
            </w:r>
          </w:p>
        </w:tc>
        <w:tc>
          <w:tcPr>
            <w:tcW w:w="828" w:type="dxa"/>
            <w:tcBorders>
              <w:top w:val="single" w:sz="4" w:space="0" w:color="auto"/>
              <w:bottom w:val="single" w:sz="4" w:space="0" w:color="auto"/>
            </w:tcBorders>
            <w:vAlign w:val="center"/>
          </w:tcPr>
          <w:p w14:paraId="205A54D0" w14:textId="5086A47E" w:rsidR="00CE392B" w:rsidRPr="00AC36D6" w:rsidRDefault="004042B2" w:rsidP="00DA6943">
            <w:pPr>
              <w:jc w:val="center"/>
              <w:rPr>
                <w:sz w:val="20"/>
                <w:szCs w:val="20"/>
              </w:rPr>
            </w:pPr>
            <w:r w:rsidRPr="00AC36D6">
              <w:rPr>
                <w:sz w:val="20"/>
                <w:szCs w:val="20"/>
              </w:rPr>
              <w:t>0.000</w:t>
            </w:r>
            <w:r w:rsidR="005F6A10" w:rsidRPr="00AC36D6">
              <w:rPr>
                <w:sz w:val="20"/>
                <w:szCs w:val="20"/>
                <w:vertAlign w:val="superscript"/>
              </w:rPr>
              <w:t>#</w:t>
            </w:r>
          </w:p>
          <w:p w14:paraId="44746463" w14:textId="2E87B0A1"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0.00</w:t>
            </w:r>
            <w:r w:rsidRPr="00AC36D6">
              <w:rPr>
                <w:i/>
                <w:iCs/>
                <w:sz w:val="20"/>
                <w:szCs w:val="20"/>
              </w:rPr>
              <w:t>)</w:t>
            </w:r>
          </w:p>
        </w:tc>
        <w:tc>
          <w:tcPr>
            <w:tcW w:w="942" w:type="dxa"/>
            <w:tcBorders>
              <w:top w:val="single" w:sz="4" w:space="0" w:color="auto"/>
              <w:bottom w:val="single" w:sz="4" w:space="0" w:color="auto"/>
              <w:right w:val="double" w:sz="4" w:space="0" w:color="auto"/>
            </w:tcBorders>
            <w:vAlign w:val="center"/>
          </w:tcPr>
          <w:p w14:paraId="403C05FA" w14:textId="523D23D2" w:rsidR="00CE392B" w:rsidRPr="00AC36D6" w:rsidRDefault="00CE392B" w:rsidP="00DA6943">
            <w:pPr>
              <w:jc w:val="center"/>
              <w:rPr>
                <w:sz w:val="20"/>
                <w:szCs w:val="20"/>
              </w:rPr>
            </w:pPr>
            <w:r w:rsidRPr="00AC36D6">
              <w:rPr>
                <w:sz w:val="20"/>
                <w:szCs w:val="20"/>
              </w:rPr>
              <w:t>-0.</w:t>
            </w:r>
            <w:r w:rsidR="007A55B8" w:rsidRPr="00AC36D6">
              <w:rPr>
                <w:sz w:val="20"/>
                <w:szCs w:val="20"/>
              </w:rPr>
              <w:t>138</w:t>
            </w:r>
          </w:p>
          <w:p w14:paraId="59BE23C2" w14:textId="20F67335"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3</w:t>
            </w:r>
            <w:r w:rsidRPr="00AC36D6">
              <w:rPr>
                <w:i/>
                <w:iCs/>
                <w:sz w:val="20"/>
                <w:szCs w:val="20"/>
              </w:rPr>
              <w:t>.</w:t>
            </w:r>
            <w:r w:rsidR="007A55B8" w:rsidRPr="00AC36D6">
              <w:rPr>
                <w:i/>
                <w:iCs/>
                <w:sz w:val="20"/>
                <w:szCs w:val="20"/>
              </w:rPr>
              <w:t>61</w:t>
            </w:r>
            <w:r w:rsidRPr="00AC36D6">
              <w:rPr>
                <w:i/>
                <w:iCs/>
                <w:sz w:val="20"/>
                <w:szCs w:val="20"/>
              </w:rPr>
              <w:t>)</w:t>
            </w:r>
          </w:p>
        </w:tc>
        <w:tc>
          <w:tcPr>
            <w:tcW w:w="800" w:type="dxa"/>
            <w:tcBorders>
              <w:top w:val="single" w:sz="4" w:space="0" w:color="auto"/>
              <w:left w:val="double" w:sz="4" w:space="0" w:color="auto"/>
              <w:bottom w:val="single" w:sz="4" w:space="0" w:color="auto"/>
            </w:tcBorders>
            <w:vAlign w:val="center"/>
          </w:tcPr>
          <w:p w14:paraId="6E6E9E71" w14:textId="09EC4803" w:rsidR="00CE392B" w:rsidRPr="00AC36D6" w:rsidRDefault="00CE392B" w:rsidP="00DA6943">
            <w:pPr>
              <w:jc w:val="center"/>
              <w:rPr>
                <w:sz w:val="20"/>
                <w:szCs w:val="20"/>
              </w:rPr>
            </w:pPr>
            <w:r w:rsidRPr="00AC36D6">
              <w:rPr>
                <w:sz w:val="20"/>
                <w:szCs w:val="20"/>
              </w:rPr>
              <w:t>0.</w:t>
            </w:r>
            <w:r w:rsidR="004042B2" w:rsidRPr="00AC36D6">
              <w:rPr>
                <w:sz w:val="20"/>
                <w:szCs w:val="20"/>
              </w:rPr>
              <w:t>142</w:t>
            </w:r>
            <w:r w:rsidR="002A0865" w:rsidRPr="00AC36D6">
              <w:rPr>
                <w:sz w:val="20"/>
                <w:szCs w:val="20"/>
                <w:vertAlign w:val="superscript"/>
              </w:rPr>
              <w:t>#</w:t>
            </w:r>
          </w:p>
          <w:p w14:paraId="24C15481" w14:textId="72FD4F72"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0.13</w:t>
            </w:r>
            <w:r w:rsidRPr="00AC36D6">
              <w:rPr>
                <w:i/>
                <w:iCs/>
                <w:sz w:val="20"/>
                <w:szCs w:val="20"/>
              </w:rPr>
              <w:t>)</w:t>
            </w:r>
          </w:p>
        </w:tc>
        <w:tc>
          <w:tcPr>
            <w:tcW w:w="810" w:type="dxa"/>
            <w:tcBorders>
              <w:top w:val="single" w:sz="4" w:space="0" w:color="auto"/>
              <w:bottom w:val="single" w:sz="4" w:space="0" w:color="auto"/>
            </w:tcBorders>
            <w:vAlign w:val="center"/>
          </w:tcPr>
          <w:p w14:paraId="27D3B1A8" w14:textId="35EC250D" w:rsidR="00CE392B" w:rsidRPr="00AC36D6" w:rsidRDefault="00CE392B" w:rsidP="00DA6943">
            <w:pPr>
              <w:jc w:val="center"/>
              <w:rPr>
                <w:sz w:val="20"/>
                <w:szCs w:val="20"/>
              </w:rPr>
            </w:pPr>
            <w:r w:rsidRPr="00AC36D6">
              <w:rPr>
                <w:sz w:val="20"/>
                <w:szCs w:val="20"/>
              </w:rPr>
              <w:t>0.</w:t>
            </w:r>
            <w:r w:rsidR="004042B2" w:rsidRPr="00AC36D6">
              <w:rPr>
                <w:sz w:val="20"/>
                <w:szCs w:val="20"/>
              </w:rPr>
              <w:t>200</w:t>
            </w:r>
            <w:r w:rsidR="002A0865" w:rsidRPr="00AC36D6">
              <w:rPr>
                <w:sz w:val="20"/>
                <w:szCs w:val="20"/>
                <w:vertAlign w:val="superscript"/>
              </w:rPr>
              <w:t>#</w:t>
            </w:r>
          </w:p>
          <w:p w14:paraId="7F5336DF" w14:textId="47C5411D"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0.51</w:t>
            </w:r>
            <w:r w:rsidRPr="00AC36D6">
              <w:rPr>
                <w:i/>
                <w:iCs/>
                <w:sz w:val="20"/>
                <w:szCs w:val="20"/>
              </w:rPr>
              <w:t>)</w:t>
            </w:r>
          </w:p>
        </w:tc>
        <w:tc>
          <w:tcPr>
            <w:tcW w:w="810" w:type="dxa"/>
            <w:tcBorders>
              <w:top w:val="single" w:sz="4" w:space="0" w:color="auto"/>
              <w:bottom w:val="single" w:sz="4" w:space="0" w:color="auto"/>
            </w:tcBorders>
            <w:vAlign w:val="center"/>
          </w:tcPr>
          <w:p w14:paraId="366CF5BC" w14:textId="66F9787C" w:rsidR="00CE392B" w:rsidRPr="00AC36D6" w:rsidRDefault="00CE392B" w:rsidP="00DA6943">
            <w:pPr>
              <w:jc w:val="center"/>
              <w:rPr>
                <w:sz w:val="20"/>
                <w:szCs w:val="20"/>
              </w:rPr>
            </w:pPr>
            <w:r w:rsidRPr="00AC36D6">
              <w:rPr>
                <w:sz w:val="20"/>
                <w:szCs w:val="20"/>
              </w:rPr>
              <w:t>1.</w:t>
            </w:r>
            <w:r w:rsidR="004042B2" w:rsidRPr="00AC36D6">
              <w:rPr>
                <w:sz w:val="20"/>
                <w:szCs w:val="20"/>
              </w:rPr>
              <w:t>39</w:t>
            </w:r>
          </w:p>
          <w:p w14:paraId="0D1BF65B" w14:textId="66B301D3"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19.99</w:t>
            </w:r>
            <w:r w:rsidRPr="00AC36D6">
              <w:rPr>
                <w:i/>
                <w:iCs/>
                <w:sz w:val="20"/>
                <w:szCs w:val="20"/>
              </w:rPr>
              <w:t>)</w:t>
            </w:r>
          </w:p>
        </w:tc>
        <w:tc>
          <w:tcPr>
            <w:tcW w:w="812" w:type="dxa"/>
            <w:tcBorders>
              <w:top w:val="single" w:sz="4" w:space="0" w:color="auto"/>
              <w:bottom w:val="single" w:sz="4" w:space="0" w:color="auto"/>
            </w:tcBorders>
            <w:vAlign w:val="center"/>
          </w:tcPr>
          <w:p w14:paraId="04C6B85C" w14:textId="77777777" w:rsidR="00CE392B" w:rsidRPr="00AC36D6" w:rsidRDefault="00CE392B" w:rsidP="00DA6943">
            <w:pPr>
              <w:jc w:val="center"/>
              <w:rPr>
                <w:sz w:val="20"/>
                <w:szCs w:val="20"/>
              </w:rPr>
            </w:pPr>
          </w:p>
        </w:tc>
        <w:tc>
          <w:tcPr>
            <w:tcW w:w="790" w:type="dxa"/>
            <w:tcBorders>
              <w:top w:val="single" w:sz="4" w:space="0" w:color="auto"/>
              <w:bottom w:val="single" w:sz="4" w:space="0" w:color="auto"/>
            </w:tcBorders>
            <w:vAlign w:val="center"/>
          </w:tcPr>
          <w:p w14:paraId="569B56D8" w14:textId="77777777" w:rsidR="00CE392B" w:rsidRPr="00AC36D6" w:rsidRDefault="00CE392B" w:rsidP="00DA6943">
            <w:pPr>
              <w:jc w:val="center"/>
              <w:rPr>
                <w:sz w:val="20"/>
                <w:szCs w:val="20"/>
              </w:rPr>
            </w:pPr>
          </w:p>
        </w:tc>
      </w:tr>
      <w:tr w:rsidR="000239EB" w:rsidRPr="00AC36D6" w14:paraId="5F979E73" w14:textId="77777777" w:rsidTr="00274839">
        <w:trPr>
          <w:trHeight w:val="477"/>
          <w:jc w:val="center"/>
        </w:trPr>
        <w:tc>
          <w:tcPr>
            <w:tcW w:w="465" w:type="dxa"/>
            <w:vMerge/>
          </w:tcPr>
          <w:p w14:paraId="0C38C49F" w14:textId="77777777" w:rsidR="00CE392B" w:rsidRPr="00AC36D6" w:rsidRDefault="00CE392B" w:rsidP="00DA6943">
            <w:pPr>
              <w:jc w:val="center"/>
            </w:pPr>
          </w:p>
        </w:tc>
        <w:tc>
          <w:tcPr>
            <w:tcW w:w="694" w:type="dxa"/>
            <w:tcBorders>
              <w:right w:val="double" w:sz="4" w:space="0" w:color="auto"/>
            </w:tcBorders>
            <w:vAlign w:val="center"/>
          </w:tcPr>
          <w:p w14:paraId="78DBB95C" w14:textId="77777777" w:rsidR="00CE392B" w:rsidRPr="00AC36D6" w:rsidRDefault="00CE392B" w:rsidP="00DA6943">
            <w:pPr>
              <w:jc w:val="center"/>
            </w:pPr>
            <w:r w:rsidRPr="00AC36D6">
              <w:rPr>
                <w:sz w:val="20"/>
                <w:szCs w:val="20"/>
              </w:rPr>
              <w:t>R&amp;L</w:t>
            </w:r>
          </w:p>
        </w:tc>
        <w:tc>
          <w:tcPr>
            <w:tcW w:w="816" w:type="dxa"/>
            <w:tcBorders>
              <w:top w:val="single" w:sz="4" w:space="0" w:color="auto"/>
              <w:left w:val="double" w:sz="4" w:space="0" w:color="auto"/>
              <w:bottom w:val="single" w:sz="4" w:space="0" w:color="auto"/>
            </w:tcBorders>
            <w:vAlign w:val="center"/>
          </w:tcPr>
          <w:p w14:paraId="20630811" w14:textId="044FA9F8" w:rsidR="00CE392B" w:rsidRPr="00AC36D6" w:rsidRDefault="007A55B8" w:rsidP="00DA6943">
            <w:pPr>
              <w:jc w:val="center"/>
              <w:rPr>
                <w:sz w:val="20"/>
                <w:szCs w:val="20"/>
              </w:rPr>
            </w:pPr>
            <w:r w:rsidRPr="00AC36D6">
              <w:rPr>
                <w:sz w:val="20"/>
                <w:szCs w:val="20"/>
              </w:rPr>
              <w:t>0.000</w:t>
            </w:r>
            <w:r w:rsidR="007F37DD" w:rsidRPr="00AC36D6">
              <w:rPr>
                <w:sz w:val="20"/>
                <w:szCs w:val="20"/>
                <w:vertAlign w:val="superscript"/>
              </w:rPr>
              <w:t>#</w:t>
            </w:r>
          </w:p>
          <w:p w14:paraId="12394194" w14:textId="1BEF7DBA"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0.00</w:t>
            </w:r>
            <w:r w:rsidRPr="00AC36D6">
              <w:rPr>
                <w:i/>
                <w:iCs/>
                <w:sz w:val="20"/>
                <w:szCs w:val="20"/>
              </w:rPr>
              <w:t>)</w:t>
            </w:r>
          </w:p>
        </w:tc>
        <w:tc>
          <w:tcPr>
            <w:tcW w:w="828" w:type="dxa"/>
            <w:tcBorders>
              <w:top w:val="single" w:sz="4" w:space="0" w:color="auto"/>
              <w:bottom w:val="single" w:sz="4" w:space="0" w:color="auto"/>
            </w:tcBorders>
            <w:vAlign w:val="center"/>
          </w:tcPr>
          <w:p w14:paraId="39959698" w14:textId="7F383C89" w:rsidR="00CE392B" w:rsidRPr="00AC36D6" w:rsidRDefault="007A55B8" w:rsidP="00DA6943">
            <w:pPr>
              <w:jc w:val="center"/>
              <w:rPr>
                <w:sz w:val="20"/>
                <w:szCs w:val="20"/>
              </w:rPr>
            </w:pPr>
            <w:r w:rsidRPr="00AC36D6">
              <w:rPr>
                <w:sz w:val="20"/>
                <w:szCs w:val="20"/>
              </w:rPr>
              <w:t>0.000</w:t>
            </w:r>
            <w:r w:rsidR="007F37DD" w:rsidRPr="00AC36D6">
              <w:rPr>
                <w:sz w:val="20"/>
                <w:szCs w:val="20"/>
                <w:vertAlign w:val="superscript"/>
              </w:rPr>
              <w:t>#</w:t>
            </w:r>
          </w:p>
          <w:p w14:paraId="3ABF182A" w14:textId="630C0506"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0.00</w:t>
            </w:r>
            <w:r w:rsidRPr="00AC36D6">
              <w:rPr>
                <w:i/>
                <w:iCs/>
                <w:sz w:val="20"/>
                <w:szCs w:val="20"/>
              </w:rPr>
              <w:t>)</w:t>
            </w:r>
          </w:p>
        </w:tc>
        <w:tc>
          <w:tcPr>
            <w:tcW w:w="828" w:type="dxa"/>
            <w:tcBorders>
              <w:top w:val="single" w:sz="4" w:space="0" w:color="auto"/>
              <w:bottom w:val="single" w:sz="4" w:space="0" w:color="auto"/>
            </w:tcBorders>
            <w:vAlign w:val="center"/>
          </w:tcPr>
          <w:p w14:paraId="500EE005" w14:textId="77777777" w:rsidR="00CE392B" w:rsidRPr="00AC36D6" w:rsidRDefault="00CE392B" w:rsidP="00DA6943">
            <w:pPr>
              <w:jc w:val="center"/>
              <w:rPr>
                <w:sz w:val="20"/>
                <w:szCs w:val="20"/>
              </w:rPr>
            </w:pPr>
            <w:r w:rsidRPr="00AC36D6">
              <w:rPr>
                <w:sz w:val="20"/>
                <w:szCs w:val="20"/>
              </w:rPr>
              <w:t>-0.44</w:t>
            </w:r>
          </w:p>
          <w:p w14:paraId="65B4F4B5" w14:textId="77777777" w:rsidR="00CE392B" w:rsidRPr="00AC36D6" w:rsidRDefault="00CE392B" w:rsidP="00DA6943">
            <w:pPr>
              <w:jc w:val="center"/>
              <w:rPr>
                <w:i/>
                <w:iCs/>
                <w:sz w:val="20"/>
                <w:szCs w:val="20"/>
              </w:rPr>
            </w:pPr>
            <w:r w:rsidRPr="00AC36D6">
              <w:rPr>
                <w:i/>
                <w:iCs/>
                <w:sz w:val="20"/>
                <w:szCs w:val="20"/>
              </w:rPr>
              <w:t>(-8.40)</w:t>
            </w:r>
          </w:p>
        </w:tc>
        <w:tc>
          <w:tcPr>
            <w:tcW w:w="828" w:type="dxa"/>
            <w:tcBorders>
              <w:top w:val="single" w:sz="4" w:space="0" w:color="auto"/>
              <w:bottom w:val="single" w:sz="4" w:space="0" w:color="auto"/>
            </w:tcBorders>
            <w:vAlign w:val="center"/>
          </w:tcPr>
          <w:p w14:paraId="6A1CBC3D" w14:textId="1CF64064" w:rsidR="00CE392B" w:rsidRPr="00AC36D6" w:rsidRDefault="00CE392B" w:rsidP="00DA6943">
            <w:pPr>
              <w:jc w:val="center"/>
              <w:rPr>
                <w:sz w:val="20"/>
                <w:szCs w:val="20"/>
              </w:rPr>
            </w:pPr>
            <w:r w:rsidRPr="00AC36D6">
              <w:rPr>
                <w:sz w:val="20"/>
                <w:szCs w:val="20"/>
              </w:rPr>
              <w:t>0.2</w:t>
            </w:r>
            <w:r w:rsidR="007A55B8" w:rsidRPr="00AC36D6">
              <w:rPr>
                <w:sz w:val="20"/>
                <w:szCs w:val="20"/>
              </w:rPr>
              <w:t>08</w:t>
            </w:r>
          </w:p>
          <w:p w14:paraId="6B6E4CFE" w14:textId="103A0880"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2</w:t>
            </w:r>
            <w:r w:rsidRPr="00AC36D6">
              <w:rPr>
                <w:i/>
                <w:iCs/>
                <w:sz w:val="20"/>
                <w:szCs w:val="20"/>
              </w:rPr>
              <w:t>.</w:t>
            </w:r>
            <w:r w:rsidR="007A55B8" w:rsidRPr="00AC36D6">
              <w:rPr>
                <w:i/>
                <w:iCs/>
                <w:sz w:val="20"/>
                <w:szCs w:val="20"/>
              </w:rPr>
              <w:t>15</w:t>
            </w:r>
            <w:r w:rsidRPr="00AC36D6">
              <w:rPr>
                <w:i/>
                <w:iCs/>
                <w:sz w:val="20"/>
                <w:szCs w:val="20"/>
              </w:rPr>
              <w:t>)</w:t>
            </w:r>
          </w:p>
        </w:tc>
        <w:tc>
          <w:tcPr>
            <w:tcW w:w="942" w:type="dxa"/>
            <w:tcBorders>
              <w:top w:val="single" w:sz="4" w:space="0" w:color="auto"/>
              <w:bottom w:val="single" w:sz="4" w:space="0" w:color="auto"/>
              <w:right w:val="double" w:sz="4" w:space="0" w:color="auto"/>
            </w:tcBorders>
            <w:vAlign w:val="center"/>
          </w:tcPr>
          <w:p w14:paraId="018CAE81" w14:textId="1B31FF2E" w:rsidR="00CE392B" w:rsidRPr="00AC36D6" w:rsidRDefault="00CE392B" w:rsidP="00DA6943">
            <w:pPr>
              <w:jc w:val="center"/>
              <w:rPr>
                <w:sz w:val="20"/>
                <w:szCs w:val="20"/>
              </w:rPr>
            </w:pPr>
            <w:r w:rsidRPr="00AC36D6">
              <w:rPr>
                <w:sz w:val="20"/>
                <w:szCs w:val="20"/>
              </w:rPr>
              <w:t>-0.</w:t>
            </w:r>
            <w:r w:rsidR="007A55B8" w:rsidRPr="00AC36D6">
              <w:rPr>
                <w:sz w:val="20"/>
                <w:szCs w:val="20"/>
              </w:rPr>
              <w:t>176</w:t>
            </w:r>
          </w:p>
          <w:p w14:paraId="0D0F32A7" w14:textId="2D0BCC3A"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4</w:t>
            </w:r>
            <w:r w:rsidRPr="00AC36D6">
              <w:rPr>
                <w:i/>
                <w:iCs/>
                <w:sz w:val="20"/>
                <w:szCs w:val="20"/>
              </w:rPr>
              <w:t>.</w:t>
            </w:r>
            <w:r w:rsidR="007A55B8" w:rsidRPr="00AC36D6">
              <w:rPr>
                <w:i/>
                <w:iCs/>
                <w:sz w:val="20"/>
                <w:szCs w:val="20"/>
              </w:rPr>
              <w:t>04</w:t>
            </w:r>
            <w:r w:rsidRPr="00AC36D6">
              <w:rPr>
                <w:i/>
                <w:iCs/>
                <w:sz w:val="20"/>
                <w:szCs w:val="20"/>
              </w:rPr>
              <w:t>)</w:t>
            </w:r>
          </w:p>
        </w:tc>
        <w:tc>
          <w:tcPr>
            <w:tcW w:w="800" w:type="dxa"/>
            <w:tcBorders>
              <w:top w:val="single" w:sz="4" w:space="0" w:color="auto"/>
              <w:left w:val="double" w:sz="4" w:space="0" w:color="auto"/>
              <w:bottom w:val="single" w:sz="4" w:space="0" w:color="auto"/>
            </w:tcBorders>
            <w:vAlign w:val="center"/>
          </w:tcPr>
          <w:p w14:paraId="1B16F575" w14:textId="48933F5B" w:rsidR="00CE392B" w:rsidRPr="00AC36D6" w:rsidRDefault="00CE392B" w:rsidP="00DA6943">
            <w:pPr>
              <w:jc w:val="center"/>
              <w:rPr>
                <w:sz w:val="20"/>
                <w:szCs w:val="20"/>
              </w:rPr>
            </w:pPr>
            <w:r w:rsidRPr="00AC36D6">
              <w:rPr>
                <w:sz w:val="20"/>
                <w:szCs w:val="20"/>
              </w:rPr>
              <w:t>0.</w:t>
            </w:r>
            <w:r w:rsidR="004042B2" w:rsidRPr="00AC36D6">
              <w:rPr>
                <w:sz w:val="20"/>
                <w:szCs w:val="20"/>
              </w:rPr>
              <w:t>126</w:t>
            </w:r>
            <w:r w:rsidR="002A0865" w:rsidRPr="00AC36D6">
              <w:rPr>
                <w:sz w:val="20"/>
                <w:szCs w:val="20"/>
                <w:vertAlign w:val="superscript"/>
              </w:rPr>
              <w:t>#</w:t>
            </w:r>
          </w:p>
          <w:p w14:paraId="5AD33EBD" w14:textId="56455AF8"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0.09</w:t>
            </w:r>
            <w:r w:rsidRPr="00AC36D6">
              <w:rPr>
                <w:i/>
                <w:iCs/>
                <w:sz w:val="20"/>
                <w:szCs w:val="20"/>
              </w:rPr>
              <w:t>)</w:t>
            </w:r>
          </w:p>
        </w:tc>
        <w:tc>
          <w:tcPr>
            <w:tcW w:w="810" w:type="dxa"/>
            <w:tcBorders>
              <w:top w:val="single" w:sz="4" w:space="0" w:color="auto"/>
              <w:bottom w:val="single" w:sz="4" w:space="0" w:color="auto"/>
            </w:tcBorders>
            <w:vAlign w:val="center"/>
          </w:tcPr>
          <w:p w14:paraId="751AC7D0" w14:textId="58D51B73" w:rsidR="00CE392B" w:rsidRPr="00AC36D6" w:rsidRDefault="00CE392B" w:rsidP="00DA6943">
            <w:pPr>
              <w:jc w:val="center"/>
              <w:rPr>
                <w:sz w:val="20"/>
                <w:szCs w:val="20"/>
              </w:rPr>
            </w:pPr>
            <w:r w:rsidRPr="00AC36D6">
              <w:rPr>
                <w:sz w:val="20"/>
                <w:szCs w:val="20"/>
              </w:rPr>
              <w:t>0.</w:t>
            </w:r>
            <w:r w:rsidR="004042B2" w:rsidRPr="00AC36D6">
              <w:rPr>
                <w:sz w:val="20"/>
                <w:szCs w:val="20"/>
              </w:rPr>
              <w:t>262</w:t>
            </w:r>
          </w:p>
          <w:p w14:paraId="1F707558" w14:textId="207F267E"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0.29</w:t>
            </w:r>
            <w:r w:rsidRPr="00AC36D6">
              <w:rPr>
                <w:i/>
                <w:iCs/>
                <w:sz w:val="20"/>
                <w:szCs w:val="20"/>
              </w:rPr>
              <w:t>)</w:t>
            </w:r>
          </w:p>
        </w:tc>
        <w:tc>
          <w:tcPr>
            <w:tcW w:w="810" w:type="dxa"/>
            <w:tcBorders>
              <w:top w:val="single" w:sz="4" w:space="0" w:color="auto"/>
              <w:bottom w:val="single" w:sz="4" w:space="0" w:color="auto"/>
            </w:tcBorders>
            <w:vAlign w:val="center"/>
          </w:tcPr>
          <w:p w14:paraId="38527155" w14:textId="09E51F3D" w:rsidR="00CE392B" w:rsidRPr="00AC36D6" w:rsidRDefault="00CE392B" w:rsidP="00DA6943">
            <w:pPr>
              <w:jc w:val="center"/>
              <w:rPr>
                <w:sz w:val="20"/>
                <w:szCs w:val="20"/>
              </w:rPr>
            </w:pPr>
            <w:r w:rsidRPr="00AC36D6">
              <w:rPr>
                <w:sz w:val="20"/>
                <w:szCs w:val="20"/>
              </w:rPr>
              <w:t>0.</w:t>
            </w:r>
            <w:r w:rsidR="004042B2" w:rsidRPr="00AC36D6">
              <w:rPr>
                <w:sz w:val="20"/>
                <w:szCs w:val="20"/>
              </w:rPr>
              <w:t>289</w:t>
            </w:r>
            <w:r w:rsidR="002A0865" w:rsidRPr="00AC36D6">
              <w:rPr>
                <w:sz w:val="20"/>
                <w:szCs w:val="20"/>
                <w:vertAlign w:val="superscript"/>
              </w:rPr>
              <w:t>#</w:t>
            </w:r>
          </w:p>
          <w:p w14:paraId="4DD2A4D7" w14:textId="4E1E1026"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0.334</w:t>
            </w:r>
            <w:r w:rsidRPr="00AC36D6">
              <w:rPr>
                <w:i/>
                <w:iCs/>
                <w:sz w:val="20"/>
                <w:szCs w:val="20"/>
              </w:rPr>
              <w:t>)</w:t>
            </w:r>
          </w:p>
        </w:tc>
        <w:tc>
          <w:tcPr>
            <w:tcW w:w="812" w:type="dxa"/>
            <w:tcBorders>
              <w:top w:val="single" w:sz="4" w:space="0" w:color="auto"/>
              <w:bottom w:val="single" w:sz="4" w:space="0" w:color="auto"/>
            </w:tcBorders>
            <w:vAlign w:val="center"/>
          </w:tcPr>
          <w:p w14:paraId="250AB994" w14:textId="2797B60F" w:rsidR="00CE392B" w:rsidRPr="00AC36D6" w:rsidRDefault="000239EB" w:rsidP="00DA6943">
            <w:pPr>
              <w:jc w:val="center"/>
              <w:rPr>
                <w:sz w:val="20"/>
                <w:szCs w:val="20"/>
              </w:rPr>
            </w:pPr>
            <w:r w:rsidRPr="00AC36D6">
              <w:rPr>
                <w:sz w:val="20"/>
                <w:szCs w:val="20"/>
              </w:rPr>
              <w:t>1.023</w:t>
            </w:r>
          </w:p>
          <w:p w14:paraId="277E24B4" w14:textId="3DFBB1B7" w:rsidR="00CE392B" w:rsidRPr="00AC36D6" w:rsidRDefault="00CE392B" w:rsidP="00DA6943">
            <w:pPr>
              <w:jc w:val="center"/>
              <w:rPr>
                <w:i/>
                <w:iCs/>
                <w:sz w:val="20"/>
                <w:szCs w:val="20"/>
              </w:rPr>
            </w:pPr>
            <w:r w:rsidRPr="00AC36D6">
              <w:rPr>
                <w:i/>
                <w:iCs/>
                <w:sz w:val="20"/>
                <w:szCs w:val="20"/>
              </w:rPr>
              <w:t>(1</w:t>
            </w:r>
            <w:r w:rsidR="000239EB" w:rsidRPr="00AC36D6">
              <w:rPr>
                <w:i/>
                <w:iCs/>
                <w:sz w:val="20"/>
                <w:szCs w:val="20"/>
              </w:rPr>
              <w:t>4</w:t>
            </w:r>
            <w:r w:rsidRPr="00AC36D6">
              <w:rPr>
                <w:i/>
                <w:iCs/>
                <w:sz w:val="20"/>
                <w:szCs w:val="20"/>
              </w:rPr>
              <w:t>.</w:t>
            </w:r>
            <w:r w:rsidR="000239EB" w:rsidRPr="00AC36D6">
              <w:rPr>
                <w:i/>
                <w:iCs/>
                <w:sz w:val="20"/>
                <w:szCs w:val="20"/>
              </w:rPr>
              <w:t>99</w:t>
            </w:r>
            <w:r w:rsidRPr="00AC36D6">
              <w:rPr>
                <w:i/>
                <w:iCs/>
                <w:sz w:val="20"/>
                <w:szCs w:val="20"/>
              </w:rPr>
              <w:t>)</w:t>
            </w:r>
          </w:p>
        </w:tc>
        <w:tc>
          <w:tcPr>
            <w:tcW w:w="790" w:type="dxa"/>
            <w:tcBorders>
              <w:top w:val="single" w:sz="4" w:space="0" w:color="auto"/>
              <w:bottom w:val="single" w:sz="4" w:space="0" w:color="auto"/>
            </w:tcBorders>
            <w:vAlign w:val="center"/>
          </w:tcPr>
          <w:p w14:paraId="2D52E13D" w14:textId="77777777" w:rsidR="00CE392B" w:rsidRPr="00AC36D6" w:rsidRDefault="00CE392B" w:rsidP="00DA6943">
            <w:pPr>
              <w:jc w:val="center"/>
              <w:rPr>
                <w:sz w:val="20"/>
                <w:szCs w:val="20"/>
              </w:rPr>
            </w:pPr>
          </w:p>
        </w:tc>
      </w:tr>
      <w:tr w:rsidR="000239EB" w:rsidRPr="00AC36D6" w14:paraId="7B14B0DF" w14:textId="77777777" w:rsidTr="00274839">
        <w:trPr>
          <w:trHeight w:val="489"/>
          <w:jc w:val="center"/>
        </w:trPr>
        <w:tc>
          <w:tcPr>
            <w:tcW w:w="465" w:type="dxa"/>
            <w:vMerge/>
          </w:tcPr>
          <w:p w14:paraId="56A691F2" w14:textId="77777777" w:rsidR="00CE392B" w:rsidRPr="00AC36D6" w:rsidRDefault="00CE392B" w:rsidP="00DA6943">
            <w:pPr>
              <w:jc w:val="center"/>
            </w:pPr>
          </w:p>
        </w:tc>
        <w:tc>
          <w:tcPr>
            <w:tcW w:w="694" w:type="dxa"/>
            <w:tcBorders>
              <w:right w:val="double" w:sz="4" w:space="0" w:color="auto"/>
            </w:tcBorders>
            <w:vAlign w:val="center"/>
          </w:tcPr>
          <w:p w14:paraId="4F39C788" w14:textId="77777777" w:rsidR="00CE392B" w:rsidRPr="00AC36D6" w:rsidRDefault="00CE392B" w:rsidP="00DA6943">
            <w:pPr>
              <w:jc w:val="center"/>
            </w:pPr>
            <w:r w:rsidRPr="00AC36D6">
              <w:rPr>
                <w:sz w:val="20"/>
                <w:szCs w:val="20"/>
              </w:rPr>
              <w:t>H&amp;M</w:t>
            </w:r>
          </w:p>
        </w:tc>
        <w:tc>
          <w:tcPr>
            <w:tcW w:w="816" w:type="dxa"/>
            <w:tcBorders>
              <w:top w:val="single" w:sz="4" w:space="0" w:color="auto"/>
              <w:left w:val="double" w:sz="4" w:space="0" w:color="auto"/>
              <w:bottom w:val="double" w:sz="4" w:space="0" w:color="auto"/>
            </w:tcBorders>
            <w:vAlign w:val="center"/>
          </w:tcPr>
          <w:p w14:paraId="76A88558" w14:textId="4B83A922" w:rsidR="00CE392B" w:rsidRPr="00AC36D6" w:rsidRDefault="00CE392B" w:rsidP="00DA6943">
            <w:pPr>
              <w:jc w:val="center"/>
              <w:rPr>
                <w:sz w:val="20"/>
                <w:szCs w:val="20"/>
              </w:rPr>
            </w:pPr>
            <w:r w:rsidRPr="00AC36D6">
              <w:rPr>
                <w:sz w:val="20"/>
                <w:szCs w:val="20"/>
              </w:rPr>
              <w:t>0.</w:t>
            </w:r>
            <w:r w:rsidR="007A55B8" w:rsidRPr="00AC36D6">
              <w:rPr>
                <w:sz w:val="20"/>
                <w:szCs w:val="20"/>
              </w:rPr>
              <w:t>152</w:t>
            </w:r>
          </w:p>
          <w:p w14:paraId="3A10721C" w14:textId="4D40D6F7" w:rsidR="00CE392B" w:rsidRPr="00AC36D6" w:rsidRDefault="00CE392B" w:rsidP="00DA6943">
            <w:pPr>
              <w:jc w:val="center"/>
              <w:rPr>
                <w:sz w:val="20"/>
                <w:szCs w:val="20"/>
              </w:rPr>
            </w:pPr>
            <w:r w:rsidRPr="00AC36D6">
              <w:rPr>
                <w:sz w:val="20"/>
                <w:szCs w:val="20"/>
              </w:rPr>
              <w:t>(</w:t>
            </w:r>
            <w:r w:rsidR="007A55B8" w:rsidRPr="00AC36D6">
              <w:rPr>
                <w:sz w:val="20"/>
                <w:szCs w:val="20"/>
              </w:rPr>
              <w:t>2</w:t>
            </w:r>
            <w:r w:rsidRPr="00AC36D6">
              <w:rPr>
                <w:sz w:val="20"/>
                <w:szCs w:val="20"/>
              </w:rPr>
              <w:t>.</w:t>
            </w:r>
            <w:r w:rsidR="007A55B8" w:rsidRPr="00AC36D6">
              <w:rPr>
                <w:sz w:val="20"/>
                <w:szCs w:val="20"/>
              </w:rPr>
              <w:t>10</w:t>
            </w:r>
            <w:r w:rsidRPr="00AC36D6">
              <w:rPr>
                <w:sz w:val="20"/>
                <w:szCs w:val="20"/>
              </w:rPr>
              <w:t>)</w:t>
            </w:r>
          </w:p>
        </w:tc>
        <w:tc>
          <w:tcPr>
            <w:tcW w:w="828" w:type="dxa"/>
            <w:tcBorders>
              <w:top w:val="single" w:sz="4" w:space="0" w:color="auto"/>
              <w:bottom w:val="double" w:sz="4" w:space="0" w:color="auto"/>
            </w:tcBorders>
            <w:vAlign w:val="center"/>
          </w:tcPr>
          <w:p w14:paraId="23F680CD" w14:textId="5B366E47" w:rsidR="00CE392B" w:rsidRPr="00AC36D6" w:rsidRDefault="00CE392B" w:rsidP="00DA6943">
            <w:pPr>
              <w:jc w:val="center"/>
              <w:rPr>
                <w:sz w:val="20"/>
                <w:szCs w:val="20"/>
              </w:rPr>
            </w:pPr>
            <w:r w:rsidRPr="00AC36D6">
              <w:rPr>
                <w:sz w:val="20"/>
                <w:szCs w:val="20"/>
              </w:rPr>
              <w:t>0.</w:t>
            </w:r>
            <w:r w:rsidR="007A55B8" w:rsidRPr="00AC36D6">
              <w:rPr>
                <w:sz w:val="20"/>
                <w:szCs w:val="20"/>
              </w:rPr>
              <w:t>000</w:t>
            </w:r>
            <w:r w:rsidR="005F6A10" w:rsidRPr="00AC36D6">
              <w:rPr>
                <w:sz w:val="20"/>
                <w:szCs w:val="20"/>
                <w:vertAlign w:val="superscript"/>
              </w:rPr>
              <w:t>#</w:t>
            </w:r>
          </w:p>
          <w:p w14:paraId="42B81024" w14:textId="013B471E" w:rsidR="00CE392B" w:rsidRPr="00AC36D6" w:rsidRDefault="00CE392B" w:rsidP="00DA6943">
            <w:pPr>
              <w:jc w:val="center"/>
              <w:rPr>
                <w:i/>
                <w:iCs/>
                <w:sz w:val="20"/>
                <w:szCs w:val="20"/>
              </w:rPr>
            </w:pPr>
            <w:r w:rsidRPr="00AC36D6">
              <w:rPr>
                <w:i/>
                <w:iCs/>
                <w:sz w:val="20"/>
                <w:szCs w:val="20"/>
              </w:rPr>
              <w:t>(</w:t>
            </w:r>
            <w:r w:rsidR="007A55B8" w:rsidRPr="00AC36D6">
              <w:rPr>
                <w:i/>
                <w:iCs/>
                <w:sz w:val="20"/>
                <w:szCs w:val="20"/>
              </w:rPr>
              <w:t>0.00</w:t>
            </w:r>
            <w:r w:rsidRPr="00AC36D6">
              <w:rPr>
                <w:i/>
                <w:iCs/>
                <w:sz w:val="20"/>
                <w:szCs w:val="20"/>
              </w:rPr>
              <w:t>)</w:t>
            </w:r>
          </w:p>
        </w:tc>
        <w:tc>
          <w:tcPr>
            <w:tcW w:w="828" w:type="dxa"/>
            <w:tcBorders>
              <w:top w:val="single" w:sz="4" w:space="0" w:color="auto"/>
              <w:bottom w:val="double" w:sz="4" w:space="0" w:color="auto"/>
            </w:tcBorders>
            <w:vAlign w:val="center"/>
          </w:tcPr>
          <w:p w14:paraId="2A4FFC7D" w14:textId="77777777" w:rsidR="00CE392B" w:rsidRPr="00AC36D6" w:rsidRDefault="00CE392B" w:rsidP="00DA6943">
            <w:pPr>
              <w:jc w:val="center"/>
              <w:rPr>
                <w:sz w:val="20"/>
                <w:szCs w:val="20"/>
              </w:rPr>
            </w:pPr>
            <w:r w:rsidRPr="00AC36D6">
              <w:rPr>
                <w:sz w:val="20"/>
                <w:szCs w:val="20"/>
              </w:rPr>
              <w:t>0.37</w:t>
            </w:r>
          </w:p>
          <w:p w14:paraId="5995FEDB" w14:textId="77777777" w:rsidR="00CE392B" w:rsidRPr="00AC36D6" w:rsidRDefault="00CE392B" w:rsidP="00DA6943">
            <w:pPr>
              <w:jc w:val="center"/>
              <w:rPr>
                <w:sz w:val="20"/>
                <w:szCs w:val="20"/>
              </w:rPr>
            </w:pPr>
            <w:r w:rsidRPr="00AC36D6">
              <w:rPr>
                <w:sz w:val="20"/>
                <w:szCs w:val="20"/>
              </w:rPr>
              <w:t>(3.92)</w:t>
            </w:r>
          </w:p>
        </w:tc>
        <w:tc>
          <w:tcPr>
            <w:tcW w:w="828" w:type="dxa"/>
            <w:tcBorders>
              <w:top w:val="single" w:sz="4" w:space="0" w:color="auto"/>
              <w:bottom w:val="double" w:sz="4" w:space="0" w:color="auto"/>
            </w:tcBorders>
            <w:vAlign w:val="center"/>
          </w:tcPr>
          <w:p w14:paraId="6A5F0148" w14:textId="5231834B" w:rsidR="00CE392B" w:rsidRPr="00AC36D6" w:rsidRDefault="004042B2" w:rsidP="00DA6943">
            <w:pPr>
              <w:jc w:val="center"/>
              <w:rPr>
                <w:sz w:val="20"/>
                <w:szCs w:val="20"/>
              </w:rPr>
            </w:pPr>
            <w:r w:rsidRPr="00AC36D6">
              <w:rPr>
                <w:sz w:val="20"/>
                <w:szCs w:val="20"/>
              </w:rPr>
              <w:t>0.000</w:t>
            </w:r>
            <w:r w:rsidR="005F6A10" w:rsidRPr="00AC36D6">
              <w:rPr>
                <w:sz w:val="20"/>
                <w:szCs w:val="20"/>
                <w:vertAlign w:val="superscript"/>
              </w:rPr>
              <w:t>#</w:t>
            </w:r>
          </w:p>
          <w:p w14:paraId="59C10C4F" w14:textId="0CDD95B9"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0.00</w:t>
            </w:r>
            <w:r w:rsidRPr="00AC36D6">
              <w:rPr>
                <w:i/>
                <w:iCs/>
                <w:sz w:val="20"/>
                <w:szCs w:val="20"/>
              </w:rPr>
              <w:t>)</w:t>
            </w:r>
          </w:p>
        </w:tc>
        <w:tc>
          <w:tcPr>
            <w:tcW w:w="942" w:type="dxa"/>
            <w:tcBorders>
              <w:top w:val="single" w:sz="4" w:space="0" w:color="auto"/>
              <w:bottom w:val="double" w:sz="4" w:space="0" w:color="auto"/>
              <w:right w:val="double" w:sz="4" w:space="0" w:color="auto"/>
            </w:tcBorders>
            <w:vAlign w:val="center"/>
          </w:tcPr>
          <w:p w14:paraId="5E0214C7" w14:textId="06FE395A" w:rsidR="00CE392B" w:rsidRPr="00AC36D6" w:rsidRDefault="007A55B8" w:rsidP="00DA6943">
            <w:pPr>
              <w:jc w:val="center"/>
              <w:rPr>
                <w:sz w:val="20"/>
                <w:szCs w:val="20"/>
              </w:rPr>
            </w:pPr>
            <w:r w:rsidRPr="00AC36D6">
              <w:rPr>
                <w:sz w:val="20"/>
                <w:szCs w:val="20"/>
              </w:rPr>
              <w:t>0</w:t>
            </w:r>
            <w:r w:rsidR="00CE392B" w:rsidRPr="00AC36D6">
              <w:rPr>
                <w:sz w:val="20"/>
                <w:szCs w:val="20"/>
              </w:rPr>
              <w:t>.</w:t>
            </w:r>
            <w:r w:rsidRPr="00AC36D6">
              <w:rPr>
                <w:sz w:val="20"/>
                <w:szCs w:val="20"/>
              </w:rPr>
              <w:t>904</w:t>
            </w:r>
          </w:p>
          <w:p w14:paraId="10E40D95" w14:textId="7B5228A5" w:rsidR="00CE392B" w:rsidRPr="00AC36D6" w:rsidRDefault="00CE392B" w:rsidP="00DA6943">
            <w:pPr>
              <w:jc w:val="center"/>
              <w:rPr>
                <w:i/>
                <w:iCs/>
                <w:sz w:val="20"/>
                <w:szCs w:val="20"/>
              </w:rPr>
            </w:pPr>
            <w:r w:rsidRPr="00AC36D6">
              <w:rPr>
                <w:i/>
                <w:iCs/>
                <w:sz w:val="20"/>
                <w:szCs w:val="20"/>
              </w:rPr>
              <w:t>(5.</w:t>
            </w:r>
            <w:r w:rsidR="007A55B8" w:rsidRPr="00AC36D6">
              <w:rPr>
                <w:i/>
                <w:iCs/>
                <w:sz w:val="20"/>
                <w:szCs w:val="20"/>
              </w:rPr>
              <w:t>60</w:t>
            </w:r>
            <w:r w:rsidRPr="00AC36D6">
              <w:rPr>
                <w:i/>
                <w:iCs/>
                <w:sz w:val="20"/>
                <w:szCs w:val="20"/>
              </w:rPr>
              <w:t>)</w:t>
            </w:r>
          </w:p>
        </w:tc>
        <w:tc>
          <w:tcPr>
            <w:tcW w:w="800" w:type="dxa"/>
            <w:tcBorders>
              <w:top w:val="single" w:sz="4" w:space="0" w:color="auto"/>
              <w:left w:val="double" w:sz="4" w:space="0" w:color="auto"/>
              <w:bottom w:val="double" w:sz="4" w:space="0" w:color="auto"/>
            </w:tcBorders>
            <w:vAlign w:val="center"/>
          </w:tcPr>
          <w:p w14:paraId="17E9C733" w14:textId="53F25C9A" w:rsidR="00CE392B" w:rsidRPr="00AC36D6" w:rsidRDefault="00CE392B" w:rsidP="00DA6943">
            <w:pPr>
              <w:jc w:val="center"/>
              <w:rPr>
                <w:sz w:val="20"/>
                <w:szCs w:val="20"/>
              </w:rPr>
            </w:pPr>
            <w:r w:rsidRPr="00AC36D6">
              <w:rPr>
                <w:sz w:val="20"/>
                <w:szCs w:val="20"/>
              </w:rPr>
              <w:t>0.</w:t>
            </w:r>
            <w:r w:rsidR="004042B2" w:rsidRPr="00AC36D6">
              <w:rPr>
                <w:sz w:val="20"/>
                <w:szCs w:val="20"/>
              </w:rPr>
              <w:t>039</w:t>
            </w:r>
            <w:r w:rsidR="002A0865" w:rsidRPr="00AC36D6">
              <w:rPr>
                <w:sz w:val="20"/>
                <w:szCs w:val="20"/>
                <w:vertAlign w:val="superscript"/>
              </w:rPr>
              <w:t>#</w:t>
            </w:r>
          </w:p>
          <w:p w14:paraId="7E8BC099" w14:textId="7B9A182F"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0.002</w:t>
            </w:r>
            <w:r w:rsidRPr="00AC36D6">
              <w:rPr>
                <w:i/>
                <w:iCs/>
                <w:sz w:val="20"/>
                <w:szCs w:val="20"/>
              </w:rPr>
              <w:t>)</w:t>
            </w:r>
          </w:p>
        </w:tc>
        <w:tc>
          <w:tcPr>
            <w:tcW w:w="810" w:type="dxa"/>
            <w:tcBorders>
              <w:top w:val="single" w:sz="4" w:space="0" w:color="auto"/>
              <w:bottom w:val="double" w:sz="4" w:space="0" w:color="auto"/>
            </w:tcBorders>
            <w:vAlign w:val="center"/>
          </w:tcPr>
          <w:p w14:paraId="52689BF3" w14:textId="13D751EB" w:rsidR="00CE392B" w:rsidRPr="00AC36D6" w:rsidRDefault="00CE392B" w:rsidP="00DA6943">
            <w:pPr>
              <w:jc w:val="center"/>
              <w:rPr>
                <w:sz w:val="20"/>
                <w:szCs w:val="20"/>
              </w:rPr>
            </w:pPr>
            <w:r w:rsidRPr="00AC36D6">
              <w:rPr>
                <w:sz w:val="20"/>
                <w:szCs w:val="20"/>
              </w:rPr>
              <w:t>0.</w:t>
            </w:r>
            <w:r w:rsidR="004042B2" w:rsidRPr="00AC36D6">
              <w:rPr>
                <w:sz w:val="20"/>
                <w:szCs w:val="20"/>
              </w:rPr>
              <w:t>208</w:t>
            </w:r>
            <w:r w:rsidR="002A0865" w:rsidRPr="00AC36D6">
              <w:rPr>
                <w:sz w:val="20"/>
                <w:szCs w:val="20"/>
                <w:vertAlign w:val="superscript"/>
              </w:rPr>
              <w:t>#</w:t>
            </w:r>
          </w:p>
          <w:p w14:paraId="1233A88D" w14:textId="64F92944" w:rsidR="00CE392B" w:rsidRPr="00AC36D6" w:rsidRDefault="00CE392B" w:rsidP="00DA6943">
            <w:pPr>
              <w:jc w:val="center"/>
              <w:rPr>
                <w:i/>
                <w:iCs/>
                <w:sz w:val="20"/>
                <w:szCs w:val="20"/>
              </w:rPr>
            </w:pPr>
            <w:r w:rsidRPr="00AC36D6">
              <w:rPr>
                <w:i/>
                <w:iCs/>
                <w:sz w:val="20"/>
                <w:szCs w:val="20"/>
              </w:rPr>
              <w:t>(</w:t>
            </w:r>
            <w:r w:rsidR="004042B2" w:rsidRPr="00AC36D6">
              <w:rPr>
                <w:i/>
                <w:iCs/>
                <w:sz w:val="20"/>
                <w:szCs w:val="20"/>
              </w:rPr>
              <w:t>0.09</w:t>
            </w:r>
            <w:r w:rsidRPr="00AC36D6">
              <w:rPr>
                <w:i/>
                <w:iCs/>
                <w:sz w:val="20"/>
                <w:szCs w:val="20"/>
              </w:rPr>
              <w:t>)</w:t>
            </w:r>
          </w:p>
        </w:tc>
        <w:tc>
          <w:tcPr>
            <w:tcW w:w="810" w:type="dxa"/>
            <w:tcBorders>
              <w:top w:val="single" w:sz="4" w:space="0" w:color="auto"/>
              <w:bottom w:val="double" w:sz="4" w:space="0" w:color="auto"/>
            </w:tcBorders>
            <w:vAlign w:val="center"/>
          </w:tcPr>
          <w:p w14:paraId="62D5D295" w14:textId="466E7345" w:rsidR="00CE392B" w:rsidRPr="00AC36D6" w:rsidRDefault="00CE392B" w:rsidP="00DA6943">
            <w:pPr>
              <w:jc w:val="center"/>
              <w:rPr>
                <w:sz w:val="20"/>
                <w:szCs w:val="20"/>
              </w:rPr>
            </w:pPr>
            <w:r w:rsidRPr="00AC36D6">
              <w:rPr>
                <w:sz w:val="20"/>
                <w:szCs w:val="20"/>
              </w:rPr>
              <w:t>0.</w:t>
            </w:r>
            <w:r w:rsidR="000239EB" w:rsidRPr="00AC36D6">
              <w:rPr>
                <w:sz w:val="20"/>
                <w:szCs w:val="20"/>
              </w:rPr>
              <w:t>055</w:t>
            </w:r>
            <w:r w:rsidR="002A0865" w:rsidRPr="00AC36D6">
              <w:rPr>
                <w:sz w:val="20"/>
                <w:szCs w:val="20"/>
                <w:vertAlign w:val="superscript"/>
              </w:rPr>
              <w:t>#</w:t>
            </w:r>
          </w:p>
          <w:p w14:paraId="3FFC8229" w14:textId="172D62CC" w:rsidR="00CE392B" w:rsidRPr="00AC36D6" w:rsidRDefault="00CE392B" w:rsidP="00DA6943">
            <w:pPr>
              <w:jc w:val="center"/>
              <w:rPr>
                <w:i/>
                <w:iCs/>
                <w:sz w:val="20"/>
                <w:szCs w:val="20"/>
              </w:rPr>
            </w:pPr>
            <w:r w:rsidRPr="00AC36D6">
              <w:rPr>
                <w:i/>
                <w:iCs/>
                <w:sz w:val="20"/>
                <w:szCs w:val="20"/>
              </w:rPr>
              <w:t>(</w:t>
            </w:r>
            <w:r w:rsidR="000239EB" w:rsidRPr="00AC36D6">
              <w:rPr>
                <w:i/>
                <w:iCs/>
                <w:sz w:val="20"/>
                <w:szCs w:val="20"/>
              </w:rPr>
              <w:t>0.01</w:t>
            </w:r>
            <w:r w:rsidRPr="00AC36D6">
              <w:rPr>
                <w:i/>
                <w:iCs/>
                <w:sz w:val="20"/>
                <w:szCs w:val="20"/>
              </w:rPr>
              <w:t>)</w:t>
            </w:r>
          </w:p>
        </w:tc>
        <w:tc>
          <w:tcPr>
            <w:tcW w:w="812" w:type="dxa"/>
            <w:tcBorders>
              <w:top w:val="single" w:sz="4" w:space="0" w:color="auto"/>
              <w:bottom w:val="double" w:sz="4" w:space="0" w:color="auto"/>
            </w:tcBorders>
            <w:vAlign w:val="center"/>
          </w:tcPr>
          <w:p w14:paraId="551A252D" w14:textId="1649022C" w:rsidR="00CE392B" w:rsidRPr="00AC36D6" w:rsidRDefault="00CE392B" w:rsidP="00DA6943">
            <w:pPr>
              <w:jc w:val="center"/>
              <w:rPr>
                <w:sz w:val="20"/>
                <w:szCs w:val="20"/>
              </w:rPr>
            </w:pPr>
            <w:r w:rsidRPr="00AC36D6">
              <w:rPr>
                <w:sz w:val="20"/>
                <w:szCs w:val="20"/>
              </w:rPr>
              <w:t>0.</w:t>
            </w:r>
            <w:r w:rsidR="000239EB" w:rsidRPr="00AC36D6">
              <w:rPr>
                <w:sz w:val="20"/>
                <w:szCs w:val="20"/>
              </w:rPr>
              <w:t>226</w:t>
            </w:r>
            <w:r w:rsidR="002A0865" w:rsidRPr="00AC36D6">
              <w:rPr>
                <w:sz w:val="20"/>
                <w:szCs w:val="20"/>
                <w:vertAlign w:val="superscript"/>
              </w:rPr>
              <w:t>#</w:t>
            </w:r>
          </w:p>
          <w:p w14:paraId="671117B9" w14:textId="6FEFB22A" w:rsidR="00CE392B" w:rsidRPr="00AC36D6" w:rsidRDefault="00CE392B" w:rsidP="00DA6943">
            <w:pPr>
              <w:jc w:val="center"/>
              <w:rPr>
                <w:i/>
                <w:iCs/>
                <w:sz w:val="20"/>
                <w:szCs w:val="20"/>
              </w:rPr>
            </w:pPr>
            <w:r w:rsidRPr="00AC36D6">
              <w:rPr>
                <w:i/>
                <w:iCs/>
                <w:sz w:val="20"/>
                <w:szCs w:val="20"/>
              </w:rPr>
              <w:t>(</w:t>
            </w:r>
            <w:r w:rsidR="000239EB" w:rsidRPr="00AC36D6">
              <w:rPr>
                <w:i/>
                <w:iCs/>
                <w:sz w:val="20"/>
                <w:szCs w:val="20"/>
              </w:rPr>
              <w:t>0.11</w:t>
            </w:r>
            <w:r w:rsidRPr="00AC36D6">
              <w:rPr>
                <w:i/>
                <w:iCs/>
                <w:sz w:val="20"/>
                <w:szCs w:val="20"/>
              </w:rPr>
              <w:t>)</w:t>
            </w:r>
          </w:p>
        </w:tc>
        <w:tc>
          <w:tcPr>
            <w:tcW w:w="790" w:type="dxa"/>
            <w:tcBorders>
              <w:top w:val="single" w:sz="4" w:space="0" w:color="auto"/>
              <w:bottom w:val="double" w:sz="4" w:space="0" w:color="auto"/>
            </w:tcBorders>
            <w:vAlign w:val="center"/>
          </w:tcPr>
          <w:p w14:paraId="15C7EF06" w14:textId="58665A3D" w:rsidR="00CE392B" w:rsidRPr="00AC36D6" w:rsidRDefault="000239EB" w:rsidP="00DA6943">
            <w:pPr>
              <w:jc w:val="center"/>
              <w:rPr>
                <w:sz w:val="20"/>
                <w:szCs w:val="20"/>
              </w:rPr>
            </w:pPr>
            <w:r w:rsidRPr="00AC36D6">
              <w:rPr>
                <w:sz w:val="20"/>
                <w:szCs w:val="20"/>
              </w:rPr>
              <w:t>2</w:t>
            </w:r>
            <w:r w:rsidR="00CE392B" w:rsidRPr="00AC36D6">
              <w:rPr>
                <w:sz w:val="20"/>
                <w:szCs w:val="20"/>
              </w:rPr>
              <w:t>.</w:t>
            </w:r>
            <w:r w:rsidRPr="00AC36D6">
              <w:rPr>
                <w:sz w:val="20"/>
                <w:szCs w:val="20"/>
              </w:rPr>
              <w:t>705</w:t>
            </w:r>
          </w:p>
          <w:p w14:paraId="3229725A" w14:textId="4F3EF9A3" w:rsidR="00CE392B" w:rsidRPr="00AC36D6" w:rsidRDefault="00CE392B" w:rsidP="00DA6943">
            <w:pPr>
              <w:jc w:val="center"/>
              <w:rPr>
                <w:i/>
                <w:iCs/>
                <w:sz w:val="20"/>
                <w:szCs w:val="20"/>
              </w:rPr>
            </w:pPr>
            <w:r w:rsidRPr="00AC36D6">
              <w:rPr>
                <w:i/>
                <w:iCs/>
                <w:sz w:val="20"/>
                <w:szCs w:val="20"/>
              </w:rPr>
              <w:t>(</w:t>
            </w:r>
            <w:r w:rsidR="000239EB" w:rsidRPr="00AC36D6">
              <w:rPr>
                <w:i/>
                <w:iCs/>
                <w:sz w:val="20"/>
                <w:szCs w:val="20"/>
              </w:rPr>
              <w:t>9</w:t>
            </w:r>
            <w:r w:rsidRPr="00AC36D6">
              <w:rPr>
                <w:i/>
                <w:iCs/>
                <w:sz w:val="20"/>
                <w:szCs w:val="20"/>
              </w:rPr>
              <w:t>.</w:t>
            </w:r>
            <w:r w:rsidR="000239EB" w:rsidRPr="00AC36D6">
              <w:rPr>
                <w:i/>
                <w:iCs/>
                <w:sz w:val="20"/>
                <w:szCs w:val="20"/>
              </w:rPr>
              <w:t>31</w:t>
            </w:r>
            <w:r w:rsidRPr="00AC36D6">
              <w:rPr>
                <w:i/>
                <w:iCs/>
                <w:sz w:val="20"/>
                <w:szCs w:val="20"/>
              </w:rPr>
              <w:t>)</w:t>
            </w:r>
          </w:p>
        </w:tc>
      </w:tr>
    </w:tbl>
    <w:p w14:paraId="3AC3F020" w14:textId="3B05CE07" w:rsidR="007B3643" w:rsidRPr="00AC36D6" w:rsidRDefault="00EE02AC" w:rsidP="00DE7BE7">
      <w:pPr>
        <w:spacing w:after="0" w:line="240" w:lineRule="auto"/>
        <w:rPr>
          <w:b/>
          <w:noProof/>
          <w:color w:val="000000" w:themeColor="text1"/>
        </w:rPr>
      </w:pPr>
      <w:r w:rsidRPr="00AC36D6">
        <w:rPr>
          <w:sz w:val="20"/>
          <w:szCs w:val="20"/>
          <w:vertAlign w:val="superscript"/>
        </w:rPr>
        <w:t>#</w:t>
      </w:r>
      <w:r w:rsidRPr="00AC36D6">
        <w:rPr>
          <w:sz w:val="18"/>
          <w:szCs w:val="18"/>
        </w:rPr>
        <w:t xml:space="preserve"> t-statistic &lt; 1</w:t>
      </w:r>
    </w:p>
    <w:p w14:paraId="5E0C0D62" w14:textId="32D60243" w:rsidR="00FE26A8" w:rsidRPr="00AC36D6" w:rsidRDefault="00FE26A8" w:rsidP="00686351">
      <w:pPr>
        <w:rPr>
          <w:rFonts w:eastAsia="Calibri"/>
        </w:rPr>
      </w:pPr>
    </w:p>
    <w:p w14:paraId="23CB0F66" w14:textId="26653C15" w:rsidR="008F4597" w:rsidRPr="00AC36D6" w:rsidRDefault="00FE26A8" w:rsidP="006C5EB9">
      <w:pPr>
        <w:rPr>
          <w:rFonts w:eastAsia="Calibri"/>
        </w:rPr>
      </w:pPr>
      <w:r w:rsidRPr="00AC36D6">
        <w:rPr>
          <w:rFonts w:eastAsia="Calibri"/>
        </w:rPr>
        <w:br w:type="page"/>
      </w:r>
    </w:p>
    <w:p w14:paraId="2A0763D8" w14:textId="77777777" w:rsidR="004A7E07" w:rsidRPr="00AC36D6" w:rsidRDefault="004A7E07" w:rsidP="004A7E07">
      <w:pPr>
        <w:spacing w:after="0" w:line="240" w:lineRule="auto"/>
        <w:jc w:val="center"/>
        <w:rPr>
          <w:bCs/>
          <w:noProof/>
          <w:color w:val="000000" w:themeColor="text1"/>
        </w:rPr>
      </w:pPr>
      <w:r w:rsidRPr="00AC36D6">
        <w:rPr>
          <w:b/>
          <w:noProof/>
          <w:color w:val="000000" w:themeColor="text1"/>
        </w:rPr>
        <w:lastRenderedPageBreak/>
        <w:t xml:space="preserve">Table 4. </w:t>
      </w:r>
      <w:r w:rsidRPr="00AC36D6">
        <w:rPr>
          <w:bCs/>
          <w:noProof/>
          <w:color w:val="000000" w:themeColor="text1"/>
        </w:rPr>
        <w:t>Goodness-of-fit measures in estimation and holdout samples</w:t>
      </w:r>
    </w:p>
    <w:tbl>
      <w:tblPr>
        <w:tblStyle w:val="TableGrid"/>
        <w:tblpPr w:leftFromText="180" w:rightFromText="180" w:vertAnchor="text" w:horzAnchor="margin" w:tblpXSpec="center" w:tblpY="311"/>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6"/>
        <w:gridCol w:w="2020"/>
        <w:gridCol w:w="1701"/>
        <w:gridCol w:w="1842"/>
        <w:gridCol w:w="1701"/>
        <w:gridCol w:w="21"/>
        <w:gridCol w:w="1671"/>
      </w:tblGrid>
      <w:tr w:rsidR="004A7E07" w:rsidRPr="00AC36D6" w14:paraId="0E68941E" w14:textId="77777777" w:rsidTr="002D5BC2">
        <w:tc>
          <w:tcPr>
            <w:tcW w:w="8731" w:type="dxa"/>
            <w:gridSpan w:val="6"/>
            <w:tcBorders>
              <w:top w:val="double" w:sz="4" w:space="0" w:color="auto"/>
              <w:left w:val="double" w:sz="4" w:space="0" w:color="auto"/>
              <w:bottom w:val="double" w:sz="4" w:space="0" w:color="auto"/>
            </w:tcBorders>
            <w:vAlign w:val="center"/>
          </w:tcPr>
          <w:p w14:paraId="788E2BC8" w14:textId="77777777" w:rsidR="004A7E07" w:rsidRPr="00AC36D6" w:rsidRDefault="004A7E07" w:rsidP="00534533">
            <w:pPr>
              <w:rPr>
                <w:b/>
                <w:bCs/>
                <w:sz w:val="18"/>
                <w:szCs w:val="18"/>
              </w:rPr>
            </w:pPr>
            <w:bookmarkStart w:id="14" w:name="_Hlk78212548"/>
            <w:r w:rsidRPr="00AC36D6">
              <w:rPr>
                <w:b/>
                <w:bCs/>
                <w:sz w:val="18"/>
                <w:szCs w:val="18"/>
              </w:rPr>
              <w:t>Goodness of fit measures in the estimation sample (N = 3,500)</w:t>
            </w:r>
          </w:p>
        </w:tc>
        <w:tc>
          <w:tcPr>
            <w:tcW w:w="1671" w:type="dxa"/>
            <w:tcBorders>
              <w:top w:val="double" w:sz="4" w:space="0" w:color="auto"/>
              <w:bottom w:val="double" w:sz="4" w:space="0" w:color="auto"/>
              <w:right w:val="double" w:sz="4" w:space="0" w:color="auto"/>
            </w:tcBorders>
          </w:tcPr>
          <w:p w14:paraId="0132A174" w14:textId="77777777" w:rsidR="004A7E07" w:rsidRPr="00AC36D6" w:rsidRDefault="004A7E07" w:rsidP="00534533">
            <w:pPr>
              <w:rPr>
                <w:b/>
                <w:bCs/>
                <w:sz w:val="18"/>
                <w:szCs w:val="18"/>
              </w:rPr>
            </w:pPr>
          </w:p>
        </w:tc>
      </w:tr>
      <w:tr w:rsidR="004A7E07" w:rsidRPr="00AC36D6" w14:paraId="41F4C668" w14:textId="77777777" w:rsidTr="002D5BC2">
        <w:tc>
          <w:tcPr>
            <w:tcW w:w="1446" w:type="dxa"/>
            <w:tcBorders>
              <w:top w:val="double" w:sz="4" w:space="0" w:color="auto"/>
              <w:left w:val="double" w:sz="4" w:space="0" w:color="auto"/>
              <w:bottom w:val="double" w:sz="4" w:space="0" w:color="auto"/>
              <w:right w:val="double" w:sz="4" w:space="0" w:color="auto"/>
            </w:tcBorders>
            <w:vAlign w:val="center"/>
          </w:tcPr>
          <w:p w14:paraId="5D07067C" w14:textId="77777777" w:rsidR="004A7E07" w:rsidRPr="00AC36D6" w:rsidRDefault="004A7E07" w:rsidP="00534533">
            <w:pPr>
              <w:rPr>
                <w:sz w:val="18"/>
                <w:szCs w:val="18"/>
              </w:rPr>
            </w:pPr>
          </w:p>
        </w:tc>
        <w:tc>
          <w:tcPr>
            <w:tcW w:w="2020" w:type="dxa"/>
            <w:tcBorders>
              <w:top w:val="double" w:sz="4" w:space="0" w:color="auto"/>
              <w:left w:val="double" w:sz="4" w:space="0" w:color="auto"/>
              <w:bottom w:val="double" w:sz="4" w:space="0" w:color="auto"/>
            </w:tcBorders>
            <w:vAlign w:val="center"/>
          </w:tcPr>
          <w:p w14:paraId="7190A23E" w14:textId="77777777" w:rsidR="004A7E07" w:rsidRPr="00AC36D6" w:rsidRDefault="004A7E07" w:rsidP="00534533">
            <w:pPr>
              <w:jc w:val="center"/>
              <w:rPr>
                <w:sz w:val="18"/>
                <w:szCs w:val="18"/>
              </w:rPr>
            </w:pPr>
            <w:r w:rsidRPr="00AC36D6">
              <w:rPr>
                <w:sz w:val="18"/>
                <w:szCs w:val="18"/>
              </w:rPr>
              <w:t>Flexible MDCP</w:t>
            </w:r>
          </w:p>
          <w:p w14:paraId="54AD08ED" w14:textId="77777777" w:rsidR="004A7E07" w:rsidRPr="00AC36D6" w:rsidRDefault="004A7E07" w:rsidP="00534533">
            <w:pPr>
              <w:jc w:val="center"/>
              <w:rPr>
                <w:sz w:val="18"/>
                <w:szCs w:val="18"/>
              </w:rPr>
            </w:pPr>
            <w:r w:rsidRPr="00AC36D6">
              <w:rPr>
                <w:sz w:val="18"/>
                <w:szCs w:val="18"/>
              </w:rPr>
              <w:t xml:space="preserve">(with IID </w:t>
            </w:r>
            <w:r w:rsidRPr="00AC36D6">
              <w:rPr>
                <w:i/>
                <w:iCs/>
                <w:sz w:val="18"/>
                <w:szCs w:val="18"/>
              </w:rPr>
              <w:t>D-</w:t>
            </w:r>
            <w:r w:rsidRPr="00AC36D6">
              <w:rPr>
                <w:sz w:val="18"/>
                <w:szCs w:val="18"/>
              </w:rPr>
              <w:t xml:space="preserve">preferences and non-IID </w:t>
            </w:r>
            <w:r w:rsidRPr="00AC36D6">
              <w:rPr>
                <w:i/>
                <w:iCs/>
                <w:sz w:val="18"/>
                <w:szCs w:val="18"/>
              </w:rPr>
              <w:t>C-</w:t>
            </w:r>
            <w:r w:rsidRPr="00AC36D6">
              <w:rPr>
                <w:sz w:val="18"/>
                <w:szCs w:val="18"/>
              </w:rPr>
              <w:t>preferences)</w:t>
            </w:r>
          </w:p>
        </w:tc>
        <w:tc>
          <w:tcPr>
            <w:tcW w:w="1701" w:type="dxa"/>
            <w:tcBorders>
              <w:top w:val="double" w:sz="4" w:space="0" w:color="auto"/>
              <w:bottom w:val="double" w:sz="4" w:space="0" w:color="auto"/>
            </w:tcBorders>
            <w:vAlign w:val="center"/>
          </w:tcPr>
          <w:p w14:paraId="0D3C553A" w14:textId="77777777" w:rsidR="004A7E07" w:rsidRPr="00AC36D6" w:rsidRDefault="004A7E07" w:rsidP="00534533">
            <w:pPr>
              <w:jc w:val="center"/>
              <w:rPr>
                <w:sz w:val="18"/>
                <w:szCs w:val="18"/>
              </w:rPr>
            </w:pPr>
            <w:r w:rsidRPr="00AC36D6">
              <w:rPr>
                <w:sz w:val="18"/>
                <w:szCs w:val="18"/>
              </w:rPr>
              <w:t>Flexible MDCP</w:t>
            </w:r>
            <w:r w:rsidRPr="00AC36D6">
              <w:rPr>
                <w:sz w:val="18"/>
                <w:szCs w:val="18"/>
                <w:vertAlign w:val="superscript"/>
              </w:rPr>
              <w:t>#</w:t>
            </w:r>
          </w:p>
          <w:p w14:paraId="5E9E3F7A" w14:textId="77777777" w:rsidR="004A7E07" w:rsidRPr="00AC36D6" w:rsidRDefault="004A7E07" w:rsidP="00534533">
            <w:pPr>
              <w:jc w:val="center"/>
              <w:rPr>
                <w:sz w:val="18"/>
                <w:szCs w:val="18"/>
              </w:rPr>
            </w:pPr>
            <w:r w:rsidRPr="00AC36D6">
              <w:rPr>
                <w:sz w:val="18"/>
                <w:szCs w:val="18"/>
              </w:rPr>
              <w:t xml:space="preserve">(IID </w:t>
            </w:r>
            <w:r w:rsidRPr="00AC36D6">
              <w:rPr>
                <w:i/>
                <w:iCs/>
                <w:sz w:val="18"/>
                <w:szCs w:val="18"/>
              </w:rPr>
              <w:t>D-C</w:t>
            </w:r>
            <w:r w:rsidRPr="00AC36D6">
              <w:rPr>
                <w:sz w:val="18"/>
                <w:szCs w:val="18"/>
              </w:rPr>
              <w:t xml:space="preserve"> MDCP)</w:t>
            </w:r>
          </w:p>
        </w:tc>
        <w:tc>
          <w:tcPr>
            <w:tcW w:w="1842" w:type="dxa"/>
            <w:tcBorders>
              <w:top w:val="double" w:sz="4" w:space="0" w:color="auto"/>
              <w:bottom w:val="double" w:sz="4" w:space="0" w:color="auto"/>
            </w:tcBorders>
            <w:vAlign w:val="center"/>
          </w:tcPr>
          <w:p w14:paraId="77F60801" w14:textId="77777777" w:rsidR="004A7E07" w:rsidRPr="00AC36D6" w:rsidRDefault="004A7E07" w:rsidP="00534533">
            <w:pPr>
              <w:jc w:val="center"/>
              <w:rPr>
                <w:sz w:val="18"/>
                <w:szCs w:val="18"/>
              </w:rPr>
            </w:pPr>
            <w:r w:rsidRPr="00AC36D6">
              <w:rPr>
                <w:sz w:val="18"/>
                <w:szCs w:val="18"/>
              </w:rPr>
              <w:t>Traditional MDCP</w:t>
            </w:r>
          </w:p>
          <w:p w14:paraId="349E02A7" w14:textId="77777777" w:rsidR="004A7E07" w:rsidRPr="00AC36D6" w:rsidRDefault="004A7E07" w:rsidP="00534533">
            <w:pPr>
              <w:jc w:val="center"/>
              <w:rPr>
                <w:sz w:val="18"/>
                <w:szCs w:val="18"/>
              </w:rPr>
            </w:pPr>
            <w:r w:rsidRPr="00AC36D6">
              <w:rPr>
                <w:sz w:val="18"/>
                <w:szCs w:val="18"/>
              </w:rPr>
              <w:t>(non-IID covariance structure)</w:t>
            </w:r>
          </w:p>
        </w:tc>
        <w:tc>
          <w:tcPr>
            <w:tcW w:w="1701" w:type="dxa"/>
            <w:tcBorders>
              <w:top w:val="double" w:sz="4" w:space="0" w:color="auto"/>
              <w:bottom w:val="double" w:sz="4" w:space="0" w:color="auto"/>
            </w:tcBorders>
            <w:vAlign w:val="center"/>
          </w:tcPr>
          <w:p w14:paraId="2CD896E9" w14:textId="77777777" w:rsidR="004A7E07" w:rsidRPr="00AC36D6" w:rsidRDefault="004A7E07" w:rsidP="00534533">
            <w:pPr>
              <w:jc w:val="center"/>
              <w:rPr>
                <w:sz w:val="18"/>
                <w:szCs w:val="18"/>
              </w:rPr>
            </w:pPr>
            <w:r w:rsidRPr="00AC36D6">
              <w:rPr>
                <w:sz w:val="18"/>
                <w:szCs w:val="18"/>
              </w:rPr>
              <w:t>Traditional MDCP</w:t>
            </w:r>
          </w:p>
          <w:p w14:paraId="0C22451C" w14:textId="77777777" w:rsidR="004A7E07" w:rsidRPr="00AC36D6" w:rsidRDefault="004A7E07" w:rsidP="00534533">
            <w:pPr>
              <w:jc w:val="center"/>
              <w:rPr>
                <w:sz w:val="18"/>
                <w:szCs w:val="18"/>
              </w:rPr>
            </w:pPr>
            <w:r w:rsidRPr="00AC36D6">
              <w:rPr>
                <w:sz w:val="18"/>
                <w:szCs w:val="18"/>
              </w:rPr>
              <w:t>(IID MDCP)</w:t>
            </w:r>
          </w:p>
        </w:tc>
        <w:tc>
          <w:tcPr>
            <w:tcW w:w="1692" w:type="dxa"/>
            <w:gridSpan w:val="2"/>
            <w:tcBorders>
              <w:top w:val="double" w:sz="4" w:space="0" w:color="auto"/>
              <w:bottom w:val="double" w:sz="4" w:space="0" w:color="auto"/>
              <w:right w:val="double" w:sz="4" w:space="0" w:color="auto"/>
            </w:tcBorders>
            <w:vAlign w:val="center"/>
          </w:tcPr>
          <w:p w14:paraId="19C1FC32" w14:textId="77777777" w:rsidR="004A7E07" w:rsidRPr="00AC36D6" w:rsidRDefault="004A7E07" w:rsidP="00534533">
            <w:pPr>
              <w:jc w:val="center"/>
              <w:rPr>
                <w:sz w:val="18"/>
                <w:szCs w:val="18"/>
              </w:rPr>
            </w:pPr>
            <w:r w:rsidRPr="00AC36D6">
              <w:rPr>
                <w:sz w:val="18"/>
                <w:szCs w:val="18"/>
              </w:rPr>
              <w:t>Flexible MDCEV</w:t>
            </w:r>
            <w:r w:rsidRPr="00AC36D6">
              <w:rPr>
                <w:sz w:val="18"/>
                <w:szCs w:val="18"/>
                <w:vertAlign w:val="superscript"/>
              </w:rPr>
              <w:t>#</w:t>
            </w:r>
          </w:p>
        </w:tc>
      </w:tr>
      <w:tr w:rsidR="004A7E07" w:rsidRPr="00AC36D6" w14:paraId="2DB35FDD" w14:textId="77777777" w:rsidTr="002D5BC2">
        <w:trPr>
          <w:trHeight w:hRule="exact" w:val="720"/>
        </w:trPr>
        <w:tc>
          <w:tcPr>
            <w:tcW w:w="1446" w:type="dxa"/>
            <w:tcBorders>
              <w:top w:val="double" w:sz="4" w:space="0" w:color="auto"/>
              <w:left w:val="double" w:sz="4" w:space="0" w:color="auto"/>
              <w:right w:val="double" w:sz="4" w:space="0" w:color="auto"/>
            </w:tcBorders>
            <w:vAlign w:val="center"/>
          </w:tcPr>
          <w:p w14:paraId="666C5F1E" w14:textId="77777777" w:rsidR="004A7E07" w:rsidRPr="00AC36D6" w:rsidRDefault="004A7E07" w:rsidP="00534533">
            <w:pPr>
              <w:rPr>
                <w:sz w:val="18"/>
                <w:szCs w:val="18"/>
              </w:rPr>
            </w:pPr>
            <w:r w:rsidRPr="00AC36D6">
              <w:rPr>
                <w:sz w:val="18"/>
                <w:szCs w:val="18"/>
              </w:rPr>
              <w:t>Log-likelihood at convergence</w:t>
            </w:r>
          </w:p>
        </w:tc>
        <w:tc>
          <w:tcPr>
            <w:tcW w:w="2020" w:type="dxa"/>
            <w:tcBorders>
              <w:top w:val="double" w:sz="4" w:space="0" w:color="auto"/>
              <w:left w:val="double" w:sz="4" w:space="0" w:color="auto"/>
            </w:tcBorders>
            <w:vAlign w:val="center"/>
          </w:tcPr>
          <w:p w14:paraId="6689EBD8" w14:textId="77777777" w:rsidR="004A7E07" w:rsidRPr="00AC36D6" w:rsidRDefault="004A7E07" w:rsidP="00534533">
            <w:pPr>
              <w:jc w:val="center"/>
              <w:rPr>
                <w:sz w:val="18"/>
                <w:szCs w:val="18"/>
              </w:rPr>
            </w:pPr>
            <w:r w:rsidRPr="00AC36D6">
              <w:rPr>
                <w:sz w:val="18"/>
                <w:szCs w:val="18"/>
              </w:rPr>
              <w:t>-40,161.80</w:t>
            </w:r>
          </w:p>
        </w:tc>
        <w:tc>
          <w:tcPr>
            <w:tcW w:w="1701" w:type="dxa"/>
            <w:tcBorders>
              <w:top w:val="double" w:sz="4" w:space="0" w:color="auto"/>
            </w:tcBorders>
            <w:vAlign w:val="center"/>
          </w:tcPr>
          <w:p w14:paraId="5429B787" w14:textId="77777777" w:rsidR="004A7E07" w:rsidRPr="00AC36D6" w:rsidRDefault="004A7E07" w:rsidP="00534533">
            <w:pPr>
              <w:jc w:val="center"/>
              <w:rPr>
                <w:sz w:val="18"/>
                <w:szCs w:val="18"/>
              </w:rPr>
            </w:pPr>
            <w:r w:rsidRPr="00AC36D6">
              <w:rPr>
                <w:sz w:val="18"/>
                <w:szCs w:val="18"/>
              </w:rPr>
              <w:t>-41,071.45</w:t>
            </w:r>
          </w:p>
        </w:tc>
        <w:tc>
          <w:tcPr>
            <w:tcW w:w="1842" w:type="dxa"/>
            <w:tcBorders>
              <w:top w:val="double" w:sz="4" w:space="0" w:color="auto"/>
            </w:tcBorders>
            <w:vAlign w:val="center"/>
          </w:tcPr>
          <w:p w14:paraId="5F728BC2" w14:textId="77777777" w:rsidR="004A7E07" w:rsidRPr="00AC36D6" w:rsidRDefault="004A7E07" w:rsidP="00534533">
            <w:pPr>
              <w:jc w:val="center"/>
              <w:rPr>
                <w:sz w:val="18"/>
                <w:szCs w:val="18"/>
              </w:rPr>
            </w:pPr>
            <w:r w:rsidRPr="00AC36D6">
              <w:rPr>
                <w:sz w:val="18"/>
                <w:szCs w:val="18"/>
              </w:rPr>
              <w:t>-40,432.60</w:t>
            </w:r>
          </w:p>
        </w:tc>
        <w:tc>
          <w:tcPr>
            <w:tcW w:w="1701" w:type="dxa"/>
            <w:tcBorders>
              <w:top w:val="double" w:sz="4" w:space="0" w:color="auto"/>
            </w:tcBorders>
            <w:vAlign w:val="center"/>
          </w:tcPr>
          <w:p w14:paraId="486889E3" w14:textId="77777777" w:rsidR="004A7E07" w:rsidRPr="00AC36D6" w:rsidRDefault="004A7E07" w:rsidP="00534533">
            <w:pPr>
              <w:jc w:val="center"/>
              <w:rPr>
                <w:sz w:val="18"/>
                <w:szCs w:val="18"/>
              </w:rPr>
            </w:pPr>
            <w:r w:rsidRPr="00AC36D6">
              <w:rPr>
                <w:sz w:val="18"/>
                <w:szCs w:val="18"/>
              </w:rPr>
              <w:t>-41,198.50</w:t>
            </w:r>
          </w:p>
        </w:tc>
        <w:tc>
          <w:tcPr>
            <w:tcW w:w="1692" w:type="dxa"/>
            <w:gridSpan w:val="2"/>
            <w:tcBorders>
              <w:top w:val="double" w:sz="4" w:space="0" w:color="auto"/>
              <w:right w:val="double" w:sz="4" w:space="0" w:color="auto"/>
            </w:tcBorders>
            <w:vAlign w:val="center"/>
          </w:tcPr>
          <w:p w14:paraId="6D7E9F55" w14:textId="77777777" w:rsidR="004A7E07" w:rsidRPr="00AC36D6" w:rsidRDefault="004A7E07" w:rsidP="00534533">
            <w:pPr>
              <w:jc w:val="center"/>
              <w:rPr>
                <w:sz w:val="18"/>
                <w:szCs w:val="18"/>
              </w:rPr>
            </w:pPr>
            <w:r w:rsidRPr="00AC36D6">
              <w:rPr>
                <w:sz w:val="18"/>
                <w:szCs w:val="18"/>
              </w:rPr>
              <w:t>-41,431.60</w:t>
            </w:r>
          </w:p>
        </w:tc>
      </w:tr>
      <w:tr w:rsidR="004A7E07" w:rsidRPr="00AC36D6" w14:paraId="4FBCC58D" w14:textId="77777777" w:rsidTr="002D5BC2">
        <w:trPr>
          <w:trHeight w:hRule="exact" w:val="720"/>
        </w:trPr>
        <w:tc>
          <w:tcPr>
            <w:tcW w:w="1446" w:type="dxa"/>
            <w:tcBorders>
              <w:left w:val="double" w:sz="4" w:space="0" w:color="auto"/>
              <w:right w:val="double" w:sz="4" w:space="0" w:color="auto"/>
            </w:tcBorders>
            <w:vAlign w:val="center"/>
          </w:tcPr>
          <w:p w14:paraId="55716EFC" w14:textId="77777777" w:rsidR="004A7E07" w:rsidRPr="00AC36D6" w:rsidRDefault="004A7E07" w:rsidP="00534533">
            <w:pPr>
              <w:rPr>
                <w:sz w:val="18"/>
                <w:szCs w:val="18"/>
              </w:rPr>
            </w:pPr>
            <w:r w:rsidRPr="00AC36D6">
              <w:rPr>
                <w:sz w:val="18"/>
                <w:szCs w:val="18"/>
              </w:rPr>
              <w:t>Number of parameters</w:t>
            </w:r>
          </w:p>
        </w:tc>
        <w:tc>
          <w:tcPr>
            <w:tcW w:w="2020" w:type="dxa"/>
            <w:tcBorders>
              <w:left w:val="double" w:sz="4" w:space="0" w:color="auto"/>
            </w:tcBorders>
            <w:vAlign w:val="center"/>
          </w:tcPr>
          <w:p w14:paraId="7BBBA13F" w14:textId="77777777" w:rsidR="004A7E07" w:rsidRPr="00AC36D6" w:rsidRDefault="004A7E07" w:rsidP="00534533">
            <w:pPr>
              <w:jc w:val="center"/>
              <w:rPr>
                <w:sz w:val="18"/>
                <w:szCs w:val="18"/>
              </w:rPr>
            </w:pPr>
            <w:r w:rsidRPr="00AC36D6">
              <w:rPr>
                <w:sz w:val="18"/>
                <w:szCs w:val="18"/>
              </w:rPr>
              <w:t>102</w:t>
            </w:r>
          </w:p>
        </w:tc>
        <w:tc>
          <w:tcPr>
            <w:tcW w:w="1701" w:type="dxa"/>
            <w:vAlign w:val="center"/>
          </w:tcPr>
          <w:p w14:paraId="6825D6B6" w14:textId="77777777" w:rsidR="004A7E07" w:rsidRPr="00AC36D6" w:rsidRDefault="004A7E07" w:rsidP="00534533">
            <w:pPr>
              <w:jc w:val="center"/>
              <w:rPr>
                <w:sz w:val="18"/>
                <w:szCs w:val="18"/>
              </w:rPr>
            </w:pPr>
            <w:r w:rsidRPr="00AC36D6">
              <w:rPr>
                <w:sz w:val="18"/>
                <w:szCs w:val="18"/>
              </w:rPr>
              <w:t>75</w:t>
            </w:r>
          </w:p>
        </w:tc>
        <w:tc>
          <w:tcPr>
            <w:tcW w:w="1842" w:type="dxa"/>
            <w:vAlign w:val="center"/>
          </w:tcPr>
          <w:p w14:paraId="0EAAE275" w14:textId="77777777" w:rsidR="004A7E07" w:rsidRPr="00AC36D6" w:rsidRDefault="004A7E07" w:rsidP="00534533">
            <w:pPr>
              <w:jc w:val="center"/>
              <w:rPr>
                <w:sz w:val="18"/>
                <w:szCs w:val="18"/>
              </w:rPr>
            </w:pPr>
            <w:r w:rsidRPr="00AC36D6">
              <w:rPr>
                <w:sz w:val="18"/>
                <w:szCs w:val="18"/>
              </w:rPr>
              <w:t>71</w:t>
            </w:r>
          </w:p>
        </w:tc>
        <w:tc>
          <w:tcPr>
            <w:tcW w:w="1701" w:type="dxa"/>
            <w:vAlign w:val="center"/>
          </w:tcPr>
          <w:p w14:paraId="4CBE49EA" w14:textId="77777777" w:rsidR="004A7E07" w:rsidRPr="00AC36D6" w:rsidRDefault="004A7E07" w:rsidP="00534533">
            <w:pPr>
              <w:jc w:val="center"/>
              <w:rPr>
                <w:sz w:val="18"/>
                <w:szCs w:val="18"/>
              </w:rPr>
            </w:pPr>
            <w:r w:rsidRPr="00AC36D6">
              <w:rPr>
                <w:sz w:val="18"/>
                <w:szCs w:val="18"/>
              </w:rPr>
              <w:t>58</w:t>
            </w:r>
          </w:p>
        </w:tc>
        <w:tc>
          <w:tcPr>
            <w:tcW w:w="1692" w:type="dxa"/>
            <w:gridSpan w:val="2"/>
            <w:tcBorders>
              <w:right w:val="double" w:sz="4" w:space="0" w:color="auto"/>
            </w:tcBorders>
            <w:vAlign w:val="center"/>
          </w:tcPr>
          <w:p w14:paraId="3B2684AD" w14:textId="77777777" w:rsidR="004A7E07" w:rsidRPr="00AC36D6" w:rsidRDefault="004A7E07" w:rsidP="00534533">
            <w:pPr>
              <w:jc w:val="center"/>
              <w:rPr>
                <w:sz w:val="18"/>
                <w:szCs w:val="18"/>
              </w:rPr>
            </w:pPr>
            <w:r w:rsidRPr="00AC36D6">
              <w:rPr>
                <w:sz w:val="18"/>
                <w:szCs w:val="18"/>
              </w:rPr>
              <w:t>75</w:t>
            </w:r>
          </w:p>
        </w:tc>
      </w:tr>
      <w:tr w:rsidR="004A7E07" w:rsidRPr="00AC36D6" w14:paraId="31350FE6" w14:textId="77777777" w:rsidTr="002D5BC2">
        <w:trPr>
          <w:trHeight w:hRule="exact" w:val="720"/>
        </w:trPr>
        <w:tc>
          <w:tcPr>
            <w:tcW w:w="1446" w:type="dxa"/>
            <w:tcBorders>
              <w:left w:val="double" w:sz="4" w:space="0" w:color="auto"/>
              <w:right w:val="double" w:sz="4" w:space="0" w:color="auto"/>
            </w:tcBorders>
            <w:vAlign w:val="center"/>
          </w:tcPr>
          <w:p w14:paraId="17F390DC" w14:textId="77777777" w:rsidR="004A7E07" w:rsidRPr="00AC36D6" w:rsidRDefault="004A7E07" w:rsidP="00534533">
            <w:pPr>
              <w:rPr>
                <w:sz w:val="18"/>
                <w:szCs w:val="18"/>
              </w:rPr>
            </w:pPr>
            <w:r w:rsidRPr="00AC36D6">
              <w:rPr>
                <w:sz w:val="18"/>
                <w:szCs w:val="18"/>
              </w:rPr>
              <w:t>Akaike information criterion (AIC)</w:t>
            </w:r>
          </w:p>
        </w:tc>
        <w:tc>
          <w:tcPr>
            <w:tcW w:w="2020" w:type="dxa"/>
            <w:tcBorders>
              <w:left w:val="double" w:sz="4" w:space="0" w:color="auto"/>
            </w:tcBorders>
            <w:vAlign w:val="center"/>
          </w:tcPr>
          <w:p w14:paraId="76090B34" w14:textId="77777777" w:rsidR="004A7E07" w:rsidRPr="00AC36D6" w:rsidRDefault="004A7E07" w:rsidP="00534533">
            <w:pPr>
              <w:jc w:val="center"/>
              <w:rPr>
                <w:sz w:val="18"/>
                <w:szCs w:val="18"/>
              </w:rPr>
            </w:pPr>
            <w:r w:rsidRPr="00AC36D6">
              <w:rPr>
                <w:sz w:val="18"/>
                <w:szCs w:val="18"/>
              </w:rPr>
              <w:t>80,527.60</w:t>
            </w:r>
          </w:p>
        </w:tc>
        <w:tc>
          <w:tcPr>
            <w:tcW w:w="1701" w:type="dxa"/>
            <w:vAlign w:val="center"/>
          </w:tcPr>
          <w:p w14:paraId="53FFCE70" w14:textId="77777777" w:rsidR="004A7E07" w:rsidRPr="00AC36D6" w:rsidRDefault="004A7E07" w:rsidP="00534533">
            <w:pPr>
              <w:jc w:val="center"/>
              <w:rPr>
                <w:sz w:val="18"/>
                <w:szCs w:val="18"/>
              </w:rPr>
            </w:pPr>
            <w:r w:rsidRPr="00AC36D6">
              <w:rPr>
                <w:sz w:val="18"/>
                <w:szCs w:val="18"/>
              </w:rPr>
              <w:t>82,292.90</w:t>
            </w:r>
          </w:p>
        </w:tc>
        <w:tc>
          <w:tcPr>
            <w:tcW w:w="1842" w:type="dxa"/>
            <w:vAlign w:val="center"/>
          </w:tcPr>
          <w:p w14:paraId="179F84F8" w14:textId="77777777" w:rsidR="004A7E07" w:rsidRPr="00AC36D6" w:rsidRDefault="004A7E07" w:rsidP="00534533">
            <w:pPr>
              <w:jc w:val="center"/>
              <w:rPr>
                <w:sz w:val="18"/>
                <w:szCs w:val="18"/>
              </w:rPr>
            </w:pPr>
            <w:r w:rsidRPr="00AC36D6">
              <w:rPr>
                <w:sz w:val="18"/>
                <w:szCs w:val="18"/>
              </w:rPr>
              <w:t>81,007.20</w:t>
            </w:r>
          </w:p>
        </w:tc>
        <w:tc>
          <w:tcPr>
            <w:tcW w:w="1701" w:type="dxa"/>
            <w:vAlign w:val="center"/>
          </w:tcPr>
          <w:p w14:paraId="5DBCCF3F" w14:textId="77777777" w:rsidR="004A7E07" w:rsidRPr="00AC36D6" w:rsidRDefault="004A7E07" w:rsidP="00534533">
            <w:pPr>
              <w:jc w:val="center"/>
              <w:rPr>
                <w:sz w:val="18"/>
                <w:szCs w:val="18"/>
              </w:rPr>
            </w:pPr>
            <w:r w:rsidRPr="00AC36D6">
              <w:rPr>
                <w:sz w:val="18"/>
                <w:szCs w:val="18"/>
              </w:rPr>
              <w:t>82,513.00</w:t>
            </w:r>
          </w:p>
        </w:tc>
        <w:tc>
          <w:tcPr>
            <w:tcW w:w="1692" w:type="dxa"/>
            <w:gridSpan w:val="2"/>
            <w:tcBorders>
              <w:right w:val="double" w:sz="4" w:space="0" w:color="auto"/>
            </w:tcBorders>
            <w:vAlign w:val="center"/>
          </w:tcPr>
          <w:p w14:paraId="2F6783B9" w14:textId="77777777" w:rsidR="004A7E07" w:rsidRPr="00AC36D6" w:rsidRDefault="004A7E07" w:rsidP="00534533">
            <w:pPr>
              <w:jc w:val="center"/>
              <w:rPr>
                <w:sz w:val="18"/>
                <w:szCs w:val="18"/>
              </w:rPr>
            </w:pPr>
            <w:r w:rsidRPr="00AC36D6">
              <w:rPr>
                <w:sz w:val="18"/>
                <w:szCs w:val="18"/>
              </w:rPr>
              <w:t>83,013.20</w:t>
            </w:r>
          </w:p>
        </w:tc>
      </w:tr>
      <w:tr w:rsidR="004A7E07" w:rsidRPr="00AC36D6" w14:paraId="6C33E66D" w14:textId="77777777" w:rsidTr="002D5BC2">
        <w:trPr>
          <w:trHeight w:hRule="exact" w:val="720"/>
        </w:trPr>
        <w:tc>
          <w:tcPr>
            <w:tcW w:w="1446" w:type="dxa"/>
            <w:tcBorders>
              <w:left w:val="double" w:sz="4" w:space="0" w:color="auto"/>
              <w:right w:val="double" w:sz="4" w:space="0" w:color="auto"/>
            </w:tcBorders>
            <w:vAlign w:val="center"/>
          </w:tcPr>
          <w:p w14:paraId="5BAFAD2A" w14:textId="77777777" w:rsidR="004A7E07" w:rsidRPr="00AC36D6" w:rsidRDefault="004A7E07" w:rsidP="00534533">
            <w:pPr>
              <w:rPr>
                <w:sz w:val="18"/>
                <w:szCs w:val="18"/>
              </w:rPr>
            </w:pPr>
            <w:r w:rsidRPr="00AC36D6">
              <w:rPr>
                <w:sz w:val="18"/>
                <w:szCs w:val="18"/>
              </w:rPr>
              <w:t>Bayesian information criterion (BIC)</w:t>
            </w:r>
          </w:p>
        </w:tc>
        <w:tc>
          <w:tcPr>
            <w:tcW w:w="2020" w:type="dxa"/>
            <w:tcBorders>
              <w:left w:val="double" w:sz="4" w:space="0" w:color="auto"/>
            </w:tcBorders>
            <w:vAlign w:val="center"/>
          </w:tcPr>
          <w:p w14:paraId="7D931073" w14:textId="77777777" w:rsidR="004A7E07" w:rsidRPr="00AC36D6" w:rsidRDefault="004A7E07" w:rsidP="00534533">
            <w:pPr>
              <w:jc w:val="center"/>
              <w:rPr>
                <w:sz w:val="18"/>
                <w:szCs w:val="18"/>
              </w:rPr>
            </w:pPr>
            <w:r w:rsidRPr="00AC36D6">
              <w:rPr>
                <w:sz w:val="18"/>
                <w:szCs w:val="18"/>
              </w:rPr>
              <w:t>81,155.97</w:t>
            </w:r>
          </w:p>
        </w:tc>
        <w:tc>
          <w:tcPr>
            <w:tcW w:w="1701" w:type="dxa"/>
            <w:vAlign w:val="center"/>
          </w:tcPr>
          <w:p w14:paraId="0DEB1713" w14:textId="77777777" w:rsidR="004A7E07" w:rsidRPr="00AC36D6" w:rsidRDefault="004A7E07" w:rsidP="00534533">
            <w:pPr>
              <w:jc w:val="center"/>
              <w:rPr>
                <w:sz w:val="18"/>
                <w:szCs w:val="18"/>
              </w:rPr>
            </w:pPr>
            <w:r w:rsidRPr="00AC36D6">
              <w:rPr>
                <w:sz w:val="18"/>
                <w:szCs w:val="18"/>
              </w:rPr>
              <w:t>82,754.94</w:t>
            </w:r>
          </w:p>
        </w:tc>
        <w:tc>
          <w:tcPr>
            <w:tcW w:w="1842" w:type="dxa"/>
            <w:vAlign w:val="center"/>
          </w:tcPr>
          <w:p w14:paraId="0EE0DACB" w14:textId="77777777" w:rsidR="004A7E07" w:rsidRPr="00AC36D6" w:rsidRDefault="004A7E07" w:rsidP="00534533">
            <w:pPr>
              <w:jc w:val="center"/>
              <w:rPr>
                <w:sz w:val="18"/>
                <w:szCs w:val="18"/>
              </w:rPr>
            </w:pPr>
            <w:r w:rsidRPr="00AC36D6">
              <w:rPr>
                <w:sz w:val="18"/>
                <w:szCs w:val="18"/>
              </w:rPr>
              <w:t>81,444.60</w:t>
            </w:r>
          </w:p>
        </w:tc>
        <w:tc>
          <w:tcPr>
            <w:tcW w:w="1701" w:type="dxa"/>
            <w:vAlign w:val="center"/>
          </w:tcPr>
          <w:p w14:paraId="63365BA3" w14:textId="77777777" w:rsidR="004A7E07" w:rsidRPr="00AC36D6" w:rsidRDefault="004A7E07" w:rsidP="00534533">
            <w:pPr>
              <w:jc w:val="center"/>
              <w:rPr>
                <w:sz w:val="18"/>
                <w:szCs w:val="18"/>
              </w:rPr>
            </w:pPr>
            <w:r w:rsidRPr="00AC36D6">
              <w:rPr>
                <w:sz w:val="18"/>
                <w:szCs w:val="18"/>
              </w:rPr>
              <w:t>82,870.31</w:t>
            </w:r>
          </w:p>
        </w:tc>
        <w:tc>
          <w:tcPr>
            <w:tcW w:w="1692" w:type="dxa"/>
            <w:gridSpan w:val="2"/>
            <w:tcBorders>
              <w:right w:val="double" w:sz="4" w:space="0" w:color="auto"/>
            </w:tcBorders>
            <w:vAlign w:val="center"/>
          </w:tcPr>
          <w:p w14:paraId="37665767" w14:textId="77777777" w:rsidR="004A7E07" w:rsidRPr="00AC36D6" w:rsidRDefault="004A7E07" w:rsidP="00534533">
            <w:pPr>
              <w:jc w:val="center"/>
              <w:rPr>
                <w:sz w:val="18"/>
                <w:szCs w:val="18"/>
              </w:rPr>
            </w:pPr>
            <w:r w:rsidRPr="00AC36D6">
              <w:rPr>
                <w:sz w:val="18"/>
                <w:szCs w:val="18"/>
              </w:rPr>
              <w:t>83,475.24</w:t>
            </w:r>
          </w:p>
        </w:tc>
      </w:tr>
      <w:tr w:rsidR="004A7E07" w:rsidRPr="00AC36D6" w14:paraId="179236A5" w14:textId="77777777" w:rsidTr="002D5BC2">
        <w:trPr>
          <w:trHeight w:hRule="exact" w:val="720"/>
        </w:trPr>
        <w:tc>
          <w:tcPr>
            <w:tcW w:w="1446" w:type="dxa"/>
            <w:tcBorders>
              <w:left w:val="double" w:sz="4" w:space="0" w:color="auto"/>
              <w:bottom w:val="double" w:sz="4" w:space="0" w:color="auto"/>
              <w:right w:val="double" w:sz="4" w:space="0" w:color="auto"/>
            </w:tcBorders>
            <w:vAlign w:val="center"/>
          </w:tcPr>
          <w:p w14:paraId="1E1BE5E6" w14:textId="77777777" w:rsidR="004A7E07" w:rsidRPr="00AC36D6" w:rsidRDefault="004A7E07" w:rsidP="00534533">
            <w:pPr>
              <w:rPr>
                <w:sz w:val="18"/>
                <w:szCs w:val="18"/>
              </w:rPr>
            </w:pPr>
            <w:r w:rsidRPr="00AC36D6">
              <w:rPr>
                <w:sz w:val="18"/>
                <w:szCs w:val="18"/>
                <w:vertAlign w:val="superscript"/>
              </w:rPr>
              <w:t>$</w:t>
            </w:r>
            <w:r w:rsidRPr="00AC36D6">
              <w:rPr>
                <w:sz w:val="18"/>
                <w:szCs w:val="18"/>
              </w:rPr>
              <w:t xml:space="preserve"> Likelihood ratio test</w:t>
            </w:r>
          </w:p>
        </w:tc>
        <w:tc>
          <w:tcPr>
            <w:tcW w:w="8956" w:type="dxa"/>
            <w:gridSpan w:val="6"/>
            <w:tcBorders>
              <w:left w:val="double" w:sz="4" w:space="0" w:color="auto"/>
              <w:bottom w:val="double" w:sz="4" w:space="0" w:color="auto"/>
              <w:right w:val="double" w:sz="4" w:space="0" w:color="auto"/>
            </w:tcBorders>
            <w:vAlign w:val="center"/>
          </w:tcPr>
          <w:p w14:paraId="2F4F7D9A" w14:textId="77777777" w:rsidR="004A7E07" w:rsidRPr="00AC36D6" w:rsidRDefault="004A7E07" w:rsidP="00534533">
            <w:pPr>
              <w:rPr>
                <w:sz w:val="18"/>
                <w:szCs w:val="18"/>
              </w:rPr>
            </w:pPr>
            <w:r w:rsidRPr="00AC36D6">
              <w:rPr>
                <w:sz w:val="18"/>
                <w:szCs w:val="18"/>
              </w:rPr>
              <w:t xml:space="preserve">Test statistic: </w:t>
            </w:r>
            <w:r w:rsidRPr="00AC36D6">
              <w:rPr>
                <w:rFonts w:asciiTheme="minorHAnsi" w:hAnsiTheme="minorHAnsi" w:cstheme="minorBidi"/>
                <w:position w:val="-12"/>
                <w:sz w:val="18"/>
                <w:szCs w:val="18"/>
                <w:lang w:val="en-IN"/>
              </w:rPr>
              <w:object w:dxaOrig="5380" w:dyaOrig="320" w14:anchorId="1163E91A">
                <v:shape id="_x0000_i1250" type="#_x0000_t75" style="width:271.3pt;height:15.85pt" o:ole="">
                  <v:imagedata r:id="rId436" o:title=""/>
                </v:shape>
                <o:OLEObject Type="Embed" ProgID="Equation.DSMT4" ShapeID="_x0000_i1250" DrawAspect="Content" ObjectID="_1726484547" r:id="rId437"/>
              </w:object>
            </w:r>
            <w:r w:rsidRPr="00AC36D6">
              <w:rPr>
                <w:sz w:val="18"/>
                <w:szCs w:val="18"/>
              </w:rPr>
              <w:t xml:space="preserve">Chi-squared statistic for 27 degrees of freedom at any reasonable degree of freedom, thus implying that the flexible MDCP model (with IID </w:t>
            </w:r>
            <w:r w:rsidRPr="00AC36D6">
              <w:rPr>
                <w:i/>
                <w:iCs/>
                <w:sz w:val="18"/>
                <w:szCs w:val="18"/>
              </w:rPr>
              <w:t>D-</w:t>
            </w:r>
            <w:r w:rsidRPr="00AC36D6">
              <w:rPr>
                <w:sz w:val="18"/>
                <w:szCs w:val="18"/>
              </w:rPr>
              <w:t xml:space="preserve">preferences and non-IID </w:t>
            </w:r>
            <w:r w:rsidRPr="00AC36D6">
              <w:rPr>
                <w:i/>
                <w:iCs/>
                <w:sz w:val="18"/>
                <w:szCs w:val="18"/>
              </w:rPr>
              <w:t>C-</w:t>
            </w:r>
            <w:r w:rsidRPr="00AC36D6">
              <w:rPr>
                <w:sz w:val="18"/>
                <w:szCs w:val="18"/>
              </w:rPr>
              <w:t>preferences is the preferred model.</w:t>
            </w:r>
          </w:p>
        </w:tc>
      </w:tr>
      <w:tr w:rsidR="004A7E07" w:rsidRPr="00AC36D6" w14:paraId="0C9E8E8B" w14:textId="77777777" w:rsidTr="002D5BC2">
        <w:tc>
          <w:tcPr>
            <w:tcW w:w="8731" w:type="dxa"/>
            <w:gridSpan w:val="6"/>
            <w:tcBorders>
              <w:top w:val="double" w:sz="4" w:space="0" w:color="auto"/>
              <w:left w:val="double" w:sz="4" w:space="0" w:color="auto"/>
              <w:bottom w:val="double" w:sz="4" w:space="0" w:color="auto"/>
            </w:tcBorders>
            <w:vAlign w:val="center"/>
          </w:tcPr>
          <w:p w14:paraId="5F47062C" w14:textId="77777777" w:rsidR="004A7E07" w:rsidRPr="00AC36D6" w:rsidRDefault="004A7E07" w:rsidP="00534533">
            <w:pPr>
              <w:rPr>
                <w:b/>
                <w:bCs/>
                <w:sz w:val="18"/>
                <w:szCs w:val="18"/>
              </w:rPr>
            </w:pPr>
            <w:r w:rsidRPr="00AC36D6">
              <w:rPr>
                <w:b/>
                <w:bCs/>
                <w:sz w:val="18"/>
                <w:szCs w:val="18"/>
              </w:rPr>
              <w:t>Goodness of fit measures in the holdout sample (N = 1,481)</w:t>
            </w:r>
          </w:p>
        </w:tc>
        <w:tc>
          <w:tcPr>
            <w:tcW w:w="1671" w:type="dxa"/>
            <w:tcBorders>
              <w:top w:val="double" w:sz="4" w:space="0" w:color="auto"/>
              <w:bottom w:val="double" w:sz="4" w:space="0" w:color="auto"/>
              <w:right w:val="double" w:sz="4" w:space="0" w:color="auto"/>
            </w:tcBorders>
          </w:tcPr>
          <w:p w14:paraId="42C4A299" w14:textId="77777777" w:rsidR="004A7E07" w:rsidRPr="00AC36D6" w:rsidRDefault="004A7E07" w:rsidP="00534533">
            <w:pPr>
              <w:rPr>
                <w:b/>
                <w:bCs/>
                <w:sz w:val="18"/>
                <w:szCs w:val="18"/>
              </w:rPr>
            </w:pPr>
          </w:p>
        </w:tc>
      </w:tr>
      <w:tr w:rsidR="004A7E07" w:rsidRPr="00AC36D6" w14:paraId="7792A9C4" w14:textId="77777777" w:rsidTr="002D5BC2">
        <w:tc>
          <w:tcPr>
            <w:tcW w:w="1446" w:type="dxa"/>
            <w:tcBorders>
              <w:top w:val="double" w:sz="4" w:space="0" w:color="auto"/>
              <w:left w:val="double" w:sz="4" w:space="0" w:color="auto"/>
              <w:bottom w:val="double" w:sz="4" w:space="0" w:color="auto"/>
              <w:right w:val="double" w:sz="4" w:space="0" w:color="auto"/>
            </w:tcBorders>
            <w:vAlign w:val="center"/>
          </w:tcPr>
          <w:p w14:paraId="39CF1E7F" w14:textId="77777777" w:rsidR="004A7E07" w:rsidRPr="00AC36D6" w:rsidRDefault="004A7E07" w:rsidP="00534533">
            <w:pPr>
              <w:rPr>
                <w:sz w:val="18"/>
                <w:szCs w:val="18"/>
              </w:rPr>
            </w:pPr>
          </w:p>
        </w:tc>
        <w:tc>
          <w:tcPr>
            <w:tcW w:w="2020" w:type="dxa"/>
            <w:tcBorders>
              <w:top w:val="double" w:sz="4" w:space="0" w:color="auto"/>
              <w:left w:val="double" w:sz="4" w:space="0" w:color="auto"/>
              <w:bottom w:val="double" w:sz="4" w:space="0" w:color="auto"/>
            </w:tcBorders>
            <w:vAlign w:val="center"/>
          </w:tcPr>
          <w:p w14:paraId="59D1CA39" w14:textId="77777777" w:rsidR="004A7E07" w:rsidRPr="00AC36D6" w:rsidRDefault="004A7E07" w:rsidP="00534533">
            <w:pPr>
              <w:jc w:val="center"/>
              <w:rPr>
                <w:sz w:val="18"/>
                <w:szCs w:val="18"/>
              </w:rPr>
            </w:pPr>
            <w:r w:rsidRPr="00AC36D6">
              <w:rPr>
                <w:sz w:val="18"/>
                <w:szCs w:val="18"/>
              </w:rPr>
              <w:t>Flexible MDCP</w:t>
            </w:r>
          </w:p>
          <w:p w14:paraId="6047CF9C" w14:textId="77777777" w:rsidR="004A7E07" w:rsidRPr="00AC36D6" w:rsidRDefault="004A7E07" w:rsidP="00534533">
            <w:pPr>
              <w:jc w:val="center"/>
              <w:rPr>
                <w:sz w:val="18"/>
                <w:szCs w:val="18"/>
              </w:rPr>
            </w:pPr>
            <w:r w:rsidRPr="00AC36D6">
              <w:rPr>
                <w:sz w:val="18"/>
                <w:szCs w:val="18"/>
              </w:rPr>
              <w:t xml:space="preserve">(with IID </w:t>
            </w:r>
            <w:r w:rsidRPr="00AC36D6">
              <w:rPr>
                <w:i/>
                <w:iCs/>
                <w:sz w:val="18"/>
                <w:szCs w:val="18"/>
              </w:rPr>
              <w:t>D-</w:t>
            </w:r>
            <w:r w:rsidRPr="00AC36D6">
              <w:rPr>
                <w:sz w:val="18"/>
                <w:szCs w:val="18"/>
              </w:rPr>
              <w:t xml:space="preserve">preferences and non-IID </w:t>
            </w:r>
            <w:r w:rsidRPr="00AC36D6">
              <w:rPr>
                <w:i/>
                <w:iCs/>
                <w:sz w:val="18"/>
                <w:szCs w:val="18"/>
              </w:rPr>
              <w:t>C-</w:t>
            </w:r>
            <w:r w:rsidRPr="00AC36D6">
              <w:rPr>
                <w:sz w:val="18"/>
                <w:szCs w:val="18"/>
              </w:rPr>
              <w:t>preferences)</w:t>
            </w:r>
          </w:p>
        </w:tc>
        <w:tc>
          <w:tcPr>
            <w:tcW w:w="1701" w:type="dxa"/>
            <w:tcBorders>
              <w:top w:val="double" w:sz="4" w:space="0" w:color="auto"/>
              <w:bottom w:val="double" w:sz="4" w:space="0" w:color="auto"/>
            </w:tcBorders>
            <w:vAlign w:val="center"/>
          </w:tcPr>
          <w:p w14:paraId="3DF48AE2" w14:textId="77777777" w:rsidR="004A7E07" w:rsidRPr="00AC36D6" w:rsidRDefault="004A7E07" w:rsidP="00534533">
            <w:pPr>
              <w:jc w:val="center"/>
              <w:rPr>
                <w:sz w:val="18"/>
                <w:szCs w:val="18"/>
              </w:rPr>
            </w:pPr>
            <w:r w:rsidRPr="00AC36D6">
              <w:rPr>
                <w:sz w:val="18"/>
                <w:szCs w:val="18"/>
              </w:rPr>
              <w:t>Flexible MDCP</w:t>
            </w:r>
            <w:r w:rsidRPr="00AC36D6">
              <w:rPr>
                <w:sz w:val="18"/>
                <w:szCs w:val="18"/>
                <w:vertAlign w:val="superscript"/>
              </w:rPr>
              <w:t>#</w:t>
            </w:r>
          </w:p>
          <w:p w14:paraId="6980D990" w14:textId="77777777" w:rsidR="004A7E07" w:rsidRPr="00AC36D6" w:rsidRDefault="004A7E07" w:rsidP="00534533">
            <w:pPr>
              <w:jc w:val="center"/>
              <w:rPr>
                <w:sz w:val="18"/>
                <w:szCs w:val="18"/>
              </w:rPr>
            </w:pPr>
            <w:r w:rsidRPr="00AC36D6">
              <w:rPr>
                <w:sz w:val="18"/>
                <w:szCs w:val="18"/>
              </w:rPr>
              <w:t xml:space="preserve">(IID </w:t>
            </w:r>
            <w:r w:rsidRPr="00AC36D6">
              <w:rPr>
                <w:i/>
                <w:iCs/>
                <w:sz w:val="18"/>
                <w:szCs w:val="18"/>
              </w:rPr>
              <w:t>D-C</w:t>
            </w:r>
            <w:r w:rsidRPr="00AC36D6">
              <w:rPr>
                <w:sz w:val="18"/>
                <w:szCs w:val="18"/>
              </w:rPr>
              <w:t xml:space="preserve"> MDCP)</w:t>
            </w:r>
          </w:p>
        </w:tc>
        <w:tc>
          <w:tcPr>
            <w:tcW w:w="1842" w:type="dxa"/>
            <w:tcBorders>
              <w:top w:val="double" w:sz="4" w:space="0" w:color="auto"/>
              <w:bottom w:val="double" w:sz="4" w:space="0" w:color="auto"/>
            </w:tcBorders>
            <w:vAlign w:val="center"/>
          </w:tcPr>
          <w:p w14:paraId="0F2764DF" w14:textId="77777777" w:rsidR="004A7E07" w:rsidRPr="00AC36D6" w:rsidRDefault="004A7E07" w:rsidP="00534533">
            <w:pPr>
              <w:jc w:val="center"/>
              <w:rPr>
                <w:sz w:val="18"/>
                <w:szCs w:val="18"/>
              </w:rPr>
            </w:pPr>
            <w:r w:rsidRPr="00AC36D6">
              <w:rPr>
                <w:sz w:val="18"/>
                <w:szCs w:val="18"/>
              </w:rPr>
              <w:t>Traditional MDCP</w:t>
            </w:r>
          </w:p>
          <w:p w14:paraId="755586A4" w14:textId="77777777" w:rsidR="004A7E07" w:rsidRPr="00AC36D6" w:rsidRDefault="004A7E07" w:rsidP="00534533">
            <w:pPr>
              <w:jc w:val="center"/>
              <w:rPr>
                <w:sz w:val="18"/>
                <w:szCs w:val="18"/>
              </w:rPr>
            </w:pPr>
            <w:r w:rsidRPr="00AC36D6">
              <w:rPr>
                <w:sz w:val="18"/>
                <w:szCs w:val="18"/>
              </w:rPr>
              <w:t>(non-IID covariance structure)</w:t>
            </w:r>
          </w:p>
        </w:tc>
        <w:tc>
          <w:tcPr>
            <w:tcW w:w="1701" w:type="dxa"/>
            <w:tcBorders>
              <w:top w:val="double" w:sz="4" w:space="0" w:color="auto"/>
              <w:bottom w:val="double" w:sz="4" w:space="0" w:color="auto"/>
            </w:tcBorders>
            <w:vAlign w:val="center"/>
          </w:tcPr>
          <w:p w14:paraId="6D1B344A" w14:textId="77777777" w:rsidR="004A7E07" w:rsidRPr="00AC36D6" w:rsidRDefault="004A7E07" w:rsidP="00534533">
            <w:pPr>
              <w:jc w:val="center"/>
              <w:rPr>
                <w:sz w:val="18"/>
                <w:szCs w:val="18"/>
              </w:rPr>
            </w:pPr>
            <w:r w:rsidRPr="00AC36D6">
              <w:rPr>
                <w:sz w:val="18"/>
                <w:szCs w:val="18"/>
              </w:rPr>
              <w:t>Traditional MDCP</w:t>
            </w:r>
          </w:p>
          <w:p w14:paraId="47B1FEAE" w14:textId="77777777" w:rsidR="004A7E07" w:rsidRPr="00AC36D6" w:rsidRDefault="004A7E07" w:rsidP="00534533">
            <w:pPr>
              <w:jc w:val="center"/>
              <w:rPr>
                <w:sz w:val="18"/>
                <w:szCs w:val="18"/>
              </w:rPr>
            </w:pPr>
            <w:r w:rsidRPr="00AC36D6">
              <w:rPr>
                <w:sz w:val="18"/>
                <w:szCs w:val="18"/>
              </w:rPr>
              <w:t>(IID MDCP)</w:t>
            </w:r>
          </w:p>
        </w:tc>
        <w:tc>
          <w:tcPr>
            <w:tcW w:w="1692" w:type="dxa"/>
            <w:gridSpan w:val="2"/>
            <w:tcBorders>
              <w:top w:val="double" w:sz="4" w:space="0" w:color="auto"/>
              <w:bottom w:val="double" w:sz="4" w:space="0" w:color="auto"/>
              <w:right w:val="double" w:sz="4" w:space="0" w:color="auto"/>
            </w:tcBorders>
            <w:vAlign w:val="center"/>
          </w:tcPr>
          <w:p w14:paraId="12844689" w14:textId="77777777" w:rsidR="004A7E07" w:rsidRPr="00AC36D6" w:rsidRDefault="004A7E07" w:rsidP="00534533">
            <w:pPr>
              <w:jc w:val="center"/>
              <w:rPr>
                <w:sz w:val="18"/>
                <w:szCs w:val="18"/>
              </w:rPr>
            </w:pPr>
            <w:r w:rsidRPr="00AC36D6">
              <w:rPr>
                <w:sz w:val="18"/>
                <w:szCs w:val="18"/>
              </w:rPr>
              <w:t>Flexible MDCEV</w:t>
            </w:r>
            <w:r w:rsidRPr="00AC36D6">
              <w:rPr>
                <w:sz w:val="18"/>
                <w:szCs w:val="18"/>
                <w:vertAlign w:val="superscript"/>
              </w:rPr>
              <w:t>#</w:t>
            </w:r>
          </w:p>
        </w:tc>
      </w:tr>
      <w:tr w:rsidR="004A7E07" w:rsidRPr="00AC36D6" w14:paraId="77867DF0" w14:textId="77777777" w:rsidTr="002D5BC2">
        <w:trPr>
          <w:trHeight w:hRule="exact" w:val="720"/>
        </w:trPr>
        <w:tc>
          <w:tcPr>
            <w:tcW w:w="1446" w:type="dxa"/>
            <w:tcBorders>
              <w:top w:val="double" w:sz="4" w:space="0" w:color="auto"/>
              <w:left w:val="double" w:sz="4" w:space="0" w:color="auto"/>
              <w:right w:val="double" w:sz="4" w:space="0" w:color="auto"/>
            </w:tcBorders>
            <w:vAlign w:val="center"/>
          </w:tcPr>
          <w:p w14:paraId="5087C6A7" w14:textId="77777777" w:rsidR="004A7E07" w:rsidRPr="00AC36D6" w:rsidRDefault="004A7E07" w:rsidP="00534533">
            <w:pPr>
              <w:rPr>
                <w:sz w:val="18"/>
                <w:szCs w:val="18"/>
              </w:rPr>
            </w:pPr>
            <w:r w:rsidRPr="00AC36D6">
              <w:rPr>
                <w:sz w:val="18"/>
                <w:szCs w:val="18"/>
              </w:rPr>
              <w:t>Predictive log-likelihood</w:t>
            </w:r>
          </w:p>
        </w:tc>
        <w:tc>
          <w:tcPr>
            <w:tcW w:w="2020" w:type="dxa"/>
            <w:tcBorders>
              <w:top w:val="double" w:sz="4" w:space="0" w:color="auto"/>
              <w:left w:val="double" w:sz="4" w:space="0" w:color="auto"/>
            </w:tcBorders>
            <w:vAlign w:val="center"/>
          </w:tcPr>
          <w:p w14:paraId="03DCD7A7" w14:textId="77777777" w:rsidR="004A7E07" w:rsidRPr="00AC36D6" w:rsidRDefault="004A7E07" w:rsidP="00534533">
            <w:pPr>
              <w:jc w:val="center"/>
              <w:rPr>
                <w:sz w:val="18"/>
                <w:szCs w:val="18"/>
              </w:rPr>
            </w:pPr>
            <w:r w:rsidRPr="00AC36D6">
              <w:rPr>
                <w:sz w:val="18"/>
                <w:szCs w:val="18"/>
              </w:rPr>
              <w:t>-17,404.12</w:t>
            </w:r>
          </w:p>
        </w:tc>
        <w:tc>
          <w:tcPr>
            <w:tcW w:w="1701" w:type="dxa"/>
            <w:tcBorders>
              <w:top w:val="double" w:sz="4" w:space="0" w:color="auto"/>
            </w:tcBorders>
            <w:vAlign w:val="center"/>
          </w:tcPr>
          <w:p w14:paraId="4A49D31F" w14:textId="77777777" w:rsidR="004A7E07" w:rsidRPr="00AC36D6" w:rsidRDefault="004A7E07" w:rsidP="00534533">
            <w:pPr>
              <w:jc w:val="center"/>
              <w:rPr>
                <w:sz w:val="18"/>
                <w:szCs w:val="18"/>
              </w:rPr>
            </w:pPr>
            <w:r w:rsidRPr="00AC36D6">
              <w:rPr>
                <w:sz w:val="18"/>
                <w:szCs w:val="18"/>
              </w:rPr>
              <w:t>-17,812.54</w:t>
            </w:r>
          </w:p>
        </w:tc>
        <w:tc>
          <w:tcPr>
            <w:tcW w:w="1842" w:type="dxa"/>
            <w:tcBorders>
              <w:top w:val="double" w:sz="4" w:space="0" w:color="auto"/>
            </w:tcBorders>
            <w:vAlign w:val="center"/>
          </w:tcPr>
          <w:p w14:paraId="0D35219C" w14:textId="77777777" w:rsidR="004A7E07" w:rsidRPr="00AC36D6" w:rsidRDefault="004A7E07" w:rsidP="00534533">
            <w:pPr>
              <w:jc w:val="center"/>
              <w:rPr>
                <w:sz w:val="18"/>
                <w:szCs w:val="18"/>
              </w:rPr>
            </w:pPr>
            <w:r w:rsidRPr="00AC36D6">
              <w:rPr>
                <w:sz w:val="18"/>
                <w:szCs w:val="18"/>
              </w:rPr>
              <w:t>-17,520.77</w:t>
            </w:r>
          </w:p>
        </w:tc>
        <w:tc>
          <w:tcPr>
            <w:tcW w:w="1701" w:type="dxa"/>
            <w:tcBorders>
              <w:top w:val="double" w:sz="4" w:space="0" w:color="auto"/>
            </w:tcBorders>
            <w:vAlign w:val="center"/>
          </w:tcPr>
          <w:p w14:paraId="4A570CE0" w14:textId="77777777" w:rsidR="004A7E07" w:rsidRPr="00AC36D6" w:rsidRDefault="004A7E07" w:rsidP="00534533">
            <w:pPr>
              <w:jc w:val="center"/>
              <w:rPr>
                <w:sz w:val="18"/>
                <w:szCs w:val="18"/>
              </w:rPr>
            </w:pPr>
            <w:r w:rsidRPr="00AC36D6">
              <w:rPr>
                <w:sz w:val="18"/>
                <w:szCs w:val="18"/>
              </w:rPr>
              <w:t>-17,839.42</w:t>
            </w:r>
          </w:p>
        </w:tc>
        <w:tc>
          <w:tcPr>
            <w:tcW w:w="1692" w:type="dxa"/>
            <w:gridSpan w:val="2"/>
            <w:tcBorders>
              <w:top w:val="double" w:sz="4" w:space="0" w:color="auto"/>
              <w:right w:val="double" w:sz="4" w:space="0" w:color="auto"/>
            </w:tcBorders>
            <w:vAlign w:val="center"/>
          </w:tcPr>
          <w:p w14:paraId="0895D7DA" w14:textId="77777777" w:rsidR="004A7E07" w:rsidRPr="00AC36D6" w:rsidRDefault="004A7E07" w:rsidP="00534533">
            <w:pPr>
              <w:jc w:val="center"/>
              <w:rPr>
                <w:sz w:val="18"/>
                <w:szCs w:val="18"/>
              </w:rPr>
            </w:pPr>
            <w:r w:rsidRPr="00AC36D6">
              <w:rPr>
                <w:sz w:val="18"/>
                <w:szCs w:val="18"/>
              </w:rPr>
              <w:t>-17,884.93</w:t>
            </w:r>
          </w:p>
        </w:tc>
      </w:tr>
      <w:tr w:rsidR="004A7E07" w:rsidRPr="00AC36D6" w14:paraId="0F08D769" w14:textId="77777777" w:rsidTr="002D5BC2">
        <w:trPr>
          <w:trHeight w:hRule="exact" w:val="720"/>
        </w:trPr>
        <w:tc>
          <w:tcPr>
            <w:tcW w:w="1446" w:type="dxa"/>
            <w:tcBorders>
              <w:left w:val="double" w:sz="4" w:space="0" w:color="auto"/>
              <w:right w:val="double" w:sz="4" w:space="0" w:color="auto"/>
            </w:tcBorders>
            <w:vAlign w:val="center"/>
          </w:tcPr>
          <w:p w14:paraId="7D9A65C8" w14:textId="77777777" w:rsidR="004A7E07" w:rsidRPr="00AC36D6" w:rsidRDefault="004A7E07" w:rsidP="00534533">
            <w:pPr>
              <w:rPr>
                <w:sz w:val="18"/>
                <w:szCs w:val="18"/>
              </w:rPr>
            </w:pPr>
            <w:r w:rsidRPr="00AC36D6">
              <w:rPr>
                <w:sz w:val="18"/>
                <w:szCs w:val="18"/>
              </w:rPr>
              <w:t>Akaike information criterion (AIC)</w:t>
            </w:r>
          </w:p>
        </w:tc>
        <w:tc>
          <w:tcPr>
            <w:tcW w:w="2020" w:type="dxa"/>
            <w:tcBorders>
              <w:left w:val="double" w:sz="4" w:space="0" w:color="auto"/>
            </w:tcBorders>
            <w:vAlign w:val="center"/>
          </w:tcPr>
          <w:p w14:paraId="273FA4C4" w14:textId="77777777" w:rsidR="004A7E07" w:rsidRPr="00AC36D6" w:rsidRDefault="004A7E07" w:rsidP="00534533">
            <w:pPr>
              <w:jc w:val="center"/>
              <w:rPr>
                <w:sz w:val="18"/>
                <w:szCs w:val="18"/>
              </w:rPr>
            </w:pPr>
            <w:r w:rsidRPr="00AC36D6">
              <w:rPr>
                <w:sz w:val="18"/>
                <w:szCs w:val="18"/>
              </w:rPr>
              <w:t>35,012.24</w:t>
            </w:r>
          </w:p>
        </w:tc>
        <w:tc>
          <w:tcPr>
            <w:tcW w:w="1701" w:type="dxa"/>
            <w:vAlign w:val="center"/>
          </w:tcPr>
          <w:p w14:paraId="4FA0B776" w14:textId="77777777" w:rsidR="004A7E07" w:rsidRPr="00AC36D6" w:rsidRDefault="004A7E07" w:rsidP="00534533">
            <w:pPr>
              <w:jc w:val="center"/>
              <w:rPr>
                <w:sz w:val="18"/>
                <w:szCs w:val="18"/>
              </w:rPr>
            </w:pPr>
            <w:r w:rsidRPr="00AC36D6">
              <w:rPr>
                <w:sz w:val="18"/>
                <w:szCs w:val="18"/>
              </w:rPr>
              <w:t>35,775.08</w:t>
            </w:r>
          </w:p>
        </w:tc>
        <w:tc>
          <w:tcPr>
            <w:tcW w:w="1842" w:type="dxa"/>
            <w:vAlign w:val="center"/>
          </w:tcPr>
          <w:p w14:paraId="63AB15E9" w14:textId="77777777" w:rsidR="004A7E07" w:rsidRPr="00AC36D6" w:rsidRDefault="004A7E07" w:rsidP="00534533">
            <w:pPr>
              <w:jc w:val="center"/>
              <w:rPr>
                <w:sz w:val="18"/>
                <w:szCs w:val="18"/>
              </w:rPr>
            </w:pPr>
            <w:r w:rsidRPr="00AC36D6">
              <w:rPr>
                <w:sz w:val="18"/>
                <w:szCs w:val="18"/>
              </w:rPr>
              <w:t>35,163.54</w:t>
            </w:r>
          </w:p>
        </w:tc>
        <w:tc>
          <w:tcPr>
            <w:tcW w:w="1701" w:type="dxa"/>
            <w:vAlign w:val="center"/>
          </w:tcPr>
          <w:p w14:paraId="35748900" w14:textId="77777777" w:rsidR="004A7E07" w:rsidRPr="00AC36D6" w:rsidRDefault="004A7E07" w:rsidP="00534533">
            <w:pPr>
              <w:jc w:val="center"/>
              <w:rPr>
                <w:sz w:val="18"/>
                <w:szCs w:val="18"/>
              </w:rPr>
            </w:pPr>
            <w:r w:rsidRPr="00AC36D6">
              <w:rPr>
                <w:sz w:val="18"/>
                <w:szCs w:val="18"/>
              </w:rPr>
              <w:t>35,794.84</w:t>
            </w:r>
          </w:p>
        </w:tc>
        <w:tc>
          <w:tcPr>
            <w:tcW w:w="1692" w:type="dxa"/>
            <w:gridSpan w:val="2"/>
            <w:tcBorders>
              <w:right w:val="double" w:sz="4" w:space="0" w:color="auto"/>
            </w:tcBorders>
            <w:vAlign w:val="center"/>
          </w:tcPr>
          <w:p w14:paraId="52B89A6B" w14:textId="77777777" w:rsidR="004A7E07" w:rsidRPr="00AC36D6" w:rsidRDefault="004A7E07" w:rsidP="00534533">
            <w:pPr>
              <w:jc w:val="center"/>
              <w:rPr>
                <w:sz w:val="18"/>
                <w:szCs w:val="18"/>
              </w:rPr>
            </w:pPr>
            <w:r w:rsidRPr="00AC36D6">
              <w:rPr>
                <w:sz w:val="18"/>
                <w:szCs w:val="18"/>
              </w:rPr>
              <w:t>35,919.86</w:t>
            </w:r>
          </w:p>
        </w:tc>
      </w:tr>
      <w:tr w:rsidR="004A7E07" w:rsidRPr="00AC36D6" w14:paraId="5E821B91" w14:textId="77777777" w:rsidTr="002D5BC2">
        <w:trPr>
          <w:trHeight w:hRule="exact" w:val="720"/>
        </w:trPr>
        <w:tc>
          <w:tcPr>
            <w:tcW w:w="1446" w:type="dxa"/>
            <w:tcBorders>
              <w:left w:val="double" w:sz="4" w:space="0" w:color="auto"/>
              <w:right w:val="double" w:sz="4" w:space="0" w:color="auto"/>
            </w:tcBorders>
            <w:vAlign w:val="center"/>
          </w:tcPr>
          <w:p w14:paraId="613C9722" w14:textId="77777777" w:rsidR="004A7E07" w:rsidRPr="00AC36D6" w:rsidRDefault="004A7E07" w:rsidP="00534533">
            <w:pPr>
              <w:rPr>
                <w:sz w:val="18"/>
                <w:szCs w:val="18"/>
              </w:rPr>
            </w:pPr>
            <w:r w:rsidRPr="00AC36D6">
              <w:rPr>
                <w:sz w:val="18"/>
                <w:szCs w:val="18"/>
              </w:rPr>
              <w:t>Bayesian information criterion (BIC)</w:t>
            </w:r>
          </w:p>
        </w:tc>
        <w:tc>
          <w:tcPr>
            <w:tcW w:w="2020" w:type="dxa"/>
            <w:tcBorders>
              <w:left w:val="double" w:sz="4" w:space="0" w:color="auto"/>
            </w:tcBorders>
            <w:vAlign w:val="center"/>
          </w:tcPr>
          <w:p w14:paraId="6C7ED1D5" w14:textId="77777777" w:rsidR="004A7E07" w:rsidRPr="00AC36D6" w:rsidRDefault="004A7E07" w:rsidP="00534533">
            <w:pPr>
              <w:jc w:val="center"/>
              <w:rPr>
                <w:sz w:val="18"/>
                <w:szCs w:val="18"/>
              </w:rPr>
            </w:pPr>
            <w:r w:rsidRPr="00AC36D6">
              <w:rPr>
                <w:sz w:val="18"/>
                <w:szCs w:val="18"/>
              </w:rPr>
              <w:t>35,552.89</w:t>
            </w:r>
          </w:p>
        </w:tc>
        <w:tc>
          <w:tcPr>
            <w:tcW w:w="1701" w:type="dxa"/>
            <w:vAlign w:val="center"/>
          </w:tcPr>
          <w:p w14:paraId="5844DA74" w14:textId="77777777" w:rsidR="004A7E07" w:rsidRPr="00AC36D6" w:rsidRDefault="004A7E07" w:rsidP="00534533">
            <w:pPr>
              <w:jc w:val="center"/>
              <w:rPr>
                <w:sz w:val="18"/>
                <w:szCs w:val="18"/>
              </w:rPr>
            </w:pPr>
            <w:r w:rsidRPr="00AC36D6">
              <w:rPr>
                <w:sz w:val="18"/>
                <w:szCs w:val="18"/>
              </w:rPr>
              <w:t>36,172.61</w:t>
            </w:r>
          </w:p>
        </w:tc>
        <w:tc>
          <w:tcPr>
            <w:tcW w:w="1842" w:type="dxa"/>
            <w:vAlign w:val="center"/>
          </w:tcPr>
          <w:p w14:paraId="647D7A91" w14:textId="77777777" w:rsidR="004A7E07" w:rsidRPr="00AC36D6" w:rsidRDefault="004A7E07" w:rsidP="00534533">
            <w:pPr>
              <w:jc w:val="center"/>
              <w:rPr>
                <w:sz w:val="18"/>
                <w:szCs w:val="18"/>
              </w:rPr>
            </w:pPr>
            <w:r w:rsidRPr="00AC36D6">
              <w:rPr>
                <w:sz w:val="18"/>
                <w:szCs w:val="18"/>
              </w:rPr>
              <w:t>35,620.94</w:t>
            </w:r>
          </w:p>
        </w:tc>
        <w:tc>
          <w:tcPr>
            <w:tcW w:w="1701" w:type="dxa"/>
            <w:vAlign w:val="center"/>
          </w:tcPr>
          <w:p w14:paraId="3CD3F221" w14:textId="77777777" w:rsidR="004A7E07" w:rsidRPr="00AC36D6" w:rsidRDefault="004A7E07" w:rsidP="00534533">
            <w:pPr>
              <w:jc w:val="center"/>
              <w:rPr>
                <w:sz w:val="18"/>
                <w:szCs w:val="18"/>
              </w:rPr>
            </w:pPr>
            <w:r w:rsidRPr="00AC36D6">
              <w:rPr>
                <w:sz w:val="18"/>
                <w:szCs w:val="18"/>
              </w:rPr>
              <w:t>36,102.27</w:t>
            </w:r>
          </w:p>
        </w:tc>
        <w:tc>
          <w:tcPr>
            <w:tcW w:w="1692" w:type="dxa"/>
            <w:gridSpan w:val="2"/>
            <w:tcBorders>
              <w:right w:val="double" w:sz="4" w:space="0" w:color="auto"/>
            </w:tcBorders>
            <w:vAlign w:val="center"/>
          </w:tcPr>
          <w:p w14:paraId="29FCB395" w14:textId="77777777" w:rsidR="004A7E07" w:rsidRPr="00AC36D6" w:rsidRDefault="004A7E07" w:rsidP="00534533">
            <w:pPr>
              <w:jc w:val="center"/>
              <w:rPr>
                <w:sz w:val="18"/>
                <w:szCs w:val="18"/>
              </w:rPr>
            </w:pPr>
            <w:r w:rsidRPr="00AC36D6">
              <w:rPr>
                <w:sz w:val="18"/>
                <w:szCs w:val="18"/>
              </w:rPr>
              <w:t>36,381.90</w:t>
            </w:r>
          </w:p>
        </w:tc>
      </w:tr>
      <w:tr w:rsidR="004A7E07" w:rsidRPr="00AC36D6" w14:paraId="5273CFB5" w14:textId="77777777" w:rsidTr="002D5BC2">
        <w:trPr>
          <w:trHeight w:hRule="exact" w:val="720"/>
        </w:trPr>
        <w:tc>
          <w:tcPr>
            <w:tcW w:w="1446" w:type="dxa"/>
            <w:tcBorders>
              <w:left w:val="double" w:sz="4" w:space="0" w:color="auto"/>
              <w:bottom w:val="double" w:sz="4" w:space="0" w:color="auto"/>
              <w:right w:val="double" w:sz="4" w:space="0" w:color="auto"/>
            </w:tcBorders>
            <w:vAlign w:val="center"/>
          </w:tcPr>
          <w:p w14:paraId="40686B9B" w14:textId="77777777" w:rsidR="004A7E07" w:rsidRPr="00AC36D6" w:rsidRDefault="004A7E07" w:rsidP="00534533">
            <w:pPr>
              <w:rPr>
                <w:sz w:val="18"/>
                <w:szCs w:val="18"/>
              </w:rPr>
            </w:pPr>
            <w:r w:rsidRPr="00AC36D6">
              <w:rPr>
                <w:sz w:val="18"/>
                <w:szCs w:val="18"/>
                <w:vertAlign w:val="superscript"/>
              </w:rPr>
              <w:t>$</w:t>
            </w:r>
            <w:r w:rsidRPr="00AC36D6">
              <w:rPr>
                <w:sz w:val="18"/>
                <w:szCs w:val="18"/>
              </w:rPr>
              <w:t xml:space="preserve"> Likelihood ratio test</w:t>
            </w:r>
          </w:p>
        </w:tc>
        <w:tc>
          <w:tcPr>
            <w:tcW w:w="8956" w:type="dxa"/>
            <w:gridSpan w:val="6"/>
            <w:tcBorders>
              <w:left w:val="double" w:sz="4" w:space="0" w:color="auto"/>
              <w:bottom w:val="double" w:sz="4" w:space="0" w:color="auto"/>
              <w:right w:val="double" w:sz="4" w:space="0" w:color="auto"/>
            </w:tcBorders>
            <w:vAlign w:val="center"/>
          </w:tcPr>
          <w:p w14:paraId="00F502A9" w14:textId="77777777" w:rsidR="004A7E07" w:rsidRPr="00AC36D6" w:rsidRDefault="004A7E07" w:rsidP="00534533">
            <w:pPr>
              <w:rPr>
                <w:sz w:val="18"/>
                <w:szCs w:val="18"/>
              </w:rPr>
            </w:pPr>
            <w:r w:rsidRPr="00AC36D6">
              <w:rPr>
                <w:sz w:val="18"/>
                <w:szCs w:val="18"/>
              </w:rPr>
              <w:t xml:space="preserve">Test statistic: </w:t>
            </w:r>
            <w:r w:rsidRPr="00AC36D6">
              <w:rPr>
                <w:rFonts w:asciiTheme="minorHAnsi" w:hAnsiTheme="minorHAnsi" w:cstheme="minorBidi"/>
                <w:position w:val="-12"/>
                <w:sz w:val="18"/>
                <w:szCs w:val="18"/>
                <w:lang w:val="en-IN"/>
              </w:rPr>
              <w:object w:dxaOrig="5280" w:dyaOrig="320" w14:anchorId="40F249D6">
                <v:shape id="_x0000_i1251" type="#_x0000_t75" style="width:266.55pt;height:15.85pt" o:ole="">
                  <v:imagedata r:id="rId438" o:title=""/>
                </v:shape>
                <o:OLEObject Type="Embed" ProgID="Equation.DSMT4" ShapeID="_x0000_i1251" DrawAspect="Content" ObjectID="_1726484548" r:id="rId439"/>
              </w:object>
            </w:r>
            <w:r w:rsidRPr="00AC36D6">
              <w:rPr>
                <w:sz w:val="18"/>
                <w:szCs w:val="18"/>
              </w:rPr>
              <w:t xml:space="preserve">Chi-squared statistic for 27 degrees of freedom at any reasonable degree of freedom, thus implying that the flexible MDCP model (with IID </w:t>
            </w:r>
            <w:r w:rsidRPr="00AC36D6">
              <w:rPr>
                <w:i/>
                <w:iCs/>
                <w:sz w:val="18"/>
                <w:szCs w:val="18"/>
              </w:rPr>
              <w:t>D-</w:t>
            </w:r>
            <w:r w:rsidRPr="00AC36D6">
              <w:rPr>
                <w:sz w:val="18"/>
                <w:szCs w:val="18"/>
              </w:rPr>
              <w:t xml:space="preserve">preferences and non-IID </w:t>
            </w:r>
            <w:r w:rsidRPr="00AC36D6">
              <w:rPr>
                <w:i/>
                <w:iCs/>
                <w:sz w:val="18"/>
                <w:szCs w:val="18"/>
              </w:rPr>
              <w:t>C-</w:t>
            </w:r>
            <w:r w:rsidRPr="00AC36D6">
              <w:rPr>
                <w:sz w:val="18"/>
                <w:szCs w:val="18"/>
              </w:rPr>
              <w:t>preferences is the preferred model.</w:t>
            </w:r>
          </w:p>
        </w:tc>
      </w:tr>
      <w:bookmarkEnd w:id="14"/>
    </w:tbl>
    <w:p w14:paraId="3FF42314" w14:textId="77777777" w:rsidR="004A7E07" w:rsidRPr="00AC36D6" w:rsidRDefault="004A7E07" w:rsidP="004A7E07">
      <w:pPr>
        <w:spacing w:after="0" w:line="240" w:lineRule="auto"/>
        <w:jc w:val="center"/>
        <w:rPr>
          <w:bCs/>
          <w:noProof/>
          <w:color w:val="000000" w:themeColor="text1"/>
        </w:rPr>
      </w:pPr>
    </w:p>
    <w:p w14:paraId="13F290C8" w14:textId="77777777" w:rsidR="004A7E07" w:rsidRPr="00AC36D6" w:rsidRDefault="004A7E07" w:rsidP="004A7E07">
      <w:pPr>
        <w:spacing w:after="0" w:line="240" w:lineRule="auto"/>
        <w:rPr>
          <w:sz w:val="18"/>
          <w:szCs w:val="18"/>
        </w:rPr>
      </w:pPr>
      <w:bookmarkStart w:id="15" w:name="_Hlk78212565"/>
      <w:r w:rsidRPr="00AC36D6">
        <w:rPr>
          <w:sz w:val="18"/>
          <w:szCs w:val="18"/>
          <w:vertAlign w:val="superscript"/>
        </w:rPr>
        <w:t>$</w:t>
      </w:r>
      <w:r w:rsidRPr="00AC36D6">
        <w:rPr>
          <w:sz w:val="18"/>
          <w:szCs w:val="18"/>
        </w:rPr>
        <w:t xml:space="preserve">Likelihood ratio test was performed between the Flexible MDCP model (with IID </w:t>
      </w:r>
      <w:r w:rsidRPr="00AC36D6">
        <w:rPr>
          <w:i/>
          <w:iCs/>
          <w:sz w:val="18"/>
          <w:szCs w:val="18"/>
        </w:rPr>
        <w:t>D-</w:t>
      </w:r>
      <w:r w:rsidRPr="00AC36D6">
        <w:rPr>
          <w:sz w:val="18"/>
          <w:szCs w:val="18"/>
        </w:rPr>
        <w:t xml:space="preserve">preferences and non-IID </w:t>
      </w:r>
      <w:r w:rsidRPr="00AC36D6">
        <w:rPr>
          <w:i/>
          <w:iCs/>
          <w:sz w:val="18"/>
          <w:szCs w:val="18"/>
        </w:rPr>
        <w:t>C-</w:t>
      </w:r>
      <w:r w:rsidRPr="00AC36D6">
        <w:rPr>
          <w:sz w:val="18"/>
          <w:szCs w:val="18"/>
        </w:rPr>
        <w:t>preferences) and the IID D-C MDCP version of the Flexible MDCP model.</w:t>
      </w:r>
    </w:p>
    <w:p w14:paraId="5BA90C51" w14:textId="492C2129" w:rsidR="004A7E07" w:rsidRPr="00AC36D6" w:rsidRDefault="004A7E07" w:rsidP="004A7E07">
      <w:pPr>
        <w:spacing w:after="0" w:line="240" w:lineRule="auto"/>
        <w:rPr>
          <w:sz w:val="18"/>
          <w:szCs w:val="18"/>
        </w:rPr>
      </w:pPr>
      <w:r w:rsidRPr="00AC36D6">
        <w:rPr>
          <w:sz w:val="18"/>
          <w:szCs w:val="18"/>
          <w:vertAlign w:val="superscript"/>
        </w:rPr>
        <w:t>#</w:t>
      </w:r>
      <w:r w:rsidRPr="00AC36D6">
        <w:rPr>
          <w:sz w:val="18"/>
          <w:szCs w:val="18"/>
        </w:rPr>
        <w:t xml:space="preserve">Both Flexible MDCP and Flexible MDCEV models impose similar </w:t>
      </w:r>
      <w:r w:rsidR="002D5BC2" w:rsidRPr="00AC36D6">
        <w:rPr>
          <w:sz w:val="18"/>
          <w:szCs w:val="18"/>
        </w:rPr>
        <w:t>structure</w:t>
      </w:r>
      <w:r w:rsidRPr="00AC36D6">
        <w:rPr>
          <w:sz w:val="18"/>
          <w:szCs w:val="18"/>
        </w:rPr>
        <w:t xml:space="preserve"> on </w:t>
      </w:r>
      <w:r w:rsidR="002D5BC2" w:rsidRPr="00AC36D6">
        <w:rPr>
          <w:sz w:val="18"/>
          <w:szCs w:val="18"/>
        </w:rPr>
        <w:t xml:space="preserve">the </w:t>
      </w:r>
      <w:r w:rsidRPr="00AC36D6">
        <w:rPr>
          <w:sz w:val="18"/>
          <w:szCs w:val="18"/>
        </w:rPr>
        <w:t>covariance matrix.</w:t>
      </w:r>
    </w:p>
    <w:bookmarkEnd w:id="15"/>
    <w:p w14:paraId="19F6FD7A" w14:textId="03418B9D" w:rsidR="008F4597" w:rsidRPr="00AC36D6" w:rsidRDefault="008F4597" w:rsidP="00686351">
      <w:pPr>
        <w:rPr>
          <w:rFonts w:eastAsia="Calibri"/>
        </w:rPr>
      </w:pPr>
    </w:p>
    <w:p w14:paraId="0495B5EB" w14:textId="3A1A6F00" w:rsidR="00974549" w:rsidRPr="00AC36D6" w:rsidRDefault="00974549" w:rsidP="00686351">
      <w:pPr>
        <w:rPr>
          <w:rFonts w:eastAsia="Calibri"/>
        </w:rPr>
      </w:pPr>
    </w:p>
    <w:p w14:paraId="23213742" w14:textId="709FFB7B" w:rsidR="00400BAD" w:rsidRPr="00AC36D6" w:rsidRDefault="00400BAD" w:rsidP="00686351">
      <w:pPr>
        <w:rPr>
          <w:rFonts w:eastAsia="Calibri"/>
        </w:rPr>
      </w:pPr>
    </w:p>
    <w:p w14:paraId="447F9FFC" w14:textId="70BCD8C0" w:rsidR="00400BAD" w:rsidRPr="00AC36D6" w:rsidRDefault="00400BAD" w:rsidP="00686351">
      <w:pPr>
        <w:rPr>
          <w:rFonts w:eastAsia="Calibri"/>
        </w:rPr>
      </w:pPr>
    </w:p>
    <w:p w14:paraId="17D4284D" w14:textId="413B5A8C" w:rsidR="00400BAD" w:rsidRPr="00AC36D6" w:rsidRDefault="00400BAD" w:rsidP="00686351">
      <w:pPr>
        <w:rPr>
          <w:rFonts w:eastAsia="Calibri"/>
        </w:rPr>
      </w:pPr>
    </w:p>
    <w:p w14:paraId="1D0D8DAB" w14:textId="14EED7F5" w:rsidR="00400BAD" w:rsidRPr="00AC36D6" w:rsidRDefault="00400BAD" w:rsidP="00686351">
      <w:pPr>
        <w:rPr>
          <w:rFonts w:eastAsia="Calibri"/>
        </w:rPr>
      </w:pPr>
    </w:p>
    <w:p w14:paraId="29DF8927" w14:textId="31CF4917" w:rsidR="00400BAD" w:rsidRPr="00AC36D6" w:rsidRDefault="00400BAD" w:rsidP="00686351">
      <w:pPr>
        <w:rPr>
          <w:rFonts w:eastAsia="Calibri"/>
        </w:rPr>
      </w:pPr>
    </w:p>
    <w:p w14:paraId="114FAB08" w14:textId="77777777" w:rsidR="000F71A8" w:rsidRDefault="000F71A8" w:rsidP="00686351">
      <w:pPr>
        <w:rPr>
          <w:rFonts w:eastAsia="Calibri"/>
          <w:b/>
          <w:bCs/>
          <w:color w:val="0070C0"/>
        </w:rPr>
        <w:sectPr w:rsidR="000F71A8" w:rsidSect="00055315">
          <w:pgSz w:w="12240" w:h="15840"/>
          <w:pgMar w:top="1440" w:right="1440" w:bottom="1440" w:left="1440" w:header="720" w:footer="720" w:gutter="0"/>
          <w:cols w:space="720"/>
          <w:titlePg/>
          <w:docGrid w:linePitch="360"/>
        </w:sectPr>
      </w:pPr>
    </w:p>
    <w:p w14:paraId="7EC1BF21" w14:textId="77777777" w:rsidR="000F71A8" w:rsidRDefault="000F71A8" w:rsidP="00686351">
      <w:pPr>
        <w:rPr>
          <w:rFonts w:eastAsia="Calibri"/>
          <w:b/>
          <w:bCs/>
          <w:color w:val="0070C0"/>
        </w:rPr>
      </w:pPr>
    </w:p>
    <w:p w14:paraId="2C2B449A" w14:textId="77777777" w:rsidR="000F71A8" w:rsidRDefault="000F71A8" w:rsidP="00686351">
      <w:pPr>
        <w:rPr>
          <w:rFonts w:eastAsia="Calibri"/>
          <w:b/>
          <w:bCs/>
          <w:color w:val="0070C0"/>
        </w:rPr>
      </w:pPr>
    </w:p>
    <w:p w14:paraId="7833BDEF" w14:textId="10E195E2" w:rsidR="00400BAD" w:rsidRPr="00F507E0" w:rsidRDefault="00400BAD" w:rsidP="00B54169">
      <w:pPr>
        <w:jc w:val="center"/>
        <w:rPr>
          <w:rFonts w:eastAsia="Calibri"/>
        </w:rPr>
      </w:pPr>
      <w:r w:rsidRPr="00F507E0">
        <w:rPr>
          <w:rFonts w:eastAsia="Calibri"/>
          <w:b/>
          <w:bCs/>
        </w:rPr>
        <w:t xml:space="preserve">Table </w:t>
      </w:r>
      <w:r w:rsidR="005D2965" w:rsidRPr="00F507E0">
        <w:rPr>
          <w:rFonts w:eastAsia="Calibri"/>
          <w:b/>
          <w:bCs/>
        </w:rPr>
        <w:t>5</w:t>
      </w:r>
      <w:r w:rsidRPr="00F507E0">
        <w:rPr>
          <w:rFonts w:eastAsia="Calibri"/>
          <w:b/>
          <w:bCs/>
        </w:rPr>
        <w:t>.</w:t>
      </w:r>
      <w:r w:rsidRPr="00F507E0">
        <w:rPr>
          <w:rFonts w:eastAsia="Calibri"/>
        </w:rPr>
        <w:t xml:space="preserve"> Weighted MAPE in predictions from </w:t>
      </w:r>
      <w:r w:rsidR="00090F66" w:rsidRPr="00F507E0">
        <w:rPr>
          <w:rFonts w:eastAsia="Calibri"/>
        </w:rPr>
        <w:t>(</w:t>
      </w:r>
      <w:r w:rsidRPr="00F507E0">
        <w:rPr>
          <w:rFonts w:eastAsia="Calibri"/>
        </w:rPr>
        <w:t xml:space="preserve">a) </w:t>
      </w:r>
      <w:r w:rsidR="005D2965" w:rsidRPr="00F507E0">
        <w:rPr>
          <w:rFonts w:eastAsia="Calibri"/>
        </w:rPr>
        <w:t>F</w:t>
      </w:r>
      <w:r w:rsidRPr="00F507E0">
        <w:rPr>
          <w:rFonts w:eastAsia="Calibri"/>
        </w:rPr>
        <w:t>l</w:t>
      </w:r>
      <w:bookmarkStart w:id="16" w:name="_GoBack"/>
      <w:bookmarkEnd w:id="16"/>
      <w:r w:rsidRPr="00F507E0">
        <w:rPr>
          <w:rFonts w:eastAsia="Calibri"/>
        </w:rPr>
        <w:t>exible MDCP model</w:t>
      </w:r>
      <w:r w:rsidR="005D2965" w:rsidRPr="00F507E0">
        <w:rPr>
          <w:rFonts w:eastAsia="Calibri"/>
        </w:rPr>
        <w:t xml:space="preserve"> with IID D- and non-IID C-preferences</w:t>
      </w:r>
      <w:r w:rsidRPr="00F507E0">
        <w:rPr>
          <w:rFonts w:eastAsia="Calibri"/>
        </w:rPr>
        <w:t xml:space="preserve">, </w:t>
      </w:r>
      <w:r w:rsidR="00090F66" w:rsidRPr="00F507E0">
        <w:rPr>
          <w:rFonts w:eastAsia="Calibri"/>
        </w:rPr>
        <w:t>(</w:t>
      </w:r>
      <w:r w:rsidRPr="00F507E0">
        <w:rPr>
          <w:rFonts w:eastAsia="Calibri"/>
        </w:rPr>
        <w:t>b) IID</w:t>
      </w:r>
      <w:r w:rsidR="005D2965" w:rsidRPr="00F507E0">
        <w:rPr>
          <w:rFonts w:eastAsia="Calibri"/>
        </w:rPr>
        <w:t xml:space="preserve"> </w:t>
      </w:r>
      <w:r w:rsidR="005D2965" w:rsidRPr="00F507E0">
        <w:rPr>
          <w:rFonts w:eastAsia="Calibri"/>
          <w:i/>
          <w:iCs/>
        </w:rPr>
        <w:t>D-C</w:t>
      </w:r>
      <w:r w:rsidRPr="00F507E0">
        <w:rPr>
          <w:rFonts w:eastAsia="Calibri"/>
        </w:rPr>
        <w:t xml:space="preserve"> Flexible MDCP model, and </w:t>
      </w:r>
      <w:r w:rsidR="00090F66" w:rsidRPr="00F507E0">
        <w:rPr>
          <w:rFonts w:eastAsia="Calibri"/>
        </w:rPr>
        <w:t>(</w:t>
      </w:r>
      <w:r w:rsidRPr="00F507E0">
        <w:rPr>
          <w:rFonts w:eastAsia="Calibri"/>
        </w:rPr>
        <w:t>c) non-IID traditional MDCP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990"/>
        <w:gridCol w:w="1260"/>
        <w:gridCol w:w="1260"/>
        <w:gridCol w:w="1260"/>
        <w:gridCol w:w="900"/>
        <w:gridCol w:w="1350"/>
        <w:gridCol w:w="900"/>
        <w:gridCol w:w="1530"/>
      </w:tblGrid>
      <w:tr w:rsidR="00F507E0" w:rsidRPr="00F507E0" w14:paraId="25A0B4DB" w14:textId="77777777" w:rsidTr="00140778">
        <w:tc>
          <w:tcPr>
            <w:tcW w:w="3078" w:type="dxa"/>
            <w:vMerge w:val="restart"/>
            <w:tcBorders>
              <w:top w:val="double" w:sz="4" w:space="0" w:color="auto"/>
              <w:left w:val="double" w:sz="4" w:space="0" w:color="auto"/>
              <w:right w:val="double" w:sz="4" w:space="0" w:color="auto"/>
            </w:tcBorders>
            <w:vAlign w:val="center"/>
          </w:tcPr>
          <w:p w14:paraId="3A5D8507" w14:textId="58316308" w:rsidR="00622E03" w:rsidRPr="00F507E0" w:rsidRDefault="00622E03" w:rsidP="00622E03">
            <w:pPr>
              <w:rPr>
                <w:rFonts w:eastAsia="Calibri"/>
                <w:sz w:val="20"/>
                <w:szCs w:val="20"/>
              </w:rPr>
            </w:pPr>
            <w:r w:rsidRPr="00F507E0">
              <w:rPr>
                <w:rFonts w:eastAsia="Calibri"/>
                <w:sz w:val="20"/>
                <w:szCs w:val="20"/>
              </w:rPr>
              <w:t>Expenditure classes</w:t>
            </w:r>
          </w:p>
        </w:tc>
        <w:tc>
          <w:tcPr>
            <w:tcW w:w="2250" w:type="dxa"/>
            <w:gridSpan w:val="2"/>
            <w:tcBorders>
              <w:top w:val="double" w:sz="4" w:space="0" w:color="auto"/>
              <w:left w:val="double" w:sz="4" w:space="0" w:color="auto"/>
              <w:bottom w:val="single" w:sz="4" w:space="0" w:color="auto"/>
              <w:right w:val="double" w:sz="4" w:space="0" w:color="auto"/>
            </w:tcBorders>
            <w:vAlign w:val="center"/>
          </w:tcPr>
          <w:p w14:paraId="15ABC1A7" w14:textId="252AA88A" w:rsidR="00622E03" w:rsidRPr="00F507E0" w:rsidRDefault="00622E03" w:rsidP="00622E03">
            <w:pPr>
              <w:jc w:val="center"/>
              <w:rPr>
                <w:rFonts w:eastAsia="Calibri"/>
                <w:sz w:val="20"/>
                <w:szCs w:val="20"/>
              </w:rPr>
            </w:pPr>
          </w:p>
        </w:tc>
        <w:tc>
          <w:tcPr>
            <w:tcW w:w="7200" w:type="dxa"/>
            <w:gridSpan w:val="6"/>
            <w:tcBorders>
              <w:top w:val="double" w:sz="4" w:space="0" w:color="auto"/>
              <w:left w:val="double" w:sz="4" w:space="0" w:color="auto"/>
              <w:right w:val="double" w:sz="4" w:space="0" w:color="auto"/>
            </w:tcBorders>
            <w:vAlign w:val="center"/>
          </w:tcPr>
          <w:p w14:paraId="5FCF0FDF" w14:textId="7881C334" w:rsidR="00622E03" w:rsidRPr="00F507E0" w:rsidRDefault="00622E03" w:rsidP="00622E03">
            <w:pPr>
              <w:jc w:val="center"/>
              <w:rPr>
                <w:rFonts w:eastAsia="Calibri"/>
                <w:sz w:val="20"/>
                <w:szCs w:val="20"/>
              </w:rPr>
            </w:pPr>
          </w:p>
        </w:tc>
      </w:tr>
      <w:tr w:rsidR="00F507E0" w:rsidRPr="00F507E0" w14:paraId="4FE62148" w14:textId="3190B3BC" w:rsidTr="00140778">
        <w:tc>
          <w:tcPr>
            <w:tcW w:w="3078" w:type="dxa"/>
            <w:vMerge/>
            <w:tcBorders>
              <w:left w:val="double" w:sz="4" w:space="0" w:color="auto"/>
              <w:right w:val="double" w:sz="4" w:space="0" w:color="auto"/>
            </w:tcBorders>
            <w:vAlign w:val="center"/>
          </w:tcPr>
          <w:p w14:paraId="44B956BB" w14:textId="0D99968D" w:rsidR="00622E03" w:rsidRPr="00F507E0" w:rsidRDefault="00622E03" w:rsidP="00622E03">
            <w:pPr>
              <w:rPr>
                <w:rFonts w:eastAsia="Calibri"/>
                <w:sz w:val="20"/>
                <w:szCs w:val="20"/>
              </w:rPr>
            </w:pPr>
          </w:p>
        </w:tc>
        <w:tc>
          <w:tcPr>
            <w:tcW w:w="2250" w:type="dxa"/>
            <w:gridSpan w:val="2"/>
            <w:tcBorders>
              <w:top w:val="single" w:sz="4" w:space="0" w:color="auto"/>
              <w:left w:val="double" w:sz="4" w:space="0" w:color="auto"/>
              <w:bottom w:val="single" w:sz="4" w:space="0" w:color="auto"/>
              <w:right w:val="double" w:sz="4" w:space="0" w:color="auto"/>
            </w:tcBorders>
            <w:vAlign w:val="center"/>
          </w:tcPr>
          <w:p w14:paraId="0986C0AC" w14:textId="3CEA02FF" w:rsidR="00622E03" w:rsidRPr="00F507E0" w:rsidRDefault="00430BA2" w:rsidP="00622E03">
            <w:pPr>
              <w:jc w:val="center"/>
              <w:rPr>
                <w:rFonts w:eastAsia="Calibri"/>
                <w:sz w:val="20"/>
                <w:szCs w:val="20"/>
              </w:rPr>
            </w:pPr>
            <w:r w:rsidRPr="00F507E0">
              <w:rPr>
                <w:rFonts w:eastAsia="Calibri"/>
                <w:sz w:val="20"/>
                <w:szCs w:val="20"/>
              </w:rPr>
              <w:t xml:space="preserve">Observed patterns in </w:t>
            </w:r>
            <w:r w:rsidR="00622E03" w:rsidRPr="00F507E0">
              <w:rPr>
                <w:rFonts w:eastAsia="Calibri"/>
                <w:sz w:val="20"/>
                <w:szCs w:val="20"/>
              </w:rPr>
              <w:t>Holdout sample</w:t>
            </w:r>
          </w:p>
          <w:p w14:paraId="7E4B3BA9" w14:textId="47F1169A" w:rsidR="00622E03" w:rsidRPr="00F507E0" w:rsidRDefault="00622E03" w:rsidP="00622E03">
            <w:pPr>
              <w:jc w:val="center"/>
              <w:rPr>
                <w:rFonts w:eastAsia="Calibri"/>
                <w:sz w:val="20"/>
                <w:szCs w:val="20"/>
              </w:rPr>
            </w:pPr>
            <w:r w:rsidRPr="00F507E0">
              <w:rPr>
                <w:rFonts w:eastAsia="Calibri"/>
                <w:sz w:val="20"/>
                <w:szCs w:val="20"/>
              </w:rPr>
              <w:t>(N =1481)</w:t>
            </w:r>
          </w:p>
        </w:tc>
        <w:tc>
          <w:tcPr>
            <w:tcW w:w="2520" w:type="dxa"/>
            <w:gridSpan w:val="2"/>
            <w:tcBorders>
              <w:top w:val="single" w:sz="4" w:space="0" w:color="auto"/>
              <w:left w:val="double" w:sz="4" w:space="0" w:color="auto"/>
              <w:right w:val="double" w:sz="4" w:space="0" w:color="auto"/>
            </w:tcBorders>
            <w:vAlign w:val="center"/>
          </w:tcPr>
          <w:p w14:paraId="61D13004" w14:textId="17E119FE" w:rsidR="00622E03" w:rsidRPr="00F507E0" w:rsidRDefault="00D43ADA" w:rsidP="00D43ADA">
            <w:pPr>
              <w:jc w:val="center"/>
              <w:rPr>
                <w:rFonts w:eastAsia="Calibri"/>
                <w:sz w:val="20"/>
                <w:szCs w:val="20"/>
              </w:rPr>
            </w:pPr>
            <w:r w:rsidRPr="00F507E0">
              <w:rPr>
                <w:sz w:val="20"/>
                <w:szCs w:val="20"/>
              </w:rPr>
              <w:t>Predictions from f</w:t>
            </w:r>
            <w:r w:rsidR="00622E03" w:rsidRPr="00F507E0">
              <w:rPr>
                <w:sz w:val="20"/>
                <w:szCs w:val="20"/>
              </w:rPr>
              <w:t>lexible MDCP</w:t>
            </w:r>
            <w:r w:rsidRPr="00F507E0">
              <w:rPr>
                <w:sz w:val="20"/>
                <w:szCs w:val="20"/>
              </w:rPr>
              <w:t xml:space="preserve"> </w:t>
            </w:r>
            <w:r w:rsidR="00622E03" w:rsidRPr="00F507E0">
              <w:rPr>
                <w:sz w:val="20"/>
                <w:szCs w:val="20"/>
              </w:rPr>
              <w:t xml:space="preserve">(with IID </w:t>
            </w:r>
            <w:r w:rsidR="00622E03" w:rsidRPr="00F507E0">
              <w:rPr>
                <w:i/>
                <w:iCs/>
                <w:sz w:val="20"/>
                <w:szCs w:val="20"/>
              </w:rPr>
              <w:t>D-</w:t>
            </w:r>
            <w:r w:rsidR="00622E03" w:rsidRPr="00F507E0">
              <w:rPr>
                <w:sz w:val="20"/>
                <w:szCs w:val="20"/>
              </w:rPr>
              <w:t xml:space="preserve">preferences and non-IID </w:t>
            </w:r>
            <w:r w:rsidR="00622E03" w:rsidRPr="00F507E0">
              <w:rPr>
                <w:i/>
                <w:iCs/>
                <w:sz w:val="20"/>
                <w:szCs w:val="20"/>
              </w:rPr>
              <w:t>C-</w:t>
            </w:r>
            <w:r w:rsidR="00622E03" w:rsidRPr="00F507E0">
              <w:rPr>
                <w:sz w:val="20"/>
                <w:szCs w:val="20"/>
              </w:rPr>
              <w:t>preferences)</w:t>
            </w:r>
          </w:p>
        </w:tc>
        <w:tc>
          <w:tcPr>
            <w:tcW w:w="2250" w:type="dxa"/>
            <w:gridSpan w:val="2"/>
            <w:tcBorders>
              <w:top w:val="single" w:sz="4" w:space="0" w:color="auto"/>
              <w:left w:val="double" w:sz="4" w:space="0" w:color="auto"/>
              <w:right w:val="double" w:sz="4" w:space="0" w:color="auto"/>
            </w:tcBorders>
            <w:vAlign w:val="center"/>
          </w:tcPr>
          <w:p w14:paraId="7E3C8913" w14:textId="63C6CE1A" w:rsidR="00622E03" w:rsidRPr="00F507E0" w:rsidRDefault="00D43ADA" w:rsidP="00D43ADA">
            <w:pPr>
              <w:jc w:val="center"/>
              <w:rPr>
                <w:rFonts w:eastAsia="Calibri"/>
                <w:sz w:val="20"/>
                <w:szCs w:val="20"/>
              </w:rPr>
            </w:pPr>
            <w:r w:rsidRPr="00F507E0">
              <w:rPr>
                <w:sz w:val="20"/>
                <w:szCs w:val="20"/>
              </w:rPr>
              <w:t>Predictions from f</w:t>
            </w:r>
            <w:r w:rsidR="00622E03" w:rsidRPr="00F507E0">
              <w:rPr>
                <w:sz w:val="20"/>
                <w:szCs w:val="20"/>
              </w:rPr>
              <w:t>lexible MDCP</w:t>
            </w:r>
            <w:r w:rsidRPr="00F507E0">
              <w:rPr>
                <w:sz w:val="20"/>
                <w:szCs w:val="20"/>
              </w:rPr>
              <w:t xml:space="preserve"> </w:t>
            </w:r>
            <w:r w:rsidR="00F467A3" w:rsidRPr="00F507E0">
              <w:rPr>
                <w:sz w:val="20"/>
                <w:szCs w:val="20"/>
              </w:rPr>
              <w:t>(</w:t>
            </w:r>
            <w:r w:rsidRPr="00F507E0">
              <w:rPr>
                <w:sz w:val="20"/>
                <w:szCs w:val="20"/>
              </w:rPr>
              <w:t xml:space="preserve">with </w:t>
            </w:r>
            <w:r w:rsidR="00622E03" w:rsidRPr="00F507E0">
              <w:rPr>
                <w:sz w:val="20"/>
                <w:szCs w:val="20"/>
              </w:rPr>
              <w:t xml:space="preserve">IID </w:t>
            </w:r>
            <w:r w:rsidR="00F467A3" w:rsidRPr="00F507E0">
              <w:rPr>
                <w:i/>
                <w:iCs/>
                <w:sz w:val="20"/>
                <w:szCs w:val="20"/>
              </w:rPr>
              <w:t>D</w:t>
            </w:r>
            <w:r w:rsidR="00430BA2" w:rsidRPr="00F507E0">
              <w:rPr>
                <w:i/>
                <w:iCs/>
                <w:sz w:val="20"/>
                <w:szCs w:val="20"/>
              </w:rPr>
              <w:t>-</w:t>
            </w:r>
            <w:r w:rsidR="00F467A3" w:rsidRPr="00F507E0">
              <w:rPr>
                <w:sz w:val="20"/>
                <w:szCs w:val="20"/>
              </w:rPr>
              <w:t xml:space="preserve"> and IID </w:t>
            </w:r>
            <w:r w:rsidR="00F467A3" w:rsidRPr="00F507E0">
              <w:rPr>
                <w:i/>
                <w:iCs/>
                <w:sz w:val="20"/>
                <w:szCs w:val="20"/>
              </w:rPr>
              <w:t>C</w:t>
            </w:r>
            <w:r w:rsidR="00430BA2" w:rsidRPr="00F507E0">
              <w:rPr>
                <w:i/>
                <w:iCs/>
                <w:sz w:val="20"/>
                <w:szCs w:val="20"/>
              </w:rPr>
              <w:t>-</w:t>
            </w:r>
            <w:r w:rsidR="00F467A3" w:rsidRPr="00F507E0">
              <w:rPr>
                <w:sz w:val="20"/>
                <w:szCs w:val="20"/>
              </w:rPr>
              <w:t xml:space="preserve">preferences) </w:t>
            </w:r>
          </w:p>
        </w:tc>
        <w:tc>
          <w:tcPr>
            <w:tcW w:w="2430" w:type="dxa"/>
            <w:gridSpan w:val="2"/>
            <w:tcBorders>
              <w:top w:val="single" w:sz="4" w:space="0" w:color="auto"/>
              <w:left w:val="double" w:sz="4" w:space="0" w:color="auto"/>
              <w:bottom w:val="single" w:sz="4" w:space="0" w:color="auto"/>
              <w:right w:val="double" w:sz="4" w:space="0" w:color="auto"/>
            </w:tcBorders>
            <w:vAlign w:val="center"/>
          </w:tcPr>
          <w:p w14:paraId="174C0CFD" w14:textId="37CCAB29" w:rsidR="00622E03" w:rsidRPr="00F507E0" w:rsidRDefault="00F467A3" w:rsidP="00140778">
            <w:pPr>
              <w:jc w:val="center"/>
              <w:rPr>
                <w:rFonts w:eastAsia="Calibri"/>
                <w:sz w:val="20"/>
                <w:szCs w:val="20"/>
              </w:rPr>
            </w:pPr>
            <w:r w:rsidRPr="00F507E0">
              <w:rPr>
                <w:sz w:val="20"/>
                <w:szCs w:val="20"/>
              </w:rPr>
              <w:t>Predictions from t</w:t>
            </w:r>
            <w:r w:rsidR="00622E03" w:rsidRPr="00F507E0">
              <w:rPr>
                <w:sz w:val="20"/>
                <w:szCs w:val="20"/>
              </w:rPr>
              <w:t>raditional MDCP</w:t>
            </w:r>
            <w:r w:rsidR="00140778" w:rsidRPr="00F507E0">
              <w:rPr>
                <w:sz w:val="20"/>
                <w:szCs w:val="20"/>
              </w:rPr>
              <w:t xml:space="preserve"> </w:t>
            </w:r>
            <w:r w:rsidR="00622E03" w:rsidRPr="00F507E0">
              <w:rPr>
                <w:sz w:val="20"/>
                <w:szCs w:val="20"/>
              </w:rPr>
              <w:t>(</w:t>
            </w:r>
            <w:r w:rsidR="00140778" w:rsidRPr="00F507E0">
              <w:rPr>
                <w:sz w:val="20"/>
                <w:szCs w:val="20"/>
              </w:rPr>
              <w:t xml:space="preserve">with </w:t>
            </w:r>
            <w:r w:rsidR="00622E03" w:rsidRPr="00F507E0">
              <w:rPr>
                <w:sz w:val="20"/>
                <w:szCs w:val="20"/>
              </w:rPr>
              <w:t>non-IID covariance structure)</w:t>
            </w:r>
          </w:p>
        </w:tc>
      </w:tr>
      <w:tr w:rsidR="00F507E0" w:rsidRPr="00F507E0" w14:paraId="22ACE405" w14:textId="5B9B09A5" w:rsidTr="00140778">
        <w:tc>
          <w:tcPr>
            <w:tcW w:w="3078" w:type="dxa"/>
            <w:vMerge/>
            <w:tcBorders>
              <w:left w:val="double" w:sz="4" w:space="0" w:color="auto"/>
              <w:bottom w:val="single" w:sz="4" w:space="0" w:color="auto"/>
              <w:right w:val="double" w:sz="4" w:space="0" w:color="auto"/>
            </w:tcBorders>
            <w:vAlign w:val="center"/>
          </w:tcPr>
          <w:p w14:paraId="4A97A74A" w14:textId="77777777" w:rsidR="000F71A8" w:rsidRPr="00F507E0" w:rsidRDefault="000F71A8" w:rsidP="000F71A8">
            <w:pPr>
              <w:jc w:val="center"/>
              <w:rPr>
                <w:rFonts w:eastAsia="Calibri"/>
                <w:sz w:val="20"/>
                <w:szCs w:val="20"/>
              </w:rPr>
            </w:pPr>
          </w:p>
        </w:tc>
        <w:tc>
          <w:tcPr>
            <w:tcW w:w="990" w:type="dxa"/>
            <w:tcBorders>
              <w:top w:val="single" w:sz="4" w:space="0" w:color="auto"/>
              <w:left w:val="double" w:sz="4" w:space="0" w:color="auto"/>
              <w:bottom w:val="single" w:sz="4" w:space="0" w:color="auto"/>
            </w:tcBorders>
            <w:vAlign w:val="center"/>
          </w:tcPr>
          <w:p w14:paraId="36F99D72" w14:textId="1B76DCB0" w:rsidR="000F71A8" w:rsidRPr="00F507E0" w:rsidRDefault="000F71A8" w:rsidP="000F71A8">
            <w:pPr>
              <w:jc w:val="center"/>
              <w:rPr>
                <w:rFonts w:eastAsia="Calibri"/>
                <w:sz w:val="20"/>
                <w:szCs w:val="20"/>
                <w:vertAlign w:val="superscript"/>
              </w:rPr>
            </w:pPr>
            <w:r w:rsidRPr="00F507E0">
              <w:rPr>
                <w:rFonts w:eastAsia="Calibri"/>
                <w:sz w:val="20"/>
                <w:szCs w:val="20"/>
              </w:rPr>
              <w:t>Discrete shares</w:t>
            </w:r>
          </w:p>
        </w:tc>
        <w:tc>
          <w:tcPr>
            <w:tcW w:w="1260" w:type="dxa"/>
            <w:tcBorders>
              <w:top w:val="single" w:sz="4" w:space="0" w:color="auto"/>
              <w:bottom w:val="single" w:sz="4" w:space="0" w:color="auto"/>
              <w:right w:val="double" w:sz="4" w:space="0" w:color="auto"/>
            </w:tcBorders>
            <w:vAlign w:val="center"/>
          </w:tcPr>
          <w:p w14:paraId="39E516EC" w14:textId="77777777" w:rsidR="000F71A8" w:rsidRPr="00F507E0" w:rsidRDefault="000F71A8" w:rsidP="000F71A8">
            <w:pPr>
              <w:jc w:val="center"/>
              <w:rPr>
                <w:rFonts w:eastAsia="Calibri"/>
                <w:sz w:val="20"/>
                <w:szCs w:val="20"/>
              </w:rPr>
            </w:pPr>
            <w:r w:rsidRPr="00F507E0">
              <w:rPr>
                <w:rFonts w:eastAsia="Calibri"/>
                <w:sz w:val="20"/>
                <w:szCs w:val="20"/>
              </w:rPr>
              <w:t>Aggregate Expenses</w:t>
            </w:r>
          </w:p>
          <w:p w14:paraId="2119F6E8" w14:textId="24AD2CE2" w:rsidR="000F71A8" w:rsidRPr="00F507E0" w:rsidRDefault="000F71A8" w:rsidP="000F71A8">
            <w:pPr>
              <w:jc w:val="center"/>
              <w:rPr>
                <w:rFonts w:eastAsia="Calibri"/>
                <w:sz w:val="20"/>
                <w:szCs w:val="20"/>
                <w:vertAlign w:val="superscript"/>
              </w:rPr>
            </w:pPr>
            <w:r w:rsidRPr="00F507E0">
              <w:rPr>
                <w:sz w:val="20"/>
                <w:szCs w:val="20"/>
              </w:rPr>
              <w:t>(100s of ₹)</w:t>
            </w:r>
          </w:p>
        </w:tc>
        <w:tc>
          <w:tcPr>
            <w:tcW w:w="1260" w:type="dxa"/>
            <w:tcBorders>
              <w:top w:val="single" w:sz="4" w:space="0" w:color="auto"/>
              <w:left w:val="double" w:sz="4" w:space="0" w:color="auto"/>
              <w:bottom w:val="single" w:sz="4" w:space="0" w:color="auto"/>
            </w:tcBorders>
            <w:vAlign w:val="center"/>
          </w:tcPr>
          <w:p w14:paraId="7C21E99C" w14:textId="3993FE50" w:rsidR="000F71A8" w:rsidRPr="00F507E0" w:rsidRDefault="000F71A8" w:rsidP="000F71A8">
            <w:pPr>
              <w:jc w:val="center"/>
              <w:rPr>
                <w:rFonts w:eastAsia="Calibri"/>
                <w:sz w:val="20"/>
                <w:szCs w:val="20"/>
              </w:rPr>
            </w:pPr>
            <w:r w:rsidRPr="00F507E0">
              <w:rPr>
                <w:rFonts w:eastAsia="Calibri"/>
                <w:sz w:val="20"/>
                <w:szCs w:val="20"/>
              </w:rPr>
              <w:t>Discrete shares</w:t>
            </w:r>
          </w:p>
        </w:tc>
        <w:tc>
          <w:tcPr>
            <w:tcW w:w="1260" w:type="dxa"/>
            <w:tcBorders>
              <w:top w:val="single" w:sz="4" w:space="0" w:color="auto"/>
              <w:bottom w:val="single" w:sz="4" w:space="0" w:color="auto"/>
              <w:right w:val="double" w:sz="4" w:space="0" w:color="auto"/>
            </w:tcBorders>
            <w:vAlign w:val="center"/>
          </w:tcPr>
          <w:p w14:paraId="1A3EF7C9" w14:textId="77777777" w:rsidR="000F71A8" w:rsidRPr="00F507E0" w:rsidRDefault="000F71A8" w:rsidP="000F71A8">
            <w:pPr>
              <w:jc w:val="center"/>
              <w:rPr>
                <w:rFonts w:eastAsia="Calibri"/>
                <w:sz w:val="20"/>
                <w:szCs w:val="20"/>
              </w:rPr>
            </w:pPr>
            <w:r w:rsidRPr="00F507E0">
              <w:rPr>
                <w:rFonts w:eastAsia="Calibri"/>
                <w:sz w:val="20"/>
                <w:szCs w:val="20"/>
              </w:rPr>
              <w:t>Aggregate Expenses</w:t>
            </w:r>
          </w:p>
          <w:p w14:paraId="3C0C02E1" w14:textId="7CB49D14" w:rsidR="000F71A8" w:rsidRPr="00F507E0" w:rsidRDefault="000F71A8" w:rsidP="000F71A8">
            <w:pPr>
              <w:jc w:val="center"/>
              <w:rPr>
                <w:rFonts w:eastAsia="Calibri"/>
                <w:sz w:val="20"/>
                <w:szCs w:val="20"/>
              </w:rPr>
            </w:pPr>
            <w:r w:rsidRPr="00F507E0">
              <w:rPr>
                <w:sz w:val="20"/>
                <w:szCs w:val="20"/>
              </w:rPr>
              <w:t>(100s of ₹)</w:t>
            </w:r>
          </w:p>
        </w:tc>
        <w:tc>
          <w:tcPr>
            <w:tcW w:w="900" w:type="dxa"/>
            <w:tcBorders>
              <w:top w:val="single" w:sz="4" w:space="0" w:color="auto"/>
              <w:left w:val="double" w:sz="4" w:space="0" w:color="auto"/>
              <w:bottom w:val="single" w:sz="4" w:space="0" w:color="auto"/>
            </w:tcBorders>
            <w:vAlign w:val="center"/>
          </w:tcPr>
          <w:p w14:paraId="33D7394C" w14:textId="3713E0B8" w:rsidR="000F71A8" w:rsidRPr="00F507E0" w:rsidRDefault="000F71A8" w:rsidP="000F71A8">
            <w:pPr>
              <w:jc w:val="center"/>
              <w:rPr>
                <w:rFonts w:eastAsia="Calibri"/>
                <w:sz w:val="20"/>
                <w:szCs w:val="20"/>
              </w:rPr>
            </w:pPr>
            <w:r w:rsidRPr="00F507E0">
              <w:rPr>
                <w:rFonts w:eastAsia="Calibri"/>
                <w:sz w:val="20"/>
                <w:szCs w:val="20"/>
              </w:rPr>
              <w:t>Discrete shares</w:t>
            </w:r>
          </w:p>
        </w:tc>
        <w:tc>
          <w:tcPr>
            <w:tcW w:w="1350" w:type="dxa"/>
            <w:tcBorders>
              <w:top w:val="single" w:sz="4" w:space="0" w:color="auto"/>
              <w:bottom w:val="single" w:sz="4" w:space="0" w:color="auto"/>
              <w:right w:val="double" w:sz="4" w:space="0" w:color="auto"/>
            </w:tcBorders>
            <w:vAlign w:val="center"/>
          </w:tcPr>
          <w:p w14:paraId="053AB758" w14:textId="77777777" w:rsidR="000F71A8" w:rsidRPr="00F507E0" w:rsidRDefault="000F71A8" w:rsidP="000F71A8">
            <w:pPr>
              <w:jc w:val="center"/>
              <w:rPr>
                <w:rFonts w:eastAsia="Calibri"/>
                <w:sz w:val="20"/>
                <w:szCs w:val="20"/>
              </w:rPr>
            </w:pPr>
            <w:r w:rsidRPr="00F507E0">
              <w:rPr>
                <w:rFonts w:eastAsia="Calibri"/>
                <w:sz w:val="20"/>
                <w:szCs w:val="20"/>
              </w:rPr>
              <w:t>Aggregate Expenses</w:t>
            </w:r>
          </w:p>
          <w:p w14:paraId="62BDDDFE" w14:textId="389855D4" w:rsidR="000F71A8" w:rsidRPr="00F507E0" w:rsidRDefault="000F71A8" w:rsidP="000F71A8">
            <w:pPr>
              <w:jc w:val="center"/>
              <w:rPr>
                <w:rFonts w:eastAsia="Calibri"/>
                <w:sz w:val="20"/>
                <w:szCs w:val="20"/>
              </w:rPr>
            </w:pPr>
            <w:r w:rsidRPr="00F507E0">
              <w:rPr>
                <w:sz w:val="20"/>
                <w:szCs w:val="20"/>
              </w:rPr>
              <w:t>(100s of ₹)</w:t>
            </w:r>
          </w:p>
        </w:tc>
        <w:tc>
          <w:tcPr>
            <w:tcW w:w="900" w:type="dxa"/>
            <w:tcBorders>
              <w:top w:val="single" w:sz="4" w:space="0" w:color="auto"/>
              <w:left w:val="double" w:sz="4" w:space="0" w:color="auto"/>
              <w:bottom w:val="single" w:sz="4" w:space="0" w:color="auto"/>
            </w:tcBorders>
            <w:vAlign w:val="center"/>
          </w:tcPr>
          <w:p w14:paraId="28FA3AC2" w14:textId="5CB1C74B" w:rsidR="000F71A8" w:rsidRPr="00F507E0" w:rsidRDefault="000F71A8" w:rsidP="000F71A8">
            <w:pPr>
              <w:jc w:val="center"/>
              <w:rPr>
                <w:rFonts w:eastAsia="Calibri"/>
                <w:sz w:val="20"/>
                <w:szCs w:val="20"/>
              </w:rPr>
            </w:pPr>
            <w:r w:rsidRPr="00F507E0">
              <w:rPr>
                <w:rFonts w:eastAsia="Calibri"/>
                <w:sz w:val="20"/>
                <w:szCs w:val="20"/>
              </w:rPr>
              <w:t>Discrete shares</w:t>
            </w:r>
          </w:p>
        </w:tc>
        <w:tc>
          <w:tcPr>
            <w:tcW w:w="1530" w:type="dxa"/>
            <w:tcBorders>
              <w:top w:val="single" w:sz="4" w:space="0" w:color="auto"/>
              <w:bottom w:val="single" w:sz="4" w:space="0" w:color="auto"/>
              <w:right w:val="double" w:sz="4" w:space="0" w:color="auto"/>
            </w:tcBorders>
            <w:vAlign w:val="center"/>
          </w:tcPr>
          <w:p w14:paraId="245701C9" w14:textId="552456C4" w:rsidR="000F71A8" w:rsidRPr="00F507E0" w:rsidRDefault="000F71A8" w:rsidP="000F71A8">
            <w:pPr>
              <w:jc w:val="center"/>
              <w:rPr>
                <w:rFonts w:eastAsia="Calibri"/>
                <w:sz w:val="20"/>
                <w:szCs w:val="20"/>
              </w:rPr>
            </w:pPr>
            <w:r w:rsidRPr="00F507E0">
              <w:rPr>
                <w:rFonts w:eastAsia="Calibri"/>
                <w:sz w:val="20"/>
                <w:szCs w:val="20"/>
              </w:rPr>
              <w:t>Aggregate Expenses</w:t>
            </w:r>
          </w:p>
          <w:p w14:paraId="65CDE092" w14:textId="6263F34D" w:rsidR="000F71A8" w:rsidRPr="00F507E0" w:rsidRDefault="000F71A8" w:rsidP="000F71A8">
            <w:pPr>
              <w:jc w:val="center"/>
              <w:rPr>
                <w:rFonts w:eastAsia="Calibri"/>
                <w:sz w:val="20"/>
                <w:szCs w:val="20"/>
              </w:rPr>
            </w:pPr>
            <w:r w:rsidRPr="00F507E0">
              <w:rPr>
                <w:sz w:val="20"/>
                <w:szCs w:val="20"/>
              </w:rPr>
              <w:t>(100s of ₹)</w:t>
            </w:r>
          </w:p>
        </w:tc>
      </w:tr>
      <w:tr w:rsidR="00F507E0" w:rsidRPr="00F507E0" w14:paraId="5FC08F8F" w14:textId="262D34E1" w:rsidTr="0043799A">
        <w:trPr>
          <w:cantSplit/>
          <w:trHeight w:hRule="exact" w:val="432"/>
        </w:trPr>
        <w:tc>
          <w:tcPr>
            <w:tcW w:w="3078" w:type="dxa"/>
            <w:tcBorders>
              <w:top w:val="single" w:sz="4" w:space="0" w:color="auto"/>
              <w:left w:val="double" w:sz="4" w:space="0" w:color="auto"/>
              <w:right w:val="double" w:sz="4" w:space="0" w:color="auto"/>
            </w:tcBorders>
            <w:vAlign w:val="center"/>
          </w:tcPr>
          <w:p w14:paraId="5DB4487D" w14:textId="273E2471" w:rsidR="00CD0CBE" w:rsidRPr="00F507E0" w:rsidRDefault="00CD0CBE" w:rsidP="00CD0CBE">
            <w:pPr>
              <w:rPr>
                <w:rFonts w:eastAsia="Calibri"/>
                <w:sz w:val="20"/>
                <w:szCs w:val="20"/>
              </w:rPr>
            </w:pPr>
            <w:r w:rsidRPr="00F507E0">
              <w:rPr>
                <w:rFonts w:eastAsia="Calibri"/>
                <w:sz w:val="20"/>
                <w:szCs w:val="20"/>
              </w:rPr>
              <w:t>Accommodation</w:t>
            </w:r>
          </w:p>
        </w:tc>
        <w:tc>
          <w:tcPr>
            <w:tcW w:w="990" w:type="dxa"/>
            <w:tcBorders>
              <w:top w:val="single" w:sz="4" w:space="0" w:color="auto"/>
              <w:left w:val="double" w:sz="4" w:space="0" w:color="auto"/>
            </w:tcBorders>
            <w:shd w:val="clear" w:color="auto" w:fill="auto"/>
            <w:vAlign w:val="center"/>
          </w:tcPr>
          <w:p w14:paraId="684DD7D9" w14:textId="77A94755" w:rsidR="00CD0CBE" w:rsidRPr="00F507E0" w:rsidRDefault="00CD0CBE" w:rsidP="00CD0CBE">
            <w:pPr>
              <w:jc w:val="center"/>
              <w:rPr>
                <w:rFonts w:eastAsia="Calibri"/>
                <w:sz w:val="20"/>
                <w:szCs w:val="20"/>
              </w:rPr>
            </w:pPr>
            <w:r w:rsidRPr="00F507E0">
              <w:rPr>
                <w:rFonts w:eastAsia="Calibri"/>
                <w:sz w:val="20"/>
                <w:szCs w:val="20"/>
              </w:rPr>
              <w:t>49.8</w:t>
            </w:r>
          </w:p>
        </w:tc>
        <w:tc>
          <w:tcPr>
            <w:tcW w:w="1260" w:type="dxa"/>
            <w:tcBorders>
              <w:top w:val="single" w:sz="4" w:space="0" w:color="auto"/>
              <w:right w:val="double" w:sz="4" w:space="0" w:color="auto"/>
            </w:tcBorders>
            <w:shd w:val="clear" w:color="auto" w:fill="auto"/>
            <w:vAlign w:val="center"/>
          </w:tcPr>
          <w:p w14:paraId="0D5E8404" w14:textId="34228D07" w:rsidR="00CD0CBE" w:rsidRPr="00F507E0" w:rsidRDefault="00CD0CBE" w:rsidP="00CD0CBE">
            <w:pPr>
              <w:jc w:val="center"/>
              <w:rPr>
                <w:rFonts w:eastAsia="Calibri"/>
                <w:sz w:val="20"/>
                <w:szCs w:val="20"/>
              </w:rPr>
            </w:pPr>
            <w:r w:rsidRPr="00F507E0">
              <w:rPr>
                <w:rFonts w:eastAsia="Calibri"/>
                <w:sz w:val="20"/>
                <w:szCs w:val="20"/>
              </w:rPr>
              <w:t>32.8</w:t>
            </w:r>
          </w:p>
        </w:tc>
        <w:tc>
          <w:tcPr>
            <w:tcW w:w="1260" w:type="dxa"/>
            <w:tcBorders>
              <w:top w:val="single" w:sz="4" w:space="0" w:color="auto"/>
              <w:left w:val="double" w:sz="4" w:space="0" w:color="auto"/>
            </w:tcBorders>
            <w:shd w:val="clear" w:color="auto" w:fill="auto"/>
            <w:vAlign w:val="center"/>
          </w:tcPr>
          <w:p w14:paraId="7DFB3B4E" w14:textId="2C8916D7" w:rsidR="00CD0CBE" w:rsidRPr="00F507E0" w:rsidRDefault="00CD0CBE" w:rsidP="00CD0CBE">
            <w:pPr>
              <w:jc w:val="center"/>
              <w:rPr>
                <w:rFonts w:eastAsia="Calibri"/>
                <w:sz w:val="20"/>
                <w:szCs w:val="20"/>
              </w:rPr>
            </w:pPr>
            <w:r w:rsidRPr="00F507E0">
              <w:rPr>
                <w:rFonts w:eastAsia="Calibri"/>
                <w:sz w:val="20"/>
                <w:szCs w:val="20"/>
              </w:rPr>
              <w:t>45.3</w:t>
            </w:r>
          </w:p>
        </w:tc>
        <w:tc>
          <w:tcPr>
            <w:tcW w:w="1260" w:type="dxa"/>
            <w:tcBorders>
              <w:top w:val="single" w:sz="4" w:space="0" w:color="auto"/>
              <w:right w:val="double" w:sz="4" w:space="0" w:color="auto"/>
            </w:tcBorders>
            <w:shd w:val="clear" w:color="auto" w:fill="auto"/>
            <w:vAlign w:val="center"/>
          </w:tcPr>
          <w:p w14:paraId="2A1F25D5" w14:textId="223E1305" w:rsidR="00CD0CBE" w:rsidRPr="00F507E0" w:rsidRDefault="00CD0CBE" w:rsidP="00CD0CBE">
            <w:pPr>
              <w:jc w:val="center"/>
              <w:rPr>
                <w:rFonts w:eastAsia="Calibri"/>
                <w:sz w:val="20"/>
                <w:szCs w:val="20"/>
              </w:rPr>
            </w:pPr>
            <w:r w:rsidRPr="00F507E0">
              <w:rPr>
                <w:rFonts w:eastAsia="Calibri"/>
                <w:sz w:val="20"/>
                <w:szCs w:val="20"/>
              </w:rPr>
              <w:t>42.3</w:t>
            </w:r>
          </w:p>
        </w:tc>
        <w:tc>
          <w:tcPr>
            <w:tcW w:w="900" w:type="dxa"/>
            <w:tcBorders>
              <w:top w:val="single" w:sz="4" w:space="0" w:color="auto"/>
              <w:left w:val="double" w:sz="4" w:space="0" w:color="auto"/>
            </w:tcBorders>
            <w:shd w:val="clear" w:color="auto" w:fill="auto"/>
            <w:vAlign w:val="center"/>
          </w:tcPr>
          <w:p w14:paraId="07FB3805" w14:textId="426C6349" w:rsidR="00CD0CBE" w:rsidRPr="00F507E0" w:rsidRDefault="00CD0CBE" w:rsidP="00CD0CBE">
            <w:pPr>
              <w:jc w:val="center"/>
              <w:rPr>
                <w:rFonts w:eastAsia="Calibri"/>
                <w:sz w:val="20"/>
                <w:szCs w:val="20"/>
              </w:rPr>
            </w:pPr>
            <w:r w:rsidRPr="00F507E0">
              <w:rPr>
                <w:rFonts w:eastAsia="Calibri"/>
                <w:sz w:val="20"/>
                <w:szCs w:val="20"/>
              </w:rPr>
              <w:t>46.3</w:t>
            </w:r>
          </w:p>
        </w:tc>
        <w:tc>
          <w:tcPr>
            <w:tcW w:w="1350" w:type="dxa"/>
            <w:tcBorders>
              <w:top w:val="single" w:sz="4" w:space="0" w:color="auto"/>
              <w:right w:val="double" w:sz="4" w:space="0" w:color="auto"/>
            </w:tcBorders>
            <w:shd w:val="clear" w:color="auto" w:fill="auto"/>
            <w:vAlign w:val="center"/>
          </w:tcPr>
          <w:p w14:paraId="4BA0D0E9" w14:textId="5BFFBF1D" w:rsidR="00CD0CBE" w:rsidRPr="00F507E0" w:rsidRDefault="001256C4" w:rsidP="00CD0CBE">
            <w:pPr>
              <w:jc w:val="center"/>
              <w:rPr>
                <w:rFonts w:eastAsia="Calibri"/>
                <w:sz w:val="20"/>
                <w:szCs w:val="20"/>
              </w:rPr>
            </w:pPr>
            <w:r w:rsidRPr="00F507E0">
              <w:rPr>
                <w:rFonts w:eastAsia="Calibri"/>
                <w:sz w:val="20"/>
                <w:szCs w:val="20"/>
              </w:rPr>
              <w:t>49</w:t>
            </w:r>
            <w:r w:rsidR="00CD0CBE" w:rsidRPr="00F507E0">
              <w:rPr>
                <w:rFonts w:eastAsia="Calibri"/>
                <w:sz w:val="20"/>
                <w:szCs w:val="20"/>
              </w:rPr>
              <w:t>.8</w:t>
            </w:r>
          </w:p>
        </w:tc>
        <w:tc>
          <w:tcPr>
            <w:tcW w:w="900" w:type="dxa"/>
            <w:tcBorders>
              <w:top w:val="single" w:sz="4" w:space="0" w:color="auto"/>
              <w:left w:val="double" w:sz="4" w:space="0" w:color="auto"/>
            </w:tcBorders>
            <w:shd w:val="clear" w:color="auto" w:fill="auto"/>
            <w:vAlign w:val="center"/>
          </w:tcPr>
          <w:p w14:paraId="737B6437" w14:textId="018773A5" w:rsidR="00CD0CBE" w:rsidRPr="00F507E0" w:rsidRDefault="00CD0CBE" w:rsidP="00CD0CBE">
            <w:pPr>
              <w:jc w:val="center"/>
              <w:rPr>
                <w:rFonts w:eastAsia="Calibri"/>
                <w:sz w:val="20"/>
                <w:szCs w:val="20"/>
              </w:rPr>
            </w:pPr>
            <w:r w:rsidRPr="00F507E0">
              <w:rPr>
                <w:rFonts w:eastAsia="Calibri"/>
                <w:sz w:val="20"/>
                <w:szCs w:val="20"/>
              </w:rPr>
              <w:t>46.2</w:t>
            </w:r>
          </w:p>
        </w:tc>
        <w:tc>
          <w:tcPr>
            <w:tcW w:w="1530" w:type="dxa"/>
            <w:tcBorders>
              <w:top w:val="single" w:sz="4" w:space="0" w:color="auto"/>
              <w:right w:val="double" w:sz="4" w:space="0" w:color="auto"/>
            </w:tcBorders>
            <w:shd w:val="clear" w:color="auto" w:fill="auto"/>
            <w:vAlign w:val="center"/>
          </w:tcPr>
          <w:p w14:paraId="2F526E89" w14:textId="446C2F66" w:rsidR="00CD0CBE" w:rsidRPr="00F507E0" w:rsidRDefault="00CD0CBE" w:rsidP="00CD0CBE">
            <w:pPr>
              <w:jc w:val="center"/>
              <w:rPr>
                <w:rFonts w:eastAsia="Calibri"/>
                <w:sz w:val="20"/>
                <w:szCs w:val="20"/>
              </w:rPr>
            </w:pPr>
            <w:r w:rsidRPr="00F507E0">
              <w:rPr>
                <w:rFonts w:eastAsia="Calibri"/>
                <w:sz w:val="20"/>
                <w:szCs w:val="20"/>
              </w:rPr>
              <w:t>52.1</w:t>
            </w:r>
          </w:p>
        </w:tc>
      </w:tr>
      <w:tr w:rsidR="00F507E0" w:rsidRPr="00F507E0" w14:paraId="3753294C" w14:textId="08674C99" w:rsidTr="0043799A">
        <w:trPr>
          <w:cantSplit/>
          <w:trHeight w:hRule="exact" w:val="432"/>
        </w:trPr>
        <w:tc>
          <w:tcPr>
            <w:tcW w:w="3078" w:type="dxa"/>
            <w:tcBorders>
              <w:left w:val="double" w:sz="4" w:space="0" w:color="auto"/>
              <w:right w:val="double" w:sz="4" w:space="0" w:color="auto"/>
            </w:tcBorders>
            <w:vAlign w:val="center"/>
          </w:tcPr>
          <w:p w14:paraId="79504B45" w14:textId="02AC9C25" w:rsidR="00CD0CBE" w:rsidRPr="00F507E0" w:rsidRDefault="00CD0CBE" w:rsidP="00CD0CBE">
            <w:pPr>
              <w:rPr>
                <w:rFonts w:eastAsia="Calibri"/>
                <w:sz w:val="20"/>
                <w:szCs w:val="20"/>
              </w:rPr>
            </w:pPr>
            <w:r w:rsidRPr="00F507E0">
              <w:rPr>
                <w:rFonts w:eastAsia="Calibri"/>
                <w:sz w:val="20"/>
                <w:szCs w:val="20"/>
              </w:rPr>
              <w:t>Food and beverages</w:t>
            </w:r>
          </w:p>
        </w:tc>
        <w:tc>
          <w:tcPr>
            <w:tcW w:w="990" w:type="dxa"/>
            <w:tcBorders>
              <w:left w:val="double" w:sz="4" w:space="0" w:color="auto"/>
            </w:tcBorders>
            <w:shd w:val="clear" w:color="auto" w:fill="auto"/>
            <w:vAlign w:val="center"/>
          </w:tcPr>
          <w:p w14:paraId="18648C9B" w14:textId="05632736" w:rsidR="00CD0CBE" w:rsidRPr="00F507E0" w:rsidRDefault="00CD0CBE" w:rsidP="00CD0CBE">
            <w:pPr>
              <w:jc w:val="center"/>
              <w:rPr>
                <w:rFonts w:eastAsia="Calibri"/>
                <w:sz w:val="20"/>
                <w:szCs w:val="20"/>
              </w:rPr>
            </w:pPr>
            <w:r w:rsidRPr="00F507E0">
              <w:rPr>
                <w:rFonts w:eastAsia="Calibri"/>
                <w:sz w:val="20"/>
                <w:szCs w:val="20"/>
              </w:rPr>
              <w:t>93.7</w:t>
            </w:r>
          </w:p>
        </w:tc>
        <w:tc>
          <w:tcPr>
            <w:tcW w:w="1260" w:type="dxa"/>
            <w:tcBorders>
              <w:right w:val="double" w:sz="4" w:space="0" w:color="auto"/>
            </w:tcBorders>
            <w:shd w:val="clear" w:color="auto" w:fill="auto"/>
            <w:vAlign w:val="center"/>
          </w:tcPr>
          <w:p w14:paraId="6472D792" w14:textId="47E408AD" w:rsidR="00CD0CBE" w:rsidRPr="00F507E0" w:rsidRDefault="00CD0CBE" w:rsidP="00CD0CBE">
            <w:pPr>
              <w:jc w:val="center"/>
              <w:rPr>
                <w:rFonts w:eastAsia="Calibri"/>
                <w:sz w:val="20"/>
                <w:szCs w:val="20"/>
              </w:rPr>
            </w:pPr>
            <w:r w:rsidRPr="00F507E0">
              <w:rPr>
                <w:rFonts w:eastAsia="Calibri"/>
                <w:sz w:val="20"/>
                <w:szCs w:val="20"/>
              </w:rPr>
              <w:t>18.5</w:t>
            </w:r>
          </w:p>
        </w:tc>
        <w:tc>
          <w:tcPr>
            <w:tcW w:w="1260" w:type="dxa"/>
            <w:tcBorders>
              <w:left w:val="double" w:sz="4" w:space="0" w:color="auto"/>
            </w:tcBorders>
            <w:shd w:val="clear" w:color="auto" w:fill="auto"/>
            <w:vAlign w:val="center"/>
          </w:tcPr>
          <w:p w14:paraId="24C4DDE6" w14:textId="7F1D9C2F" w:rsidR="00CD0CBE" w:rsidRPr="00F507E0" w:rsidRDefault="00CD0CBE" w:rsidP="00CD0CBE">
            <w:pPr>
              <w:jc w:val="center"/>
              <w:rPr>
                <w:rFonts w:eastAsia="Calibri"/>
                <w:sz w:val="20"/>
                <w:szCs w:val="20"/>
              </w:rPr>
            </w:pPr>
            <w:r w:rsidRPr="00F507E0">
              <w:rPr>
                <w:rFonts w:eastAsia="Calibri"/>
                <w:sz w:val="20"/>
                <w:szCs w:val="20"/>
              </w:rPr>
              <w:t>91</w:t>
            </w:r>
            <w:r w:rsidR="00C832CA" w:rsidRPr="00F507E0">
              <w:rPr>
                <w:rFonts w:eastAsia="Calibri"/>
                <w:sz w:val="20"/>
                <w:szCs w:val="20"/>
              </w:rPr>
              <w:t>.0</w:t>
            </w:r>
          </w:p>
        </w:tc>
        <w:tc>
          <w:tcPr>
            <w:tcW w:w="1260" w:type="dxa"/>
            <w:tcBorders>
              <w:right w:val="double" w:sz="4" w:space="0" w:color="auto"/>
            </w:tcBorders>
            <w:shd w:val="clear" w:color="auto" w:fill="auto"/>
            <w:vAlign w:val="center"/>
          </w:tcPr>
          <w:p w14:paraId="2F817C93" w14:textId="7C2EC9E2" w:rsidR="00CD0CBE" w:rsidRPr="00F507E0" w:rsidRDefault="00CD0CBE" w:rsidP="00CD0CBE">
            <w:pPr>
              <w:jc w:val="center"/>
              <w:rPr>
                <w:rFonts w:eastAsia="Calibri"/>
                <w:sz w:val="20"/>
                <w:szCs w:val="20"/>
              </w:rPr>
            </w:pPr>
            <w:r w:rsidRPr="00F507E0">
              <w:rPr>
                <w:rFonts w:eastAsia="Calibri"/>
                <w:sz w:val="20"/>
                <w:szCs w:val="20"/>
              </w:rPr>
              <w:t>17</w:t>
            </w:r>
            <w:r w:rsidR="00CE05D5" w:rsidRPr="00F507E0">
              <w:rPr>
                <w:rFonts w:eastAsia="Calibri"/>
                <w:sz w:val="20"/>
                <w:szCs w:val="20"/>
              </w:rPr>
              <w:t>.0</w:t>
            </w:r>
          </w:p>
        </w:tc>
        <w:tc>
          <w:tcPr>
            <w:tcW w:w="900" w:type="dxa"/>
            <w:tcBorders>
              <w:left w:val="double" w:sz="4" w:space="0" w:color="auto"/>
            </w:tcBorders>
            <w:shd w:val="clear" w:color="auto" w:fill="auto"/>
            <w:vAlign w:val="center"/>
          </w:tcPr>
          <w:p w14:paraId="1594D9D6" w14:textId="7D997C5A" w:rsidR="00CD0CBE" w:rsidRPr="00F507E0" w:rsidRDefault="00CD0CBE" w:rsidP="00CD0CBE">
            <w:pPr>
              <w:jc w:val="center"/>
              <w:rPr>
                <w:rFonts w:eastAsia="Calibri"/>
                <w:sz w:val="20"/>
                <w:szCs w:val="20"/>
              </w:rPr>
            </w:pPr>
            <w:r w:rsidRPr="00F507E0">
              <w:rPr>
                <w:rFonts w:eastAsia="Calibri"/>
                <w:sz w:val="20"/>
                <w:szCs w:val="20"/>
              </w:rPr>
              <w:t>93</w:t>
            </w:r>
          </w:p>
        </w:tc>
        <w:tc>
          <w:tcPr>
            <w:tcW w:w="1350" w:type="dxa"/>
            <w:tcBorders>
              <w:right w:val="double" w:sz="4" w:space="0" w:color="auto"/>
            </w:tcBorders>
            <w:shd w:val="clear" w:color="auto" w:fill="auto"/>
            <w:vAlign w:val="center"/>
          </w:tcPr>
          <w:p w14:paraId="0A75B6B2" w14:textId="74368201" w:rsidR="00CD0CBE" w:rsidRPr="00F507E0" w:rsidRDefault="00CD0CBE" w:rsidP="00CD0CBE">
            <w:pPr>
              <w:jc w:val="center"/>
              <w:rPr>
                <w:rFonts w:eastAsia="Calibri"/>
                <w:sz w:val="20"/>
                <w:szCs w:val="20"/>
              </w:rPr>
            </w:pPr>
            <w:r w:rsidRPr="00F507E0">
              <w:rPr>
                <w:rFonts w:eastAsia="Calibri"/>
                <w:sz w:val="20"/>
                <w:szCs w:val="20"/>
              </w:rPr>
              <w:t>26</w:t>
            </w:r>
            <w:r w:rsidR="00CE05D5" w:rsidRPr="00F507E0">
              <w:rPr>
                <w:rFonts w:eastAsia="Calibri"/>
                <w:sz w:val="20"/>
                <w:szCs w:val="20"/>
              </w:rPr>
              <w:t>.0</w:t>
            </w:r>
          </w:p>
        </w:tc>
        <w:tc>
          <w:tcPr>
            <w:tcW w:w="900" w:type="dxa"/>
            <w:tcBorders>
              <w:left w:val="double" w:sz="4" w:space="0" w:color="auto"/>
            </w:tcBorders>
            <w:shd w:val="clear" w:color="auto" w:fill="auto"/>
            <w:vAlign w:val="center"/>
          </w:tcPr>
          <w:p w14:paraId="60EE76DF" w14:textId="53813A18" w:rsidR="00CD0CBE" w:rsidRPr="00F507E0" w:rsidRDefault="00CD0CBE" w:rsidP="00CD0CBE">
            <w:pPr>
              <w:jc w:val="center"/>
              <w:rPr>
                <w:rFonts w:eastAsia="Calibri"/>
                <w:sz w:val="20"/>
                <w:szCs w:val="20"/>
              </w:rPr>
            </w:pPr>
            <w:r w:rsidRPr="00F507E0">
              <w:rPr>
                <w:rFonts w:eastAsia="Calibri"/>
                <w:sz w:val="20"/>
                <w:szCs w:val="20"/>
              </w:rPr>
              <w:t>93.8</w:t>
            </w:r>
          </w:p>
        </w:tc>
        <w:tc>
          <w:tcPr>
            <w:tcW w:w="1530" w:type="dxa"/>
            <w:tcBorders>
              <w:right w:val="double" w:sz="4" w:space="0" w:color="auto"/>
            </w:tcBorders>
            <w:shd w:val="clear" w:color="auto" w:fill="auto"/>
            <w:vAlign w:val="center"/>
          </w:tcPr>
          <w:p w14:paraId="7DF2405A" w14:textId="1F9E96C5" w:rsidR="00CD0CBE" w:rsidRPr="00F507E0" w:rsidRDefault="00CD0CBE" w:rsidP="00CD0CBE">
            <w:pPr>
              <w:jc w:val="center"/>
              <w:rPr>
                <w:rFonts w:eastAsia="Calibri"/>
                <w:sz w:val="20"/>
                <w:szCs w:val="20"/>
              </w:rPr>
            </w:pPr>
            <w:r w:rsidRPr="00F507E0">
              <w:rPr>
                <w:rFonts w:eastAsia="Calibri"/>
                <w:sz w:val="20"/>
                <w:szCs w:val="20"/>
              </w:rPr>
              <w:t>17.4</w:t>
            </w:r>
          </w:p>
        </w:tc>
      </w:tr>
      <w:tr w:rsidR="00F507E0" w:rsidRPr="00F507E0" w14:paraId="3B16AAF8" w14:textId="519BB46E" w:rsidTr="0043799A">
        <w:trPr>
          <w:cantSplit/>
          <w:trHeight w:hRule="exact" w:val="432"/>
        </w:trPr>
        <w:tc>
          <w:tcPr>
            <w:tcW w:w="3078" w:type="dxa"/>
            <w:tcBorders>
              <w:left w:val="double" w:sz="4" w:space="0" w:color="auto"/>
              <w:right w:val="double" w:sz="4" w:space="0" w:color="auto"/>
            </w:tcBorders>
            <w:vAlign w:val="center"/>
          </w:tcPr>
          <w:p w14:paraId="0C640BC0" w14:textId="4FDC1F31" w:rsidR="00CD0CBE" w:rsidRPr="00F507E0" w:rsidRDefault="00CD0CBE" w:rsidP="00CD0CBE">
            <w:pPr>
              <w:rPr>
                <w:rFonts w:eastAsia="Calibri"/>
                <w:sz w:val="20"/>
                <w:szCs w:val="20"/>
              </w:rPr>
            </w:pPr>
            <w:r w:rsidRPr="00F507E0">
              <w:rPr>
                <w:rFonts w:eastAsia="Calibri"/>
                <w:sz w:val="20"/>
                <w:szCs w:val="20"/>
              </w:rPr>
              <w:t>Shopping</w:t>
            </w:r>
          </w:p>
        </w:tc>
        <w:tc>
          <w:tcPr>
            <w:tcW w:w="990" w:type="dxa"/>
            <w:tcBorders>
              <w:left w:val="double" w:sz="4" w:space="0" w:color="auto"/>
            </w:tcBorders>
            <w:shd w:val="clear" w:color="auto" w:fill="auto"/>
            <w:vAlign w:val="center"/>
          </w:tcPr>
          <w:p w14:paraId="75236EA2" w14:textId="220AB432" w:rsidR="00CD0CBE" w:rsidRPr="00F507E0" w:rsidRDefault="00CD0CBE" w:rsidP="00CD0CBE">
            <w:pPr>
              <w:jc w:val="center"/>
              <w:rPr>
                <w:rFonts w:eastAsia="Calibri"/>
                <w:sz w:val="20"/>
                <w:szCs w:val="20"/>
              </w:rPr>
            </w:pPr>
            <w:r w:rsidRPr="00F507E0">
              <w:rPr>
                <w:rFonts w:eastAsia="Calibri"/>
                <w:sz w:val="20"/>
                <w:szCs w:val="20"/>
              </w:rPr>
              <w:t>84.2</w:t>
            </w:r>
          </w:p>
        </w:tc>
        <w:tc>
          <w:tcPr>
            <w:tcW w:w="1260" w:type="dxa"/>
            <w:tcBorders>
              <w:right w:val="double" w:sz="4" w:space="0" w:color="auto"/>
            </w:tcBorders>
            <w:shd w:val="clear" w:color="auto" w:fill="auto"/>
            <w:vAlign w:val="center"/>
          </w:tcPr>
          <w:p w14:paraId="6B582B4B" w14:textId="0FAFB796" w:rsidR="00CD0CBE" w:rsidRPr="00F507E0" w:rsidRDefault="00CD0CBE" w:rsidP="00CD0CBE">
            <w:pPr>
              <w:jc w:val="center"/>
              <w:rPr>
                <w:rFonts w:eastAsia="Calibri"/>
                <w:sz w:val="20"/>
                <w:szCs w:val="20"/>
              </w:rPr>
            </w:pPr>
            <w:r w:rsidRPr="00F507E0">
              <w:rPr>
                <w:rFonts w:eastAsia="Calibri"/>
                <w:sz w:val="20"/>
                <w:szCs w:val="20"/>
              </w:rPr>
              <w:t>21.8</w:t>
            </w:r>
          </w:p>
        </w:tc>
        <w:tc>
          <w:tcPr>
            <w:tcW w:w="1260" w:type="dxa"/>
            <w:tcBorders>
              <w:left w:val="double" w:sz="4" w:space="0" w:color="auto"/>
            </w:tcBorders>
            <w:shd w:val="clear" w:color="auto" w:fill="auto"/>
            <w:vAlign w:val="center"/>
          </w:tcPr>
          <w:p w14:paraId="3081D28F" w14:textId="6322ABAA" w:rsidR="00CD0CBE" w:rsidRPr="00F507E0" w:rsidRDefault="00CD0CBE" w:rsidP="00CD0CBE">
            <w:pPr>
              <w:jc w:val="center"/>
              <w:rPr>
                <w:rFonts w:eastAsia="Calibri"/>
                <w:sz w:val="20"/>
                <w:szCs w:val="20"/>
              </w:rPr>
            </w:pPr>
            <w:r w:rsidRPr="00F507E0">
              <w:rPr>
                <w:rFonts w:eastAsia="Calibri"/>
                <w:sz w:val="20"/>
                <w:szCs w:val="20"/>
              </w:rPr>
              <w:t>80.8</w:t>
            </w:r>
          </w:p>
        </w:tc>
        <w:tc>
          <w:tcPr>
            <w:tcW w:w="1260" w:type="dxa"/>
            <w:tcBorders>
              <w:right w:val="double" w:sz="4" w:space="0" w:color="auto"/>
            </w:tcBorders>
            <w:shd w:val="clear" w:color="auto" w:fill="auto"/>
            <w:vAlign w:val="center"/>
          </w:tcPr>
          <w:p w14:paraId="7F778A97" w14:textId="44207F1C" w:rsidR="00CD0CBE" w:rsidRPr="00F507E0" w:rsidRDefault="00CD0CBE" w:rsidP="00CD0CBE">
            <w:pPr>
              <w:jc w:val="center"/>
              <w:rPr>
                <w:rFonts w:eastAsia="Calibri"/>
                <w:sz w:val="20"/>
                <w:szCs w:val="20"/>
              </w:rPr>
            </w:pPr>
            <w:r w:rsidRPr="00F507E0">
              <w:rPr>
                <w:rFonts w:eastAsia="Calibri"/>
                <w:sz w:val="20"/>
                <w:szCs w:val="20"/>
              </w:rPr>
              <w:t>22.7</w:t>
            </w:r>
          </w:p>
        </w:tc>
        <w:tc>
          <w:tcPr>
            <w:tcW w:w="900" w:type="dxa"/>
            <w:tcBorders>
              <w:left w:val="double" w:sz="4" w:space="0" w:color="auto"/>
            </w:tcBorders>
            <w:shd w:val="clear" w:color="auto" w:fill="auto"/>
            <w:vAlign w:val="center"/>
          </w:tcPr>
          <w:p w14:paraId="280CD079" w14:textId="2DB933A8" w:rsidR="00CD0CBE" w:rsidRPr="00F507E0" w:rsidRDefault="00CD0CBE" w:rsidP="00CD0CBE">
            <w:pPr>
              <w:jc w:val="center"/>
              <w:rPr>
                <w:rFonts w:eastAsia="Calibri"/>
                <w:sz w:val="20"/>
                <w:szCs w:val="20"/>
              </w:rPr>
            </w:pPr>
            <w:r w:rsidRPr="00F507E0">
              <w:rPr>
                <w:rFonts w:eastAsia="Calibri"/>
                <w:sz w:val="20"/>
                <w:szCs w:val="20"/>
              </w:rPr>
              <w:t>82.4</w:t>
            </w:r>
          </w:p>
        </w:tc>
        <w:tc>
          <w:tcPr>
            <w:tcW w:w="1350" w:type="dxa"/>
            <w:tcBorders>
              <w:right w:val="double" w:sz="4" w:space="0" w:color="auto"/>
            </w:tcBorders>
            <w:shd w:val="clear" w:color="auto" w:fill="auto"/>
            <w:vAlign w:val="center"/>
          </w:tcPr>
          <w:p w14:paraId="0EA67120" w14:textId="34FF8FBF" w:rsidR="00CD0CBE" w:rsidRPr="00F507E0" w:rsidRDefault="00CD0CBE" w:rsidP="00CD0CBE">
            <w:pPr>
              <w:jc w:val="center"/>
              <w:rPr>
                <w:rFonts w:eastAsia="Calibri"/>
                <w:sz w:val="20"/>
                <w:szCs w:val="20"/>
              </w:rPr>
            </w:pPr>
            <w:r w:rsidRPr="00F507E0">
              <w:rPr>
                <w:rFonts w:eastAsia="Calibri"/>
                <w:sz w:val="20"/>
                <w:szCs w:val="20"/>
              </w:rPr>
              <w:t>26.6</w:t>
            </w:r>
          </w:p>
        </w:tc>
        <w:tc>
          <w:tcPr>
            <w:tcW w:w="900" w:type="dxa"/>
            <w:tcBorders>
              <w:left w:val="double" w:sz="4" w:space="0" w:color="auto"/>
            </w:tcBorders>
            <w:shd w:val="clear" w:color="auto" w:fill="auto"/>
            <w:vAlign w:val="center"/>
          </w:tcPr>
          <w:p w14:paraId="224E90D3" w14:textId="4B3A5273" w:rsidR="00CD0CBE" w:rsidRPr="00F507E0" w:rsidRDefault="00CD0CBE" w:rsidP="00CD0CBE">
            <w:pPr>
              <w:jc w:val="center"/>
              <w:rPr>
                <w:rFonts w:eastAsia="Calibri"/>
                <w:sz w:val="20"/>
                <w:szCs w:val="20"/>
              </w:rPr>
            </w:pPr>
            <w:r w:rsidRPr="00F507E0">
              <w:rPr>
                <w:rFonts w:eastAsia="Calibri"/>
                <w:sz w:val="20"/>
                <w:szCs w:val="20"/>
              </w:rPr>
              <w:t>83.7</w:t>
            </w:r>
          </w:p>
        </w:tc>
        <w:tc>
          <w:tcPr>
            <w:tcW w:w="1530" w:type="dxa"/>
            <w:tcBorders>
              <w:right w:val="double" w:sz="4" w:space="0" w:color="auto"/>
            </w:tcBorders>
            <w:shd w:val="clear" w:color="auto" w:fill="auto"/>
            <w:vAlign w:val="center"/>
          </w:tcPr>
          <w:p w14:paraId="5D65C3FD" w14:textId="1779EB3C" w:rsidR="00CD0CBE" w:rsidRPr="00F507E0" w:rsidRDefault="00CD0CBE" w:rsidP="00CD0CBE">
            <w:pPr>
              <w:jc w:val="center"/>
              <w:rPr>
                <w:rFonts w:eastAsia="Calibri"/>
                <w:sz w:val="20"/>
                <w:szCs w:val="20"/>
              </w:rPr>
            </w:pPr>
            <w:r w:rsidRPr="00F507E0">
              <w:rPr>
                <w:rFonts w:eastAsia="Calibri"/>
                <w:sz w:val="20"/>
                <w:szCs w:val="20"/>
              </w:rPr>
              <w:t>23.9</w:t>
            </w:r>
          </w:p>
        </w:tc>
      </w:tr>
      <w:tr w:rsidR="00F507E0" w:rsidRPr="00F507E0" w14:paraId="674B673E" w14:textId="241CAD8F" w:rsidTr="0043799A">
        <w:trPr>
          <w:cantSplit/>
          <w:trHeight w:hRule="exact" w:val="432"/>
        </w:trPr>
        <w:tc>
          <w:tcPr>
            <w:tcW w:w="3078" w:type="dxa"/>
            <w:tcBorders>
              <w:left w:val="double" w:sz="4" w:space="0" w:color="auto"/>
              <w:right w:val="double" w:sz="4" w:space="0" w:color="auto"/>
            </w:tcBorders>
            <w:vAlign w:val="center"/>
          </w:tcPr>
          <w:p w14:paraId="6FA9CE66" w14:textId="2FED978E" w:rsidR="00CD0CBE" w:rsidRPr="00F507E0" w:rsidRDefault="00CD0CBE" w:rsidP="00CD0CBE">
            <w:pPr>
              <w:rPr>
                <w:rFonts w:eastAsia="Calibri"/>
                <w:sz w:val="20"/>
                <w:szCs w:val="20"/>
              </w:rPr>
            </w:pPr>
            <w:r w:rsidRPr="00F507E0">
              <w:rPr>
                <w:rFonts w:eastAsia="Calibri"/>
                <w:sz w:val="20"/>
                <w:szCs w:val="20"/>
              </w:rPr>
              <w:t>Recreation and leisure</w:t>
            </w:r>
          </w:p>
        </w:tc>
        <w:tc>
          <w:tcPr>
            <w:tcW w:w="990" w:type="dxa"/>
            <w:tcBorders>
              <w:left w:val="double" w:sz="4" w:space="0" w:color="auto"/>
            </w:tcBorders>
            <w:shd w:val="clear" w:color="auto" w:fill="auto"/>
            <w:vAlign w:val="center"/>
          </w:tcPr>
          <w:p w14:paraId="606004E1" w14:textId="3B420E06" w:rsidR="00CD0CBE" w:rsidRPr="00F507E0" w:rsidRDefault="00CD0CBE" w:rsidP="00CD0CBE">
            <w:pPr>
              <w:jc w:val="center"/>
              <w:rPr>
                <w:rFonts w:eastAsia="Calibri"/>
                <w:sz w:val="20"/>
                <w:szCs w:val="20"/>
              </w:rPr>
            </w:pPr>
            <w:r w:rsidRPr="00F507E0">
              <w:rPr>
                <w:rFonts w:eastAsia="Calibri"/>
                <w:sz w:val="20"/>
                <w:szCs w:val="20"/>
              </w:rPr>
              <w:t>37.9</w:t>
            </w:r>
          </w:p>
        </w:tc>
        <w:tc>
          <w:tcPr>
            <w:tcW w:w="1260" w:type="dxa"/>
            <w:tcBorders>
              <w:right w:val="double" w:sz="4" w:space="0" w:color="auto"/>
            </w:tcBorders>
            <w:shd w:val="clear" w:color="auto" w:fill="auto"/>
            <w:vAlign w:val="center"/>
          </w:tcPr>
          <w:p w14:paraId="5EA8263F" w14:textId="7020E2FB" w:rsidR="00CD0CBE" w:rsidRPr="00F507E0" w:rsidRDefault="00CD0CBE" w:rsidP="00CD0CBE">
            <w:pPr>
              <w:jc w:val="center"/>
              <w:rPr>
                <w:rFonts w:eastAsia="Calibri"/>
                <w:sz w:val="20"/>
                <w:szCs w:val="20"/>
              </w:rPr>
            </w:pPr>
            <w:r w:rsidRPr="00F507E0">
              <w:rPr>
                <w:rFonts w:eastAsia="Calibri"/>
                <w:sz w:val="20"/>
                <w:szCs w:val="20"/>
              </w:rPr>
              <w:t>6.4</w:t>
            </w:r>
          </w:p>
        </w:tc>
        <w:tc>
          <w:tcPr>
            <w:tcW w:w="1260" w:type="dxa"/>
            <w:tcBorders>
              <w:left w:val="double" w:sz="4" w:space="0" w:color="auto"/>
            </w:tcBorders>
            <w:shd w:val="clear" w:color="auto" w:fill="auto"/>
            <w:vAlign w:val="center"/>
          </w:tcPr>
          <w:p w14:paraId="73D0180C" w14:textId="38B0991E" w:rsidR="00CD0CBE" w:rsidRPr="00F507E0" w:rsidRDefault="00CD0CBE" w:rsidP="00CD0CBE">
            <w:pPr>
              <w:jc w:val="center"/>
              <w:rPr>
                <w:rFonts w:eastAsia="Calibri"/>
                <w:sz w:val="20"/>
                <w:szCs w:val="20"/>
              </w:rPr>
            </w:pPr>
            <w:r w:rsidRPr="00F507E0">
              <w:rPr>
                <w:rFonts w:eastAsia="Calibri"/>
                <w:sz w:val="20"/>
                <w:szCs w:val="20"/>
              </w:rPr>
              <w:t>38.6</w:t>
            </w:r>
          </w:p>
        </w:tc>
        <w:tc>
          <w:tcPr>
            <w:tcW w:w="1260" w:type="dxa"/>
            <w:tcBorders>
              <w:right w:val="double" w:sz="4" w:space="0" w:color="auto"/>
            </w:tcBorders>
            <w:shd w:val="clear" w:color="auto" w:fill="auto"/>
            <w:vAlign w:val="center"/>
          </w:tcPr>
          <w:p w14:paraId="11378A69" w14:textId="69EED6F5" w:rsidR="00CD0CBE" w:rsidRPr="00F507E0" w:rsidRDefault="00CD0CBE" w:rsidP="00CD0CBE">
            <w:pPr>
              <w:jc w:val="center"/>
              <w:rPr>
                <w:rFonts w:eastAsia="Calibri"/>
                <w:sz w:val="20"/>
                <w:szCs w:val="20"/>
              </w:rPr>
            </w:pPr>
            <w:r w:rsidRPr="00F507E0">
              <w:rPr>
                <w:rFonts w:eastAsia="Calibri"/>
                <w:sz w:val="20"/>
                <w:szCs w:val="20"/>
              </w:rPr>
              <w:t>6.6</w:t>
            </w:r>
          </w:p>
        </w:tc>
        <w:tc>
          <w:tcPr>
            <w:tcW w:w="900" w:type="dxa"/>
            <w:tcBorders>
              <w:left w:val="double" w:sz="4" w:space="0" w:color="auto"/>
            </w:tcBorders>
            <w:shd w:val="clear" w:color="auto" w:fill="auto"/>
            <w:vAlign w:val="center"/>
          </w:tcPr>
          <w:p w14:paraId="1AC58FF9" w14:textId="0AB964A7" w:rsidR="00CD0CBE" w:rsidRPr="00F507E0" w:rsidRDefault="00CD0CBE" w:rsidP="00CD0CBE">
            <w:pPr>
              <w:jc w:val="center"/>
              <w:rPr>
                <w:rFonts w:eastAsia="Calibri"/>
                <w:sz w:val="20"/>
                <w:szCs w:val="20"/>
              </w:rPr>
            </w:pPr>
            <w:r w:rsidRPr="00F507E0">
              <w:rPr>
                <w:rFonts w:eastAsia="Calibri"/>
                <w:sz w:val="20"/>
                <w:szCs w:val="20"/>
              </w:rPr>
              <w:t>38.1</w:t>
            </w:r>
          </w:p>
        </w:tc>
        <w:tc>
          <w:tcPr>
            <w:tcW w:w="1350" w:type="dxa"/>
            <w:tcBorders>
              <w:right w:val="double" w:sz="4" w:space="0" w:color="auto"/>
            </w:tcBorders>
            <w:shd w:val="clear" w:color="auto" w:fill="auto"/>
            <w:vAlign w:val="center"/>
          </w:tcPr>
          <w:p w14:paraId="28311548" w14:textId="05570083" w:rsidR="00CD0CBE" w:rsidRPr="00F507E0" w:rsidRDefault="00CD0CBE" w:rsidP="00CD0CBE">
            <w:pPr>
              <w:jc w:val="center"/>
              <w:rPr>
                <w:rFonts w:eastAsia="Calibri"/>
                <w:sz w:val="20"/>
                <w:szCs w:val="20"/>
              </w:rPr>
            </w:pPr>
            <w:r w:rsidRPr="00F507E0">
              <w:rPr>
                <w:rFonts w:eastAsia="Calibri"/>
                <w:sz w:val="20"/>
                <w:szCs w:val="20"/>
              </w:rPr>
              <w:t>9.6</w:t>
            </w:r>
          </w:p>
        </w:tc>
        <w:tc>
          <w:tcPr>
            <w:tcW w:w="900" w:type="dxa"/>
            <w:tcBorders>
              <w:left w:val="double" w:sz="4" w:space="0" w:color="auto"/>
            </w:tcBorders>
            <w:shd w:val="clear" w:color="auto" w:fill="auto"/>
            <w:vAlign w:val="center"/>
          </w:tcPr>
          <w:p w14:paraId="7E0A2C1E" w14:textId="75BB4AA6" w:rsidR="00CD0CBE" w:rsidRPr="00F507E0" w:rsidRDefault="00CD0CBE" w:rsidP="00CD0CBE">
            <w:pPr>
              <w:jc w:val="center"/>
              <w:rPr>
                <w:rFonts w:eastAsia="Calibri"/>
                <w:sz w:val="20"/>
                <w:szCs w:val="20"/>
              </w:rPr>
            </w:pPr>
            <w:r w:rsidRPr="00F507E0">
              <w:rPr>
                <w:rFonts w:eastAsia="Calibri"/>
                <w:sz w:val="20"/>
                <w:szCs w:val="20"/>
              </w:rPr>
              <w:t>42.2</w:t>
            </w:r>
          </w:p>
        </w:tc>
        <w:tc>
          <w:tcPr>
            <w:tcW w:w="1530" w:type="dxa"/>
            <w:tcBorders>
              <w:right w:val="double" w:sz="4" w:space="0" w:color="auto"/>
            </w:tcBorders>
            <w:shd w:val="clear" w:color="auto" w:fill="auto"/>
            <w:vAlign w:val="center"/>
          </w:tcPr>
          <w:p w14:paraId="7B3B08F5" w14:textId="1E141FE9" w:rsidR="00CD0CBE" w:rsidRPr="00F507E0" w:rsidRDefault="00CD0CBE" w:rsidP="00CD0CBE">
            <w:pPr>
              <w:jc w:val="center"/>
              <w:rPr>
                <w:rFonts w:eastAsia="Calibri"/>
                <w:sz w:val="20"/>
                <w:szCs w:val="20"/>
              </w:rPr>
            </w:pPr>
            <w:r w:rsidRPr="00F507E0">
              <w:rPr>
                <w:rFonts w:eastAsia="Calibri"/>
                <w:sz w:val="20"/>
                <w:szCs w:val="20"/>
              </w:rPr>
              <w:t>9</w:t>
            </w:r>
            <w:r w:rsidR="00CE05D5" w:rsidRPr="00F507E0">
              <w:rPr>
                <w:rFonts w:eastAsia="Calibri"/>
                <w:sz w:val="20"/>
                <w:szCs w:val="20"/>
              </w:rPr>
              <w:t>.0</w:t>
            </w:r>
          </w:p>
        </w:tc>
      </w:tr>
      <w:tr w:rsidR="00F507E0" w:rsidRPr="00F507E0" w14:paraId="68E4E1DA" w14:textId="22D3A02F" w:rsidTr="0043799A">
        <w:trPr>
          <w:cantSplit/>
          <w:trHeight w:hRule="exact" w:val="432"/>
        </w:trPr>
        <w:tc>
          <w:tcPr>
            <w:tcW w:w="3078" w:type="dxa"/>
            <w:tcBorders>
              <w:left w:val="double" w:sz="4" w:space="0" w:color="auto"/>
              <w:bottom w:val="single" w:sz="4" w:space="0" w:color="auto"/>
              <w:right w:val="double" w:sz="4" w:space="0" w:color="auto"/>
            </w:tcBorders>
            <w:vAlign w:val="center"/>
          </w:tcPr>
          <w:p w14:paraId="52C4A88A" w14:textId="094D7BD8" w:rsidR="00CD0CBE" w:rsidRPr="00F507E0" w:rsidRDefault="00CD0CBE" w:rsidP="00CD0CBE">
            <w:pPr>
              <w:rPr>
                <w:rFonts w:eastAsia="Calibri"/>
                <w:sz w:val="20"/>
                <w:szCs w:val="20"/>
              </w:rPr>
            </w:pPr>
            <w:r w:rsidRPr="00F507E0">
              <w:rPr>
                <w:rFonts w:eastAsia="Calibri"/>
                <w:sz w:val="20"/>
                <w:szCs w:val="20"/>
              </w:rPr>
              <w:t>Health and medicine</w:t>
            </w:r>
          </w:p>
        </w:tc>
        <w:tc>
          <w:tcPr>
            <w:tcW w:w="990" w:type="dxa"/>
            <w:tcBorders>
              <w:left w:val="double" w:sz="4" w:space="0" w:color="auto"/>
              <w:bottom w:val="single" w:sz="4" w:space="0" w:color="auto"/>
            </w:tcBorders>
            <w:shd w:val="clear" w:color="auto" w:fill="auto"/>
            <w:vAlign w:val="center"/>
          </w:tcPr>
          <w:p w14:paraId="5D828901" w14:textId="002B6580" w:rsidR="00CD0CBE" w:rsidRPr="00F507E0" w:rsidRDefault="00CD0CBE" w:rsidP="00CD0CBE">
            <w:pPr>
              <w:jc w:val="center"/>
              <w:rPr>
                <w:rFonts w:eastAsia="Calibri"/>
                <w:sz w:val="20"/>
                <w:szCs w:val="20"/>
              </w:rPr>
            </w:pPr>
            <w:r w:rsidRPr="00F507E0">
              <w:rPr>
                <w:rFonts w:eastAsia="Calibri"/>
                <w:sz w:val="20"/>
                <w:szCs w:val="20"/>
              </w:rPr>
              <w:t>16.5</w:t>
            </w:r>
          </w:p>
        </w:tc>
        <w:tc>
          <w:tcPr>
            <w:tcW w:w="1260" w:type="dxa"/>
            <w:tcBorders>
              <w:bottom w:val="single" w:sz="4" w:space="0" w:color="auto"/>
              <w:right w:val="double" w:sz="4" w:space="0" w:color="auto"/>
            </w:tcBorders>
            <w:shd w:val="clear" w:color="auto" w:fill="auto"/>
            <w:vAlign w:val="center"/>
          </w:tcPr>
          <w:p w14:paraId="73CEC127" w14:textId="2A162AAE" w:rsidR="00CD0CBE" w:rsidRPr="00F507E0" w:rsidRDefault="00CD0CBE" w:rsidP="00CD0CBE">
            <w:pPr>
              <w:jc w:val="center"/>
              <w:rPr>
                <w:rFonts w:eastAsia="Calibri"/>
                <w:sz w:val="20"/>
                <w:szCs w:val="20"/>
              </w:rPr>
            </w:pPr>
            <w:r w:rsidRPr="00F507E0">
              <w:rPr>
                <w:rFonts w:eastAsia="Calibri"/>
                <w:sz w:val="20"/>
                <w:szCs w:val="20"/>
              </w:rPr>
              <w:t>5</w:t>
            </w:r>
            <w:r w:rsidR="00CE05D5" w:rsidRPr="00F507E0">
              <w:rPr>
                <w:rFonts w:eastAsia="Calibri"/>
                <w:sz w:val="20"/>
                <w:szCs w:val="20"/>
              </w:rPr>
              <w:t>.0</w:t>
            </w:r>
          </w:p>
        </w:tc>
        <w:tc>
          <w:tcPr>
            <w:tcW w:w="1260" w:type="dxa"/>
            <w:tcBorders>
              <w:left w:val="double" w:sz="4" w:space="0" w:color="auto"/>
              <w:bottom w:val="single" w:sz="4" w:space="0" w:color="auto"/>
            </w:tcBorders>
            <w:shd w:val="clear" w:color="auto" w:fill="auto"/>
            <w:vAlign w:val="center"/>
          </w:tcPr>
          <w:p w14:paraId="5DD4F48B" w14:textId="3510122E" w:rsidR="00CD0CBE" w:rsidRPr="00F507E0" w:rsidRDefault="00CD0CBE" w:rsidP="00CD0CBE">
            <w:pPr>
              <w:jc w:val="center"/>
              <w:rPr>
                <w:rFonts w:eastAsia="Calibri"/>
                <w:sz w:val="20"/>
                <w:szCs w:val="20"/>
              </w:rPr>
            </w:pPr>
            <w:r w:rsidRPr="00F507E0">
              <w:rPr>
                <w:rFonts w:eastAsia="Calibri"/>
                <w:sz w:val="20"/>
                <w:szCs w:val="20"/>
              </w:rPr>
              <w:t>19.4</w:t>
            </w:r>
          </w:p>
        </w:tc>
        <w:tc>
          <w:tcPr>
            <w:tcW w:w="1260" w:type="dxa"/>
            <w:tcBorders>
              <w:bottom w:val="single" w:sz="4" w:space="0" w:color="auto"/>
              <w:right w:val="double" w:sz="4" w:space="0" w:color="auto"/>
            </w:tcBorders>
            <w:shd w:val="clear" w:color="auto" w:fill="auto"/>
            <w:vAlign w:val="center"/>
          </w:tcPr>
          <w:p w14:paraId="4DB6709B" w14:textId="44963C56" w:rsidR="00CD0CBE" w:rsidRPr="00F507E0" w:rsidRDefault="00CD0CBE" w:rsidP="00CD0CBE">
            <w:pPr>
              <w:jc w:val="center"/>
              <w:rPr>
                <w:rFonts w:eastAsia="Calibri"/>
                <w:sz w:val="20"/>
                <w:szCs w:val="20"/>
              </w:rPr>
            </w:pPr>
            <w:r w:rsidRPr="00F507E0">
              <w:rPr>
                <w:rFonts w:eastAsia="Calibri"/>
                <w:sz w:val="20"/>
                <w:szCs w:val="20"/>
              </w:rPr>
              <w:t>3.5</w:t>
            </w:r>
          </w:p>
        </w:tc>
        <w:tc>
          <w:tcPr>
            <w:tcW w:w="900" w:type="dxa"/>
            <w:tcBorders>
              <w:left w:val="double" w:sz="4" w:space="0" w:color="auto"/>
              <w:bottom w:val="single" w:sz="4" w:space="0" w:color="auto"/>
            </w:tcBorders>
            <w:shd w:val="clear" w:color="auto" w:fill="auto"/>
            <w:vAlign w:val="center"/>
          </w:tcPr>
          <w:p w14:paraId="6B0ACAAA" w14:textId="52958FF9" w:rsidR="00CD0CBE" w:rsidRPr="00F507E0" w:rsidRDefault="00CD0CBE" w:rsidP="00CD0CBE">
            <w:pPr>
              <w:jc w:val="center"/>
              <w:rPr>
                <w:rFonts w:eastAsia="Calibri"/>
                <w:sz w:val="20"/>
                <w:szCs w:val="20"/>
              </w:rPr>
            </w:pPr>
            <w:r w:rsidRPr="00F507E0">
              <w:rPr>
                <w:rFonts w:eastAsia="Calibri"/>
                <w:sz w:val="20"/>
                <w:szCs w:val="20"/>
              </w:rPr>
              <w:t>18.4</w:t>
            </w:r>
          </w:p>
        </w:tc>
        <w:tc>
          <w:tcPr>
            <w:tcW w:w="1350" w:type="dxa"/>
            <w:tcBorders>
              <w:bottom w:val="single" w:sz="4" w:space="0" w:color="auto"/>
              <w:right w:val="double" w:sz="4" w:space="0" w:color="auto"/>
            </w:tcBorders>
            <w:shd w:val="clear" w:color="auto" w:fill="auto"/>
            <w:vAlign w:val="center"/>
          </w:tcPr>
          <w:p w14:paraId="180DCC3A" w14:textId="4EC13067" w:rsidR="00CD0CBE" w:rsidRPr="00F507E0" w:rsidRDefault="00CD0CBE" w:rsidP="00CD0CBE">
            <w:pPr>
              <w:jc w:val="center"/>
              <w:rPr>
                <w:rFonts w:eastAsia="Calibri"/>
                <w:sz w:val="20"/>
                <w:szCs w:val="20"/>
              </w:rPr>
            </w:pPr>
            <w:r w:rsidRPr="00F507E0">
              <w:rPr>
                <w:rFonts w:eastAsia="Calibri"/>
                <w:sz w:val="20"/>
                <w:szCs w:val="20"/>
              </w:rPr>
              <w:t>3.6</w:t>
            </w:r>
          </w:p>
        </w:tc>
        <w:tc>
          <w:tcPr>
            <w:tcW w:w="900" w:type="dxa"/>
            <w:tcBorders>
              <w:left w:val="double" w:sz="4" w:space="0" w:color="auto"/>
              <w:bottom w:val="single" w:sz="4" w:space="0" w:color="auto"/>
            </w:tcBorders>
            <w:shd w:val="clear" w:color="auto" w:fill="auto"/>
            <w:vAlign w:val="center"/>
          </w:tcPr>
          <w:p w14:paraId="64609945" w14:textId="646ABD4D" w:rsidR="00CD0CBE" w:rsidRPr="00F507E0" w:rsidRDefault="00CD0CBE" w:rsidP="00CD0CBE">
            <w:pPr>
              <w:jc w:val="center"/>
              <w:rPr>
                <w:rFonts w:eastAsia="Calibri"/>
                <w:sz w:val="20"/>
                <w:szCs w:val="20"/>
              </w:rPr>
            </w:pPr>
            <w:r w:rsidRPr="00F507E0">
              <w:rPr>
                <w:rFonts w:eastAsia="Calibri"/>
                <w:sz w:val="20"/>
                <w:szCs w:val="20"/>
              </w:rPr>
              <w:t>10.3</w:t>
            </w:r>
          </w:p>
        </w:tc>
        <w:tc>
          <w:tcPr>
            <w:tcW w:w="1530" w:type="dxa"/>
            <w:tcBorders>
              <w:bottom w:val="single" w:sz="4" w:space="0" w:color="auto"/>
              <w:right w:val="double" w:sz="4" w:space="0" w:color="auto"/>
            </w:tcBorders>
            <w:shd w:val="clear" w:color="auto" w:fill="auto"/>
            <w:vAlign w:val="center"/>
          </w:tcPr>
          <w:p w14:paraId="2BB4E43F" w14:textId="6DED23AA" w:rsidR="00CD0CBE" w:rsidRPr="00F507E0" w:rsidRDefault="00CD0CBE" w:rsidP="00CD0CBE">
            <w:pPr>
              <w:jc w:val="center"/>
              <w:rPr>
                <w:rFonts w:eastAsia="Calibri"/>
                <w:sz w:val="20"/>
                <w:szCs w:val="20"/>
              </w:rPr>
            </w:pPr>
            <w:r w:rsidRPr="00F507E0">
              <w:rPr>
                <w:rFonts w:eastAsia="Calibri"/>
                <w:sz w:val="20"/>
                <w:szCs w:val="20"/>
              </w:rPr>
              <w:t>2.8</w:t>
            </w:r>
          </w:p>
        </w:tc>
      </w:tr>
      <w:tr w:rsidR="00F507E0" w:rsidRPr="00F507E0" w14:paraId="45F96BBB" w14:textId="77777777" w:rsidTr="0043799A">
        <w:trPr>
          <w:cantSplit/>
          <w:trHeight w:hRule="exact" w:val="432"/>
        </w:trPr>
        <w:tc>
          <w:tcPr>
            <w:tcW w:w="3078" w:type="dxa"/>
            <w:tcBorders>
              <w:top w:val="single" w:sz="4" w:space="0" w:color="auto"/>
              <w:left w:val="double" w:sz="4" w:space="0" w:color="auto"/>
              <w:bottom w:val="single" w:sz="4" w:space="0" w:color="auto"/>
              <w:right w:val="double" w:sz="4" w:space="0" w:color="auto"/>
            </w:tcBorders>
            <w:vAlign w:val="center"/>
          </w:tcPr>
          <w:p w14:paraId="583F9A93" w14:textId="215D0A39" w:rsidR="00622E03" w:rsidRPr="00F507E0" w:rsidRDefault="00622E03" w:rsidP="00622E03">
            <w:pPr>
              <w:rPr>
                <w:rFonts w:eastAsia="Calibri"/>
                <w:sz w:val="20"/>
                <w:szCs w:val="20"/>
              </w:rPr>
            </w:pPr>
            <w:r w:rsidRPr="00F507E0">
              <w:rPr>
                <w:rFonts w:eastAsia="Calibri"/>
                <w:sz w:val="20"/>
                <w:szCs w:val="20"/>
              </w:rPr>
              <w:t>Weighted MAPE</w:t>
            </w:r>
            <w:r w:rsidR="005D2965" w:rsidRPr="00F507E0">
              <w:rPr>
                <w:rFonts w:eastAsia="Calibri"/>
                <w:sz w:val="20"/>
                <w:szCs w:val="20"/>
              </w:rPr>
              <w:t xml:space="preserve"> (percentage)</w:t>
            </w:r>
          </w:p>
        </w:tc>
        <w:tc>
          <w:tcPr>
            <w:tcW w:w="990" w:type="dxa"/>
            <w:tcBorders>
              <w:top w:val="single" w:sz="4" w:space="0" w:color="auto"/>
              <w:left w:val="double" w:sz="4" w:space="0" w:color="auto"/>
              <w:bottom w:val="single" w:sz="4" w:space="0" w:color="auto"/>
            </w:tcBorders>
            <w:vAlign w:val="center"/>
          </w:tcPr>
          <w:p w14:paraId="1B19DD22" w14:textId="77707B56" w:rsidR="00622E03" w:rsidRPr="00F507E0" w:rsidRDefault="00CD0CBE" w:rsidP="00622E03">
            <w:pPr>
              <w:jc w:val="center"/>
              <w:rPr>
                <w:rFonts w:eastAsia="Calibri"/>
                <w:sz w:val="20"/>
                <w:szCs w:val="20"/>
              </w:rPr>
            </w:pPr>
            <w:r w:rsidRPr="00F507E0">
              <w:rPr>
                <w:rFonts w:eastAsia="Calibri"/>
                <w:sz w:val="20"/>
                <w:szCs w:val="20"/>
              </w:rPr>
              <w:t>--</w:t>
            </w:r>
          </w:p>
        </w:tc>
        <w:tc>
          <w:tcPr>
            <w:tcW w:w="1260" w:type="dxa"/>
            <w:tcBorders>
              <w:top w:val="single" w:sz="4" w:space="0" w:color="auto"/>
              <w:bottom w:val="single" w:sz="4" w:space="0" w:color="auto"/>
              <w:right w:val="double" w:sz="4" w:space="0" w:color="auto"/>
            </w:tcBorders>
            <w:vAlign w:val="center"/>
          </w:tcPr>
          <w:p w14:paraId="4A453220" w14:textId="1EE670A4" w:rsidR="00622E03" w:rsidRPr="00F507E0" w:rsidRDefault="00CD0CBE" w:rsidP="00622E03">
            <w:pPr>
              <w:jc w:val="center"/>
              <w:rPr>
                <w:rFonts w:eastAsia="Calibri"/>
                <w:sz w:val="20"/>
                <w:szCs w:val="20"/>
              </w:rPr>
            </w:pPr>
            <w:r w:rsidRPr="00F507E0">
              <w:rPr>
                <w:rFonts w:eastAsia="Calibri"/>
                <w:sz w:val="20"/>
                <w:szCs w:val="20"/>
              </w:rPr>
              <w:t>--</w:t>
            </w:r>
          </w:p>
        </w:tc>
        <w:tc>
          <w:tcPr>
            <w:tcW w:w="1260" w:type="dxa"/>
            <w:tcBorders>
              <w:top w:val="single" w:sz="4" w:space="0" w:color="auto"/>
              <w:left w:val="double" w:sz="4" w:space="0" w:color="auto"/>
              <w:bottom w:val="single" w:sz="4" w:space="0" w:color="auto"/>
            </w:tcBorders>
            <w:vAlign w:val="center"/>
          </w:tcPr>
          <w:p w14:paraId="5BA0C81F" w14:textId="595E182B" w:rsidR="00622E03" w:rsidRPr="00F507E0" w:rsidRDefault="00CD0CBE" w:rsidP="00622E03">
            <w:pPr>
              <w:jc w:val="center"/>
              <w:rPr>
                <w:rFonts w:eastAsia="Calibri"/>
                <w:sz w:val="20"/>
                <w:szCs w:val="20"/>
              </w:rPr>
            </w:pPr>
            <w:r w:rsidRPr="00F507E0">
              <w:rPr>
                <w:rFonts w:eastAsia="Calibri"/>
                <w:sz w:val="20"/>
                <w:szCs w:val="20"/>
              </w:rPr>
              <w:t>5.03</w:t>
            </w:r>
          </w:p>
        </w:tc>
        <w:tc>
          <w:tcPr>
            <w:tcW w:w="1260" w:type="dxa"/>
            <w:tcBorders>
              <w:top w:val="single" w:sz="4" w:space="0" w:color="auto"/>
              <w:right w:val="double" w:sz="4" w:space="0" w:color="auto"/>
            </w:tcBorders>
            <w:vAlign w:val="center"/>
          </w:tcPr>
          <w:p w14:paraId="422A2694" w14:textId="29C877E3" w:rsidR="00622E03" w:rsidRPr="00F507E0" w:rsidRDefault="00CD0CBE" w:rsidP="00622E03">
            <w:pPr>
              <w:jc w:val="center"/>
              <w:rPr>
                <w:rFonts w:eastAsia="Calibri"/>
                <w:sz w:val="20"/>
                <w:szCs w:val="20"/>
              </w:rPr>
            </w:pPr>
            <w:r w:rsidRPr="00F507E0">
              <w:rPr>
                <w:rFonts w:eastAsia="Calibri"/>
                <w:sz w:val="20"/>
                <w:szCs w:val="20"/>
              </w:rPr>
              <w:t>16.09</w:t>
            </w:r>
          </w:p>
        </w:tc>
        <w:tc>
          <w:tcPr>
            <w:tcW w:w="900" w:type="dxa"/>
            <w:tcBorders>
              <w:top w:val="single" w:sz="4" w:space="0" w:color="auto"/>
              <w:left w:val="double" w:sz="4" w:space="0" w:color="auto"/>
            </w:tcBorders>
            <w:vAlign w:val="center"/>
          </w:tcPr>
          <w:p w14:paraId="6616C305" w14:textId="0BDD62D4" w:rsidR="00622E03" w:rsidRPr="00F507E0" w:rsidRDefault="00CD0CBE" w:rsidP="00622E03">
            <w:pPr>
              <w:jc w:val="center"/>
              <w:rPr>
                <w:rFonts w:eastAsia="Calibri"/>
                <w:sz w:val="20"/>
                <w:szCs w:val="20"/>
              </w:rPr>
            </w:pPr>
            <w:r w:rsidRPr="00F507E0">
              <w:rPr>
                <w:rFonts w:eastAsia="Calibri"/>
                <w:sz w:val="20"/>
                <w:szCs w:val="20"/>
              </w:rPr>
              <w:t>2.16</w:t>
            </w:r>
          </w:p>
        </w:tc>
        <w:tc>
          <w:tcPr>
            <w:tcW w:w="1350" w:type="dxa"/>
            <w:tcBorders>
              <w:top w:val="single" w:sz="4" w:space="0" w:color="auto"/>
              <w:right w:val="double" w:sz="4" w:space="0" w:color="auto"/>
            </w:tcBorders>
            <w:vAlign w:val="center"/>
          </w:tcPr>
          <w:p w14:paraId="12448D0E" w14:textId="64B821A3" w:rsidR="00622E03" w:rsidRPr="00F507E0" w:rsidRDefault="001256C4" w:rsidP="00622E03">
            <w:pPr>
              <w:jc w:val="center"/>
              <w:rPr>
                <w:rFonts w:eastAsia="Calibri"/>
                <w:sz w:val="20"/>
                <w:szCs w:val="20"/>
              </w:rPr>
            </w:pPr>
            <w:r w:rsidRPr="00F507E0">
              <w:rPr>
                <w:rFonts w:eastAsia="Calibri"/>
                <w:sz w:val="20"/>
                <w:szCs w:val="20"/>
              </w:rPr>
              <w:t>27</w:t>
            </w:r>
            <w:r w:rsidR="00CD0CBE" w:rsidRPr="00F507E0">
              <w:rPr>
                <w:rFonts w:eastAsia="Calibri"/>
                <w:sz w:val="20"/>
                <w:szCs w:val="20"/>
              </w:rPr>
              <w:t>.</w:t>
            </w:r>
            <w:r w:rsidRPr="00F507E0">
              <w:rPr>
                <w:rFonts w:eastAsia="Calibri"/>
                <w:sz w:val="20"/>
                <w:szCs w:val="20"/>
              </w:rPr>
              <w:t>80</w:t>
            </w:r>
          </w:p>
        </w:tc>
        <w:tc>
          <w:tcPr>
            <w:tcW w:w="900" w:type="dxa"/>
            <w:tcBorders>
              <w:top w:val="single" w:sz="4" w:space="0" w:color="auto"/>
              <w:left w:val="double" w:sz="4" w:space="0" w:color="auto"/>
            </w:tcBorders>
            <w:vAlign w:val="center"/>
          </w:tcPr>
          <w:p w14:paraId="6AE41DB0" w14:textId="608D3F0A" w:rsidR="00622E03" w:rsidRPr="00F507E0" w:rsidRDefault="00CD0CBE" w:rsidP="00622E03">
            <w:pPr>
              <w:jc w:val="center"/>
              <w:rPr>
                <w:rFonts w:eastAsia="Calibri"/>
                <w:sz w:val="20"/>
                <w:szCs w:val="20"/>
              </w:rPr>
            </w:pPr>
            <w:r w:rsidRPr="00F507E0">
              <w:rPr>
                <w:rFonts w:eastAsia="Calibri"/>
                <w:sz w:val="20"/>
                <w:szCs w:val="20"/>
              </w:rPr>
              <w:t>5.10</w:t>
            </w:r>
          </w:p>
        </w:tc>
        <w:tc>
          <w:tcPr>
            <w:tcW w:w="1530" w:type="dxa"/>
            <w:tcBorders>
              <w:top w:val="single" w:sz="4" w:space="0" w:color="auto"/>
              <w:right w:val="double" w:sz="4" w:space="0" w:color="auto"/>
            </w:tcBorders>
            <w:vAlign w:val="center"/>
          </w:tcPr>
          <w:p w14:paraId="4C53CD57" w14:textId="79A1295D" w:rsidR="00622E03" w:rsidRPr="00F507E0" w:rsidRDefault="00CD0CBE" w:rsidP="00622E03">
            <w:pPr>
              <w:jc w:val="center"/>
              <w:rPr>
                <w:rFonts w:eastAsia="Calibri"/>
                <w:sz w:val="20"/>
                <w:szCs w:val="20"/>
              </w:rPr>
            </w:pPr>
            <w:r w:rsidRPr="00F507E0">
              <w:rPr>
                <w:rFonts w:eastAsia="Calibri"/>
                <w:sz w:val="20"/>
                <w:szCs w:val="20"/>
              </w:rPr>
              <w:t>17.04</w:t>
            </w:r>
          </w:p>
        </w:tc>
      </w:tr>
      <w:tr w:rsidR="003119AA" w:rsidRPr="00F507E0" w14:paraId="6781008D" w14:textId="77777777" w:rsidTr="00E84BAE">
        <w:trPr>
          <w:trHeight w:val="503"/>
        </w:trPr>
        <w:tc>
          <w:tcPr>
            <w:tcW w:w="3078" w:type="dxa"/>
            <w:tcBorders>
              <w:top w:val="single" w:sz="4" w:space="0" w:color="auto"/>
              <w:left w:val="double" w:sz="4" w:space="0" w:color="auto"/>
              <w:bottom w:val="double" w:sz="4" w:space="0" w:color="auto"/>
              <w:right w:val="double" w:sz="4" w:space="0" w:color="auto"/>
            </w:tcBorders>
            <w:vAlign w:val="center"/>
          </w:tcPr>
          <w:p w14:paraId="4D54914B" w14:textId="7B5E5208" w:rsidR="00CD0CBE" w:rsidRPr="00F507E0" w:rsidRDefault="00CD0CBE" w:rsidP="00622E03">
            <w:pPr>
              <w:rPr>
                <w:rFonts w:eastAsia="Calibri"/>
                <w:sz w:val="20"/>
                <w:szCs w:val="20"/>
              </w:rPr>
            </w:pPr>
            <w:r w:rsidRPr="00F507E0">
              <w:rPr>
                <w:rFonts w:eastAsia="Calibri"/>
                <w:sz w:val="20"/>
                <w:szCs w:val="20"/>
              </w:rPr>
              <w:t>Overall w</w:t>
            </w:r>
            <w:r w:rsidR="00EC079A" w:rsidRPr="00F507E0">
              <w:rPr>
                <w:rFonts w:eastAsia="Calibri"/>
                <w:sz w:val="20"/>
                <w:szCs w:val="20"/>
              </w:rPr>
              <w:t xml:space="preserve">eighted </w:t>
            </w:r>
            <w:r w:rsidRPr="00F507E0">
              <w:rPr>
                <w:rFonts w:eastAsia="Calibri"/>
                <w:sz w:val="20"/>
                <w:szCs w:val="20"/>
              </w:rPr>
              <w:t>MAPE</w:t>
            </w:r>
          </w:p>
          <w:p w14:paraId="14E82C2A" w14:textId="7B893825" w:rsidR="005D2965" w:rsidRPr="00F507E0" w:rsidRDefault="005D2965" w:rsidP="00622E03">
            <w:pPr>
              <w:rPr>
                <w:rFonts w:eastAsia="Calibri"/>
                <w:sz w:val="20"/>
                <w:szCs w:val="20"/>
              </w:rPr>
            </w:pPr>
            <w:r w:rsidRPr="00F507E0">
              <w:rPr>
                <w:rFonts w:eastAsia="Calibri"/>
                <w:sz w:val="20"/>
                <w:szCs w:val="20"/>
              </w:rPr>
              <w:t>(percentage)</w:t>
            </w:r>
          </w:p>
        </w:tc>
        <w:tc>
          <w:tcPr>
            <w:tcW w:w="2250" w:type="dxa"/>
            <w:gridSpan w:val="2"/>
            <w:tcBorders>
              <w:left w:val="double" w:sz="4" w:space="0" w:color="auto"/>
              <w:bottom w:val="double" w:sz="4" w:space="0" w:color="auto"/>
              <w:right w:val="double" w:sz="4" w:space="0" w:color="auto"/>
            </w:tcBorders>
            <w:vAlign w:val="center"/>
          </w:tcPr>
          <w:p w14:paraId="696FF121" w14:textId="719AB12D" w:rsidR="00CD0CBE" w:rsidRPr="00F507E0" w:rsidRDefault="00CD0CBE" w:rsidP="00622E03">
            <w:pPr>
              <w:jc w:val="center"/>
              <w:rPr>
                <w:rFonts w:eastAsia="Calibri"/>
                <w:sz w:val="20"/>
                <w:szCs w:val="20"/>
              </w:rPr>
            </w:pPr>
            <w:r w:rsidRPr="00F507E0">
              <w:rPr>
                <w:rFonts w:eastAsia="Calibri"/>
                <w:sz w:val="20"/>
                <w:szCs w:val="20"/>
              </w:rPr>
              <w:t>--</w:t>
            </w:r>
          </w:p>
        </w:tc>
        <w:tc>
          <w:tcPr>
            <w:tcW w:w="2520" w:type="dxa"/>
            <w:gridSpan w:val="2"/>
            <w:tcBorders>
              <w:top w:val="single" w:sz="4" w:space="0" w:color="auto"/>
              <w:left w:val="double" w:sz="4" w:space="0" w:color="auto"/>
              <w:bottom w:val="double" w:sz="4" w:space="0" w:color="auto"/>
              <w:right w:val="double" w:sz="4" w:space="0" w:color="auto"/>
            </w:tcBorders>
            <w:vAlign w:val="center"/>
          </w:tcPr>
          <w:p w14:paraId="57142F72" w14:textId="16E060EA" w:rsidR="00CD0CBE" w:rsidRPr="00F507E0" w:rsidRDefault="00CD0CBE" w:rsidP="00622E03">
            <w:pPr>
              <w:jc w:val="center"/>
              <w:rPr>
                <w:rFonts w:eastAsia="Calibri"/>
                <w:sz w:val="20"/>
                <w:szCs w:val="20"/>
              </w:rPr>
            </w:pPr>
            <w:r w:rsidRPr="00F507E0">
              <w:rPr>
                <w:rFonts w:eastAsia="Calibri"/>
                <w:sz w:val="20"/>
                <w:szCs w:val="20"/>
              </w:rPr>
              <w:t>7.58</w:t>
            </w:r>
          </w:p>
        </w:tc>
        <w:tc>
          <w:tcPr>
            <w:tcW w:w="2250" w:type="dxa"/>
            <w:gridSpan w:val="2"/>
            <w:tcBorders>
              <w:top w:val="single" w:sz="4" w:space="0" w:color="auto"/>
              <w:left w:val="double" w:sz="4" w:space="0" w:color="auto"/>
              <w:bottom w:val="double" w:sz="4" w:space="0" w:color="auto"/>
              <w:right w:val="double" w:sz="4" w:space="0" w:color="auto"/>
            </w:tcBorders>
            <w:vAlign w:val="center"/>
          </w:tcPr>
          <w:p w14:paraId="3F9FCAE5" w14:textId="744E4B27" w:rsidR="00CD0CBE" w:rsidRPr="00F507E0" w:rsidRDefault="001256C4" w:rsidP="00622E03">
            <w:pPr>
              <w:jc w:val="center"/>
              <w:rPr>
                <w:rFonts w:eastAsia="Calibri"/>
                <w:sz w:val="20"/>
                <w:szCs w:val="20"/>
              </w:rPr>
            </w:pPr>
            <w:r w:rsidRPr="00F507E0">
              <w:rPr>
                <w:rFonts w:eastAsia="Calibri"/>
                <w:sz w:val="20"/>
                <w:szCs w:val="20"/>
              </w:rPr>
              <w:t>8</w:t>
            </w:r>
            <w:r w:rsidR="00CD0CBE" w:rsidRPr="00F507E0">
              <w:rPr>
                <w:rFonts w:eastAsia="Calibri"/>
                <w:sz w:val="20"/>
                <w:szCs w:val="20"/>
              </w:rPr>
              <w:t>.1</w:t>
            </w:r>
            <w:r w:rsidRPr="00F507E0">
              <w:rPr>
                <w:rFonts w:eastAsia="Calibri"/>
                <w:sz w:val="20"/>
                <w:szCs w:val="20"/>
              </w:rPr>
              <w:t>0</w:t>
            </w:r>
          </w:p>
        </w:tc>
        <w:tc>
          <w:tcPr>
            <w:tcW w:w="2430" w:type="dxa"/>
            <w:gridSpan w:val="2"/>
            <w:tcBorders>
              <w:top w:val="single" w:sz="4" w:space="0" w:color="auto"/>
              <w:left w:val="double" w:sz="4" w:space="0" w:color="auto"/>
              <w:bottom w:val="double" w:sz="4" w:space="0" w:color="auto"/>
              <w:right w:val="double" w:sz="4" w:space="0" w:color="auto"/>
            </w:tcBorders>
            <w:vAlign w:val="center"/>
          </w:tcPr>
          <w:p w14:paraId="1CB1AE86" w14:textId="03828CC3" w:rsidR="00CD0CBE" w:rsidRPr="00F507E0" w:rsidRDefault="001256C4" w:rsidP="00622E03">
            <w:pPr>
              <w:jc w:val="center"/>
              <w:rPr>
                <w:rFonts w:eastAsia="Calibri"/>
                <w:sz w:val="20"/>
                <w:szCs w:val="20"/>
              </w:rPr>
            </w:pPr>
            <w:r w:rsidRPr="00F507E0">
              <w:rPr>
                <w:rFonts w:eastAsia="Calibri"/>
                <w:sz w:val="20"/>
                <w:szCs w:val="20"/>
              </w:rPr>
              <w:t>8</w:t>
            </w:r>
            <w:r w:rsidR="00CD0CBE" w:rsidRPr="00F507E0">
              <w:rPr>
                <w:rFonts w:eastAsia="Calibri"/>
                <w:sz w:val="20"/>
                <w:szCs w:val="20"/>
              </w:rPr>
              <w:t>.</w:t>
            </w:r>
            <w:r w:rsidRPr="00F507E0">
              <w:rPr>
                <w:rFonts w:eastAsia="Calibri"/>
                <w:sz w:val="20"/>
                <w:szCs w:val="20"/>
              </w:rPr>
              <w:t>00</w:t>
            </w:r>
          </w:p>
        </w:tc>
      </w:tr>
    </w:tbl>
    <w:p w14:paraId="4898F0EC" w14:textId="2E5F6C12" w:rsidR="00974549" w:rsidRPr="00F507E0" w:rsidRDefault="00974549" w:rsidP="00686351">
      <w:pPr>
        <w:rPr>
          <w:rFonts w:eastAsia="Calibri"/>
        </w:rPr>
      </w:pPr>
    </w:p>
    <w:p w14:paraId="1DC1BC51" w14:textId="2C6237BC" w:rsidR="00974549" w:rsidRPr="00F507E0" w:rsidRDefault="00974549" w:rsidP="00686351">
      <w:pPr>
        <w:rPr>
          <w:rFonts w:eastAsia="Calibri"/>
        </w:rPr>
      </w:pPr>
    </w:p>
    <w:p w14:paraId="4F00E5A3" w14:textId="70767CD9" w:rsidR="00974549" w:rsidRPr="00F507E0" w:rsidRDefault="00974549" w:rsidP="00686351">
      <w:pPr>
        <w:rPr>
          <w:rFonts w:eastAsia="Calibri"/>
        </w:rPr>
      </w:pPr>
    </w:p>
    <w:p w14:paraId="0CA07A7C" w14:textId="03879F06" w:rsidR="00974549" w:rsidRDefault="00974549" w:rsidP="00686351">
      <w:pPr>
        <w:rPr>
          <w:rFonts w:eastAsia="Calibri"/>
        </w:rPr>
      </w:pPr>
    </w:p>
    <w:sectPr w:rsidR="00974549" w:rsidSect="000F71A8">
      <w:pgSz w:w="15840" w:h="12240" w:orient="landscape"/>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53CE" w14:textId="77777777" w:rsidR="00F556B3" w:rsidRDefault="00F556B3" w:rsidP="00D913C8">
      <w:pPr>
        <w:spacing w:after="0" w:line="240" w:lineRule="auto"/>
      </w:pPr>
      <w:r>
        <w:separator/>
      </w:r>
    </w:p>
  </w:endnote>
  <w:endnote w:type="continuationSeparator" w:id="0">
    <w:p w14:paraId="3D8197E9" w14:textId="77777777" w:rsidR="00F556B3" w:rsidRDefault="00F556B3"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92D0" w14:textId="0B28EC50" w:rsidR="00A108F3" w:rsidRDefault="00A108F3" w:rsidP="007E36D0">
    <w:pPr>
      <w:pStyle w:val="Footer"/>
      <w:tabs>
        <w:tab w:val="clear" w:pos="9360"/>
      </w:tabs>
    </w:pPr>
    <w:r>
      <w:rPr>
        <w:noProof/>
      </w:rPr>
      <w:tab/>
    </w:r>
  </w:p>
  <w:p w14:paraId="656A86C9" w14:textId="77777777" w:rsidR="00A108F3" w:rsidRDefault="00A1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730265"/>
      <w:docPartObj>
        <w:docPartGallery w:val="Page Numbers (Bottom of Page)"/>
        <w:docPartUnique/>
      </w:docPartObj>
    </w:sdtPr>
    <w:sdtEndPr>
      <w:rPr>
        <w:noProof/>
      </w:rPr>
    </w:sdtEndPr>
    <w:sdtContent>
      <w:p w14:paraId="2134A2B7" w14:textId="39B658E4" w:rsidR="00A108F3" w:rsidRDefault="00A10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E327C" w14:textId="77777777" w:rsidR="00A108F3" w:rsidRDefault="00A10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462666"/>
      <w:docPartObj>
        <w:docPartGallery w:val="Page Numbers (Bottom of Page)"/>
        <w:docPartUnique/>
      </w:docPartObj>
    </w:sdtPr>
    <w:sdtEndPr>
      <w:rPr>
        <w:noProof/>
      </w:rPr>
    </w:sdtEndPr>
    <w:sdtContent>
      <w:p w14:paraId="00237233" w14:textId="4D373E40" w:rsidR="00A108F3" w:rsidRDefault="00A10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DF2AC" w14:textId="77777777" w:rsidR="00A108F3" w:rsidRDefault="00A1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FE413" w14:textId="77777777" w:rsidR="00F556B3" w:rsidRDefault="00F556B3" w:rsidP="00D913C8">
      <w:pPr>
        <w:spacing w:after="0" w:line="240" w:lineRule="auto"/>
      </w:pPr>
      <w:r>
        <w:separator/>
      </w:r>
    </w:p>
  </w:footnote>
  <w:footnote w:type="continuationSeparator" w:id="0">
    <w:p w14:paraId="4B12F48E" w14:textId="77777777" w:rsidR="00F556B3" w:rsidRDefault="00F556B3" w:rsidP="00D913C8">
      <w:pPr>
        <w:spacing w:after="0" w:line="240" w:lineRule="auto"/>
      </w:pPr>
      <w:r>
        <w:continuationSeparator/>
      </w:r>
    </w:p>
  </w:footnote>
  <w:footnote w:id="1">
    <w:p w14:paraId="7A22AEEB" w14:textId="77777777" w:rsidR="000E619E" w:rsidRPr="0015313D" w:rsidRDefault="000E619E" w:rsidP="000E619E">
      <w:pPr>
        <w:pStyle w:val="FootnoteText"/>
        <w:rPr>
          <w:rFonts w:ascii="Times New Roman" w:hAnsi="Times New Roman"/>
          <w:lang w:val="en-US"/>
        </w:rPr>
      </w:pPr>
      <w:r>
        <w:rPr>
          <w:rStyle w:val="FootnoteReference"/>
        </w:rPr>
        <w:footnoteRef/>
      </w:r>
      <w:r>
        <w:t xml:space="preserve"> </w:t>
      </w:r>
      <w:r>
        <w:rPr>
          <w:lang w:val="en-US"/>
        </w:rPr>
        <w:t xml:space="preserve">The </w:t>
      </w:r>
      <w:r>
        <w:rPr>
          <w:rFonts w:ascii="Times New Roman" w:hAnsi="Times New Roman"/>
          <w:lang w:val="en-US"/>
        </w:rPr>
        <w:t>b</w:t>
      </w:r>
      <w:r w:rsidRPr="0015313D">
        <w:rPr>
          <w:rFonts w:ascii="Times New Roman" w:hAnsi="Times New Roman"/>
          <w:lang w:val="en-US"/>
        </w:rPr>
        <w:t>aseline preference parameter of a good is the marginal utility at zero consumption of that good.</w:t>
      </w:r>
    </w:p>
  </w:footnote>
  <w:footnote w:id="2">
    <w:p w14:paraId="4D1C0C89" w14:textId="63351B5E" w:rsidR="00CE1880" w:rsidRPr="00F57D99" w:rsidRDefault="00CE1880" w:rsidP="00CE1880">
      <w:pPr>
        <w:pStyle w:val="FootnoteText"/>
        <w:jc w:val="both"/>
        <w:rPr>
          <w:rFonts w:ascii="Times New Roman" w:hAnsi="Times New Roman"/>
          <w:lang w:val="en-IN"/>
        </w:rPr>
      </w:pPr>
      <w:r>
        <w:rPr>
          <w:rStyle w:val="FootnoteReference"/>
        </w:rPr>
        <w:footnoteRef/>
      </w:r>
      <w:r>
        <w:t xml:space="preserve"> </w:t>
      </w:r>
      <w:r>
        <w:rPr>
          <w:rFonts w:ascii="Times New Roman" w:hAnsi="Times New Roman"/>
          <w:lang w:val="en-IN"/>
        </w:rPr>
        <w:t xml:space="preserve">The discussion here pertains to the </w:t>
      </w:r>
      <w:r w:rsidRPr="00F57D99">
        <w:rPr>
          <w:rFonts w:ascii="Times New Roman" w:hAnsi="Times New Roman"/>
          <w:position w:val="-10"/>
          <w:lang w:val="en-IN"/>
        </w:rPr>
        <w:object w:dxaOrig="900" w:dyaOrig="300" w14:anchorId="5A045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45pt;height:15.85pt" o:ole="">
            <v:imagedata r:id="rId1" o:title=""/>
          </v:shape>
          <o:OLEObject Type="Embed" ProgID="Equation.DSMT4" ShapeID="_x0000_i1253" DrawAspect="Content" ObjectID="_1726484549" r:id="rId2"/>
        </w:object>
      </w:r>
      <w:r>
        <w:rPr>
          <w:rFonts w:ascii="Times New Roman" w:hAnsi="Times New Roman"/>
          <w:lang w:val="en-IN"/>
        </w:rPr>
        <w:t xml:space="preserve"> utility </w:t>
      </w:r>
      <w:r w:rsidR="009117C0">
        <w:rPr>
          <w:rFonts w:ascii="Times New Roman" w:hAnsi="Times New Roman"/>
          <w:lang w:val="en-IN"/>
        </w:rPr>
        <w:t>form</w:t>
      </w:r>
      <w:r>
        <w:rPr>
          <w:rFonts w:ascii="Times New Roman" w:hAnsi="Times New Roman"/>
          <w:lang w:val="en-IN"/>
        </w:rPr>
        <w:t xml:space="preserve"> since it has been generally the case that the</w:t>
      </w:r>
      <w:r w:rsidRPr="00F57D99">
        <w:rPr>
          <w:rFonts w:ascii="Times New Roman" w:hAnsi="Times New Roman"/>
          <w:position w:val="-10"/>
          <w:lang w:val="en-IN"/>
        </w:rPr>
        <w:object w:dxaOrig="900" w:dyaOrig="300" w14:anchorId="72F44A35">
          <v:shape id="_x0000_i1255" type="#_x0000_t75" style="width:45pt;height:15.85pt" o:ole="">
            <v:imagedata r:id="rId1" o:title=""/>
          </v:shape>
          <o:OLEObject Type="Embed" ProgID="Equation.DSMT4" ShapeID="_x0000_i1255" DrawAspect="Content" ObjectID="_1726484550" r:id="rId3"/>
        </w:object>
      </w:r>
      <w:r>
        <w:rPr>
          <w:rFonts w:ascii="Times New Roman" w:hAnsi="Times New Roman"/>
          <w:lang w:val="en-IN"/>
        </w:rPr>
        <w:t xml:space="preserve"> comes out to be superior to the </w:t>
      </w:r>
      <w:r w:rsidRPr="00F57D99">
        <w:rPr>
          <w:rFonts w:ascii="Times New Roman" w:hAnsi="Times New Roman"/>
          <w:position w:val="-10"/>
          <w:lang w:val="en-IN"/>
        </w:rPr>
        <w:object w:dxaOrig="920" w:dyaOrig="300" w14:anchorId="20CFBD94">
          <v:shape id="_x0000_i1257" type="#_x0000_t75" style="width:46.7pt;height:15.85pt" o:ole="">
            <v:imagedata r:id="rId4" o:title=""/>
          </v:shape>
          <o:OLEObject Type="Embed" ProgID="Equation.DSMT4" ShapeID="_x0000_i1257" DrawAspect="Content" ObjectID="_1726484551" r:id="rId5"/>
        </w:object>
      </w:r>
      <w:r>
        <w:rPr>
          <w:rFonts w:ascii="Times New Roman" w:hAnsi="Times New Roman"/>
          <w:lang w:val="en-IN"/>
        </w:rPr>
        <w:t xml:space="preserve"> function (see Bhat, 2018; Jian </w:t>
      </w:r>
      <w:r w:rsidRPr="00AE039A">
        <w:rPr>
          <w:rFonts w:ascii="Times New Roman" w:hAnsi="Times New Roman"/>
          <w:i/>
          <w:iCs/>
          <w:lang w:val="en-IN"/>
        </w:rPr>
        <w:t>et al.,</w:t>
      </w:r>
      <w:r>
        <w:rPr>
          <w:rFonts w:ascii="Times New Roman" w:hAnsi="Times New Roman"/>
          <w:lang w:val="en-IN"/>
        </w:rPr>
        <w:t xml:space="preserve"> 2017). However, the discussion in the rest of the paper, including the model formulation, is applicable for the </w:t>
      </w:r>
      <w:r w:rsidRPr="00F57D99">
        <w:rPr>
          <w:rFonts w:ascii="Times New Roman" w:hAnsi="Times New Roman"/>
          <w:position w:val="-10"/>
          <w:lang w:val="en-IN"/>
        </w:rPr>
        <w:object w:dxaOrig="920" w:dyaOrig="300" w14:anchorId="5CA8A703">
          <v:shape id="_x0000_i1259" type="#_x0000_t75" style="width:46.7pt;height:15.85pt" o:ole="">
            <v:imagedata r:id="rId4" o:title=""/>
          </v:shape>
          <o:OLEObject Type="Embed" ProgID="Equation.DSMT4" ShapeID="_x0000_i1259" DrawAspect="Content" ObjectID="_1726484552" r:id="rId6"/>
        </w:object>
      </w:r>
      <w:r>
        <w:rPr>
          <w:rFonts w:ascii="Times New Roman" w:hAnsi="Times New Roman"/>
          <w:lang w:val="en-IN"/>
        </w:rPr>
        <w:t xml:space="preserve"> utility function as well.</w:t>
      </w:r>
    </w:p>
  </w:footnote>
  <w:footnote w:id="3">
    <w:p w14:paraId="4274339B" w14:textId="71624B1E" w:rsidR="00A108F3" w:rsidRPr="00572AA8" w:rsidRDefault="00A108F3" w:rsidP="00B02601">
      <w:pPr>
        <w:pStyle w:val="FootnoteText"/>
        <w:jc w:val="both"/>
        <w:rPr>
          <w:lang w:val="en-US"/>
        </w:rPr>
      </w:pPr>
      <w:r>
        <w:rPr>
          <w:rStyle w:val="FootnoteReference"/>
        </w:rPr>
        <w:footnoteRef/>
      </w:r>
      <w:r>
        <w:t xml:space="preserve"> </w:t>
      </w:r>
      <w:r w:rsidRPr="00132D96">
        <w:rPr>
          <w:rFonts w:ascii="Times New Roman" w:hAnsi="Times New Roman"/>
          <w:position w:val="-142"/>
        </w:rPr>
        <w:object w:dxaOrig="11020" w:dyaOrig="3100" w14:anchorId="1FBDE047">
          <v:shape id="_x0000_i1261" type="#_x0000_t75" style="width:470.15pt;height:130.7pt" o:ole="">
            <v:imagedata r:id="rId7" o:title=""/>
          </v:shape>
          <o:OLEObject Type="Embed" ProgID="Equation.DSMT4" ShapeID="_x0000_i1261" DrawAspect="Content" ObjectID="_1726484553" r:id="rId8"/>
        </w:object>
      </w:r>
      <w:r>
        <w:rPr>
          <w:rFonts w:ascii="Times New Roman" w:hAnsi="Times New Roman"/>
          <w:lang w:val="en-US"/>
        </w:rPr>
        <w:t xml:space="preserve">Given the above, the </w:t>
      </w:r>
      <w:r w:rsidRPr="00D867FA">
        <w:rPr>
          <w:rFonts w:ascii="Times New Roman" w:hAnsi="Times New Roman"/>
          <w:position w:val="-14"/>
        </w:rPr>
        <w:object w:dxaOrig="420" w:dyaOrig="380" w14:anchorId="05910274">
          <v:shape id="_x0000_i1263" type="#_x0000_t75" style="width:19.7pt;height:19.3pt" o:ole="">
            <v:imagedata r:id="rId9" o:title=""/>
          </v:shape>
          <o:OLEObject Type="Embed" ProgID="Equation.DSMT4" ShapeID="_x0000_i1263" DrawAspect="Content" ObjectID="_1726484554" r:id="rId10"/>
        </w:object>
      </w:r>
      <w:r>
        <w:rPr>
          <w:rFonts w:ascii="Times New Roman" w:hAnsi="Times New Roman"/>
          <w:lang w:val="en-US"/>
        </w:rPr>
        <w:t xml:space="preserve"> parameters do not enter the marginal utility functions of Bhat’s (2018) utility form</w:t>
      </w:r>
      <w:r w:rsidR="00CE1880">
        <w:rPr>
          <w:rFonts w:ascii="Times New Roman" w:hAnsi="Times New Roman"/>
          <w:lang w:val="en-US"/>
        </w:rPr>
        <w:t>, which as we discuss later, has implications for whether the formulation is always consistent with utility maximization</w:t>
      </w:r>
      <w:r>
        <w:rPr>
          <w:rFonts w:ascii="Times New Roman" w:hAnsi="Times New Roman"/>
          <w:lang w:val="en-US"/>
        </w:rPr>
        <w:t>.</w:t>
      </w:r>
    </w:p>
  </w:footnote>
  <w:footnote w:id="4">
    <w:p w14:paraId="576B0BA6" w14:textId="65BD1111" w:rsidR="00A108F3" w:rsidRPr="00633494" w:rsidRDefault="00A108F3" w:rsidP="00AC7176">
      <w:pPr>
        <w:pStyle w:val="FootnoteText"/>
        <w:jc w:val="both"/>
        <w:rPr>
          <w:lang w:val="en-US"/>
        </w:rPr>
      </w:pPr>
      <w:r>
        <w:rPr>
          <w:rStyle w:val="FootnoteReference"/>
        </w:rPr>
        <w:footnoteRef/>
      </w:r>
      <w:r>
        <w:t xml:space="preserve"> </w:t>
      </w:r>
      <w:r w:rsidRPr="00AC7176">
        <w:rPr>
          <w:rFonts w:ascii="Times New Roman" w:eastAsia="Times New Roman" w:hAnsi="Times New Roman"/>
          <w:bCs/>
          <w:color w:val="000000"/>
          <w:kern w:val="32"/>
        </w:rPr>
        <w:t xml:space="preserve">Note </w:t>
      </w:r>
      <w:r w:rsidRPr="00AC7176">
        <w:rPr>
          <w:rFonts w:ascii="Times New Roman" w:eastAsia="Times New Roman" w:hAnsi="Times New Roman"/>
          <w:bCs/>
          <w:color w:val="000000"/>
          <w:kern w:val="32"/>
          <w:lang w:val="en-US"/>
        </w:rPr>
        <w:t>also</w:t>
      </w:r>
      <w:r w:rsidRPr="00AC7176">
        <w:rPr>
          <w:rFonts w:ascii="Times New Roman" w:eastAsia="Times New Roman" w:hAnsi="Times New Roman"/>
          <w:bCs/>
          <w:color w:val="000000"/>
          <w:kern w:val="32"/>
        </w:rPr>
        <w:t xml:space="preserve"> that the equality condition for the chosen goods, which is based on the </w:t>
      </w:r>
      <w:r w:rsidRPr="00AC7176">
        <w:rPr>
          <w:rFonts w:ascii="Times New Roman" w:eastAsia="Times New Roman" w:hAnsi="Times New Roman"/>
          <w:bCs/>
          <w:i/>
          <w:iCs/>
          <w:color w:val="000000"/>
          <w:kern w:val="32"/>
        </w:rPr>
        <w:t>C-</w:t>
      </w:r>
      <w:r w:rsidRPr="00AC7176">
        <w:rPr>
          <w:rFonts w:ascii="Times New Roman" w:eastAsia="Times New Roman" w:hAnsi="Times New Roman"/>
          <w:bCs/>
          <w:color w:val="000000"/>
          <w:kern w:val="32"/>
        </w:rPr>
        <w:t xml:space="preserve">preference parameters, automatically implies an inequality that </w:t>
      </w:r>
      <w:r w:rsidRPr="00AC7176">
        <w:rPr>
          <w:rFonts w:ascii="Times New Roman" w:eastAsia="Times New Roman" w:hAnsi="Times New Roman"/>
          <w:bCs/>
          <w:color w:val="000000"/>
          <w:kern w:val="32"/>
          <w:position w:val="-12"/>
        </w:rPr>
        <w:object w:dxaOrig="1340" w:dyaOrig="360" w14:anchorId="7E70E4C1">
          <v:shape id="_x0000_i1265" type="#_x0000_t75" style="width:66.85pt;height:19.3pt" o:ole="">
            <v:imagedata r:id="rId11" o:title=""/>
          </v:shape>
          <o:OLEObject Type="Embed" ProgID="Equation.DSMT4" ShapeID="_x0000_i1265" DrawAspect="Content" ObjectID="_1726484555" r:id="rId12"/>
        </w:object>
      </w:r>
      <w:r w:rsidRPr="00AC7176">
        <w:rPr>
          <w:rFonts w:ascii="Times New Roman" w:eastAsia="Times New Roman" w:hAnsi="Times New Roman"/>
          <w:bCs/>
          <w:color w:val="000000"/>
          <w:kern w:val="32"/>
        </w:rPr>
        <w:t xml:space="preserve">. Such an inequality based on the </w:t>
      </w:r>
      <w:r w:rsidRPr="00AC7176">
        <w:rPr>
          <w:rFonts w:ascii="Times New Roman" w:eastAsia="Times New Roman" w:hAnsi="Times New Roman"/>
          <w:bCs/>
          <w:i/>
          <w:iCs/>
          <w:color w:val="000000"/>
          <w:kern w:val="32"/>
        </w:rPr>
        <w:t>C-</w:t>
      </w:r>
      <w:r w:rsidRPr="00AC7176">
        <w:rPr>
          <w:rFonts w:ascii="Times New Roman" w:eastAsia="Times New Roman" w:hAnsi="Times New Roman"/>
          <w:bCs/>
          <w:color w:val="000000"/>
          <w:kern w:val="32"/>
        </w:rPr>
        <w:t>preference parameters is not explicitly stated in the above conditions since it would be redundant.</w:t>
      </w:r>
    </w:p>
  </w:footnote>
  <w:footnote w:id="5">
    <w:p w14:paraId="3852C8A8" w14:textId="0993AB09" w:rsidR="00A108F3" w:rsidRPr="00B15858" w:rsidRDefault="00A108F3" w:rsidP="007B6EF9">
      <w:pPr>
        <w:pStyle w:val="FootnoteText"/>
        <w:rPr>
          <w:rFonts w:ascii="Times New Roman" w:hAnsi="Times New Roman"/>
          <w:lang w:val="en-US"/>
        </w:rPr>
      </w:pPr>
      <w:r w:rsidRPr="00B15858">
        <w:rPr>
          <w:rStyle w:val="FootnoteReference"/>
          <w:rFonts w:ascii="Times New Roman" w:hAnsi="Times New Roman"/>
        </w:rPr>
        <w:footnoteRef/>
      </w:r>
      <w:r w:rsidRPr="00B15858">
        <w:rPr>
          <w:rFonts w:ascii="Times New Roman" w:hAnsi="Times New Roman"/>
        </w:rPr>
        <w:t xml:space="preserve"> </w:t>
      </w:r>
      <w:r w:rsidRPr="00B15858">
        <w:rPr>
          <w:rFonts w:ascii="Times New Roman" w:hAnsi="Times New Roman"/>
          <w:lang w:val="en-US"/>
        </w:rPr>
        <w:t xml:space="preserve">In the special case that M=0 (that is, none of the inside goods </w:t>
      </w:r>
      <w:r w:rsidR="00372E6D">
        <w:rPr>
          <w:rFonts w:ascii="Times New Roman" w:hAnsi="Times New Roman"/>
          <w:lang w:val="en-US"/>
        </w:rPr>
        <w:t>is</w:t>
      </w:r>
      <w:r w:rsidRPr="00B15858">
        <w:rPr>
          <w:rFonts w:ascii="Times New Roman" w:hAnsi="Times New Roman"/>
          <w:lang w:val="en-US"/>
        </w:rPr>
        <w:t xml:space="preserve"> consumed), Equation (</w:t>
      </w:r>
      <w:r>
        <w:rPr>
          <w:rFonts w:ascii="Times New Roman" w:hAnsi="Times New Roman"/>
          <w:lang w:val="en-US"/>
        </w:rPr>
        <w:t>13</w:t>
      </w:r>
      <w:r w:rsidRPr="00B15858">
        <w:rPr>
          <w:rFonts w:ascii="Times New Roman" w:hAnsi="Times New Roman"/>
          <w:lang w:val="en-US"/>
        </w:rPr>
        <w:t>) collapses to the following:</w:t>
      </w:r>
    </w:p>
    <w:p w14:paraId="5AE8A893" w14:textId="77777777" w:rsidR="00A108F3" w:rsidRPr="00B15858" w:rsidRDefault="00A108F3" w:rsidP="007B6EF9">
      <w:pPr>
        <w:pStyle w:val="FootnoteText"/>
        <w:rPr>
          <w:rFonts w:ascii="Times New Roman" w:hAnsi="Times New Roman"/>
          <w:szCs w:val="24"/>
        </w:rPr>
      </w:pPr>
      <w:r w:rsidRPr="00571D6E">
        <w:rPr>
          <w:rFonts w:ascii="Times New Roman" w:hAnsi="Times New Roman"/>
          <w:position w:val="-42"/>
          <w:szCs w:val="24"/>
        </w:rPr>
        <w:object w:dxaOrig="6020" w:dyaOrig="960" w14:anchorId="7AE1825B">
          <v:shape id="_x0000_i1267" type="#_x0000_t75" style="width:296.15pt;height:47.15pt" o:ole="" o:preferrelative="f">
            <v:imagedata r:id="rId13" o:title=""/>
          </v:shape>
          <o:OLEObject Type="Embed" ProgID="Equation.DSMT4" ShapeID="_x0000_i1267" DrawAspect="Content" ObjectID="_1726484556" r:id="rId14"/>
        </w:object>
      </w:r>
    </w:p>
    <w:p w14:paraId="2A97FD8C" w14:textId="5903B915" w:rsidR="00A108F3" w:rsidRPr="00670856" w:rsidRDefault="00A108F3" w:rsidP="007B6EF9">
      <w:pPr>
        <w:pStyle w:val="FootnoteText"/>
        <w:rPr>
          <w:lang w:val="en-US"/>
        </w:rPr>
      </w:pPr>
      <w:r w:rsidRPr="00B15858">
        <w:rPr>
          <w:rFonts w:ascii="Times New Roman" w:hAnsi="Times New Roman"/>
          <w:lang w:val="en-US"/>
        </w:rPr>
        <w:t>which takes the form of a simple multivariate cumulative normal distribution function</w:t>
      </w:r>
      <w:r>
        <w:rPr>
          <w:rFonts w:ascii="Times New Roman" w:hAnsi="Times New Roman"/>
          <w:lang w:val="en-US"/>
        </w:rPr>
        <w:t xml:space="preserve">. </w:t>
      </w:r>
    </w:p>
  </w:footnote>
  <w:footnote w:id="6">
    <w:p w14:paraId="7F299E73" w14:textId="3DD800CC" w:rsidR="00A108F3" w:rsidRPr="00B15858" w:rsidRDefault="00A108F3" w:rsidP="00B15858">
      <w:pPr>
        <w:pStyle w:val="FootnoteText"/>
        <w:jc w:val="both"/>
        <w:rPr>
          <w:rFonts w:ascii="Times New Roman" w:hAnsi="Times New Roman"/>
          <w:lang w:val="en-US"/>
        </w:rPr>
      </w:pPr>
      <w:r w:rsidRPr="00B15858">
        <w:rPr>
          <w:rStyle w:val="FootnoteReference"/>
          <w:rFonts w:ascii="Times New Roman" w:hAnsi="Times New Roman"/>
        </w:rPr>
        <w:footnoteRef/>
      </w:r>
      <w:r w:rsidRPr="00B15858">
        <w:rPr>
          <w:rFonts w:ascii="Times New Roman" w:hAnsi="Times New Roman"/>
          <w:szCs w:val="24"/>
          <w:lang w:val="en-US"/>
        </w:rPr>
        <w:t>The</w:t>
      </w:r>
      <w:r w:rsidRPr="00B15858">
        <w:rPr>
          <w:rFonts w:ascii="Times New Roman" w:hAnsi="Times New Roman"/>
          <w:szCs w:val="24"/>
        </w:rPr>
        <w:t xml:space="preserve"> symmetric nature of the multivariate normal </w:t>
      </w:r>
      <w:r w:rsidRPr="00B15858">
        <w:rPr>
          <w:rFonts w:ascii="Times New Roman" w:hAnsi="Times New Roman"/>
          <w:szCs w:val="24"/>
          <w:lang w:val="en-US"/>
        </w:rPr>
        <w:t xml:space="preserve">density function </w:t>
      </w:r>
      <w:r w:rsidRPr="00B15858">
        <w:rPr>
          <w:rFonts w:ascii="Times New Roman" w:hAnsi="Times New Roman"/>
          <w:szCs w:val="24"/>
        </w:rPr>
        <w:t xml:space="preserve">is a distinct advantage over the asymmetric multivariate logistic </w:t>
      </w:r>
      <w:r w:rsidRPr="00B15858">
        <w:rPr>
          <w:rFonts w:ascii="Times New Roman" w:hAnsi="Times New Roman"/>
          <w:szCs w:val="24"/>
          <w:lang w:val="en-US"/>
        </w:rPr>
        <w:t xml:space="preserve">density function </w:t>
      </w:r>
      <w:r w:rsidRPr="00B15858">
        <w:rPr>
          <w:rFonts w:ascii="Times New Roman" w:hAnsi="Times New Roman"/>
          <w:szCs w:val="24"/>
        </w:rPr>
        <w:t>used in Bhat (</w:t>
      </w:r>
      <w:r w:rsidRPr="00B15858">
        <w:rPr>
          <w:rFonts w:ascii="Times New Roman" w:hAnsi="Times New Roman"/>
          <w:szCs w:val="24"/>
          <w:lang w:val="en-US"/>
        </w:rPr>
        <w:t>2018</w:t>
      </w:r>
      <w:r w:rsidRPr="00B15858">
        <w:rPr>
          <w:rFonts w:ascii="Times New Roman" w:hAnsi="Times New Roman"/>
          <w:szCs w:val="24"/>
        </w:rPr>
        <w:t>).</w:t>
      </w:r>
      <w:r w:rsidRPr="00B15858">
        <w:rPr>
          <w:rFonts w:ascii="Times New Roman" w:hAnsi="Times New Roman"/>
          <w:szCs w:val="24"/>
          <w:lang w:val="en-US"/>
        </w:rPr>
        <w:t xml:space="preserve"> While the multivariate logistic has a closed form expression for the cumulative distribution function, computing the integral of the multivariate logistic density function with a combination of upper and lower limits cannot be collapsed to the evaluation of a single cumulative distribution function. However, while the multivariate normal cumulative distribution (MVNCD) function is not available in closed-form, the integral of the multivariate normal density function with a combination of upper and lower limits can be collapsed to the evaluation of a single MVNCD function. This is a particularly useful result for the proposed flexible MDCP model. </w:t>
      </w:r>
    </w:p>
  </w:footnote>
  <w:footnote w:id="7">
    <w:p w14:paraId="3D13E92D" w14:textId="4CB63E29" w:rsidR="00A108F3" w:rsidRPr="00182FAF" w:rsidRDefault="00A108F3" w:rsidP="004C1E1A">
      <w:pPr>
        <w:pStyle w:val="FootnoteText"/>
        <w:jc w:val="both"/>
        <w:rPr>
          <w:lang w:val="en-US"/>
        </w:rPr>
      </w:pPr>
      <w:r>
        <w:rPr>
          <w:rStyle w:val="FootnoteReference"/>
        </w:rPr>
        <w:footnoteRef/>
      </w:r>
      <w:r>
        <w:t xml:space="preserve"> </w:t>
      </w:r>
      <w:r w:rsidRPr="0039130D">
        <w:rPr>
          <w:rFonts w:ascii="Times New Roman" w:hAnsi="Times New Roman"/>
          <w:lang w:val="en-US"/>
        </w:rPr>
        <w:t xml:space="preserve">A small nuance </w:t>
      </w:r>
      <w:r>
        <w:rPr>
          <w:rFonts w:ascii="Times New Roman" w:hAnsi="Times New Roman"/>
          <w:lang w:val="en-US"/>
        </w:rPr>
        <w:t xml:space="preserve">is in order </w:t>
      </w:r>
      <w:r w:rsidRPr="0039130D">
        <w:rPr>
          <w:rFonts w:ascii="Times New Roman" w:hAnsi="Times New Roman"/>
          <w:lang w:val="en-US"/>
        </w:rPr>
        <w:t xml:space="preserve">here. Bhat’s (2018) </w:t>
      </w:r>
      <w:r>
        <w:rPr>
          <w:rFonts w:ascii="Times New Roman" w:hAnsi="Times New Roman"/>
          <w:lang w:val="en-US"/>
        </w:rPr>
        <w:t xml:space="preserve">flexible </w:t>
      </w:r>
      <w:r w:rsidRPr="0039130D">
        <w:rPr>
          <w:rFonts w:ascii="Times New Roman" w:hAnsi="Times New Roman"/>
          <w:lang w:val="en-US"/>
        </w:rPr>
        <w:t xml:space="preserve">MDCEV uses the same variance for </w:t>
      </w:r>
      <w:r w:rsidRPr="0039130D">
        <w:rPr>
          <w:rFonts w:ascii="Times New Roman" w:hAnsi="Times New Roman"/>
          <w:position w:val="-12"/>
        </w:rPr>
        <w:object w:dxaOrig="340" w:dyaOrig="400" w14:anchorId="29DE1C57">
          <v:shape id="_x0000_i1269" type="#_x0000_t75" style="width:17.15pt;height:20.15pt" o:ole="">
            <v:imagedata r:id="rId15" o:title=""/>
          </v:shape>
          <o:OLEObject Type="Embed" ProgID="Equation.DSMT4" ShapeID="_x0000_i1269" DrawAspect="Content" ObjectID="_1726484557" r:id="rId16"/>
        </w:object>
      </w:r>
      <w:r w:rsidRPr="0039130D">
        <w:rPr>
          <w:rFonts w:ascii="Times New Roman" w:hAnsi="Times New Roman"/>
          <w:lang w:val="en-US"/>
        </w:rPr>
        <w:t xml:space="preserve"> and  </w:t>
      </w:r>
      <w:r w:rsidRPr="0039130D">
        <w:rPr>
          <w:rFonts w:ascii="Times New Roman" w:hAnsi="Times New Roman"/>
          <w:position w:val="-12"/>
        </w:rPr>
        <w:object w:dxaOrig="360" w:dyaOrig="360" w14:anchorId="48F20D7F">
          <v:shape id="_x0000_i1271" type="#_x0000_t75" style="width:19.3pt;height:19.3pt" o:ole="">
            <v:imagedata r:id="rId17" o:title=""/>
          </v:shape>
          <o:OLEObject Type="Embed" ProgID="Equation.DSMT4" ShapeID="_x0000_i1271" DrawAspect="Content" ObjectID="_1726484558" r:id="rId18"/>
        </w:object>
      </w:r>
      <w:r w:rsidRPr="0039130D">
        <w:rPr>
          <w:rFonts w:ascii="Times New Roman" w:hAnsi="Times New Roman"/>
          <w:lang w:val="en-US"/>
        </w:rPr>
        <w:t xml:space="preserve">, which leads to </w:t>
      </w:r>
      <w:r>
        <w:rPr>
          <w:rFonts w:ascii="Times New Roman" w:hAnsi="Times New Roman"/>
          <w:lang w:val="en-US"/>
        </w:rPr>
        <w:t>a</w:t>
      </w:r>
      <w:r w:rsidRPr="0039130D">
        <w:rPr>
          <w:rFonts w:ascii="Times New Roman" w:hAnsi="Times New Roman"/>
          <w:lang w:val="en-US"/>
        </w:rPr>
        <w:t xml:space="preserve"> closed-form </w:t>
      </w:r>
      <w:r>
        <w:rPr>
          <w:rFonts w:ascii="Times New Roman" w:hAnsi="Times New Roman"/>
          <w:lang w:val="en-US"/>
        </w:rPr>
        <w:t xml:space="preserve">likelihood </w:t>
      </w:r>
      <w:r w:rsidRPr="0039130D">
        <w:rPr>
          <w:rFonts w:ascii="Times New Roman" w:hAnsi="Times New Roman"/>
          <w:lang w:val="en-US"/>
        </w:rPr>
        <w:t xml:space="preserve">expression. However, other than the distribution form, the IID </w:t>
      </w:r>
      <w:r w:rsidRPr="0039130D">
        <w:rPr>
          <w:rFonts w:ascii="Times New Roman" w:hAnsi="Times New Roman"/>
          <w:i/>
          <w:lang w:val="en-US"/>
        </w:rPr>
        <w:t>D-C</w:t>
      </w:r>
      <w:r w:rsidRPr="0039130D">
        <w:rPr>
          <w:rFonts w:ascii="Times New Roman" w:hAnsi="Times New Roman"/>
          <w:lang w:val="en-US"/>
        </w:rPr>
        <w:t xml:space="preserve"> M</w:t>
      </w:r>
      <w:r>
        <w:rPr>
          <w:rFonts w:ascii="Times New Roman" w:hAnsi="Times New Roman"/>
          <w:lang w:val="en-US"/>
        </w:rPr>
        <w:t>DCP</w:t>
      </w:r>
      <w:r w:rsidRPr="0039130D">
        <w:rPr>
          <w:rFonts w:ascii="Times New Roman" w:hAnsi="Times New Roman"/>
          <w:lang w:val="en-US"/>
        </w:rPr>
        <w:t xml:space="preserve"> model is similar to the MDCEV in Bhat’s paper, because the scale does not matter in the discrete part of the IID </w:t>
      </w:r>
      <w:r w:rsidRPr="0039130D">
        <w:rPr>
          <w:rFonts w:ascii="Times New Roman" w:hAnsi="Times New Roman"/>
          <w:i/>
          <w:lang w:val="en-US"/>
        </w:rPr>
        <w:t>D-C</w:t>
      </w:r>
      <w:r w:rsidRPr="0039130D">
        <w:rPr>
          <w:rFonts w:ascii="Times New Roman" w:hAnsi="Times New Roman"/>
          <w:lang w:val="en-US"/>
        </w:rPr>
        <w:t xml:space="preserve"> M</w:t>
      </w:r>
      <w:r>
        <w:rPr>
          <w:rFonts w:ascii="Times New Roman" w:hAnsi="Times New Roman"/>
          <w:lang w:val="en-US"/>
        </w:rPr>
        <w:t>DCP</w:t>
      </w:r>
      <w:r w:rsidRPr="0039130D">
        <w:rPr>
          <w:rFonts w:ascii="Times New Roman" w:hAnsi="Times New Roman"/>
          <w:lang w:val="en-US"/>
        </w:rPr>
        <w:t xml:space="preserve">, and we can as well normalize </w:t>
      </w:r>
      <w:r w:rsidRPr="0039130D">
        <w:rPr>
          <w:rFonts w:ascii="Times New Roman" w:hAnsi="Times New Roman"/>
          <w:position w:val="-12"/>
        </w:rPr>
        <w:object w:dxaOrig="400" w:dyaOrig="400" w14:anchorId="08FC9D74">
          <v:shape id="_x0000_i1273" type="#_x0000_t75" style="width:20.15pt;height:20.15pt" o:ole="">
            <v:imagedata r:id="rId19" o:title=""/>
          </v:shape>
          <o:OLEObject Type="Embed" ProgID="Equation.DSMT4" ShapeID="_x0000_i1273" DrawAspect="Content" ObjectID="_1726484559" r:id="rId20"/>
        </w:object>
      </w:r>
      <w:r w:rsidRPr="0039130D">
        <w:rPr>
          <w:rFonts w:ascii="Times New Roman" w:hAnsi="Times New Roman"/>
          <w:lang w:val="en-US"/>
        </w:rPr>
        <w:t xml:space="preserve">to </w:t>
      </w:r>
      <w:r w:rsidRPr="0039130D">
        <w:rPr>
          <w:rFonts w:ascii="Times New Roman" w:hAnsi="Times New Roman"/>
          <w:position w:val="-10"/>
        </w:rPr>
        <w:object w:dxaOrig="620" w:dyaOrig="360" w14:anchorId="5E311639">
          <v:shape id="_x0000_i1275" type="#_x0000_t75" style="width:31.3pt;height:19.3pt" o:ole="">
            <v:imagedata r:id="rId21" o:title=""/>
          </v:shape>
          <o:OLEObject Type="Embed" ProgID="Equation.DSMT4" ShapeID="_x0000_i1275" DrawAspect="Content" ObjectID="_1726484560" r:id="rId22"/>
        </w:object>
      </w:r>
      <w:r w:rsidRPr="0039130D">
        <w:rPr>
          <w:rFonts w:ascii="Times New Roman" w:hAnsi="Times New Roman"/>
          <w:lang w:val="en-US"/>
        </w:rPr>
        <w:t xml:space="preserve"> (</w:t>
      </w:r>
      <w:r w:rsidRPr="0039130D">
        <w:rPr>
          <w:rFonts w:ascii="Times New Roman" w:hAnsi="Times New Roman"/>
          <w:i/>
          <w:lang w:val="en-US"/>
        </w:rPr>
        <w:t>k</w:t>
      </w:r>
      <w:r w:rsidRPr="0039130D">
        <w:rPr>
          <w:rFonts w:ascii="Times New Roman" w:hAnsi="Times New Roman"/>
          <w:lang w:val="en-US"/>
        </w:rPr>
        <w:t>=</w:t>
      </w:r>
      <w:proofErr w:type="gramStart"/>
      <w:r w:rsidRPr="0039130D">
        <w:rPr>
          <w:rFonts w:ascii="Times New Roman" w:hAnsi="Times New Roman"/>
          <w:lang w:val="en-US"/>
        </w:rPr>
        <w:t>1,2,…</w:t>
      </w:r>
      <w:proofErr w:type="gramEnd"/>
      <w:r w:rsidRPr="0039130D">
        <w:rPr>
          <w:rFonts w:ascii="Times New Roman" w:hAnsi="Times New Roman"/>
          <w:i/>
          <w:lang w:val="en-US"/>
        </w:rPr>
        <w:t>K</w:t>
      </w:r>
      <w:r w:rsidRPr="0039130D">
        <w:rPr>
          <w:rFonts w:ascii="Times New Roman" w:hAnsi="Times New Roman"/>
          <w:lang w:val="en-US"/>
        </w:rPr>
        <w:t xml:space="preserve">). However, just to be consistent with the model development in Section 2.1, we will keep to the assumption that </w:t>
      </w:r>
      <w:r w:rsidRPr="0039130D">
        <w:rPr>
          <w:rFonts w:ascii="Times New Roman" w:hAnsi="Times New Roman"/>
          <w:position w:val="-12"/>
        </w:rPr>
        <w:object w:dxaOrig="880" w:dyaOrig="400" w14:anchorId="1C2E738F">
          <v:shape id="_x0000_i1277" type="#_x0000_t75" style="width:44.15pt;height:20.15pt" o:ole="">
            <v:imagedata r:id="rId23" o:title=""/>
          </v:shape>
          <o:OLEObject Type="Embed" ProgID="Equation.DSMT4" ShapeID="_x0000_i1277" DrawAspect="Content" ObjectID="_1726484561" r:id="rId24"/>
        </w:object>
      </w:r>
      <w:r w:rsidRPr="0039130D">
        <w:rPr>
          <w:rFonts w:ascii="Times New Roman" w:hAnsi="Times New Roman"/>
          <w:lang w:val="en-US"/>
        </w:rPr>
        <w:t xml:space="preserve">, because it more clearly shows that the IID </w:t>
      </w:r>
      <w:r w:rsidRPr="00DA3C4D">
        <w:rPr>
          <w:rFonts w:ascii="Times New Roman" w:hAnsi="Times New Roman"/>
          <w:i/>
          <w:iCs/>
          <w:lang w:val="en-US"/>
        </w:rPr>
        <w:t>D-C</w:t>
      </w:r>
      <w:r w:rsidRPr="0039130D">
        <w:rPr>
          <w:rFonts w:ascii="Times New Roman" w:hAnsi="Times New Roman"/>
          <w:lang w:val="en-US"/>
        </w:rPr>
        <w:t xml:space="preserve"> M</w:t>
      </w:r>
      <w:r>
        <w:rPr>
          <w:rFonts w:ascii="Times New Roman" w:hAnsi="Times New Roman"/>
          <w:lang w:val="en-US"/>
        </w:rPr>
        <w:t>DCP</w:t>
      </w:r>
      <w:r w:rsidRPr="0039130D">
        <w:rPr>
          <w:rFonts w:ascii="Times New Roman" w:hAnsi="Times New Roman"/>
          <w:lang w:val="en-US"/>
        </w:rPr>
        <w:t xml:space="preserve"> </w:t>
      </w:r>
      <w:r>
        <w:rPr>
          <w:rFonts w:ascii="Times New Roman" w:hAnsi="Times New Roman"/>
          <w:lang w:val="en-US"/>
        </w:rPr>
        <w:t xml:space="preserve">model </w:t>
      </w:r>
      <w:r w:rsidRPr="0039130D">
        <w:rPr>
          <w:rFonts w:ascii="Times New Roman" w:hAnsi="Times New Roman"/>
          <w:lang w:val="en-US"/>
        </w:rPr>
        <w:t>is a restricted version of the</w:t>
      </w:r>
      <w:r>
        <w:rPr>
          <w:rFonts w:ascii="Times New Roman" w:hAnsi="Times New Roman"/>
          <w:lang w:val="en-US"/>
        </w:rPr>
        <w:t xml:space="preserve"> full flexible</w:t>
      </w:r>
      <w:r w:rsidRPr="0039130D">
        <w:rPr>
          <w:rFonts w:ascii="Times New Roman" w:hAnsi="Times New Roman"/>
          <w:lang w:val="en-US"/>
        </w:rPr>
        <w:t xml:space="preserve"> MDCP model proposed </w:t>
      </w:r>
      <w:r>
        <w:rPr>
          <w:rFonts w:ascii="Times New Roman" w:hAnsi="Times New Roman"/>
          <w:lang w:val="en-US"/>
        </w:rPr>
        <w:t>in Section 2.1</w:t>
      </w:r>
      <w:r w:rsidRPr="0039130D">
        <w:rPr>
          <w:rFonts w:ascii="Times New Roman" w:hAnsi="Times New Roman"/>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2FB2" w14:textId="7DC477C4" w:rsidR="00A108F3" w:rsidRPr="008F6E35" w:rsidRDefault="00A108F3">
    <w:pPr>
      <w:pStyle w:val="Header"/>
      <w:rPr>
        <w:i/>
      </w:rPr>
    </w:pP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C478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4278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8C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06A0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EE83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AA11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5432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8A63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0B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D0E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F0DB6"/>
    <w:multiLevelType w:val="multilevel"/>
    <w:tmpl w:val="87764F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5174DC"/>
    <w:multiLevelType w:val="hybridMultilevel"/>
    <w:tmpl w:val="D6A0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62EB2"/>
    <w:multiLevelType w:val="hybridMultilevel"/>
    <w:tmpl w:val="AB520D3A"/>
    <w:lvl w:ilvl="0" w:tplc="6EDE9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C17EE"/>
    <w:multiLevelType w:val="multilevel"/>
    <w:tmpl w:val="A41EA0B6"/>
    <w:lvl w:ilvl="0">
      <w:start w:val="1"/>
      <w:numFmt w:val="decimal"/>
      <w:lvlText w:val="%1."/>
      <w:lvlJc w:val="left"/>
      <w:pPr>
        <w:ind w:left="360" w:hanging="360"/>
      </w:pPr>
      <w:rPr>
        <w:rFonts w:hint="default"/>
      </w:rPr>
    </w:lvl>
    <w:lvl w:ilvl="1">
      <w:start w:val="2"/>
      <w:numFmt w:val="decimal"/>
      <w:isLgl/>
      <w:lvlText w:val="%1.%2"/>
      <w:lvlJc w:val="left"/>
      <w:pPr>
        <w:ind w:left="550" w:hanging="5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D557E4"/>
    <w:multiLevelType w:val="hybridMultilevel"/>
    <w:tmpl w:val="1E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32239"/>
    <w:multiLevelType w:val="hybridMultilevel"/>
    <w:tmpl w:val="483C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40237"/>
    <w:multiLevelType w:val="multilevel"/>
    <w:tmpl w:val="102A8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CB3F8D"/>
    <w:multiLevelType w:val="hybridMultilevel"/>
    <w:tmpl w:val="75361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1316F"/>
    <w:multiLevelType w:val="multilevel"/>
    <w:tmpl w:val="7C0660B4"/>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5AC90DBB"/>
    <w:multiLevelType w:val="hybridMultilevel"/>
    <w:tmpl w:val="EE5CC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C96519"/>
    <w:multiLevelType w:val="multilevel"/>
    <w:tmpl w:val="040CBBF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DD3FAC"/>
    <w:multiLevelType w:val="multilevel"/>
    <w:tmpl w:val="B05420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041E54"/>
    <w:multiLevelType w:val="hybridMultilevel"/>
    <w:tmpl w:val="AB520D3A"/>
    <w:lvl w:ilvl="0" w:tplc="6EDE9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231E7"/>
    <w:multiLevelType w:val="hybridMultilevel"/>
    <w:tmpl w:val="31028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C82EEF"/>
    <w:multiLevelType w:val="hybridMultilevel"/>
    <w:tmpl w:val="A2C4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54761"/>
    <w:multiLevelType w:val="multilevel"/>
    <w:tmpl w:val="102A8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774763"/>
    <w:multiLevelType w:val="multilevel"/>
    <w:tmpl w:val="87764F2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A53F37"/>
    <w:multiLevelType w:val="hybridMultilevel"/>
    <w:tmpl w:val="DFA08C0E"/>
    <w:lvl w:ilvl="0" w:tplc="6EDE9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2"/>
  </w:num>
  <w:num w:numId="14">
    <w:abstractNumId w:val="28"/>
  </w:num>
  <w:num w:numId="15">
    <w:abstractNumId w:val="25"/>
  </w:num>
  <w:num w:numId="16">
    <w:abstractNumId w:val="14"/>
  </w:num>
  <w:num w:numId="17">
    <w:abstractNumId w:val="11"/>
  </w:num>
  <w:num w:numId="18">
    <w:abstractNumId w:val="15"/>
  </w:num>
  <w:num w:numId="19">
    <w:abstractNumId w:val="13"/>
  </w:num>
  <w:num w:numId="20">
    <w:abstractNumId w:val="21"/>
  </w:num>
  <w:num w:numId="21">
    <w:abstractNumId w:val="20"/>
  </w:num>
  <w:num w:numId="22">
    <w:abstractNumId w:val="10"/>
  </w:num>
  <w:num w:numId="23">
    <w:abstractNumId w:val="17"/>
  </w:num>
  <w:num w:numId="24">
    <w:abstractNumId w:val="22"/>
  </w:num>
  <w:num w:numId="25">
    <w:abstractNumId w:val="26"/>
  </w:num>
  <w:num w:numId="26">
    <w:abstractNumId w:val="16"/>
  </w:num>
  <w:num w:numId="27">
    <w:abstractNumId w:val="19"/>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60FAKTen9stAAAA"/>
  </w:docVars>
  <w:rsids>
    <w:rsidRoot w:val="00EA10CC"/>
    <w:rsid w:val="00000307"/>
    <w:rsid w:val="00000314"/>
    <w:rsid w:val="000008BE"/>
    <w:rsid w:val="0000090F"/>
    <w:rsid w:val="000019C3"/>
    <w:rsid w:val="00001BBB"/>
    <w:rsid w:val="00001C75"/>
    <w:rsid w:val="00001FBD"/>
    <w:rsid w:val="00002124"/>
    <w:rsid w:val="00002A4D"/>
    <w:rsid w:val="00002AAC"/>
    <w:rsid w:val="00003C14"/>
    <w:rsid w:val="000041FB"/>
    <w:rsid w:val="000048EA"/>
    <w:rsid w:val="00004A2D"/>
    <w:rsid w:val="000067C5"/>
    <w:rsid w:val="000074FF"/>
    <w:rsid w:val="0000753D"/>
    <w:rsid w:val="00010350"/>
    <w:rsid w:val="00010FD3"/>
    <w:rsid w:val="0001294F"/>
    <w:rsid w:val="00014287"/>
    <w:rsid w:val="00015CAB"/>
    <w:rsid w:val="00015F68"/>
    <w:rsid w:val="00015FCF"/>
    <w:rsid w:val="00016126"/>
    <w:rsid w:val="000161A6"/>
    <w:rsid w:val="000164D5"/>
    <w:rsid w:val="0001660B"/>
    <w:rsid w:val="00017C4C"/>
    <w:rsid w:val="00017E8F"/>
    <w:rsid w:val="00022228"/>
    <w:rsid w:val="000226F3"/>
    <w:rsid w:val="0002325C"/>
    <w:rsid w:val="00023356"/>
    <w:rsid w:val="000237B4"/>
    <w:rsid w:val="000239EB"/>
    <w:rsid w:val="00025214"/>
    <w:rsid w:val="000259A8"/>
    <w:rsid w:val="0002696C"/>
    <w:rsid w:val="000269D8"/>
    <w:rsid w:val="00026A66"/>
    <w:rsid w:val="00026E61"/>
    <w:rsid w:val="00027B51"/>
    <w:rsid w:val="000312D4"/>
    <w:rsid w:val="00032586"/>
    <w:rsid w:val="00032F8C"/>
    <w:rsid w:val="00033566"/>
    <w:rsid w:val="000356DD"/>
    <w:rsid w:val="00035A6B"/>
    <w:rsid w:val="00035C82"/>
    <w:rsid w:val="00036871"/>
    <w:rsid w:val="000376C0"/>
    <w:rsid w:val="00040686"/>
    <w:rsid w:val="0004075F"/>
    <w:rsid w:val="000407B8"/>
    <w:rsid w:val="00040BFB"/>
    <w:rsid w:val="00040C52"/>
    <w:rsid w:val="000416EA"/>
    <w:rsid w:val="00041722"/>
    <w:rsid w:val="000418B9"/>
    <w:rsid w:val="0004279F"/>
    <w:rsid w:val="00043447"/>
    <w:rsid w:val="00043ACF"/>
    <w:rsid w:val="00044324"/>
    <w:rsid w:val="000449B4"/>
    <w:rsid w:val="00045821"/>
    <w:rsid w:val="00045961"/>
    <w:rsid w:val="000464B2"/>
    <w:rsid w:val="00046FE0"/>
    <w:rsid w:val="00051671"/>
    <w:rsid w:val="000516A4"/>
    <w:rsid w:val="000519E9"/>
    <w:rsid w:val="00051D2E"/>
    <w:rsid w:val="0005208E"/>
    <w:rsid w:val="00054072"/>
    <w:rsid w:val="000548D2"/>
    <w:rsid w:val="00055315"/>
    <w:rsid w:val="00055C60"/>
    <w:rsid w:val="00055E6C"/>
    <w:rsid w:val="0005706D"/>
    <w:rsid w:val="00057652"/>
    <w:rsid w:val="000576E6"/>
    <w:rsid w:val="00061693"/>
    <w:rsid w:val="0006188B"/>
    <w:rsid w:val="000624C8"/>
    <w:rsid w:val="00062A09"/>
    <w:rsid w:val="0006347C"/>
    <w:rsid w:val="0006355B"/>
    <w:rsid w:val="00063EAB"/>
    <w:rsid w:val="0006402B"/>
    <w:rsid w:val="000644FE"/>
    <w:rsid w:val="000646FA"/>
    <w:rsid w:val="00064CB5"/>
    <w:rsid w:val="0006531D"/>
    <w:rsid w:val="000660FA"/>
    <w:rsid w:val="00066435"/>
    <w:rsid w:val="0006646C"/>
    <w:rsid w:val="00067156"/>
    <w:rsid w:val="000673F9"/>
    <w:rsid w:val="0006773E"/>
    <w:rsid w:val="00067BB0"/>
    <w:rsid w:val="000708C9"/>
    <w:rsid w:val="000709D0"/>
    <w:rsid w:val="000712BF"/>
    <w:rsid w:val="00071FEE"/>
    <w:rsid w:val="0007201D"/>
    <w:rsid w:val="0007288C"/>
    <w:rsid w:val="00074437"/>
    <w:rsid w:val="00074820"/>
    <w:rsid w:val="0007533F"/>
    <w:rsid w:val="00075536"/>
    <w:rsid w:val="00075627"/>
    <w:rsid w:val="000759AE"/>
    <w:rsid w:val="00076C47"/>
    <w:rsid w:val="000776BD"/>
    <w:rsid w:val="00077AF8"/>
    <w:rsid w:val="00077D54"/>
    <w:rsid w:val="00077DE0"/>
    <w:rsid w:val="00080715"/>
    <w:rsid w:val="00080BC6"/>
    <w:rsid w:val="00080C86"/>
    <w:rsid w:val="00080F98"/>
    <w:rsid w:val="0008109D"/>
    <w:rsid w:val="0008113C"/>
    <w:rsid w:val="00083469"/>
    <w:rsid w:val="00083E0D"/>
    <w:rsid w:val="00084330"/>
    <w:rsid w:val="00084586"/>
    <w:rsid w:val="000845DE"/>
    <w:rsid w:val="0008479B"/>
    <w:rsid w:val="00084B6E"/>
    <w:rsid w:val="00085489"/>
    <w:rsid w:val="000855DC"/>
    <w:rsid w:val="00085D20"/>
    <w:rsid w:val="0008734E"/>
    <w:rsid w:val="0008743C"/>
    <w:rsid w:val="00087537"/>
    <w:rsid w:val="00087876"/>
    <w:rsid w:val="00087C7E"/>
    <w:rsid w:val="00087FB2"/>
    <w:rsid w:val="000903E0"/>
    <w:rsid w:val="000906E8"/>
    <w:rsid w:val="000908EF"/>
    <w:rsid w:val="00090F2B"/>
    <w:rsid w:val="00090F66"/>
    <w:rsid w:val="00091B21"/>
    <w:rsid w:val="000926DB"/>
    <w:rsid w:val="0009295D"/>
    <w:rsid w:val="00092E98"/>
    <w:rsid w:val="00093009"/>
    <w:rsid w:val="000936E8"/>
    <w:rsid w:val="000936FF"/>
    <w:rsid w:val="000937BB"/>
    <w:rsid w:val="00094FE0"/>
    <w:rsid w:val="00095B6F"/>
    <w:rsid w:val="000967A5"/>
    <w:rsid w:val="00097462"/>
    <w:rsid w:val="00097A85"/>
    <w:rsid w:val="000A2C69"/>
    <w:rsid w:val="000A3839"/>
    <w:rsid w:val="000A48F1"/>
    <w:rsid w:val="000A54A0"/>
    <w:rsid w:val="000A5901"/>
    <w:rsid w:val="000A5F9C"/>
    <w:rsid w:val="000A68DE"/>
    <w:rsid w:val="000A6990"/>
    <w:rsid w:val="000A79E7"/>
    <w:rsid w:val="000A7A82"/>
    <w:rsid w:val="000A7D10"/>
    <w:rsid w:val="000B0F9E"/>
    <w:rsid w:val="000B1438"/>
    <w:rsid w:val="000B1A41"/>
    <w:rsid w:val="000B23F5"/>
    <w:rsid w:val="000B24F7"/>
    <w:rsid w:val="000B3084"/>
    <w:rsid w:val="000B361E"/>
    <w:rsid w:val="000B3768"/>
    <w:rsid w:val="000B4182"/>
    <w:rsid w:val="000B42CC"/>
    <w:rsid w:val="000B4BE1"/>
    <w:rsid w:val="000B5701"/>
    <w:rsid w:val="000B7A74"/>
    <w:rsid w:val="000C02EF"/>
    <w:rsid w:val="000C12ED"/>
    <w:rsid w:val="000C1529"/>
    <w:rsid w:val="000C15FA"/>
    <w:rsid w:val="000C16E9"/>
    <w:rsid w:val="000C1C40"/>
    <w:rsid w:val="000C43DE"/>
    <w:rsid w:val="000C4B7C"/>
    <w:rsid w:val="000C4E07"/>
    <w:rsid w:val="000C5DA1"/>
    <w:rsid w:val="000C5F6F"/>
    <w:rsid w:val="000C7BB0"/>
    <w:rsid w:val="000D0542"/>
    <w:rsid w:val="000D075E"/>
    <w:rsid w:val="000D19EF"/>
    <w:rsid w:val="000D1A81"/>
    <w:rsid w:val="000D2565"/>
    <w:rsid w:val="000D30F6"/>
    <w:rsid w:val="000D32AB"/>
    <w:rsid w:val="000D3D46"/>
    <w:rsid w:val="000D43F0"/>
    <w:rsid w:val="000D48A0"/>
    <w:rsid w:val="000D49FB"/>
    <w:rsid w:val="000E08B3"/>
    <w:rsid w:val="000E0CE1"/>
    <w:rsid w:val="000E0FF7"/>
    <w:rsid w:val="000E1181"/>
    <w:rsid w:val="000E12EC"/>
    <w:rsid w:val="000E15F0"/>
    <w:rsid w:val="000E16E3"/>
    <w:rsid w:val="000E1AAB"/>
    <w:rsid w:val="000E2E43"/>
    <w:rsid w:val="000E36E0"/>
    <w:rsid w:val="000E38FD"/>
    <w:rsid w:val="000E4331"/>
    <w:rsid w:val="000E575B"/>
    <w:rsid w:val="000E5B1F"/>
    <w:rsid w:val="000E619E"/>
    <w:rsid w:val="000E7A8C"/>
    <w:rsid w:val="000F218C"/>
    <w:rsid w:val="000F35B0"/>
    <w:rsid w:val="000F4203"/>
    <w:rsid w:val="000F44DB"/>
    <w:rsid w:val="000F59BF"/>
    <w:rsid w:val="000F5ABF"/>
    <w:rsid w:val="000F5B97"/>
    <w:rsid w:val="000F5D9A"/>
    <w:rsid w:val="000F5DE6"/>
    <w:rsid w:val="000F71A8"/>
    <w:rsid w:val="000F720E"/>
    <w:rsid w:val="000F723A"/>
    <w:rsid w:val="000F72A3"/>
    <w:rsid w:val="000F772E"/>
    <w:rsid w:val="0010021E"/>
    <w:rsid w:val="00100838"/>
    <w:rsid w:val="0010092B"/>
    <w:rsid w:val="00100E90"/>
    <w:rsid w:val="00101E40"/>
    <w:rsid w:val="00101F8A"/>
    <w:rsid w:val="00102FC2"/>
    <w:rsid w:val="00103CFA"/>
    <w:rsid w:val="00103FE5"/>
    <w:rsid w:val="00106323"/>
    <w:rsid w:val="00106364"/>
    <w:rsid w:val="00106623"/>
    <w:rsid w:val="001068EF"/>
    <w:rsid w:val="00111054"/>
    <w:rsid w:val="0011122E"/>
    <w:rsid w:val="001114CF"/>
    <w:rsid w:val="0011162E"/>
    <w:rsid w:val="00112032"/>
    <w:rsid w:val="00112561"/>
    <w:rsid w:val="00112A51"/>
    <w:rsid w:val="00112F2F"/>
    <w:rsid w:val="00113247"/>
    <w:rsid w:val="00113F57"/>
    <w:rsid w:val="0011470F"/>
    <w:rsid w:val="00115402"/>
    <w:rsid w:val="001158AD"/>
    <w:rsid w:val="00115F29"/>
    <w:rsid w:val="00116231"/>
    <w:rsid w:val="001167A8"/>
    <w:rsid w:val="001174E7"/>
    <w:rsid w:val="001208A2"/>
    <w:rsid w:val="00120C02"/>
    <w:rsid w:val="0012168B"/>
    <w:rsid w:val="00121780"/>
    <w:rsid w:val="0012263B"/>
    <w:rsid w:val="001228C8"/>
    <w:rsid w:val="00122DFF"/>
    <w:rsid w:val="00122F10"/>
    <w:rsid w:val="00123179"/>
    <w:rsid w:val="001240F7"/>
    <w:rsid w:val="001256C4"/>
    <w:rsid w:val="00127A0B"/>
    <w:rsid w:val="0013095F"/>
    <w:rsid w:val="00131574"/>
    <w:rsid w:val="001323FD"/>
    <w:rsid w:val="001329D5"/>
    <w:rsid w:val="00132D96"/>
    <w:rsid w:val="00132DB3"/>
    <w:rsid w:val="00134422"/>
    <w:rsid w:val="001352B7"/>
    <w:rsid w:val="00135633"/>
    <w:rsid w:val="0013568B"/>
    <w:rsid w:val="00136B26"/>
    <w:rsid w:val="001376A6"/>
    <w:rsid w:val="00137832"/>
    <w:rsid w:val="00137D91"/>
    <w:rsid w:val="00137E6C"/>
    <w:rsid w:val="001405BC"/>
    <w:rsid w:val="0014064E"/>
    <w:rsid w:val="00140778"/>
    <w:rsid w:val="00140A9A"/>
    <w:rsid w:val="00140EA2"/>
    <w:rsid w:val="00141713"/>
    <w:rsid w:val="00141FAF"/>
    <w:rsid w:val="00142BEA"/>
    <w:rsid w:val="00142CF1"/>
    <w:rsid w:val="001442F8"/>
    <w:rsid w:val="0014627C"/>
    <w:rsid w:val="00146806"/>
    <w:rsid w:val="00147997"/>
    <w:rsid w:val="00147DE9"/>
    <w:rsid w:val="00150295"/>
    <w:rsid w:val="00151205"/>
    <w:rsid w:val="00151B1D"/>
    <w:rsid w:val="00151BCC"/>
    <w:rsid w:val="00153029"/>
    <w:rsid w:val="0015313D"/>
    <w:rsid w:val="00153868"/>
    <w:rsid w:val="001539F6"/>
    <w:rsid w:val="001541A8"/>
    <w:rsid w:val="00154330"/>
    <w:rsid w:val="00154744"/>
    <w:rsid w:val="00155128"/>
    <w:rsid w:val="001555ED"/>
    <w:rsid w:val="00155712"/>
    <w:rsid w:val="00156113"/>
    <w:rsid w:val="001563C8"/>
    <w:rsid w:val="00156A08"/>
    <w:rsid w:val="00157315"/>
    <w:rsid w:val="001600BD"/>
    <w:rsid w:val="0016026E"/>
    <w:rsid w:val="00161A5C"/>
    <w:rsid w:val="0016201B"/>
    <w:rsid w:val="00162C50"/>
    <w:rsid w:val="00163C35"/>
    <w:rsid w:val="00164974"/>
    <w:rsid w:val="001650B8"/>
    <w:rsid w:val="0016559F"/>
    <w:rsid w:val="00167D90"/>
    <w:rsid w:val="00167E1A"/>
    <w:rsid w:val="0017004E"/>
    <w:rsid w:val="0017019F"/>
    <w:rsid w:val="001705A2"/>
    <w:rsid w:val="00171081"/>
    <w:rsid w:val="001715FF"/>
    <w:rsid w:val="0017184D"/>
    <w:rsid w:val="0017233D"/>
    <w:rsid w:val="00172A15"/>
    <w:rsid w:val="00172B8D"/>
    <w:rsid w:val="00172C00"/>
    <w:rsid w:val="00173F77"/>
    <w:rsid w:val="001748FD"/>
    <w:rsid w:val="00174BC1"/>
    <w:rsid w:val="00175600"/>
    <w:rsid w:val="00176143"/>
    <w:rsid w:val="00176AB6"/>
    <w:rsid w:val="00176B94"/>
    <w:rsid w:val="00176E20"/>
    <w:rsid w:val="00177982"/>
    <w:rsid w:val="00177F5A"/>
    <w:rsid w:val="00180D5B"/>
    <w:rsid w:val="00181DF8"/>
    <w:rsid w:val="00181E31"/>
    <w:rsid w:val="0018343A"/>
    <w:rsid w:val="00184020"/>
    <w:rsid w:val="00184D12"/>
    <w:rsid w:val="00186313"/>
    <w:rsid w:val="0018649C"/>
    <w:rsid w:val="0018651B"/>
    <w:rsid w:val="00186FF1"/>
    <w:rsid w:val="001873D4"/>
    <w:rsid w:val="00190491"/>
    <w:rsid w:val="001912C4"/>
    <w:rsid w:val="001917DD"/>
    <w:rsid w:val="00192194"/>
    <w:rsid w:val="0019263D"/>
    <w:rsid w:val="00193B05"/>
    <w:rsid w:val="00194191"/>
    <w:rsid w:val="00194693"/>
    <w:rsid w:val="0019543C"/>
    <w:rsid w:val="00195AFF"/>
    <w:rsid w:val="001968DE"/>
    <w:rsid w:val="00196F6D"/>
    <w:rsid w:val="001A00E2"/>
    <w:rsid w:val="001A00F9"/>
    <w:rsid w:val="001A044E"/>
    <w:rsid w:val="001A0673"/>
    <w:rsid w:val="001A08FA"/>
    <w:rsid w:val="001A1ED9"/>
    <w:rsid w:val="001A3A9D"/>
    <w:rsid w:val="001A49AA"/>
    <w:rsid w:val="001A4B6D"/>
    <w:rsid w:val="001A4ED6"/>
    <w:rsid w:val="001A51FB"/>
    <w:rsid w:val="001A5BAC"/>
    <w:rsid w:val="001A6D1C"/>
    <w:rsid w:val="001A76DD"/>
    <w:rsid w:val="001A7910"/>
    <w:rsid w:val="001B010A"/>
    <w:rsid w:val="001B0EDB"/>
    <w:rsid w:val="001B1B29"/>
    <w:rsid w:val="001B1D4A"/>
    <w:rsid w:val="001B27E7"/>
    <w:rsid w:val="001B32DA"/>
    <w:rsid w:val="001B39E1"/>
    <w:rsid w:val="001B497E"/>
    <w:rsid w:val="001B5615"/>
    <w:rsid w:val="001B57CE"/>
    <w:rsid w:val="001B6127"/>
    <w:rsid w:val="001B67FF"/>
    <w:rsid w:val="001B6B7F"/>
    <w:rsid w:val="001B6E8F"/>
    <w:rsid w:val="001B7A03"/>
    <w:rsid w:val="001C0477"/>
    <w:rsid w:val="001C1CA9"/>
    <w:rsid w:val="001C1F13"/>
    <w:rsid w:val="001C219C"/>
    <w:rsid w:val="001C2A74"/>
    <w:rsid w:val="001C398D"/>
    <w:rsid w:val="001C39E5"/>
    <w:rsid w:val="001C419D"/>
    <w:rsid w:val="001C50F8"/>
    <w:rsid w:val="001C51F8"/>
    <w:rsid w:val="001C54C3"/>
    <w:rsid w:val="001C7025"/>
    <w:rsid w:val="001C78A6"/>
    <w:rsid w:val="001C7D5B"/>
    <w:rsid w:val="001D04CD"/>
    <w:rsid w:val="001D0EF1"/>
    <w:rsid w:val="001D1368"/>
    <w:rsid w:val="001D1A82"/>
    <w:rsid w:val="001D2D58"/>
    <w:rsid w:val="001D2F9D"/>
    <w:rsid w:val="001D3639"/>
    <w:rsid w:val="001D43C3"/>
    <w:rsid w:val="001D4673"/>
    <w:rsid w:val="001D5A0D"/>
    <w:rsid w:val="001D5D4D"/>
    <w:rsid w:val="001D60F0"/>
    <w:rsid w:val="001D60FD"/>
    <w:rsid w:val="001D6C66"/>
    <w:rsid w:val="001D7A19"/>
    <w:rsid w:val="001D7BFA"/>
    <w:rsid w:val="001E064A"/>
    <w:rsid w:val="001E15AC"/>
    <w:rsid w:val="001E191E"/>
    <w:rsid w:val="001E1A5A"/>
    <w:rsid w:val="001E2071"/>
    <w:rsid w:val="001E2DA2"/>
    <w:rsid w:val="001E2E0F"/>
    <w:rsid w:val="001E3BB1"/>
    <w:rsid w:val="001E4207"/>
    <w:rsid w:val="001E49D9"/>
    <w:rsid w:val="001E4C83"/>
    <w:rsid w:val="001E655C"/>
    <w:rsid w:val="001E72BC"/>
    <w:rsid w:val="001E7A47"/>
    <w:rsid w:val="001F08B3"/>
    <w:rsid w:val="001F120A"/>
    <w:rsid w:val="001F1F85"/>
    <w:rsid w:val="001F22AC"/>
    <w:rsid w:val="001F3264"/>
    <w:rsid w:val="001F32CB"/>
    <w:rsid w:val="001F3409"/>
    <w:rsid w:val="001F4731"/>
    <w:rsid w:val="001F57F7"/>
    <w:rsid w:val="001F629E"/>
    <w:rsid w:val="001F688D"/>
    <w:rsid w:val="001F68C0"/>
    <w:rsid w:val="001F7F26"/>
    <w:rsid w:val="00200634"/>
    <w:rsid w:val="00200790"/>
    <w:rsid w:val="00201FCF"/>
    <w:rsid w:val="002021E0"/>
    <w:rsid w:val="00202764"/>
    <w:rsid w:val="002029C1"/>
    <w:rsid w:val="002029E1"/>
    <w:rsid w:val="00203192"/>
    <w:rsid w:val="00203BEE"/>
    <w:rsid w:val="00204020"/>
    <w:rsid w:val="002041BE"/>
    <w:rsid w:val="00204CB1"/>
    <w:rsid w:val="00204F21"/>
    <w:rsid w:val="00204F99"/>
    <w:rsid w:val="00204F9D"/>
    <w:rsid w:val="00205349"/>
    <w:rsid w:val="002056D0"/>
    <w:rsid w:val="00205D8B"/>
    <w:rsid w:val="00206D32"/>
    <w:rsid w:val="00206D6F"/>
    <w:rsid w:val="002079A3"/>
    <w:rsid w:val="00210CBB"/>
    <w:rsid w:val="002111C4"/>
    <w:rsid w:val="00211DF6"/>
    <w:rsid w:val="0021202D"/>
    <w:rsid w:val="0021240F"/>
    <w:rsid w:val="0021277A"/>
    <w:rsid w:val="00213C92"/>
    <w:rsid w:val="00214A06"/>
    <w:rsid w:val="002152A5"/>
    <w:rsid w:val="00215327"/>
    <w:rsid w:val="0021557F"/>
    <w:rsid w:val="00215863"/>
    <w:rsid w:val="00215A04"/>
    <w:rsid w:val="0021633C"/>
    <w:rsid w:val="00216600"/>
    <w:rsid w:val="002167C6"/>
    <w:rsid w:val="00216E0A"/>
    <w:rsid w:val="0021797D"/>
    <w:rsid w:val="00220D28"/>
    <w:rsid w:val="00220DE7"/>
    <w:rsid w:val="0022181C"/>
    <w:rsid w:val="00221951"/>
    <w:rsid w:val="00221C90"/>
    <w:rsid w:val="00221D2E"/>
    <w:rsid w:val="002221A7"/>
    <w:rsid w:val="002226E0"/>
    <w:rsid w:val="002227BA"/>
    <w:rsid w:val="00222BF1"/>
    <w:rsid w:val="00223299"/>
    <w:rsid w:val="002232B6"/>
    <w:rsid w:val="002234DD"/>
    <w:rsid w:val="002234E2"/>
    <w:rsid w:val="002236F8"/>
    <w:rsid w:val="00223FFF"/>
    <w:rsid w:val="0022560F"/>
    <w:rsid w:val="00226E48"/>
    <w:rsid w:val="00227BB3"/>
    <w:rsid w:val="0023160D"/>
    <w:rsid w:val="002319B8"/>
    <w:rsid w:val="002320E7"/>
    <w:rsid w:val="00233595"/>
    <w:rsid w:val="0023363C"/>
    <w:rsid w:val="0023402D"/>
    <w:rsid w:val="00234354"/>
    <w:rsid w:val="00234380"/>
    <w:rsid w:val="002359D0"/>
    <w:rsid w:val="00235D45"/>
    <w:rsid w:val="0023608C"/>
    <w:rsid w:val="002363AD"/>
    <w:rsid w:val="00236673"/>
    <w:rsid w:val="00236A32"/>
    <w:rsid w:val="00237E0C"/>
    <w:rsid w:val="00237E45"/>
    <w:rsid w:val="002403BC"/>
    <w:rsid w:val="00241039"/>
    <w:rsid w:val="00241394"/>
    <w:rsid w:val="002419C8"/>
    <w:rsid w:val="00241A03"/>
    <w:rsid w:val="00241C99"/>
    <w:rsid w:val="00242969"/>
    <w:rsid w:val="00243C7B"/>
    <w:rsid w:val="0024522A"/>
    <w:rsid w:val="002453E4"/>
    <w:rsid w:val="00245C7E"/>
    <w:rsid w:val="002464B3"/>
    <w:rsid w:val="00246890"/>
    <w:rsid w:val="00246DD5"/>
    <w:rsid w:val="002473C4"/>
    <w:rsid w:val="002506AE"/>
    <w:rsid w:val="00250F5C"/>
    <w:rsid w:val="00253259"/>
    <w:rsid w:val="0025468E"/>
    <w:rsid w:val="00254C6B"/>
    <w:rsid w:val="002557AA"/>
    <w:rsid w:val="00255CE5"/>
    <w:rsid w:val="00256D44"/>
    <w:rsid w:val="00257829"/>
    <w:rsid w:val="002608A5"/>
    <w:rsid w:val="00260F79"/>
    <w:rsid w:val="002612BB"/>
    <w:rsid w:val="00261B70"/>
    <w:rsid w:val="00261EA2"/>
    <w:rsid w:val="00262E92"/>
    <w:rsid w:val="002638A6"/>
    <w:rsid w:val="00263D7B"/>
    <w:rsid w:val="002655F1"/>
    <w:rsid w:val="00265680"/>
    <w:rsid w:val="0026579F"/>
    <w:rsid w:val="00265D83"/>
    <w:rsid w:val="0026613B"/>
    <w:rsid w:val="0026686E"/>
    <w:rsid w:val="002679F6"/>
    <w:rsid w:val="0027115E"/>
    <w:rsid w:val="00271218"/>
    <w:rsid w:val="002718D3"/>
    <w:rsid w:val="00271FA3"/>
    <w:rsid w:val="00272353"/>
    <w:rsid w:val="00272358"/>
    <w:rsid w:val="002729F2"/>
    <w:rsid w:val="00272A72"/>
    <w:rsid w:val="0027306B"/>
    <w:rsid w:val="00274839"/>
    <w:rsid w:val="00275499"/>
    <w:rsid w:val="00275BA3"/>
    <w:rsid w:val="0027623E"/>
    <w:rsid w:val="002778F0"/>
    <w:rsid w:val="00277C90"/>
    <w:rsid w:val="00281AD6"/>
    <w:rsid w:val="00282D58"/>
    <w:rsid w:val="0028317E"/>
    <w:rsid w:val="00283883"/>
    <w:rsid w:val="002839C8"/>
    <w:rsid w:val="00283D9D"/>
    <w:rsid w:val="002841F2"/>
    <w:rsid w:val="0028523C"/>
    <w:rsid w:val="0028617A"/>
    <w:rsid w:val="002876DC"/>
    <w:rsid w:val="0029041A"/>
    <w:rsid w:val="00291267"/>
    <w:rsid w:val="00291D34"/>
    <w:rsid w:val="0029270A"/>
    <w:rsid w:val="00293D75"/>
    <w:rsid w:val="002942BC"/>
    <w:rsid w:val="00294FED"/>
    <w:rsid w:val="0029533E"/>
    <w:rsid w:val="00295A46"/>
    <w:rsid w:val="00296959"/>
    <w:rsid w:val="0029728D"/>
    <w:rsid w:val="00297E6A"/>
    <w:rsid w:val="002A0824"/>
    <w:rsid w:val="002A0865"/>
    <w:rsid w:val="002A0CD9"/>
    <w:rsid w:val="002A0E6E"/>
    <w:rsid w:val="002A1981"/>
    <w:rsid w:val="002A1DC8"/>
    <w:rsid w:val="002A36FC"/>
    <w:rsid w:val="002A4743"/>
    <w:rsid w:val="002A493E"/>
    <w:rsid w:val="002A53E4"/>
    <w:rsid w:val="002A6645"/>
    <w:rsid w:val="002A6780"/>
    <w:rsid w:val="002B03E4"/>
    <w:rsid w:val="002B06C0"/>
    <w:rsid w:val="002B10BC"/>
    <w:rsid w:val="002B1186"/>
    <w:rsid w:val="002B1714"/>
    <w:rsid w:val="002B20AA"/>
    <w:rsid w:val="002B2C04"/>
    <w:rsid w:val="002B2F50"/>
    <w:rsid w:val="002B3D6F"/>
    <w:rsid w:val="002B453A"/>
    <w:rsid w:val="002B4E45"/>
    <w:rsid w:val="002B5186"/>
    <w:rsid w:val="002B5AB4"/>
    <w:rsid w:val="002B5CBE"/>
    <w:rsid w:val="002B5E4C"/>
    <w:rsid w:val="002B67B7"/>
    <w:rsid w:val="002B6838"/>
    <w:rsid w:val="002B6B66"/>
    <w:rsid w:val="002B6F7C"/>
    <w:rsid w:val="002C00AB"/>
    <w:rsid w:val="002C04EB"/>
    <w:rsid w:val="002C05F9"/>
    <w:rsid w:val="002C15B4"/>
    <w:rsid w:val="002C1652"/>
    <w:rsid w:val="002C190C"/>
    <w:rsid w:val="002C2AAF"/>
    <w:rsid w:val="002C3085"/>
    <w:rsid w:val="002C34F1"/>
    <w:rsid w:val="002C35BB"/>
    <w:rsid w:val="002C3B56"/>
    <w:rsid w:val="002C3B98"/>
    <w:rsid w:val="002C42A7"/>
    <w:rsid w:val="002C61A9"/>
    <w:rsid w:val="002D00FC"/>
    <w:rsid w:val="002D20A3"/>
    <w:rsid w:val="002D2ED6"/>
    <w:rsid w:val="002D33FD"/>
    <w:rsid w:val="002D548E"/>
    <w:rsid w:val="002D5967"/>
    <w:rsid w:val="002D5B7F"/>
    <w:rsid w:val="002D5BC2"/>
    <w:rsid w:val="002D66D4"/>
    <w:rsid w:val="002D6C00"/>
    <w:rsid w:val="002D6E67"/>
    <w:rsid w:val="002D7BEB"/>
    <w:rsid w:val="002E0735"/>
    <w:rsid w:val="002E2378"/>
    <w:rsid w:val="002E2F00"/>
    <w:rsid w:val="002E343B"/>
    <w:rsid w:val="002E3A75"/>
    <w:rsid w:val="002E4136"/>
    <w:rsid w:val="002E4915"/>
    <w:rsid w:val="002E4EF0"/>
    <w:rsid w:val="002E5622"/>
    <w:rsid w:val="002E5A03"/>
    <w:rsid w:val="002E5B28"/>
    <w:rsid w:val="002E5EC4"/>
    <w:rsid w:val="002E6209"/>
    <w:rsid w:val="002E6FD8"/>
    <w:rsid w:val="002E73DB"/>
    <w:rsid w:val="002F00A2"/>
    <w:rsid w:val="002F0385"/>
    <w:rsid w:val="002F0876"/>
    <w:rsid w:val="002F1802"/>
    <w:rsid w:val="002F244C"/>
    <w:rsid w:val="002F35DC"/>
    <w:rsid w:val="002F45A0"/>
    <w:rsid w:val="002F61D5"/>
    <w:rsid w:val="002F6542"/>
    <w:rsid w:val="00300253"/>
    <w:rsid w:val="00300A50"/>
    <w:rsid w:val="003011D6"/>
    <w:rsid w:val="00301D8C"/>
    <w:rsid w:val="003022FB"/>
    <w:rsid w:val="003026B9"/>
    <w:rsid w:val="0030285C"/>
    <w:rsid w:val="003063B6"/>
    <w:rsid w:val="00306E5A"/>
    <w:rsid w:val="00307495"/>
    <w:rsid w:val="00310705"/>
    <w:rsid w:val="00311051"/>
    <w:rsid w:val="003114D2"/>
    <w:rsid w:val="003114DF"/>
    <w:rsid w:val="003119AA"/>
    <w:rsid w:val="00311CC6"/>
    <w:rsid w:val="00312B2D"/>
    <w:rsid w:val="00313F2B"/>
    <w:rsid w:val="003143E2"/>
    <w:rsid w:val="003146F1"/>
    <w:rsid w:val="00315986"/>
    <w:rsid w:val="00315CB6"/>
    <w:rsid w:val="00315D30"/>
    <w:rsid w:val="0031623E"/>
    <w:rsid w:val="0031633B"/>
    <w:rsid w:val="00316379"/>
    <w:rsid w:val="0031648B"/>
    <w:rsid w:val="00316B41"/>
    <w:rsid w:val="00317021"/>
    <w:rsid w:val="00317F85"/>
    <w:rsid w:val="00317F9C"/>
    <w:rsid w:val="00320FA2"/>
    <w:rsid w:val="00321050"/>
    <w:rsid w:val="0032121A"/>
    <w:rsid w:val="0032139C"/>
    <w:rsid w:val="003223D8"/>
    <w:rsid w:val="003225C5"/>
    <w:rsid w:val="00322923"/>
    <w:rsid w:val="00323C76"/>
    <w:rsid w:val="003240E8"/>
    <w:rsid w:val="00324EB8"/>
    <w:rsid w:val="00325356"/>
    <w:rsid w:val="00325937"/>
    <w:rsid w:val="00326224"/>
    <w:rsid w:val="0032622E"/>
    <w:rsid w:val="00326317"/>
    <w:rsid w:val="003264C9"/>
    <w:rsid w:val="003268A5"/>
    <w:rsid w:val="00326E18"/>
    <w:rsid w:val="003302F4"/>
    <w:rsid w:val="00331234"/>
    <w:rsid w:val="003319FE"/>
    <w:rsid w:val="00332362"/>
    <w:rsid w:val="00332719"/>
    <w:rsid w:val="00332E0C"/>
    <w:rsid w:val="00333698"/>
    <w:rsid w:val="003339EB"/>
    <w:rsid w:val="00333DC8"/>
    <w:rsid w:val="003344C1"/>
    <w:rsid w:val="00334ACF"/>
    <w:rsid w:val="00335426"/>
    <w:rsid w:val="00335A05"/>
    <w:rsid w:val="00336581"/>
    <w:rsid w:val="00336683"/>
    <w:rsid w:val="00337274"/>
    <w:rsid w:val="00337415"/>
    <w:rsid w:val="0034043A"/>
    <w:rsid w:val="00340CA3"/>
    <w:rsid w:val="0034126A"/>
    <w:rsid w:val="00341918"/>
    <w:rsid w:val="0034193F"/>
    <w:rsid w:val="00342933"/>
    <w:rsid w:val="00342BA5"/>
    <w:rsid w:val="00343CC0"/>
    <w:rsid w:val="00344DDC"/>
    <w:rsid w:val="0034599C"/>
    <w:rsid w:val="00345A6D"/>
    <w:rsid w:val="0034603A"/>
    <w:rsid w:val="003469B7"/>
    <w:rsid w:val="00346C1C"/>
    <w:rsid w:val="00347190"/>
    <w:rsid w:val="00347526"/>
    <w:rsid w:val="00347D22"/>
    <w:rsid w:val="00350149"/>
    <w:rsid w:val="00350197"/>
    <w:rsid w:val="00350F3D"/>
    <w:rsid w:val="00351233"/>
    <w:rsid w:val="003516AD"/>
    <w:rsid w:val="003536DA"/>
    <w:rsid w:val="00353E69"/>
    <w:rsid w:val="00355DB7"/>
    <w:rsid w:val="00355E6A"/>
    <w:rsid w:val="00356420"/>
    <w:rsid w:val="003565EC"/>
    <w:rsid w:val="003567B2"/>
    <w:rsid w:val="00357BC6"/>
    <w:rsid w:val="00357DE5"/>
    <w:rsid w:val="00360A08"/>
    <w:rsid w:val="00360F5F"/>
    <w:rsid w:val="0036276E"/>
    <w:rsid w:val="003642BB"/>
    <w:rsid w:val="003643DE"/>
    <w:rsid w:val="003643F6"/>
    <w:rsid w:val="00364854"/>
    <w:rsid w:val="00366023"/>
    <w:rsid w:val="003663C2"/>
    <w:rsid w:val="003664BC"/>
    <w:rsid w:val="0036650E"/>
    <w:rsid w:val="00366814"/>
    <w:rsid w:val="003678BE"/>
    <w:rsid w:val="00367BD9"/>
    <w:rsid w:val="0037195F"/>
    <w:rsid w:val="00371FD6"/>
    <w:rsid w:val="00372C14"/>
    <w:rsid w:val="00372E6D"/>
    <w:rsid w:val="00373FAE"/>
    <w:rsid w:val="0037472D"/>
    <w:rsid w:val="0037481C"/>
    <w:rsid w:val="00374A6A"/>
    <w:rsid w:val="00375132"/>
    <w:rsid w:val="0037563D"/>
    <w:rsid w:val="003757A0"/>
    <w:rsid w:val="00376503"/>
    <w:rsid w:val="0037709A"/>
    <w:rsid w:val="00377543"/>
    <w:rsid w:val="003777DB"/>
    <w:rsid w:val="00380FD5"/>
    <w:rsid w:val="00381EA6"/>
    <w:rsid w:val="00381EF1"/>
    <w:rsid w:val="00381F9D"/>
    <w:rsid w:val="00383763"/>
    <w:rsid w:val="003849CE"/>
    <w:rsid w:val="00385039"/>
    <w:rsid w:val="00385AB1"/>
    <w:rsid w:val="00386166"/>
    <w:rsid w:val="00386400"/>
    <w:rsid w:val="0038791D"/>
    <w:rsid w:val="0039047C"/>
    <w:rsid w:val="0039130D"/>
    <w:rsid w:val="0039170B"/>
    <w:rsid w:val="0039177E"/>
    <w:rsid w:val="00392B06"/>
    <w:rsid w:val="0039415F"/>
    <w:rsid w:val="003952B7"/>
    <w:rsid w:val="00395473"/>
    <w:rsid w:val="00396886"/>
    <w:rsid w:val="003A0155"/>
    <w:rsid w:val="003A21DD"/>
    <w:rsid w:val="003A2417"/>
    <w:rsid w:val="003A27F7"/>
    <w:rsid w:val="003A2D02"/>
    <w:rsid w:val="003A303E"/>
    <w:rsid w:val="003A363B"/>
    <w:rsid w:val="003A398E"/>
    <w:rsid w:val="003A45E2"/>
    <w:rsid w:val="003A552C"/>
    <w:rsid w:val="003A5969"/>
    <w:rsid w:val="003A62C8"/>
    <w:rsid w:val="003A6E1A"/>
    <w:rsid w:val="003A7A9C"/>
    <w:rsid w:val="003A7F5D"/>
    <w:rsid w:val="003B03A6"/>
    <w:rsid w:val="003B0963"/>
    <w:rsid w:val="003B0E5D"/>
    <w:rsid w:val="003B2C5F"/>
    <w:rsid w:val="003B300E"/>
    <w:rsid w:val="003B329D"/>
    <w:rsid w:val="003B598D"/>
    <w:rsid w:val="003B660F"/>
    <w:rsid w:val="003B6E20"/>
    <w:rsid w:val="003C07F3"/>
    <w:rsid w:val="003C1172"/>
    <w:rsid w:val="003C17D9"/>
    <w:rsid w:val="003C1F15"/>
    <w:rsid w:val="003C2554"/>
    <w:rsid w:val="003C2909"/>
    <w:rsid w:val="003C2918"/>
    <w:rsid w:val="003C3639"/>
    <w:rsid w:val="003C3D27"/>
    <w:rsid w:val="003C3D3C"/>
    <w:rsid w:val="003C4A57"/>
    <w:rsid w:val="003C568F"/>
    <w:rsid w:val="003C5A2E"/>
    <w:rsid w:val="003C6019"/>
    <w:rsid w:val="003C61D5"/>
    <w:rsid w:val="003C75CE"/>
    <w:rsid w:val="003D0384"/>
    <w:rsid w:val="003D097D"/>
    <w:rsid w:val="003D0C73"/>
    <w:rsid w:val="003D1AA1"/>
    <w:rsid w:val="003D2925"/>
    <w:rsid w:val="003D2CE9"/>
    <w:rsid w:val="003D3627"/>
    <w:rsid w:val="003D3ACA"/>
    <w:rsid w:val="003D3E25"/>
    <w:rsid w:val="003D468A"/>
    <w:rsid w:val="003D46CB"/>
    <w:rsid w:val="003D4D37"/>
    <w:rsid w:val="003D5031"/>
    <w:rsid w:val="003D506A"/>
    <w:rsid w:val="003D58B8"/>
    <w:rsid w:val="003D63AD"/>
    <w:rsid w:val="003D6409"/>
    <w:rsid w:val="003D6965"/>
    <w:rsid w:val="003D70C0"/>
    <w:rsid w:val="003D7ADA"/>
    <w:rsid w:val="003D7F4D"/>
    <w:rsid w:val="003E0703"/>
    <w:rsid w:val="003E09B7"/>
    <w:rsid w:val="003E0DEE"/>
    <w:rsid w:val="003E0E2F"/>
    <w:rsid w:val="003E1CFC"/>
    <w:rsid w:val="003E24F8"/>
    <w:rsid w:val="003E2854"/>
    <w:rsid w:val="003E4261"/>
    <w:rsid w:val="003E4C78"/>
    <w:rsid w:val="003E5A79"/>
    <w:rsid w:val="003E5CD8"/>
    <w:rsid w:val="003E6AF6"/>
    <w:rsid w:val="003E74B6"/>
    <w:rsid w:val="003F0D67"/>
    <w:rsid w:val="003F140F"/>
    <w:rsid w:val="003F2425"/>
    <w:rsid w:val="003F287F"/>
    <w:rsid w:val="003F29ED"/>
    <w:rsid w:val="003F3215"/>
    <w:rsid w:val="003F3E22"/>
    <w:rsid w:val="003F4575"/>
    <w:rsid w:val="003F5183"/>
    <w:rsid w:val="003F5F7E"/>
    <w:rsid w:val="003F795A"/>
    <w:rsid w:val="003F7D46"/>
    <w:rsid w:val="00400625"/>
    <w:rsid w:val="00400BAD"/>
    <w:rsid w:val="00400F56"/>
    <w:rsid w:val="0040122F"/>
    <w:rsid w:val="0040130C"/>
    <w:rsid w:val="00402425"/>
    <w:rsid w:val="00403CD9"/>
    <w:rsid w:val="004042B2"/>
    <w:rsid w:val="004042BC"/>
    <w:rsid w:val="00406AD7"/>
    <w:rsid w:val="004101FD"/>
    <w:rsid w:val="004126DF"/>
    <w:rsid w:val="004126E6"/>
    <w:rsid w:val="00413663"/>
    <w:rsid w:val="004148A6"/>
    <w:rsid w:val="00414D0E"/>
    <w:rsid w:val="00415008"/>
    <w:rsid w:val="00416271"/>
    <w:rsid w:val="00416B5A"/>
    <w:rsid w:val="0041751C"/>
    <w:rsid w:val="00417E60"/>
    <w:rsid w:val="00420318"/>
    <w:rsid w:val="00420E85"/>
    <w:rsid w:val="00421C1D"/>
    <w:rsid w:val="0042221B"/>
    <w:rsid w:val="004228B1"/>
    <w:rsid w:val="00422D39"/>
    <w:rsid w:val="004241CB"/>
    <w:rsid w:val="00424E8A"/>
    <w:rsid w:val="00425359"/>
    <w:rsid w:val="00425D14"/>
    <w:rsid w:val="00426154"/>
    <w:rsid w:val="00426155"/>
    <w:rsid w:val="0042644B"/>
    <w:rsid w:val="00426BD7"/>
    <w:rsid w:val="004273B6"/>
    <w:rsid w:val="00427F63"/>
    <w:rsid w:val="00430362"/>
    <w:rsid w:val="00430BA2"/>
    <w:rsid w:val="004313CB"/>
    <w:rsid w:val="0043158C"/>
    <w:rsid w:val="00432032"/>
    <w:rsid w:val="004321AD"/>
    <w:rsid w:val="004328CC"/>
    <w:rsid w:val="00432FDC"/>
    <w:rsid w:val="00432FFD"/>
    <w:rsid w:val="00433F4E"/>
    <w:rsid w:val="00434A34"/>
    <w:rsid w:val="00434A78"/>
    <w:rsid w:val="00434E65"/>
    <w:rsid w:val="00435126"/>
    <w:rsid w:val="00435129"/>
    <w:rsid w:val="00435455"/>
    <w:rsid w:val="004357BC"/>
    <w:rsid w:val="00436842"/>
    <w:rsid w:val="00436B99"/>
    <w:rsid w:val="0043725A"/>
    <w:rsid w:val="0043799A"/>
    <w:rsid w:val="004379CC"/>
    <w:rsid w:val="00437ABC"/>
    <w:rsid w:val="00440AFC"/>
    <w:rsid w:val="00440C66"/>
    <w:rsid w:val="00443007"/>
    <w:rsid w:val="004437DE"/>
    <w:rsid w:val="00443DD4"/>
    <w:rsid w:val="00444977"/>
    <w:rsid w:val="00444ADE"/>
    <w:rsid w:val="00444CBA"/>
    <w:rsid w:val="00446B6C"/>
    <w:rsid w:val="004479C8"/>
    <w:rsid w:val="0045107F"/>
    <w:rsid w:val="00451337"/>
    <w:rsid w:val="004523AA"/>
    <w:rsid w:val="004529D3"/>
    <w:rsid w:val="00453814"/>
    <w:rsid w:val="00454D4D"/>
    <w:rsid w:val="00455803"/>
    <w:rsid w:val="004568FC"/>
    <w:rsid w:val="00456F0C"/>
    <w:rsid w:val="00460DC2"/>
    <w:rsid w:val="00460DC4"/>
    <w:rsid w:val="00460DFF"/>
    <w:rsid w:val="00461939"/>
    <w:rsid w:val="00461C42"/>
    <w:rsid w:val="00461D97"/>
    <w:rsid w:val="004632AD"/>
    <w:rsid w:val="00464129"/>
    <w:rsid w:val="00464624"/>
    <w:rsid w:val="0046586F"/>
    <w:rsid w:val="00465C46"/>
    <w:rsid w:val="004660A2"/>
    <w:rsid w:val="0046620F"/>
    <w:rsid w:val="00466277"/>
    <w:rsid w:val="004668DF"/>
    <w:rsid w:val="004708B1"/>
    <w:rsid w:val="00470A9F"/>
    <w:rsid w:val="00471FC3"/>
    <w:rsid w:val="00472DCC"/>
    <w:rsid w:val="00473082"/>
    <w:rsid w:val="00473224"/>
    <w:rsid w:val="004742E9"/>
    <w:rsid w:val="00474447"/>
    <w:rsid w:val="004748D2"/>
    <w:rsid w:val="004755EB"/>
    <w:rsid w:val="00475B43"/>
    <w:rsid w:val="00475E1C"/>
    <w:rsid w:val="00475F99"/>
    <w:rsid w:val="0047738D"/>
    <w:rsid w:val="004773AB"/>
    <w:rsid w:val="00477674"/>
    <w:rsid w:val="00480072"/>
    <w:rsid w:val="00480173"/>
    <w:rsid w:val="00480DC5"/>
    <w:rsid w:val="00480E0E"/>
    <w:rsid w:val="00481834"/>
    <w:rsid w:val="00481EF3"/>
    <w:rsid w:val="00482CD9"/>
    <w:rsid w:val="004834C4"/>
    <w:rsid w:val="0048353B"/>
    <w:rsid w:val="00484242"/>
    <w:rsid w:val="004848DD"/>
    <w:rsid w:val="004849F4"/>
    <w:rsid w:val="00484E09"/>
    <w:rsid w:val="00485AB6"/>
    <w:rsid w:val="0048727F"/>
    <w:rsid w:val="00487390"/>
    <w:rsid w:val="0048751C"/>
    <w:rsid w:val="0049004C"/>
    <w:rsid w:val="0049172A"/>
    <w:rsid w:val="00492282"/>
    <w:rsid w:val="00493143"/>
    <w:rsid w:val="00493B82"/>
    <w:rsid w:val="00493D05"/>
    <w:rsid w:val="00493D3E"/>
    <w:rsid w:val="004945CA"/>
    <w:rsid w:val="00494730"/>
    <w:rsid w:val="00495D83"/>
    <w:rsid w:val="00496831"/>
    <w:rsid w:val="00497316"/>
    <w:rsid w:val="00497478"/>
    <w:rsid w:val="00497C91"/>
    <w:rsid w:val="004A1E85"/>
    <w:rsid w:val="004A31CE"/>
    <w:rsid w:val="004A4710"/>
    <w:rsid w:val="004A4F27"/>
    <w:rsid w:val="004A6641"/>
    <w:rsid w:val="004A67CA"/>
    <w:rsid w:val="004A77D0"/>
    <w:rsid w:val="004A7E07"/>
    <w:rsid w:val="004B2437"/>
    <w:rsid w:val="004B2841"/>
    <w:rsid w:val="004B37F1"/>
    <w:rsid w:val="004B3A44"/>
    <w:rsid w:val="004B4210"/>
    <w:rsid w:val="004B4F9B"/>
    <w:rsid w:val="004B5257"/>
    <w:rsid w:val="004B616A"/>
    <w:rsid w:val="004B7382"/>
    <w:rsid w:val="004B74C9"/>
    <w:rsid w:val="004B74F8"/>
    <w:rsid w:val="004B78D3"/>
    <w:rsid w:val="004C04C3"/>
    <w:rsid w:val="004C1212"/>
    <w:rsid w:val="004C1635"/>
    <w:rsid w:val="004C1C10"/>
    <w:rsid w:val="004C1E1A"/>
    <w:rsid w:val="004C1EDF"/>
    <w:rsid w:val="004C2740"/>
    <w:rsid w:val="004C2937"/>
    <w:rsid w:val="004C2A54"/>
    <w:rsid w:val="004C323D"/>
    <w:rsid w:val="004C3732"/>
    <w:rsid w:val="004C4E3F"/>
    <w:rsid w:val="004C6DC2"/>
    <w:rsid w:val="004C6F66"/>
    <w:rsid w:val="004C7305"/>
    <w:rsid w:val="004C7565"/>
    <w:rsid w:val="004C7ABD"/>
    <w:rsid w:val="004C7D60"/>
    <w:rsid w:val="004D093C"/>
    <w:rsid w:val="004D17E3"/>
    <w:rsid w:val="004D1AD7"/>
    <w:rsid w:val="004D2592"/>
    <w:rsid w:val="004D2714"/>
    <w:rsid w:val="004D2868"/>
    <w:rsid w:val="004D2CC5"/>
    <w:rsid w:val="004D3390"/>
    <w:rsid w:val="004D5398"/>
    <w:rsid w:val="004D5B8A"/>
    <w:rsid w:val="004D5F26"/>
    <w:rsid w:val="004D642D"/>
    <w:rsid w:val="004D6D6A"/>
    <w:rsid w:val="004D71BC"/>
    <w:rsid w:val="004D784F"/>
    <w:rsid w:val="004D795D"/>
    <w:rsid w:val="004E0705"/>
    <w:rsid w:val="004E0A4D"/>
    <w:rsid w:val="004E1917"/>
    <w:rsid w:val="004E1E5E"/>
    <w:rsid w:val="004E3342"/>
    <w:rsid w:val="004E3AA8"/>
    <w:rsid w:val="004E3C4B"/>
    <w:rsid w:val="004E3D53"/>
    <w:rsid w:val="004E3F86"/>
    <w:rsid w:val="004E51A6"/>
    <w:rsid w:val="004E56F9"/>
    <w:rsid w:val="004E59F3"/>
    <w:rsid w:val="004E5A64"/>
    <w:rsid w:val="004E66E9"/>
    <w:rsid w:val="004E66FF"/>
    <w:rsid w:val="004E6706"/>
    <w:rsid w:val="004E7212"/>
    <w:rsid w:val="004E7306"/>
    <w:rsid w:val="004E763B"/>
    <w:rsid w:val="004F020F"/>
    <w:rsid w:val="004F03A8"/>
    <w:rsid w:val="004F0D62"/>
    <w:rsid w:val="004F0D6E"/>
    <w:rsid w:val="004F1C4F"/>
    <w:rsid w:val="004F2345"/>
    <w:rsid w:val="004F406C"/>
    <w:rsid w:val="004F5FC1"/>
    <w:rsid w:val="004F665D"/>
    <w:rsid w:val="004F713E"/>
    <w:rsid w:val="004F7237"/>
    <w:rsid w:val="004F7E57"/>
    <w:rsid w:val="00501221"/>
    <w:rsid w:val="00501B4D"/>
    <w:rsid w:val="00502D17"/>
    <w:rsid w:val="005035F2"/>
    <w:rsid w:val="00504BAF"/>
    <w:rsid w:val="00505CE7"/>
    <w:rsid w:val="00507CAD"/>
    <w:rsid w:val="00507F95"/>
    <w:rsid w:val="005100D0"/>
    <w:rsid w:val="005104CF"/>
    <w:rsid w:val="00511271"/>
    <w:rsid w:val="00511A52"/>
    <w:rsid w:val="00513097"/>
    <w:rsid w:val="00513484"/>
    <w:rsid w:val="00515608"/>
    <w:rsid w:val="00515764"/>
    <w:rsid w:val="00515823"/>
    <w:rsid w:val="00515909"/>
    <w:rsid w:val="00516E27"/>
    <w:rsid w:val="005173AA"/>
    <w:rsid w:val="0051744B"/>
    <w:rsid w:val="00517551"/>
    <w:rsid w:val="00517D02"/>
    <w:rsid w:val="005216E3"/>
    <w:rsid w:val="00522731"/>
    <w:rsid w:val="0052292E"/>
    <w:rsid w:val="00523747"/>
    <w:rsid w:val="005237FD"/>
    <w:rsid w:val="00524931"/>
    <w:rsid w:val="00524953"/>
    <w:rsid w:val="00524BB3"/>
    <w:rsid w:val="00525446"/>
    <w:rsid w:val="00525CDD"/>
    <w:rsid w:val="00526391"/>
    <w:rsid w:val="00526975"/>
    <w:rsid w:val="005271E7"/>
    <w:rsid w:val="005275AC"/>
    <w:rsid w:val="00527B0C"/>
    <w:rsid w:val="005300A0"/>
    <w:rsid w:val="005303CE"/>
    <w:rsid w:val="00530B03"/>
    <w:rsid w:val="00530B92"/>
    <w:rsid w:val="00531143"/>
    <w:rsid w:val="00532829"/>
    <w:rsid w:val="0053287E"/>
    <w:rsid w:val="00533765"/>
    <w:rsid w:val="00533DB4"/>
    <w:rsid w:val="00534533"/>
    <w:rsid w:val="00534DBE"/>
    <w:rsid w:val="00536976"/>
    <w:rsid w:val="00536BBC"/>
    <w:rsid w:val="00537A45"/>
    <w:rsid w:val="005404BD"/>
    <w:rsid w:val="005416F4"/>
    <w:rsid w:val="00541A75"/>
    <w:rsid w:val="005425E1"/>
    <w:rsid w:val="0054279C"/>
    <w:rsid w:val="00542D61"/>
    <w:rsid w:val="00543005"/>
    <w:rsid w:val="00543D2B"/>
    <w:rsid w:val="00544ABC"/>
    <w:rsid w:val="0054518D"/>
    <w:rsid w:val="0054627E"/>
    <w:rsid w:val="00546AD1"/>
    <w:rsid w:val="00546EDA"/>
    <w:rsid w:val="00547472"/>
    <w:rsid w:val="00547B53"/>
    <w:rsid w:val="00547CA8"/>
    <w:rsid w:val="00550445"/>
    <w:rsid w:val="00550B14"/>
    <w:rsid w:val="00550B5B"/>
    <w:rsid w:val="00550F24"/>
    <w:rsid w:val="0055156C"/>
    <w:rsid w:val="00551DCA"/>
    <w:rsid w:val="00554103"/>
    <w:rsid w:val="005541C1"/>
    <w:rsid w:val="0055484C"/>
    <w:rsid w:val="00554C37"/>
    <w:rsid w:val="00555010"/>
    <w:rsid w:val="005559BA"/>
    <w:rsid w:val="00555B15"/>
    <w:rsid w:val="00555BB3"/>
    <w:rsid w:val="00560B88"/>
    <w:rsid w:val="005611B3"/>
    <w:rsid w:val="0056167A"/>
    <w:rsid w:val="005617A0"/>
    <w:rsid w:val="005617FF"/>
    <w:rsid w:val="00563752"/>
    <w:rsid w:val="005638A8"/>
    <w:rsid w:val="00565065"/>
    <w:rsid w:val="00565629"/>
    <w:rsid w:val="00565985"/>
    <w:rsid w:val="00565DA0"/>
    <w:rsid w:val="00566158"/>
    <w:rsid w:val="005678CB"/>
    <w:rsid w:val="00570225"/>
    <w:rsid w:val="00570A1F"/>
    <w:rsid w:val="00570A43"/>
    <w:rsid w:val="00570E54"/>
    <w:rsid w:val="00571C0B"/>
    <w:rsid w:val="00571D6E"/>
    <w:rsid w:val="00572AA8"/>
    <w:rsid w:val="005730B3"/>
    <w:rsid w:val="005742C9"/>
    <w:rsid w:val="00574629"/>
    <w:rsid w:val="00575438"/>
    <w:rsid w:val="0057585D"/>
    <w:rsid w:val="00577278"/>
    <w:rsid w:val="00577AE9"/>
    <w:rsid w:val="00581A8C"/>
    <w:rsid w:val="00582254"/>
    <w:rsid w:val="00582AC0"/>
    <w:rsid w:val="00582C9C"/>
    <w:rsid w:val="00582F38"/>
    <w:rsid w:val="0058304E"/>
    <w:rsid w:val="00583296"/>
    <w:rsid w:val="005849DB"/>
    <w:rsid w:val="005849E9"/>
    <w:rsid w:val="005851EE"/>
    <w:rsid w:val="0058564D"/>
    <w:rsid w:val="0058591E"/>
    <w:rsid w:val="00585C78"/>
    <w:rsid w:val="00586163"/>
    <w:rsid w:val="005862A8"/>
    <w:rsid w:val="005868BC"/>
    <w:rsid w:val="0058721C"/>
    <w:rsid w:val="005877E1"/>
    <w:rsid w:val="0059008C"/>
    <w:rsid w:val="00590188"/>
    <w:rsid w:val="00590685"/>
    <w:rsid w:val="00591F55"/>
    <w:rsid w:val="00593E66"/>
    <w:rsid w:val="005946CC"/>
    <w:rsid w:val="00595462"/>
    <w:rsid w:val="00595E1C"/>
    <w:rsid w:val="00596332"/>
    <w:rsid w:val="0059682C"/>
    <w:rsid w:val="005969DA"/>
    <w:rsid w:val="005973BE"/>
    <w:rsid w:val="005A0B58"/>
    <w:rsid w:val="005A121A"/>
    <w:rsid w:val="005A1CEE"/>
    <w:rsid w:val="005A21E3"/>
    <w:rsid w:val="005A2AAE"/>
    <w:rsid w:val="005A3025"/>
    <w:rsid w:val="005A3CFC"/>
    <w:rsid w:val="005A42B3"/>
    <w:rsid w:val="005A558C"/>
    <w:rsid w:val="005A5B84"/>
    <w:rsid w:val="005A6B0F"/>
    <w:rsid w:val="005A7447"/>
    <w:rsid w:val="005A79BF"/>
    <w:rsid w:val="005B0930"/>
    <w:rsid w:val="005B0D7C"/>
    <w:rsid w:val="005B1941"/>
    <w:rsid w:val="005B2999"/>
    <w:rsid w:val="005B2B39"/>
    <w:rsid w:val="005B3058"/>
    <w:rsid w:val="005B3067"/>
    <w:rsid w:val="005B3651"/>
    <w:rsid w:val="005B46A9"/>
    <w:rsid w:val="005B4C5B"/>
    <w:rsid w:val="005B5E49"/>
    <w:rsid w:val="005B6107"/>
    <w:rsid w:val="005B6E34"/>
    <w:rsid w:val="005B7248"/>
    <w:rsid w:val="005C0077"/>
    <w:rsid w:val="005C01B4"/>
    <w:rsid w:val="005C0358"/>
    <w:rsid w:val="005C17BF"/>
    <w:rsid w:val="005C185C"/>
    <w:rsid w:val="005C1A5B"/>
    <w:rsid w:val="005C1C6C"/>
    <w:rsid w:val="005C3545"/>
    <w:rsid w:val="005C4394"/>
    <w:rsid w:val="005C450E"/>
    <w:rsid w:val="005C4B46"/>
    <w:rsid w:val="005C4D8B"/>
    <w:rsid w:val="005C5903"/>
    <w:rsid w:val="005C76F2"/>
    <w:rsid w:val="005D075E"/>
    <w:rsid w:val="005D0E91"/>
    <w:rsid w:val="005D1312"/>
    <w:rsid w:val="005D190D"/>
    <w:rsid w:val="005D1AED"/>
    <w:rsid w:val="005D2063"/>
    <w:rsid w:val="005D20BC"/>
    <w:rsid w:val="005D2375"/>
    <w:rsid w:val="005D25C0"/>
    <w:rsid w:val="005D266A"/>
    <w:rsid w:val="005D2965"/>
    <w:rsid w:val="005D2AC4"/>
    <w:rsid w:val="005D2BE1"/>
    <w:rsid w:val="005D2D7E"/>
    <w:rsid w:val="005D37B7"/>
    <w:rsid w:val="005D57AA"/>
    <w:rsid w:val="005D6EA2"/>
    <w:rsid w:val="005D6FB3"/>
    <w:rsid w:val="005D76DD"/>
    <w:rsid w:val="005E2316"/>
    <w:rsid w:val="005E2364"/>
    <w:rsid w:val="005E33C9"/>
    <w:rsid w:val="005E3492"/>
    <w:rsid w:val="005E3B8B"/>
    <w:rsid w:val="005E4264"/>
    <w:rsid w:val="005E4ABA"/>
    <w:rsid w:val="005E4DB4"/>
    <w:rsid w:val="005E5388"/>
    <w:rsid w:val="005E54B8"/>
    <w:rsid w:val="005E54C1"/>
    <w:rsid w:val="005E5913"/>
    <w:rsid w:val="005E7525"/>
    <w:rsid w:val="005E75CF"/>
    <w:rsid w:val="005F011D"/>
    <w:rsid w:val="005F0873"/>
    <w:rsid w:val="005F0DB3"/>
    <w:rsid w:val="005F22C7"/>
    <w:rsid w:val="005F3212"/>
    <w:rsid w:val="005F35E2"/>
    <w:rsid w:val="005F3B21"/>
    <w:rsid w:val="005F4BDA"/>
    <w:rsid w:val="005F4D83"/>
    <w:rsid w:val="005F52C1"/>
    <w:rsid w:val="005F6648"/>
    <w:rsid w:val="005F6A10"/>
    <w:rsid w:val="005F7D29"/>
    <w:rsid w:val="005F7DC2"/>
    <w:rsid w:val="0060012A"/>
    <w:rsid w:val="0060095C"/>
    <w:rsid w:val="00600D0E"/>
    <w:rsid w:val="00602F78"/>
    <w:rsid w:val="00603227"/>
    <w:rsid w:val="00603866"/>
    <w:rsid w:val="00603C55"/>
    <w:rsid w:val="00603F03"/>
    <w:rsid w:val="00604D0D"/>
    <w:rsid w:val="0060561C"/>
    <w:rsid w:val="006066E2"/>
    <w:rsid w:val="0060734D"/>
    <w:rsid w:val="006075C2"/>
    <w:rsid w:val="00607C87"/>
    <w:rsid w:val="00610059"/>
    <w:rsid w:val="00610207"/>
    <w:rsid w:val="006108EC"/>
    <w:rsid w:val="006109D4"/>
    <w:rsid w:val="0061146B"/>
    <w:rsid w:val="00611FDA"/>
    <w:rsid w:val="006120FB"/>
    <w:rsid w:val="006121F5"/>
    <w:rsid w:val="00612493"/>
    <w:rsid w:val="00613466"/>
    <w:rsid w:val="00615CEF"/>
    <w:rsid w:val="00615EF9"/>
    <w:rsid w:val="00616375"/>
    <w:rsid w:val="0061653D"/>
    <w:rsid w:val="00617554"/>
    <w:rsid w:val="00617FBE"/>
    <w:rsid w:val="0062033F"/>
    <w:rsid w:val="006208DC"/>
    <w:rsid w:val="00620943"/>
    <w:rsid w:val="00620ADA"/>
    <w:rsid w:val="00620E11"/>
    <w:rsid w:val="0062167F"/>
    <w:rsid w:val="006216B9"/>
    <w:rsid w:val="006218B8"/>
    <w:rsid w:val="00622590"/>
    <w:rsid w:val="00622634"/>
    <w:rsid w:val="00622E03"/>
    <w:rsid w:val="006231A5"/>
    <w:rsid w:val="00623214"/>
    <w:rsid w:val="0062352B"/>
    <w:rsid w:val="00623A88"/>
    <w:rsid w:val="00623CE8"/>
    <w:rsid w:val="0062405E"/>
    <w:rsid w:val="00624AA7"/>
    <w:rsid w:val="00624DDF"/>
    <w:rsid w:val="00624F39"/>
    <w:rsid w:val="00625E55"/>
    <w:rsid w:val="006277B0"/>
    <w:rsid w:val="00627F23"/>
    <w:rsid w:val="006305AD"/>
    <w:rsid w:val="0063084A"/>
    <w:rsid w:val="00630972"/>
    <w:rsid w:val="00630D74"/>
    <w:rsid w:val="006314D5"/>
    <w:rsid w:val="00631E57"/>
    <w:rsid w:val="00632027"/>
    <w:rsid w:val="00633494"/>
    <w:rsid w:val="0063416B"/>
    <w:rsid w:val="006348BB"/>
    <w:rsid w:val="00634BAD"/>
    <w:rsid w:val="006357E5"/>
    <w:rsid w:val="00637B87"/>
    <w:rsid w:val="00640719"/>
    <w:rsid w:val="00641596"/>
    <w:rsid w:val="00641FE4"/>
    <w:rsid w:val="0064280A"/>
    <w:rsid w:val="006430C5"/>
    <w:rsid w:val="00643F36"/>
    <w:rsid w:val="006442B5"/>
    <w:rsid w:val="00644394"/>
    <w:rsid w:val="00644B37"/>
    <w:rsid w:val="00644C0C"/>
    <w:rsid w:val="00644D8C"/>
    <w:rsid w:val="00645319"/>
    <w:rsid w:val="00645A5E"/>
    <w:rsid w:val="00645EB4"/>
    <w:rsid w:val="006465EE"/>
    <w:rsid w:val="00646E9F"/>
    <w:rsid w:val="006473E3"/>
    <w:rsid w:val="006473EB"/>
    <w:rsid w:val="00647621"/>
    <w:rsid w:val="00647864"/>
    <w:rsid w:val="00647E66"/>
    <w:rsid w:val="00650058"/>
    <w:rsid w:val="00650575"/>
    <w:rsid w:val="00650B6E"/>
    <w:rsid w:val="00650BAC"/>
    <w:rsid w:val="00652D77"/>
    <w:rsid w:val="00653130"/>
    <w:rsid w:val="006531F7"/>
    <w:rsid w:val="00653875"/>
    <w:rsid w:val="00653FB7"/>
    <w:rsid w:val="00654420"/>
    <w:rsid w:val="006565E2"/>
    <w:rsid w:val="00656600"/>
    <w:rsid w:val="006573B6"/>
    <w:rsid w:val="006578F4"/>
    <w:rsid w:val="00660701"/>
    <w:rsid w:val="00660F02"/>
    <w:rsid w:val="0066111D"/>
    <w:rsid w:val="00661A4E"/>
    <w:rsid w:val="00661C1F"/>
    <w:rsid w:val="00663381"/>
    <w:rsid w:val="0066338D"/>
    <w:rsid w:val="006644CB"/>
    <w:rsid w:val="00664815"/>
    <w:rsid w:val="006656A7"/>
    <w:rsid w:val="00665AA0"/>
    <w:rsid w:val="00665F1A"/>
    <w:rsid w:val="0066670F"/>
    <w:rsid w:val="006670C1"/>
    <w:rsid w:val="006673EB"/>
    <w:rsid w:val="00667449"/>
    <w:rsid w:val="0066778A"/>
    <w:rsid w:val="00667B83"/>
    <w:rsid w:val="00670256"/>
    <w:rsid w:val="0067029B"/>
    <w:rsid w:val="00670600"/>
    <w:rsid w:val="00671687"/>
    <w:rsid w:val="00671869"/>
    <w:rsid w:val="006727AE"/>
    <w:rsid w:val="006729DE"/>
    <w:rsid w:val="00672F45"/>
    <w:rsid w:val="00673127"/>
    <w:rsid w:val="00673FB8"/>
    <w:rsid w:val="00674A9D"/>
    <w:rsid w:val="00674F4C"/>
    <w:rsid w:val="0067574F"/>
    <w:rsid w:val="006759A2"/>
    <w:rsid w:val="006764C1"/>
    <w:rsid w:val="006765EE"/>
    <w:rsid w:val="00676756"/>
    <w:rsid w:val="0067772D"/>
    <w:rsid w:val="00677B91"/>
    <w:rsid w:val="00677FC0"/>
    <w:rsid w:val="00680586"/>
    <w:rsid w:val="00680DDF"/>
    <w:rsid w:val="006817A6"/>
    <w:rsid w:val="00681B26"/>
    <w:rsid w:val="00682658"/>
    <w:rsid w:val="00682C97"/>
    <w:rsid w:val="00683966"/>
    <w:rsid w:val="00683AF3"/>
    <w:rsid w:val="006853E9"/>
    <w:rsid w:val="00685D1A"/>
    <w:rsid w:val="00686351"/>
    <w:rsid w:val="006865DC"/>
    <w:rsid w:val="00687958"/>
    <w:rsid w:val="00690214"/>
    <w:rsid w:val="0069060D"/>
    <w:rsid w:val="006909E7"/>
    <w:rsid w:val="00690A81"/>
    <w:rsid w:val="006916BD"/>
    <w:rsid w:val="006922B7"/>
    <w:rsid w:val="00694380"/>
    <w:rsid w:val="006946BB"/>
    <w:rsid w:val="00694AD6"/>
    <w:rsid w:val="00695853"/>
    <w:rsid w:val="00695E4C"/>
    <w:rsid w:val="006967AF"/>
    <w:rsid w:val="00696DF4"/>
    <w:rsid w:val="0069737E"/>
    <w:rsid w:val="00697A8E"/>
    <w:rsid w:val="006A0C7D"/>
    <w:rsid w:val="006A2A90"/>
    <w:rsid w:val="006A313E"/>
    <w:rsid w:val="006A350B"/>
    <w:rsid w:val="006A459F"/>
    <w:rsid w:val="006A4738"/>
    <w:rsid w:val="006A4915"/>
    <w:rsid w:val="006A4E46"/>
    <w:rsid w:val="006A69B6"/>
    <w:rsid w:val="006B0685"/>
    <w:rsid w:val="006B1225"/>
    <w:rsid w:val="006B1EE7"/>
    <w:rsid w:val="006B216F"/>
    <w:rsid w:val="006B24AA"/>
    <w:rsid w:val="006B2660"/>
    <w:rsid w:val="006B2C9E"/>
    <w:rsid w:val="006B2D92"/>
    <w:rsid w:val="006B30A7"/>
    <w:rsid w:val="006B3205"/>
    <w:rsid w:val="006B36B2"/>
    <w:rsid w:val="006B50E1"/>
    <w:rsid w:val="006B5E84"/>
    <w:rsid w:val="006B7152"/>
    <w:rsid w:val="006B7D43"/>
    <w:rsid w:val="006C05AB"/>
    <w:rsid w:val="006C05DA"/>
    <w:rsid w:val="006C0CFA"/>
    <w:rsid w:val="006C1277"/>
    <w:rsid w:val="006C1A3B"/>
    <w:rsid w:val="006C1EF4"/>
    <w:rsid w:val="006C2446"/>
    <w:rsid w:val="006C2DA1"/>
    <w:rsid w:val="006C31B7"/>
    <w:rsid w:val="006C3603"/>
    <w:rsid w:val="006C54CB"/>
    <w:rsid w:val="006C5EB9"/>
    <w:rsid w:val="006C6839"/>
    <w:rsid w:val="006C73C3"/>
    <w:rsid w:val="006C7556"/>
    <w:rsid w:val="006C7877"/>
    <w:rsid w:val="006C7882"/>
    <w:rsid w:val="006D0168"/>
    <w:rsid w:val="006D028C"/>
    <w:rsid w:val="006D127A"/>
    <w:rsid w:val="006D153B"/>
    <w:rsid w:val="006D1B81"/>
    <w:rsid w:val="006D1DD0"/>
    <w:rsid w:val="006D1E64"/>
    <w:rsid w:val="006D2B7E"/>
    <w:rsid w:val="006D3A64"/>
    <w:rsid w:val="006D3AC1"/>
    <w:rsid w:val="006D46EB"/>
    <w:rsid w:val="006D560C"/>
    <w:rsid w:val="006D65B5"/>
    <w:rsid w:val="006D663C"/>
    <w:rsid w:val="006D66E6"/>
    <w:rsid w:val="006D6AB8"/>
    <w:rsid w:val="006D70C2"/>
    <w:rsid w:val="006D74EC"/>
    <w:rsid w:val="006E0420"/>
    <w:rsid w:val="006E0694"/>
    <w:rsid w:val="006E092A"/>
    <w:rsid w:val="006E0F38"/>
    <w:rsid w:val="006E12F7"/>
    <w:rsid w:val="006E28A5"/>
    <w:rsid w:val="006E3F14"/>
    <w:rsid w:val="006E4921"/>
    <w:rsid w:val="006E49CB"/>
    <w:rsid w:val="006E4A73"/>
    <w:rsid w:val="006E4DEE"/>
    <w:rsid w:val="006E57EA"/>
    <w:rsid w:val="006E59CE"/>
    <w:rsid w:val="006E6C9E"/>
    <w:rsid w:val="006E769C"/>
    <w:rsid w:val="006E7C8A"/>
    <w:rsid w:val="006F0210"/>
    <w:rsid w:val="006F1061"/>
    <w:rsid w:val="006F1A1D"/>
    <w:rsid w:val="006F1DBA"/>
    <w:rsid w:val="006F3047"/>
    <w:rsid w:val="006F3436"/>
    <w:rsid w:val="006F3B00"/>
    <w:rsid w:val="006F3E02"/>
    <w:rsid w:val="006F40A7"/>
    <w:rsid w:val="006F52A5"/>
    <w:rsid w:val="006F5687"/>
    <w:rsid w:val="006F6064"/>
    <w:rsid w:val="006F6534"/>
    <w:rsid w:val="00700A15"/>
    <w:rsid w:val="00701639"/>
    <w:rsid w:val="007017AE"/>
    <w:rsid w:val="00701C09"/>
    <w:rsid w:val="00701C33"/>
    <w:rsid w:val="0070378C"/>
    <w:rsid w:val="00704127"/>
    <w:rsid w:val="00704E59"/>
    <w:rsid w:val="00704EFD"/>
    <w:rsid w:val="00704FA7"/>
    <w:rsid w:val="0070504D"/>
    <w:rsid w:val="00705776"/>
    <w:rsid w:val="00705DCD"/>
    <w:rsid w:val="00705E00"/>
    <w:rsid w:val="007068FD"/>
    <w:rsid w:val="00707431"/>
    <w:rsid w:val="00707C0C"/>
    <w:rsid w:val="007109FF"/>
    <w:rsid w:val="007113BC"/>
    <w:rsid w:val="0071166D"/>
    <w:rsid w:val="00712AB0"/>
    <w:rsid w:val="00712EA8"/>
    <w:rsid w:val="00713438"/>
    <w:rsid w:val="00713C6C"/>
    <w:rsid w:val="0071475B"/>
    <w:rsid w:val="0071544D"/>
    <w:rsid w:val="00715C16"/>
    <w:rsid w:val="00717CA8"/>
    <w:rsid w:val="00717E28"/>
    <w:rsid w:val="00717E3B"/>
    <w:rsid w:val="00720198"/>
    <w:rsid w:val="007203E6"/>
    <w:rsid w:val="007205AD"/>
    <w:rsid w:val="0072127F"/>
    <w:rsid w:val="00721896"/>
    <w:rsid w:val="00721E16"/>
    <w:rsid w:val="00721FC3"/>
    <w:rsid w:val="007234DD"/>
    <w:rsid w:val="00723665"/>
    <w:rsid w:val="007236CE"/>
    <w:rsid w:val="007239C7"/>
    <w:rsid w:val="00724B76"/>
    <w:rsid w:val="007250AF"/>
    <w:rsid w:val="007251BA"/>
    <w:rsid w:val="00725331"/>
    <w:rsid w:val="00725451"/>
    <w:rsid w:val="007259FD"/>
    <w:rsid w:val="007268A8"/>
    <w:rsid w:val="007276CA"/>
    <w:rsid w:val="00730157"/>
    <w:rsid w:val="00730192"/>
    <w:rsid w:val="007302EC"/>
    <w:rsid w:val="00730DCF"/>
    <w:rsid w:val="007315CA"/>
    <w:rsid w:val="007318C5"/>
    <w:rsid w:val="00733240"/>
    <w:rsid w:val="0073365F"/>
    <w:rsid w:val="00733718"/>
    <w:rsid w:val="00733825"/>
    <w:rsid w:val="00733C51"/>
    <w:rsid w:val="00734B32"/>
    <w:rsid w:val="00734D6B"/>
    <w:rsid w:val="007351F8"/>
    <w:rsid w:val="00735252"/>
    <w:rsid w:val="0073590C"/>
    <w:rsid w:val="00735B29"/>
    <w:rsid w:val="00736BAF"/>
    <w:rsid w:val="007374DF"/>
    <w:rsid w:val="007422FE"/>
    <w:rsid w:val="00744048"/>
    <w:rsid w:val="007448C8"/>
    <w:rsid w:val="00744C47"/>
    <w:rsid w:val="007452CE"/>
    <w:rsid w:val="007457E2"/>
    <w:rsid w:val="0074672A"/>
    <w:rsid w:val="00747574"/>
    <w:rsid w:val="007475B5"/>
    <w:rsid w:val="00747CC7"/>
    <w:rsid w:val="007504AA"/>
    <w:rsid w:val="00752196"/>
    <w:rsid w:val="00752A0C"/>
    <w:rsid w:val="00752C8D"/>
    <w:rsid w:val="00754550"/>
    <w:rsid w:val="00754937"/>
    <w:rsid w:val="00754EF8"/>
    <w:rsid w:val="0075535D"/>
    <w:rsid w:val="007558F7"/>
    <w:rsid w:val="00756C0E"/>
    <w:rsid w:val="007574D8"/>
    <w:rsid w:val="007575CC"/>
    <w:rsid w:val="007577B8"/>
    <w:rsid w:val="00757E35"/>
    <w:rsid w:val="00760961"/>
    <w:rsid w:val="00761E79"/>
    <w:rsid w:val="0076262E"/>
    <w:rsid w:val="007629D6"/>
    <w:rsid w:val="00762DEC"/>
    <w:rsid w:val="00764DAD"/>
    <w:rsid w:val="007656B7"/>
    <w:rsid w:val="00765815"/>
    <w:rsid w:val="00765FCB"/>
    <w:rsid w:val="007662A4"/>
    <w:rsid w:val="00766650"/>
    <w:rsid w:val="00766FF1"/>
    <w:rsid w:val="00770310"/>
    <w:rsid w:val="0077083C"/>
    <w:rsid w:val="0077178C"/>
    <w:rsid w:val="00771A6F"/>
    <w:rsid w:val="00771ABB"/>
    <w:rsid w:val="00771DAF"/>
    <w:rsid w:val="00772009"/>
    <w:rsid w:val="00773F88"/>
    <w:rsid w:val="00774588"/>
    <w:rsid w:val="00774AA3"/>
    <w:rsid w:val="00776135"/>
    <w:rsid w:val="00777CB2"/>
    <w:rsid w:val="0078070A"/>
    <w:rsid w:val="00780BF1"/>
    <w:rsid w:val="00780DB3"/>
    <w:rsid w:val="007811BD"/>
    <w:rsid w:val="00781764"/>
    <w:rsid w:val="007817A2"/>
    <w:rsid w:val="00783FAD"/>
    <w:rsid w:val="007841D4"/>
    <w:rsid w:val="007842C0"/>
    <w:rsid w:val="00785B16"/>
    <w:rsid w:val="00786E4F"/>
    <w:rsid w:val="007879A4"/>
    <w:rsid w:val="00787A54"/>
    <w:rsid w:val="0079063B"/>
    <w:rsid w:val="007907BF"/>
    <w:rsid w:val="00790A06"/>
    <w:rsid w:val="00791C53"/>
    <w:rsid w:val="00791EA3"/>
    <w:rsid w:val="007926C5"/>
    <w:rsid w:val="00792E6C"/>
    <w:rsid w:val="00793AB1"/>
    <w:rsid w:val="00796F28"/>
    <w:rsid w:val="00796F79"/>
    <w:rsid w:val="00797BDB"/>
    <w:rsid w:val="007A0216"/>
    <w:rsid w:val="007A05E6"/>
    <w:rsid w:val="007A135D"/>
    <w:rsid w:val="007A1630"/>
    <w:rsid w:val="007A2834"/>
    <w:rsid w:val="007A2A95"/>
    <w:rsid w:val="007A31E6"/>
    <w:rsid w:val="007A3BDD"/>
    <w:rsid w:val="007A41D0"/>
    <w:rsid w:val="007A55B8"/>
    <w:rsid w:val="007A5B61"/>
    <w:rsid w:val="007A5EDA"/>
    <w:rsid w:val="007A6B15"/>
    <w:rsid w:val="007A7B9E"/>
    <w:rsid w:val="007A7DE8"/>
    <w:rsid w:val="007B0736"/>
    <w:rsid w:val="007B0B10"/>
    <w:rsid w:val="007B0E2B"/>
    <w:rsid w:val="007B1060"/>
    <w:rsid w:val="007B24A5"/>
    <w:rsid w:val="007B3643"/>
    <w:rsid w:val="007B3B86"/>
    <w:rsid w:val="007B4761"/>
    <w:rsid w:val="007B6EDA"/>
    <w:rsid w:val="007B6EF9"/>
    <w:rsid w:val="007C0279"/>
    <w:rsid w:val="007C1FAE"/>
    <w:rsid w:val="007C4675"/>
    <w:rsid w:val="007C4DDC"/>
    <w:rsid w:val="007C4EFB"/>
    <w:rsid w:val="007C53C6"/>
    <w:rsid w:val="007C5F21"/>
    <w:rsid w:val="007C623B"/>
    <w:rsid w:val="007C6EA7"/>
    <w:rsid w:val="007C7BA0"/>
    <w:rsid w:val="007D0903"/>
    <w:rsid w:val="007D0C59"/>
    <w:rsid w:val="007D1430"/>
    <w:rsid w:val="007D15DC"/>
    <w:rsid w:val="007D275F"/>
    <w:rsid w:val="007D437B"/>
    <w:rsid w:val="007D4C52"/>
    <w:rsid w:val="007D5A4A"/>
    <w:rsid w:val="007D5FDE"/>
    <w:rsid w:val="007D61C0"/>
    <w:rsid w:val="007D69F0"/>
    <w:rsid w:val="007D7ABA"/>
    <w:rsid w:val="007E1B82"/>
    <w:rsid w:val="007E1FC7"/>
    <w:rsid w:val="007E22FA"/>
    <w:rsid w:val="007E2A0E"/>
    <w:rsid w:val="007E36D0"/>
    <w:rsid w:val="007E4CFC"/>
    <w:rsid w:val="007E6471"/>
    <w:rsid w:val="007E6663"/>
    <w:rsid w:val="007E6FE5"/>
    <w:rsid w:val="007E71A9"/>
    <w:rsid w:val="007E733C"/>
    <w:rsid w:val="007E7B01"/>
    <w:rsid w:val="007F0DBC"/>
    <w:rsid w:val="007F1691"/>
    <w:rsid w:val="007F175B"/>
    <w:rsid w:val="007F3388"/>
    <w:rsid w:val="007F35B5"/>
    <w:rsid w:val="007F37DD"/>
    <w:rsid w:val="007F3CEA"/>
    <w:rsid w:val="007F3E14"/>
    <w:rsid w:val="007F4008"/>
    <w:rsid w:val="007F40C7"/>
    <w:rsid w:val="007F7535"/>
    <w:rsid w:val="007F773A"/>
    <w:rsid w:val="007F7A45"/>
    <w:rsid w:val="0080043B"/>
    <w:rsid w:val="00800789"/>
    <w:rsid w:val="00800EB5"/>
    <w:rsid w:val="008039B0"/>
    <w:rsid w:val="00804474"/>
    <w:rsid w:val="008049C1"/>
    <w:rsid w:val="00805CA1"/>
    <w:rsid w:val="00805CA6"/>
    <w:rsid w:val="00805EE8"/>
    <w:rsid w:val="00806042"/>
    <w:rsid w:val="00806E44"/>
    <w:rsid w:val="00806F12"/>
    <w:rsid w:val="00810385"/>
    <w:rsid w:val="00811C0C"/>
    <w:rsid w:val="008127E2"/>
    <w:rsid w:val="0081280E"/>
    <w:rsid w:val="00813CC0"/>
    <w:rsid w:val="0081420F"/>
    <w:rsid w:val="00814479"/>
    <w:rsid w:val="0081584A"/>
    <w:rsid w:val="00815D84"/>
    <w:rsid w:val="008178E3"/>
    <w:rsid w:val="00817CAF"/>
    <w:rsid w:val="008202D8"/>
    <w:rsid w:val="00821476"/>
    <w:rsid w:val="0082191A"/>
    <w:rsid w:val="008226A2"/>
    <w:rsid w:val="00822D5E"/>
    <w:rsid w:val="00823621"/>
    <w:rsid w:val="008238F9"/>
    <w:rsid w:val="0082430E"/>
    <w:rsid w:val="00824C15"/>
    <w:rsid w:val="008253B4"/>
    <w:rsid w:val="00825A80"/>
    <w:rsid w:val="0082629A"/>
    <w:rsid w:val="00827217"/>
    <w:rsid w:val="008306A0"/>
    <w:rsid w:val="00832B86"/>
    <w:rsid w:val="008344E9"/>
    <w:rsid w:val="008348B7"/>
    <w:rsid w:val="008353E3"/>
    <w:rsid w:val="00835B1A"/>
    <w:rsid w:val="00836132"/>
    <w:rsid w:val="008362C4"/>
    <w:rsid w:val="00836487"/>
    <w:rsid w:val="00840375"/>
    <w:rsid w:val="00840D8E"/>
    <w:rsid w:val="0084239A"/>
    <w:rsid w:val="00842A64"/>
    <w:rsid w:val="00843035"/>
    <w:rsid w:val="0084487E"/>
    <w:rsid w:val="00844BD5"/>
    <w:rsid w:val="0084630E"/>
    <w:rsid w:val="0084718C"/>
    <w:rsid w:val="00851B0A"/>
    <w:rsid w:val="008524BE"/>
    <w:rsid w:val="00852E86"/>
    <w:rsid w:val="00853192"/>
    <w:rsid w:val="00853B93"/>
    <w:rsid w:val="008543DA"/>
    <w:rsid w:val="00854B34"/>
    <w:rsid w:val="00854D4E"/>
    <w:rsid w:val="00855056"/>
    <w:rsid w:val="00855167"/>
    <w:rsid w:val="0085608A"/>
    <w:rsid w:val="008571D6"/>
    <w:rsid w:val="008576BA"/>
    <w:rsid w:val="008578CC"/>
    <w:rsid w:val="008578CE"/>
    <w:rsid w:val="00857C9C"/>
    <w:rsid w:val="0086081B"/>
    <w:rsid w:val="00860E83"/>
    <w:rsid w:val="0086193C"/>
    <w:rsid w:val="008623F0"/>
    <w:rsid w:val="0086242B"/>
    <w:rsid w:val="0086342E"/>
    <w:rsid w:val="00864CE4"/>
    <w:rsid w:val="00864DC0"/>
    <w:rsid w:val="00864E7A"/>
    <w:rsid w:val="0086530C"/>
    <w:rsid w:val="008654E8"/>
    <w:rsid w:val="00865BCD"/>
    <w:rsid w:val="008671E6"/>
    <w:rsid w:val="008707C2"/>
    <w:rsid w:val="00870A91"/>
    <w:rsid w:val="0087101B"/>
    <w:rsid w:val="0087106E"/>
    <w:rsid w:val="008717FE"/>
    <w:rsid w:val="00873679"/>
    <w:rsid w:val="008744BF"/>
    <w:rsid w:val="00874DF3"/>
    <w:rsid w:val="008753BA"/>
    <w:rsid w:val="00875F55"/>
    <w:rsid w:val="00876198"/>
    <w:rsid w:val="008764B3"/>
    <w:rsid w:val="00876F49"/>
    <w:rsid w:val="008800A2"/>
    <w:rsid w:val="0088059E"/>
    <w:rsid w:val="008806D6"/>
    <w:rsid w:val="008808FE"/>
    <w:rsid w:val="00880AAB"/>
    <w:rsid w:val="00881748"/>
    <w:rsid w:val="00881CB2"/>
    <w:rsid w:val="0088414D"/>
    <w:rsid w:val="00885565"/>
    <w:rsid w:val="008855A7"/>
    <w:rsid w:val="00885829"/>
    <w:rsid w:val="008858C9"/>
    <w:rsid w:val="00885922"/>
    <w:rsid w:val="008909FD"/>
    <w:rsid w:val="0089213B"/>
    <w:rsid w:val="00892EDC"/>
    <w:rsid w:val="00893B42"/>
    <w:rsid w:val="00893E25"/>
    <w:rsid w:val="00894525"/>
    <w:rsid w:val="0089589A"/>
    <w:rsid w:val="00895B28"/>
    <w:rsid w:val="00895B3E"/>
    <w:rsid w:val="008960A3"/>
    <w:rsid w:val="00896264"/>
    <w:rsid w:val="00896A42"/>
    <w:rsid w:val="00896A75"/>
    <w:rsid w:val="00896E3F"/>
    <w:rsid w:val="008975BD"/>
    <w:rsid w:val="00897628"/>
    <w:rsid w:val="008976D2"/>
    <w:rsid w:val="008A12B4"/>
    <w:rsid w:val="008A189A"/>
    <w:rsid w:val="008A1A8A"/>
    <w:rsid w:val="008A2E52"/>
    <w:rsid w:val="008A3084"/>
    <w:rsid w:val="008A3401"/>
    <w:rsid w:val="008A373E"/>
    <w:rsid w:val="008A3B0B"/>
    <w:rsid w:val="008A455C"/>
    <w:rsid w:val="008A5167"/>
    <w:rsid w:val="008A56C8"/>
    <w:rsid w:val="008A5955"/>
    <w:rsid w:val="008A5D6C"/>
    <w:rsid w:val="008A602C"/>
    <w:rsid w:val="008A6258"/>
    <w:rsid w:val="008B22E6"/>
    <w:rsid w:val="008B2D3A"/>
    <w:rsid w:val="008B44C8"/>
    <w:rsid w:val="008B4DD3"/>
    <w:rsid w:val="008B4EF3"/>
    <w:rsid w:val="008B514A"/>
    <w:rsid w:val="008B54A6"/>
    <w:rsid w:val="008B5F9F"/>
    <w:rsid w:val="008B68E7"/>
    <w:rsid w:val="008B6ADB"/>
    <w:rsid w:val="008B6CD5"/>
    <w:rsid w:val="008B6D61"/>
    <w:rsid w:val="008B73CC"/>
    <w:rsid w:val="008C0740"/>
    <w:rsid w:val="008C0FA8"/>
    <w:rsid w:val="008C1028"/>
    <w:rsid w:val="008C1F53"/>
    <w:rsid w:val="008C1FE7"/>
    <w:rsid w:val="008C2D18"/>
    <w:rsid w:val="008C3E9C"/>
    <w:rsid w:val="008C4335"/>
    <w:rsid w:val="008C51D1"/>
    <w:rsid w:val="008C5353"/>
    <w:rsid w:val="008C5EC0"/>
    <w:rsid w:val="008C6689"/>
    <w:rsid w:val="008C7059"/>
    <w:rsid w:val="008D0847"/>
    <w:rsid w:val="008D0EFB"/>
    <w:rsid w:val="008D1B62"/>
    <w:rsid w:val="008D2165"/>
    <w:rsid w:val="008D268F"/>
    <w:rsid w:val="008D2AF5"/>
    <w:rsid w:val="008D34D7"/>
    <w:rsid w:val="008D4263"/>
    <w:rsid w:val="008D4C12"/>
    <w:rsid w:val="008D4DC1"/>
    <w:rsid w:val="008D55A7"/>
    <w:rsid w:val="008D5BB5"/>
    <w:rsid w:val="008D6806"/>
    <w:rsid w:val="008D709D"/>
    <w:rsid w:val="008D7987"/>
    <w:rsid w:val="008E02A8"/>
    <w:rsid w:val="008E08EE"/>
    <w:rsid w:val="008E12AF"/>
    <w:rsid w:val="008E1433"/>
    <w:rsid w:val="008E2DEF"/>
    <w:rsid w:val="008E31F2"/>
    <w:rsid w:val="008E35EC"/>
    <w:rsid w:val="008E4A46"/>
    <w:rsid w:val="008E6268"/>
    <w:rsid w:val="008E68FB"/>
    <w:rsid w:val="008E6FB3"/>
    <w:rsid w:val="008E6FF1"/>
    <w:rsid w:val="008F016C"/>
    <w:rsid w:val="008F05C4"/>
    <w:rsid w:val="008F0E2E"/>
    <w:rsid w:val="008F139D"/>
    <w:rsid w:val="008F1AF3"/>
    <w:rsid w:val="008F1C8D"/>
    <w:rsid w:val="008F1E11"/>
    <w:rsid w:val="008F2036"/>
    <w:rsid w:val="008F3FB2"/>
    <w:rsid w:val="008F4597"/>
    <w:rsid w:val="008F58D0"/>
    <w:rsid w:val="008F5F12"/>
    <w:rsid w:val="008F650C"/>
    <w:rsid w:val="008F694B"/>
    <w:rsid w:val="008F6E35"/>
    <w:rsid w:val="008F7CA8"/>
    <w:rsid w:val="0090075F"/>
    <w:rsid w:val="009013B5"/>
    <w:rsid w:val="009024FB"/>
    <w:rsid w:val="00902500"/>
    <w:rsid w:val="009035C3"/>
    <w:rsid w:val="009040DB"/>
    <w:rsid w:val="009055AB"/>
    <w:rsid w:val="009056A4"/>
    <w:rsid w:val="00905C88"/>
    <w:rsid w:val="00905F6B"/>
    <w:rsid w:val="00906A55"/>
    <w:rsid w:val="00906F93"/>
    <w:rsid w:val="0090749D"/>
    <w:rsid w:val="0090761E"/>
    <w:rsid w:val="009117C0"/>
    <w:rsid w:val="00913AA8"/>
    <w:rsid w:val="00913FAF"/>
    <w:rsid w:val="00914261"/>
    <w:rsid w:val="00914E57"/>
    <w:rsid w:val="00915079"/>
    <w:rsid w:val="00915795"/>
    <w:rsid w:val="00915AAD"/>
    <w:rsid w:val="00915D3F"/>
    <w:rsid w:val="009166EB"/>
    <w:rsid w:val="00916FC5"/>
    <w:rsid w:val="00920028"/>
    <w:rsid w:val="00920293"/>
    <w:rsid w:val="009204C7"/>
    <w:rsid w:val="00921A61"/>
    <w:rsid w:val="00921B2F"/>
    <w:rsid w:val="009221F6"/>
    <w:rsid w:val="00922CDD"/>
    <w:rsid w:val="009233A3"/>
    <w:rsid w:val="00925FE0"/>
    <w:rsid w:val="0092660F"/>
    <w:rsid w:val="009267B2"/>
    <w:rsid w:val="00926A9E"/>
    <w:rsid w:val="00926D3D"/>
    <w:rsid w:val="00926E24"/>
    <w:rsid w:val="0092742B"/>
    <w:rsid w:val="00927D20"/>
    <w:rsid w:val="00930262"/>
    <w:rsid w:val="00930372"/>
    <w:rsid w:val="00930B3D"/>
    <w:rsid w:val="00930C54"/>
    <w:rsid w:val="00930CD2"/>
    <w:rsid w:val="00931BAB"/>
    <w:rsid w:val="00931C49"/>
    <w:rsid w:val="00932267"/>
    <w:rsid w:val="00933942"/>
    <w:rsid w:val="00934E59"/>
    <w:rsid w:val="00935B60"/>
    <w:rsid w:val="0093620C"/>
    <w:rsid w:val="00936970"/>
    <w:rsid w:val="00936AAC"/>
    <w:rsid w:val="00936BD2"/>
    <w:rsid w:val="00936C7D"/>
    <w:rsid w:val="00940377"/>
    <w:rsid w:val="0094068C"/>
    <w:rsid w:val="00940B53"/>
    <w:rsid w:val="0094126C"/>
    <w:rsid w:val="0094165D"/>
    <w:rsid w:val="00941FE1"/>
    <w:rsid w:val="00942550"/>
    <w:rsid w:val="00943073"/>
    <w:rsid w:val="009430D0"/>
    <w:rsid w:val="00943233"/>
    <w:rsid w:val="009432FE"/>
    <w:rsid w:val="009435DE"/>
    <w:rsid w:val="0094391D"/>
    <w:rsid w:val="00943F55"/>
    <w:rsid w:val="009446E5"/>
    <w:rsid w:val="00944E83"/>
    <w:rsid w:val="00944EAA"/>
    <w:rsid w:val="00944F92"/>
    <w:rsid w:val="00946803"/>
    <w:rsid w:val="00946C79"/>
    <w:rsid w:val="00947EBF"/>
    <w:rsid w:val="00950120"/>
    <w:rsid w:val="00951045"/>
    <w:rsid w:val="0095130E"/>
    <w:rsid w:val="0095170D"/>
    <w:rsid w:val="00951EEF"/>
    <w:rsid w:val="00952C8A"/>
    <w:rsid w:val="0095342A"/>
    <w:rsid w:val="009535A8"/>
    <w:rsid w:val="00953F22"/>
    <w:rsid w:val="00954230"/>
    <w:rsid w:val="00956196"/>
    <w:rsid w:val="00956A58"/>
    <w:rsid w:val="00956E61"/>
    <w:rsid w:val="00960E1A"/>
    <w:rsid w:val="00961084"/>
    <w:rsid w:val="00962278"/>
    <w:rsid w:val="0096272E"/>
    <w:rsid w:val="009634AE"/>
    <w:rsid w:val="00963F13"/>
    <w:rsid w:val="0096421E"/>
    <w:rsid w:val="00965684"/>
    <w:rsid w:val="009659CE"/>
    <w:rsid w:val="00966CD0"/>
    <w:rsid w:val="0096708E"/>
    <w:rsid w:val="00967128"/>
    <w:rsid w:val="009679E5"/>
    <w:rsid w:val="00967D2A"/>
    <w:rsid w:val="00967E92"/>
    <w:rsid w:val="009704C8"/>
    <w:rsid w:val="00970774"/>
    <w:rsid w:val="00970C4B"/>
    <w:rsid w:val="009716D6"/>
    <w:rsid w:val="00971A60"/>
    <w:rsid w:val="0097439D"/>
    <w:rsid w:val="00974549"/>
    <w:rsid w:val="00974554"/>
    <w:rsid w:val="00974733"/>
    <w:rsid w:val="0097628C"/>
    <w:rsid w:val="00976E24"/>
    <w:rsid w:val="00976EBB"/>
    <w:rsid w:val="0097740F"/>
    <w:rsid w:val="00977836"/>
    <w:rsid w:val="00977DBE"/>
    <w:rsid w:val="00977F94"/>
    <w:rsid w:val="00980061"/>
    <w:rsid w:val="009814B0"/>
    <w:rsid w:val="009819D1"/>
    <w:rsid w:val="00981DF7"/>
    <w:rsid w:val="00982017"/>
    <w:rsid w:val="00982287"/>
    <w:rsid w:val="00983EA1"/>
    <w:rsid w:val="0098405D"/>
    <w:rsid w:val="0098432C"/>
    <w:rsid w:val="009846AF"/>
    <w:rsid w:val="009846B7"/>
    <w:rsid w:val="009848C9"/>
    <w:rsid w:val="00985239"/>
    <w:rsid w:val="00985B27"/>
    <w:rsid w:val="00985F33"/>
    <w:rsid w:val="00987FBB"/>
    <w:rsid w:val="00990377"/>
    <w:rsid w:val="0099223E"/>
    <w:rsid w:val="009922CE"/>
    <w:rsid w:val="009934DA"/>
    <w:rsid w:val="00993634"/>
    <w:rsid w:val="00993890"/>
    <w:rsid w:val="0099484F"/>
    <w:rsid w:val="0099587D"/>
    <w:rsid w:val="00996736"/>
    <w:rsid w:val="009972C1"/>
    <w:rsid w:val="0099787B"/>
    <w:rsid w:val="009A174A"/>
    <w:rsid w:val="009A1B8E"/>
    <w:rsid w:val="009A1BC7"/>
    <w:rsid w:val="009A21C0"/>
    <w:rsid w:val="009A252C"/>
    <w:rsid w:val="009A3FD5"/>
    <w:rsid w:val="009A493C"/>
    <w:rsid w:val="009A4A5C"/>
    <w:rsid w:val="009A5C64"/>
    <w:rsid w:val="009A5F71"/>
    <w:rsid w:val="009A6343"/>
    <w:rsid w:val="009A6D51"/>
    <w:rsid w:val="009B0AB7"/>
    <w:rsid w:val="009B13C5"/>
    <w:rsid w:val="009B1B7F"/>
    <w:rsid w:val="009B2C24"/>
    <w:rsid w:val="009B2D27"/>
    <w:rsid w:val="009B356A"/>
    <w:rsid w:val="009B38D0"/>
    <w:rsid w:val="009B38DC"/>
    <w:rsid w:val="009B4B50"/>
    <w:rsid w:val="009B4CA4"/>
    <w:rsid w:val="009B752A"/>
    <w:rsid w:val="009B7546"/>
    <w:rsid w:val="009B76CF"/>
    <w:rsid w:val="009B7762"/>
    <w:rsid w:val="009B7E5A"/>
    <w:rsid w:val="009C05CA"/>
    <w:rsid w:val="009C0681"/>
    <w:rsid w:val="009C17CB"/>
    <w:rsid w:val="009C22AF"/>
    <w:rsid w:val="009C22F5"/>
    <w:rsid w:val="009C3566"/>
    <w:rsid w:val="009C4390"/>
    <w:rsid w:val="009C4B46"/>
    <w:rsid w:val="009C4E65"/>
    <w:rsid w:val="009C575B"/>
    <w:rsid w:val="009C5F85"/>
    <w:rsid w:val="009C5F8F"/>
    <w:rsid w:val="009C6D1F"/>
    <w:rsid w:val="009C7AF5"/>
    <w:rsid w:val="009C7BB5"/>
    <w:rsid w:val="009C7BC6"/>
    <w:rsid w:val="009C7CF8"/>
    <w:rsid w:val="009C7DBD"/>
    <w:rsid w:val="009D028D"/>
    <w:rsid w:val="009D08FE"/>
    <w:rsid w:val="009D09CB"/>
    <w:rsid w:val="009D0C14"/>
    <w:rsid w:val="009D1033"/>
    <w:rsid w:val="009D1220"/>
    <w:rsid w:val="009D1469"/>
    <w:rsid w:val="009D1ABA"/>
    <w:rsid w:val="009D2842"/>
    <w:rsid w:val="009D2EB5"/>
    <w:rsid w:val="009D32B3"/>
    <w:rsid w:val="009D48EE"/>
    <w:rsid w:val="009D56D9"/>
    <w:rsid w:val="009D677D"/>
    <w:rsid w:val="009D6BDB"/>
    <w:rsid w:val="009D7C02"/>
    <w:rsid w:val="009E058D"/>
    <w:rsid w:val="009E1B88"/>
    <w:rsid w:val="009E1C42"/>
    <w:rsid w:val="009E1EAA"/>
    <w:rsid w:val="009E2C32"/>
    <w:rsid w:val="009E2E9D"/>
    <w:rsid w:val="009E4354"/>
    <w:rsid w:val="009E4A2C"/>
    <w:rsid w:val="009E4B19"/>
    <w:rsid w:val="009E62EC"/>
    <w:rsid w:val="009E6360"/>
    <w:rsid w:val="009E6419"/>
    <w:rsid w:val="009E7064"/>
    <w:rsid w:val="009E710D"/>
    <w:rsid w:val="009E73B3"/>
    <w:rsid w:val="009E7F07"/>
    <w:rsid w:val="009E7F39"/>
    <w:rsid w:val="009F0065"/>
    <w:rsid w:val="009F0422"/>
    <w:rsid w:val="009F0D6A"/>
    <w:rsid w:val="009F0F08"/>
    <w:rsid w:val="009F1F5A"/>
    <w:rsid w:val="009F2098"/>
    <w:rsid w:val="009F2648"/>
    <w:rsid w:val="009F27E6"/>
    <w:rsid w:val="009F3906"/>
    <w:rsid w:val="009F46E6"/>
    <w:rsid w:val="009F508B"/>
    <w:rsid w:val="009F53BF"/>
    <w:rsid w:val="009F5CEE"/>
    <w:rsid w:val="009F5E69"/>
    <w:rsid w:val="009F67A2"/>
    <w:rsid w:val="009F681F"/>
    <w:rsid w:val="009F689A"/>
    <w:rsid w:val="009F7252"/>
    <w:rsid w:val="009F7422"/>
    <w:rsid w:val="00A0049E"/>
    <w:rsid w:val="00A0182A"/>
    <w:rsid w:val="00A01A61"/>
    <w:rsid w:val="00A02352"/>
    <w:rsid w:val="00A0341F"/>
    <w:rsid w:val="00A04110"/>
    <w:rsid w:val="00A04C46"/>
    <w:rsid w:val="00A04D74"/>
    <w:rsid w:val="00A04F50"/>
    <w:rsid w:val="00A04FC2"/>
    <w:rsid w:val="00A0566B"/>
    <w:rsid w:val="00A0659B"/>
    <w:rsid w:val="00A07038"/>
    <w:rsid w:val="00A07060"/>
    <w:rsid w:val="00A0735A"/>
    <w:rsid w:val="00A07658"/>
    <w:rsid w:val="00A0769E"/>
    <w:rsid w:val="00A108F3"/>
    <w:rsid w:val="00A10917"/>
    <w:rsid w:val="00A118D5"/>
    <w:rsid w:val="00A121F1"/>
    <w:rsid w:val="00A12397"/>
    <w:rsid w:val="00A125EA"/>
    <w:rsid w:val="00A1318B"/>
    <w:rsid w:val="00A131FD"/>
    <w:rsid w:val="00A1378A"/>
    <w:rsid w:val="00A13E58"/>
    <w:rsid w:val="00A16987"/>
    <w:rsid w:val="00A16C36"/>
    <w:rsid w:val="00A1740D"/>
    <w:rsid w:val="00A179EE"/>
    <w:rsid w:val="00A212FD"/>
    <w:rsid w:val="00A223BB"/>
    <w:rsid w:val="00A2257A"/>
    <w:rsid w:val="00A22BB8"/>
    <w:rsid w:val="00A22E79"/>
    <w:rsid w:val="00A2498F"/>
    <w:rsid w:val="00A249CF"/>
    <w:rsid w:val="00A24C5D"/>
    <w:rsid w:val="00A3028B"/>
    <w:rsid w:val="00A33004"/>
    <w:rsid w:val="00A33C0D"/>
    <w:rsid w:val="00A33D74"/>
    <w:rsid w:val="00A343FD"/>
    <w:rsid w:val="00A3456F"/>
    <w:rsid w:val="00A35398"/>
    <w:rsid w:val="00A35C71"/>
    <w:rsid w:val="00A35DE3"/>
    <w:rsid w:val="00A35FD1"/>
    <w:rsid w:val="00A360E3"/>
    <w:rsid w:val="00A36778"/>
    <w:rsid w:val="00A37955"/>
    <w:rsid w:val="00A40030"/>
    <w:rsid w:val="00A404B1"/>
    <w:rsid w:val="00A41C27"/>
    <w:rsid w:val="00A423A4"/>
    <w:rsid w:val="00A425F4"/>
    <w:rsid w:val="00A42D64"/>
    <w:rsid w:val="00A435E0"/>
    <w:rsid w:val="00A44033"/>
    <w:rsid w:val="00A44643"/>
    <w:rsid w:val="00A44BC5"/>
    <w:rsid w:val="00A4571B"/>
    <w:rsid w:val="00A45D95"/>
    <w:rsid w:val="00A45F5A"/>
    <w:rsid w:val="00A45FBB"/>
    <w:rsid w:val="00A46703"/>
    <w:rsid w:val="00A46968"/>
    <w:rsid w:val="00A47C8B"/>
    <w:rsid w:val="00A47F2E"/>
    <w:rsid w:val="00A5041A"/>
    <w:rsid w:val="00A50634"/>
    <w:rsid w:val="00A5105E"/>
    <w:rsid w:val="00A5148B"/>
    <w:rsid w:val="00A51775"/>
    <w:rsid w:val="00A5207E"/>
    <w:rsid w:val="00A522EC"/>
    <w:rsid w:val="00A52C7A"/>
    <w:rsid w:val="00A52EB6"/>
    <w:rsid w:val="00A534E6"/>
    <w:rsid w:val="00A54477"/>
    <w:rsid w:val="00A547ED"/>
    <w:rsid w:val="00A54E1C"/>
    <w:rsid w:val="00A55BFC"/>
    <w:rsid w:val="00A57506"/>
    <w:rsid w:val="00A57E8D"/>
    <w:rsid w:val="00A611D8"/>
    <w:rsid w:val="00A62881"/>
    <w:rsid w:val="00A62B98"/>
    <w:rsid w:val="00A62DFC"/>
    <w:rsid w:val="00A646B9"/>
    <w:rsid w:val="00A65476"/>
    <w:rsid w:val="00A654D2"/>
    <w:rsid w:val="00A65A90"/>
    <w:rsid w:val="00A6650C"/>
    <w:rsid w:val="00A6760F"/>
    <w:rsid w:val="00A705CF"/>
    <w:rsid w:val="00A707B5"/>
    <w:rsid w:val="00A7101B"/>
    <w:rsid w:val="00A720F1"/>
    <w:rsid w:val="00A72416"/>
    <w:rsid w:val="00A72894"/>
    <w:rsid w:val="00A72CFE"/>
    <w:rsid w:val="00A7341E"/>
    <w:rsid w:val="00A73C81"/>
    <w:rsid w:val="00A73E4E"/>
    <w:rsid w:val="00A753C5"/>
    <w:rsid w:val="00A75A19"/>
    <w:rsid w:val="00A76305"/>
    <w:rsid w:val="00A76454"/>
    <w:rsid w:val="00A765CB"/>
    <w:rsid w:val="00A768CD"/>
    <w:rsid w:val="00A769E3"/>
    <w:rsid w:val="00A76BE8"/>
    <w:rsid w:val="00A77A1D"/>
    <w:rsid w:val="00A77B71"/>
    <w:rsid w:val="00A77DA0"/>
    <w:rsid w:val="00A80200"/>
    <w:rsid w:val="00A80499"/>
    <w:rsid w:val="00A8111E"/>
    <w:rsid w:val="00A819CA"/>
    <w:rsid w:val="00A81D4F"/>
    <w:rsid w:val="00A825D2"/>
    <w:rsid w:val="00A82782"/>
    <w:rsid w:val="00A8547B"/>
    <w:rsid w:val="00A85569"/>
    <w:rsid w:val="00A85778"/>
    <w:rsid w:val="00A86D6C"/>
    <w:rsid w:val="00A90211"/>
    <w:rsid w:val="00A90434"/>
    <w:rsid w:val="00A904FE"/>
    <w:rsid w:val="00A90BDF"/>
    <w:rsid w:val="00A9128C"/>
    <w:rsid w:val="00A91997"/>
    <w:rsid w:val="00A91F4F"/>
    <w:rsid w:val="00A9262E"/>
    <w:rsid w:val="00A929AC"/>
    <w:rsid w:val="00A933D0"/>
    <w:rsid w:val="00A934F3"/>
    <w:rsid w:val="00A93CC5"/>
    <w:rsid w:val="00A93FFB"/>
    <w:rsid w:val="00A9464B"/>
    <w:rsid w:val="00A948E5"/>
    <w:rsid w:val="00A95BEA"/>
    <w:rsid w:val="00A9654F"/>
    <w:rsid w:val="00A97C59"/>
    <w:rsid w:val="00AA0B58"/>
    <w:rsid w:val="00AA0BA3"/>
    <w:rsid w:val="00AA0CC8"/>
    <w:rsid w:val="00AA0E5E"/>
    <w:rsid w:val="00AA1A56"/>
    <w:rsid w:val="00AA1F9A"/>
    <w:rsid w:val="00AA26BF"/>
    <w:rsid w:val="00AA28DA"/>
    <w:rsid w:val="00AA352D"/>
    <w:rsid w:val="00AA47EB"/>
    <w:rsid w:val="00AA4A3B"/>
    <w:rsid w:val="00AA4E88"/>
    <w:rsid w:val="00AA5134"/>
    <w:rsid w:val="00AA6473"/>
    <w:rsid w:val="00AA6727"/>
    <w:rsid w:val="00AA6E4F"/>
    <w:rsid w:val="00AA73DF"/>
    <w:rsid w:val="00AA74DC"/>
    <w:rsid w:val="00AA7D6B"/>
    <w:rsid w:val="00AB064B"/>
    <w:rsid w:val="00AB08BB"/>
    <w:rsid w:val="00AB0A73"/>
    <w:rsid w:val="00AB108A"/>
    <w:rsid w:val="00AB1588"/>
    <w:rsid w:val="00AB1D46"/>
    <w:rsid w:val="00AB1D83"/>
    <w:rsid w:val="00AB1DD9"/>
    <w:rsid w:val="00AB21DD"/>
    <w:rsid w:val="00AB2AE0"/>
    <w:rsid w:val="00AB311C"/>
    <w:rsid w:val="00AB3A76"/>
    <w:rsid w:val="00AB4490"/>
    <w:rsid w:val="00AB4573"/>
    <w:rsid w:val="00AB4934"/>
    <w:rsid w:val="00AB4CB9"/>
    <w:rsid w:val="00AB4EC8"/>
    <w:rsid w:val="00AB5B42"/>
    <w:rsid w:val="00AB6711"/>
    <w:rsid w:val="00AB727A"/>
    <w:rsid w:val="00AB74DD"/>
    <w:rsid w:val="00AB761B"/>
    <w:rsid w:val="00AB76B6"/>
    <w:rsid w:val="00AB77CA"/>
    <w:rsid w:val="00AC00FD"/>
    <w:rsid w:val="00AC0ADB"/>
    <w:rsid w:val="00AC0B24"/>
    <w:rsid w:val="00AC138E"/>
    <w:rsid w:val="00AC1BD0"/>
    <w:rsid w:val="00AC2BD4"/>
    <w:rsid w:val="00AC36D6"/>
    <w:rsid w:val="00AC3F4D"/>
    <w:rsid w:val="00AC40AB"/>
    <w:rsid w:val="00AC435D"/>
    <w:rsid w:val="00AC4448"/>
    <w:rsid w:val="00AC4C42"/>
    <w:rsid w:val="00AC5484"/>
    <w:rsid w:val="00AC6219"/>
    <w:rsid w:val="00AC66CE"/>
    <w:rsid w:val="00AC7176"/>
    <w:rsid w:val="00AC71D6"/>
    <w:rsid w:val="00AC733F"/>
    <w:rsid w:val="00AC74C0"/>
    <w:rsid w:val="00AD072C"/>
    <w:rsid w:val="00AD0A3B"/>
    <w:rsid w:val="00AD0EF7"/>
    <w:rsid w:val="00AD1A8F"/>
    <w:rsid w:val="00AD1D7D"/>
    <w:rsid w:val="00AD2DFB"/>
    <w:rsid w:val="00AD2E8E"/>
    <w:rsid w:val="00AD3D8E"/>
    <w:rsid w:val="00AD5ED6"/>
    <w:rsid w:val="00AD5FEF"/>
    <w:rsid w:val="00AD645D"/>
    <w:rsid w:val="00AD70B7"/>
    <w:rsid w:val="00AD79F6"/>
    <w:rsid w:val="00AE039A"/>
    <w:rsid w:val="00AE096B"/>
    <w:rsid w:val="00AE0CEA"/>
    <w:rsid w:val="00AE151D"/>
    <w:rsid w:val="00AE16A1"/>
    <w:rsid w:val="00AE205D"/>
    <w:rsid w:val="00AE27B9"/>
    <w:rsid w:val="00AE2922"/>
    <w:rsid w:val="00AE2F44"/>
    <w:rsid w:val="00AE3BC9"/>
    <w:rsid w:val="00AE3D5E"/>
    <w:rsid w:val="00AE414C"/>
    <w:rsid w:val="00AE4D22"/>
    <w:rsid w:val="00AE4F10"/>
    <w:rsid w:val="00AE5576"/>
    <w:rsid w:val="00AE589B"/>
    <w:rsid w:val="00AE733A"/>
    <w:rsid w:val="00AE7494"/>
    <w:rsid w:val="00AE78DD"/>
    <w:rsid w:val="00AF0B45"/>
    <w:rsid w:val="00AF1A90"/>
    <w:rsid w:val="00AF20FF"/>
    <w:rsid w:val="00AF22BD"/>
    <w:rsid w:val="00AF2464"/>
    <w:rsid w:val="00AF2A9C"/>
    <w:rsid w:val="00AF3BE9"/>
    <w:rsid w:val="00AF3C22"/>
    <w:rsid w:val="00AF4D22"/>
    <w:rsid w:val="00AF517C"/>
    <w:rsid w:val="00AF52AA"/>
    <w:rsid w:val="00AF582A"/>
    <w:rsid w:val="00AF5FF7"/>
    <w:rsid w:val="00AF6561"/>
    <w:rsid w:val="00AF6B1C"/>
    <w:rsid w:val="00AF7A3B"/>
    <w:rsid w:val="00AF7CF9"/>
    <w:rsid w:val="00AF7E7A"/>
    <w:rsid w:val="00B00994"/>
    <w:rsid w:val="00B00A5B"/>
    <w:rsid w:val="00B00D7B"/>
    <w:rsid w:val="00B0102E"/>
    <w:rsid w:val="00B01813"/>
    <w:rsid w:val="00B0196B"/>
    <w:rsid w:val="00B0258B"/>
    <w:rsid w:val="00B02601"/>
    <w:rsid w:val="00B02FD7"/>
    <w:rsid w:val="00B03C6B"/>
    <w:rsid w:val="00B03DBF"/>
    <w:rsid w:val="00B03E5C"/>
    <w:rsid w:val="00B03EBA"/>
    <w:rsid w:val="00B03F19"/>
    <w:rsid w:val="00B041D9"/>
    <w:rsid w:val="00B048F5"/>
    <w:rsid w:val="00B04F52"/>
    <w:rsid w:val="00B06DE3"/>
    <w:rsid w:val="00B07197"/>
    <w:rsid w:val="00B07E7B"/>
    <w:rsid w:val="00B1055B"/>
    <w:rsid w:val="00B12893"/>
    <w:rsid w:val="00B129D6"/>
    <w:rsid w:val="00B13024"/>
    <w:rsid w:val="00B13A27"/>
    <w:rsid w:val="00B145C2"/>
    <w:rsid w:val="00B14D1A"/>
    <w:rsid w:val="00B152B3"/>
    <w:rsid w:val="00B15858"/>
    <w:rsid w:val="00B16507"/>
    <w:rsid w:val="00B16665"/>
    <w:rsid w:val="00B16CBB"/>
    <w:rsid w:val="00B16E0C"/>
    <w:rsid w:val="00B16E6F"/>
    <w:rsid w:val="00B17D26"/>
    <w:rsid w:val="00B2017B"/>
    <w:rsid w:val="00B21025"/>
    <w:rsid w:val="00B21CFC"/>
    <w:rsid w:val="00B222C7"/>
    <w:rsid w:val="00B23050"/>
    <w:rsid w:val="00B237C2"/>
    <w:rsid w:val="00B23F94"/>
    <w:rsid w:val="00B25B3F"/>
    <w:rsid w:val="00B270C9"/>
    <w:rsid w:val="00B27219"/>
    <w:rsid w:val="00B3003A"/>
    <w:rsid w:val="00B30125"/>
    <w:rsid w:val="00B30D4E"/>
    <w:rsid w:val="00B31F48"/>
    <w:rsid w:val="00B33CD4"/>
    <w:rsid w:val="00B34B81"/>
    <w:rsid w:val="00B351CC"/>
    <w:rsid w:val="00B357E8"/>
    <w:rsid w:val="00B35AB9"/>
    <w:rsid w:val="00B363E3"/>
    <w:rsid w:val="00B3648F"/>
    <w:rsid w:val="00B3676A"/>
    <w:rsid w:val="00B36915"/>
    <w:rsid w:val="00B36BBD"/>
    <w:rsid w:val="00B36C67"/>
    <w:rsid w:val="00B37048"/>
    <w:rsid w:val="00B37C70"/>
    <w:rsid w:val="00B406AF"/>
    <w:rsid w:val="00B4098C"/>
    <w:rsid w:val="00B410C7"/>
    <w:rsid w:val="00B416FB"/>
    <w:rsid w:val="00B41E7A"/>
    <w:rsid w:val="00B42020"/>
    <w:rsid w:val="00B427F4"/>
    <w:rsid w:val="00B428E8"/>
    <w:rsid w:val="00B42DFF"/>
    <w:rsid w:val="00B43676"/>
    <w:rsid w:val="00B438C0"/>
    <w:rsid w:val="00B43A8E"/>
    <w:rsid w:val="00B46193"/>
    <w:rsid w:val="00B461AD"/>
    <w:rsid w:val="00B46B3E"/>
    <w:rsid w:val="00B47380"/>
    <w:rsid w:val="00B474BB"/>
    <w:rsid w:val="00B50FFF"/>
    <w:rsid w:val="00B519F5"/>
    <w:rsid w:val="00B51A7B"/>
    <w:rsid w:val="00B5221B"/>
    <w:rsid w:val="00B52B1D"/>
    <w:rsid w:val="00B52B3D"/>
    <w:rsid w:val="00B533D7"/>
    <w:rsid w:val="00B54169"/>
    <w:rsid w:val="00B5561C"/>
    <w:rsid w:val="00B55826"/>
    <w:rsid w:val="00B564E7"/>
    <w:rsid w:val="00B56FEE"/>
    <w:rsid w:val="00B57474"/>
    <w:rsid w:val="00B60ABC"/>
    <w:rsid w:val="00B60E78"/>
    <w:rsid w:val="00B60F9B"/>
    <w:rsid w:val="00B610E9"/>
    <w:rsid w:val="00B62AEF"/>
    <w:rsid w:val="00B65231"/>
    <w:rsid w:val="00B656E5"/>
    <w:rsid w:val="00B6655E"/>
    <w:rsid w:val="00B6794D"/>
    <w:rsid w:val="00B70073"/>
    <w:rsid w:val="00B70438"/>
    <w:rsid w:val="00B705EB"/>
    <w:rsid w:val="00B71013"/>
    <w:rsid w:val="00B715EB"/>
    <w:rsid w:val="00B71CE7"/>
    <w:rsid w:val="00B71EB8"/>
    <w:rsid w:val="00B72CD5"/>
    <w:rsid w:val="00B7320E"/>
    <w:rsid w:val="00B748B5"/>
    <w:rsid w:val="00B7505F"/>
    <w:rsid w:val="00B75C53"/>
    <w:rsid w:val="00B777C3"/>
    <w:rsid w:val="00B8028B"/>
    <w:rsid w:val="00B8090F"/>
    <w:rsid w:val="00B80C4E"/>
    <w:rsid w:val="00B8136E"/>
    <w:rsid w:val="00B81FB2"/>
    <w:rsid w:val="00B82025"/>
    <w:rsid w:val="00B8248A"/>
    <w:rsid w:val="00B828F3"/>
    <w:rsid w:val="00B82E90"/>
    <w:rsid w:val="00B830EA"/>
    <w:rsid w:val="00B83A81"/>
    <w:rsid w:val="00B84A5C"/>
    <w:rsid w:val="00B85A31"/>
    <w:rsid w:val="00B85E90"/>
    <w:rsid w:val="00B87E2D"/>
    <w:rsid w:val="00B904F4"/>
    <w:rsid w:val="00B905E6"/>
    <w:rsid w:val="00B90986"/>
    <w:rsid w:val="00B90F72"/>
    <w:rsid w:val="00B9206E"/>
    <w:rsid w:val="00B92DD6"/>
    <w:rsid w:val="00B934A9"/>
    <w:rsid w:val="00B93680"/>
    <w:rsid w:val="00B94CB6"/>
    <w:rsid w:val="00B94D58"/>
    <w:rsid w:val="00B96923"/>
    <w:rsid w:val="00B96B03"/>
    <w:rsid w:val="00BA17EF"/>
    <w:rsid w:val="00BA2063"/>
    <w:rsid w:val="00BA2737"/>
    <w:rsid w:val="00BA2D5C"/>
    <w:rsid w:val="00BA4712"/>
    <w:rsid w:val="00BA4EE2"/>
    <w:rsid w:val="00BA53E7"/>
    <w:rsid w:val="00BA6D60"/>
    <w:rsid w:val="00BA6F41"/>
    <w:rsid w:val="00BA7557"/>
    <w:rsid w:val="00BA796F"/>
    <w:rsid w:val="00BB01A3"/>
    <w:rsid w:val="00BB0718"/>
    <w:rsid w:val="00BB0A30"/>
    <w:rsid w:val="00BB11B9"/>
    <w:rsid w:val="00BB1244"/>
    <w:rsid w:val="00BB238E"/>
    <w:rsid w:val="00BB2DD7"/>
    <w:rsid w:val="00BB2FFB"/>
    <w:rsid w:val="00BB3881"/>
    <w:rsid w:val="00BB3BC7"/>
    <w:rsid w:val="00BB3C8D"/>
    <w:rsid w:val="00BB4939"/>
    <w:rsid w:val="00BB4BF5"/>
    <w:rsid w:val="00BB4D18"/>
    <w:rsid w:val="00BB5EEF"/>
    <w:rsid w:val="00BB5F38"/>
    <w:rsid w:val="00BB654F"/>
    <w:rsid w:val="00BB699A"/>
    <w:rsid w:val="00BB6DEE"/>
    <w:rsid w:val="00BB79A0"/>
    <w:rsid w:val="00BC1563"/>
    <w:rsid w:val="00BC19D8"/>
    <w:rsid w:val="00BC25D4"/>
    <w:rsid w:val="00BC39B4"/>
    <w:rsid w:val="00BC44FA"/>
    <w:rsid w:val="00BC4701"/>
    <w:rsid w:val="00BC4EA1"/>
    <w:rsid w:val="00BC5D47"/>
    <w:rsid w:val="00BC5F96"/>
    <w:rsid w:val="00BC61A7"/>
    <w:rsid w:val="00BC6412"/>
    <w:rsid w:val="00BC6523"/>
    <w:rsid w:val="00BD0B4B"/>
    <w:rsid w:val="00BD0BE3"/>
    <w:rsid w:val="00BD145C"/>
    <w:rsid w:val="00BD30FE"/>
    <w:rsid w:val="00BD3381"/>
    <w:rsid w:val="00BD35B4"/>
    <w:rsid w:val="00BD3C2E"/>
    <w:rsid w:val="00BD43E9"/>
    <w:rsid w:val="00BD4DCC"/>
    <w:rsid w:val="00BD4DDB"/>
    <w:rsid w:val="00BD5D2A"/>
    <w:rsid w:val="00BD6066"/>
    <w:rsid w:val="00BD69FE"/>
    <w:rsid w:val="00BD6D92"/>
    <w:rsid w:val="00BD72BE"/>
    <w:rsid w:val="00BD7301"/>
    <w:rsid w:val="00BD7BE1"/>
    <w:rsid w:val="00BE129C"/>
    <w:rsid w:val="00BE21DE"/>
    <w:rsid w:val="00BE21FA"/>
    <w:rsid w:val="00BE2493"/>
    <w:rsid w:val="00BE28FD"/>
    <w:rsid w:val="00BE2991"/>
    <w:rsid w:val="00BE4A1B"/>
    <w:rsid w:val="00BE4D95"/>
    <w:rsid w:val="00BE5814"/>
    <w:rsid w:val="00BE581D"/>
    <w:rsid w:val="00BE5BDE"/>
    <w:rsid w:val="00BE5E36"/>
    <w:rsid w:val="00BE67E4"/>
    <w:rsid w:val="00BE67F6"/>
    <w:rsid w:val="00BE713F"/>
    <w:rsid w:val="00BF02B8"/>
    <w:rsid w:val="00BF0370"/>
    <w:rsid w:val="00BF0C98"/>
    <w:rsid w:val="00BF32CF"/>
    <w:rsid w:val="00BF35D1"/>
    <w:rsid w:val="00BF3D8A"/>
    <w:rsid w:val="00BF408B"/>
    <w:rsid w:val="00BF4415"/>
    <w:rsid w:val="00BF59AB"/>
    <w:rsid w:val="00BF5DFA"/>
    <w:rsid w:val="00BF627D"/>
    <w:rsid w:val="00BF67D3"/>
    <w:rsid w:val="00BF6E12"/>
    <w:rsid w:val="00BF7B5B"/>
    <w:rsid w:val="00C005E7"/>
    <w:rsid w:val="00C01583"/>
    <w:rsid w:val="00C026A0"/>
    <w:rsid w:val="00C02D23"/>
    <w:rsid w:val="00C03B4F"/>
    <w:rsid w:val="00C03E8A"/>
    <w:rsid w:val="00C045A9"/>
    <w:rsid w:val="00C04CF9"/>
    <w:rsid w:val="00C04D62"/>
    <w:rsid w:val="00C0529E"/>
    <w:rsid w:val="00C052A3"/>
    <w:rsid w:val="00C05330"/>
    <w:rsid w:val="00C05827"/>
    <w:rsid w:val="00C06492"/>
    <w:rsid w:val="00C06DDC"/>
    <w:rsid w:val="00C073D3"/>
    <w:rsid w:val="00C07897"/>
    <w:rsid w:val="00C10034"/>
    <w:rsid w:val="00C12C38"/>
    <w:rsid w:val="00C13E95"/>
    <w:rsid w:val="00C13EA0"/>
    <w:rsid w:val="00C14555"/>
    <w:rsid w:val="00C14CCC"/>
    <w:rsid w:val="00C15240"/>
    <w:rsid w:val="00C15440"/>
    <w:rsid w:val="00C16253"/>
    <w:rsid w:val="00C17419"/>
    <w:rsid w:val="00C174B9"/>
    <w:rsid w:val="00C2009C"/>
    <w:rsid w:val="00C20181"/>
    <w:rsid w:val="00C204DA"/>
    <w:rsid w:val="00C2078E"/>
    <w:rsid w:val="00C208A7"/>
    <w:rsid w:val="00C21392"/>
    <w:rsid w:val="00C214E2"/>
    <w:rsid w:val="00C2155D"/>
    <w:rsid w:val="00C21BAC"/>
    <w:rsid w:val="00C21D78"/>
    <w:rsid w:val="00C21DCB"/>
    <w:rsid w:val="00C226DE"/>
    <w:rsid w:val="00C22AD0"/>
    <w:rsid w:val="00C236A6"/>
    <w:rsid w:val="00C23B16"/>
    <w:rsid w:val="00C24E58"/>
    <w:rsid w:val="00C25DD5"/>
    <w:rsid w:val="00C267D0"/>
    <w:rsid w:val="00C2707D"/>
    <w:rsid w:val="00C300EC"/>
    <w:rsid w:val="00C305BE"/>
    <w:rsid w:val="00C30BCE"/>
    <w:rsid w:val="00C31981"/>
    <w:rsid w:val="00C322AC"/>
    <w:rsid w:val="00C32B3D"/>
    <w:rsid w:val="00C330CD"/>
    <w:rsid w:val="00C343A1"/>
    <w:rsid w:val="00C34839"/>
    <w:rsid w:val="00C35E1E"/>
    <w:rsid w:val="00C35E69"/>
    <w:rsid w:val="00C3605E"/>
    <w:rsid w:val="00C36997"/>
    <w:rsid w:val="00C36ADB"/>
    <w:rsid w:val="00C37937"/>
    <w:rsid w:val="00C37BD5"/>
    <w:rsid w:val="00C37C0C"/>
    <w:rsid w:val="00C400F5"/>
    <w:rsid w:val="00C41143"/>
    <w:rsid w:val="00C41146"/>
    <w:rsid w:val="00C4248B"/>
    <w:rsid w:val="00C430E4"/>
    <w:rsid w:val="00C43274"/>
    <w:rsid w:val="00C44B49"/>
    <w:rsid w:val="00C453FE"/>
    <w:rsid w:val="00C45D0F"/>
    <w:rsid w:val="00C46196"/>
    <w:rsid w:val="00C4635F"/>
    <w:rsid w:val="00C47505"/>
    <w:rsid w:val="00C47CB8"/>
    <w:rsid w:val="00C47F62"/>
    <w:rsid w:val="00C5000F"/>
    <w:rsid w:val="00C5018D"/>
    <w:rsid w:val="00C503F4"/>
    <w:rsid w:val="00C5043B"/>
    <w:rsid w:val="00C50A87"/>
    <w:rsid w:val="00C50D8D"/>
    <w:rsid w:val="00C513C1"/>
    <w:rsid w:val="00C51431"/>
    <w:rsid w:val="00C52D64"/>
    <w:rsid w:val="00C54E5D"/>
    <w:rsid w:val="00C556F3"/>
    <w:rsid w:val="00C558EC"/>
    <w:rsid w:val="00C56EF2"/>
    <w:rsid w:val="00C576AE"/>
    <w:rsid w:val="00C617B7"/>
    <w:rsid w:val="00C61940"/>
    <w:rsid w:val="00C62665"/>
    <w:rsid w:val="00C62F92"/>
    <w:rsid w:val="00C63DBF"/>
    <w:rsid w:val="00C64133"/>
    <w:rsid w:val="00C645BA"/>
    <w:rsid w:val="00C64822"/>
    <w:rsid w:val="00C648AD"/>
    <w:rsid w:val="00C66610"/>
    <w:rsid w:val="00C66725"/>
    <w:rsid w:val="00C66CAE"/>
    <w:rsid w:val="00C67C5C"/>
    <w:rsid w:val="00C70036"/>
    <w:rsid w:val="00C71A1C"/>
    <w:rsid w:val="00C72091"/>
    <w:rsid w:val="00C72742"/>
    <w:rsid w:val="00C73104"/>
    <w:rsid w:val="00C73239"/>
    <w:rsid w:val="00C73BBB"/>
    <w:rsid w:val="00C73EDE"/>
    <w:rsid w:val="00C74610"/>
    <w:rsid w:val="00C74EB6"/>
    <w:rsid w:val="00C758F3"/>
    <w:rsid w:val="00C75C9B"/>
    <w:rsid w:val="00C75E1B"/>
    <w:rsid w:val="00C7654A"/>
    <w:rsid w:val="00C77C12"/>
    <w:rsid w:val="00C77D72"/>
    <w:rsid w:val="00C812F5"/>
    <w:rsid w:val="00C81624"/>
    <w:rsid w:val="00C81BB1"/>
    <w:rsid w:val="00C820C4"/>
    <w:rsid w:val="00C831AD"/>
    <w:rsid w:val="00C832CA"/>
    <w:rsid w:val="00C836A0"/>
    <w:rsid w:val="00C83AFC"/>
    <w:rsid w:val="00C84D39"/>
    <w:rsid w:val="00C86856"/>
    <w:rsid w:val="00C90166"/>
    <w:rsid w:val="00C90317"/>
    <w:rsid w:val="00C91209"/>
    <w:rsid w:val="00C919DF"/>
    <w:rsid w:val="00C91B60"/>
    <w:rsid w:val="00C91C62"/>
    <w:rsid w:val="00C91E65"/>
    <w:rsid w:val="00C9210B"/>
    <w:rsid w:val="00C92228"/>
    <w:rsid w:val="00C92555"/>
    <w:rsid w:val="00C92696"/>
    <w:rsid w:val="00C92FB2"/>
    <w:rsid w:val="00C93971"/>
    <w:rsid w:val="00C95120"/>
    <w:rsid w:val="00C959CE"/>
    <w:rsid w:val="00C96097"/>
    <w:rsid w:val="00C9636A"/>
    <w:rsid w:val="00C97020"/>
    <w:rsid w:val="00CA08E6"/>
    <w:rsid w:val="00CA0E34"/>
    <w:rsid w:val="00CA0E38"/>
    <w:rsid w:val="00CA18DB"/>
    <w:rsid w:val="00CA1DA5"/>
    <w:rsid w:val="00CA26DF"/>
    <w:rsid w:val="00CA3075"/>
    <w:rsid w:val="00CA3258"/>
    <w:rsid w:val="00CA3B48"/>
    <w:rsid w:val="00CA4107"/>
    <w:rsid w:val="00CA43D0"/>
    <w:rsid w:val="00CA46EB"/>
    <w:rsid w:val="00CA5386"/>
    <w:rsid w:val="00CA5409"/>
    <w:rsid w:val="00CA59B9"/>
    <w:rsid w:val="00CA59F7"/>
    <w:rsid w:val="00CA6D60"/>
    <w:rsid w:val="00CA6E0D"/>
    <w:rsid w:val="00CA72AA"/>
    <w:rsid w:val="00CA731F"/>
    <w:rsid w:val="00CA74DB"/>
    <w:rsid w:val="00CA7F4D"/>
    <w:rsid w:val="00CB02A1"/>
    <w:rsid w:val="00CB1752"/>
    <w:rsid w:val="00CB1D5F"/>
    <w:rsid w:val="00CB1DBE"/>
    <w:rsid w:val="00CB1F5E"/>
    <w:rsid w:val="00CB2674"/>
    <w:rsid w:val="00CB3073"/>
    <w:rsid w:val="00CB3A12"/>
    <w:rsid w:val="00CB3AD2"/>
    <w:rsid w:val="00CB6216"/>
    <w:rsid w:val="00CB6222"/>
    <w:rsid w:val="00CB7138"/>
    <w:rsid w:val="00CB782F"/>
    <w:rsid w:val="00CB78F0"/>
    <w:rsid w:val="00CC020E"/>
    <w:rsid w:val="00CC16BF"/>
    <w:rsid w:val="00CC23E7"/>
    <w:rsid w:val="00CC2AA6"/>
    <w:rsid w:val="00CC344A"/>
    <w:rsid w:val="00CC3796"/>
    <w:rsid w:val="00CC3839"/>
    <w:rsid w:val="00CC6042"/>
    <w:rsid w:val="00CC6640"/>
    <w:rsid w:val="00CC6900"/>
    <w:rsid w:val="00CC7B8F"/>
    <w:rsid w:val="00CC7F6E"/>
    <w:rsid w:val="00CD05DB"/>
    <w:rsid w:val="00CD09AD"/>
    <w:rsid w:val="00CD0CBE"/>
    <w:rsid w:val="00CD2E73"/>
    <w:rsid w:val="00CD3D34"/>
    <w:rsid w:val="00CD44AF"/>
    <w:rsid w:val="00CD467D"/>
    <w:rsid w:val="00CD52AA"/>
    <w:rsid w:val="00CD5443"/>
    <w:rsid w:val="00CD55D6"/>
    <w:rsid w:val="00CD5C82"/>
    <w:rsid w:val="00CE05D5"/>
    <w:rsid w:val="00CE15B9"/>
    <w:rsid w:val="00CE1880"/>
    <w:rsid w:val="00CE1EE4"/>
    <w:rsid w:val="00CE20E6"/>
    <w:rsid w:val="00CE2831"/>
    <w:rsid w:val="00CE3443"/>
    <w:rsid w:val="00CE3705"/>
    <w:rsid w:val="00CE3721"/>
    <w:rsid w:val="00CE392B"/>
    <w:rsid w:val="00CE3C79"/>
    <w:rsid w:val="00CE419B"/>
    <w:rsid w:val="00CE4704"/>
    <w:rsid w:val="00CE4CA7"/>
    <w:rsid w:val="00CE4FFA"/>
    <w:rsid w:val="00CE5132"/>
    <w:rsid w:val="00CE51CA"/>
    <w:rsid w:val="00CE6839"/>
    <w:rsid w:val="00CF02ED"/>
    <w:rsid w:val="00CF0AF6"/>
    <w:rsid w:val="00CF12AF"/>
    <w:rsid w:val="00CF22A1"/>
    <w:rsid w:val="00CF2393"/>
    <w:rsid w:val="00CF23B5"/>
    <w:rsid w:val="00CF35AF"/>
    <w:rsid w:val="00CF4D33"/>
    <w:rsid w:val="00CF504B"/>
    <w:rsid w:val="00CF5E83"/>
    <w:rsid w:val="00CF61C4"/>
    <w:rsid w:val="00CF6487"/>
    <w:rsid w:val="00CF6D5C"/>
    <w:rsid w:val="00CF78B2"/>
    <w:rsid w:val="00D00762"/>
    <w:rsid w:val="00D02B65"/>
    <w:rsid w:val="00D02DC6"/>
    <w:rsid w:val="00D03808"/>
    <w:rsid w:val="00D0390B"/>
    <w:rsid w:val="00D03CB8"/>
    <w:rsid w:val="00D04AD7"/>
    <w:rsid w:val="00D04F91"/>
    <w:rsid w:val="00D05F90"/>
    <w:rsid w:val="00D05FA2"/>
    <w:rsid w:val="00D064AE"/>
    <w:rsid w:val="00D1005A"/>
    <w:rsid w:val="00D10567"/>
    <w:rsid w:val="00D124FE"/>
    <w:rsid w:val="00D12D27"/>
    <w:rsid w:val="00D12DC8"/>
    <w:rsid w:val="00D142FB"/>
    <w:rsid w:val="00D152CE"/>
    <w:rsid w:val="00D1597C"/>
    <w:rsid w:val="00D15CC8"/>
    <w:rsid w:val="00D15F6E"/>
    <w:rsid w:val="00D1745B"/>
    <w:rsid w:val="00D17976"/>
    <w:rsid w:val="00D2145B"/>
    <w:rsid w:val="00D222F0"/>
    <w:rsid w:val="00D225CE"/>
    <w:rsid w:val="00D22F3A"/>
    <w:rsid w:val="00D234EE"/>
    <w:rsid w:val="00D237B1"/>
    <w:rsid w:val="00D2386C"/>
    <w:rsid w:val="00D242A1"/>
    <w:rsid w:val="00D24B85"/>
    <w:rsid w:val="00D25015"/>
    <w:rsid w:val="00D256DE"/>
    <w:rsid w:val="00D264A0"/>
    <w:rsid w:val="00D267D1"/>
    <w:rsid w:val="00D26B3F"/>
    <w:rsid w:val="00D26EA7"/>
    <w:rsid w:val="00D27346"/>
    <w:rsid w:val="00D303AA"/>
    <w:rsid w:val="00D312D8"/>
    <w:rsid w:val="00D31375"/>
    <w:rsid w:val="00D317F8"/>
    <w:rsid w:val="00D3210A"/>
    <w:rsid w:val="00D32373"/>
    <w:rsid w:val="00D3366F"/>
    <w:rsid w:val="00D33EEC"/>
    <w:rsid w:val="00D34C1E"/>
    <w:rsid w:val="00D34D0F"/>
    <w:rsid w:val="00D35161"/>
    <w:rsid w:val="00D36DD2"/>
    <w:rsid w:val="00D37924"/>
    <w:rsid w:val="00D37CDE"/>
    <w:rsid w:val="00D408A9"/>
    <w:rsid w:val="00D40BD1"/>
    <w:rsid w:val="00D40F1F"/>
    <w:rsid w:val="00D41080"/>
    <w:rsid w:val="00D42595"/>
    <w:rsid w:val="00D428F8"/>
    <w:rsid w:val="00D42FEA"/>
    <w:rsid w:val="00D43ADA"/>
    <w:rsid w:val="00D43E34"/>
    <w:rsid w:val="00D44734"/>
    <w:rsid w:val="00D44D9E"/>
    <w:rsid w:val="00D44E46"/>
    <w:rsid w:val="00D45020"/>
    <w:rsid w:val="00D45391"/>
    <w:rsid w:val="00D456C9"/>
    <w:rsid w:val="00D45728"/>
    <w:rsid w:val="00D45C37"/>
    <w:rsid w:val="00D47054"/>
    <w:rsid w:val="00D4798F"/>
    <w:rsid w:val="00D52514"/>
    <w:rsid w:val="00D5293A"/>
    <w:rsid w:val="00D52ADA"/>
    <w:rsid w:val="00D52DFE"/>
    <w:rsid w:val="00D54125"/>
    <w:rsid w:val="00D54E9F"/>
    <w:rsid w:val="00D55424"/>
    <w:rsid w:val="00D5593C"/>
    <w:rsid w:val="00D570DB"/>
    <w:rsid w:val="00D57164"/>
    <w:rsid w:val="00D57EAC"/>
    <w:rsid w:val="00D602EF"/>
    <w:rsid w:val="00D60B8D"/>
    <w:rsid w:val="00D60E48"/>
    <w:rsid w:val="00D60F82"/>
    <w:rsid w:val="00D6146E"/>
    <w:rsid w:val="00D61B7D"/>
    <w:rsid w:val="00D62CCC"/>
    <w:rsid w:val="00D62F06"/>
    <w:rsid w:val="00D635D2"/>
    <w:rsid w:val="00D63859"/>
    <w:rsid w:val="00D63C2C"/>
    <w:rsid w:val="00D64FD7"/>
    <w:rsid w:val="00D659B3"/>
    <w:rsid w:val="00D65A90"/>
    <w:rsid w:val="00D666BA"/>
    <w:rsid w:val="00D66750"/>
    <w:rsid w:val="00D66DD8"/>
    <w:rsid w:val="00D67157"/>
    <w:rsid w:val="00D671D4"/>
    <w:rsid w:val="00D67996"/>
    <w:rsid w:val="00D71CF8"/>
    <w:rsid w:val="00D71D68"/>
    <w:rsid w:val="00D7293C"/>
    <w:rsid w:val="00D72C5D"/>
    <w:rsid w:val="00D72C93"/>
    <w:rsid w:val="00D72D92"/>
    <w:rsid w:val="00D7342A"/>
    <w:rsid w:val="00D73A35"/>
    <w:rsid w:val="00D73BB4"/>
    <w:rsid w:val="00D74B58"/>
    <w:rsid w:val="00D74BE7"/>
    <w:rsid w:val="00D7505C"/>
    <w:rsid w:val="00D7568F"/>
    <w:rsid w:val="00D75838"/>
    <w:rsid w:val="00D75DCD"/>
    <w:rsid w:val="00D761AF"/>
    <w:rsid w:val="00D76B13"/>
    <w:rsid w:val="00D7773B"/>
    <w:rsid w:val="00D777F5"/>
    <w:rsid w:val="00D77B1E"/>
    <w:rsid w:val="00D77D43"/>
    <w:rsid w:val="00D77DE4"/>
    <w:rsid w:val="00D77EE1"/>
    <w:rsid w:val="00D8006E"/>
    <w:rsid w:val="00D80C11"/>
    <w:rsid w:val="00D81408"/>
    <w:rsid w:val="00D81504"/>
    <w:rsid w:val="00D8162E"/>
    <w:rsid w:val="00D81736"/>
    <w:rsid w:val="00D81A0A"/>
    <w:rsid w:val="00D81BC9"/>
    <w:rsid w:val="00D81DF7"/>
    <w:rsid w:val="00D82D2E"/>
    <w:rsid w:val="00D835F2"/>
    <w:rsid w:val="00D83E57"/>
    <w:rsid w:val="00D8404A"/>
    <w:rsid w:val="00D862BF"/>
    <w:rsid w:val="00D868B0"/>
    <w:rsid w:val="00D8696A"/>
    <w:rsid w:val="00D869B7"/>
    <w:rsid w:val="00D86BE7"/>
    <w:rsid w:val="00D87759"/>
    <w:rsid w:val="00D90714"/>
    <w:rsid w:val="00D912D0"/>
    <w:rsid w:val="00D913C8"/>
    <w:rsid w:val="00D91D82"/>
    <w:rsid w:val="00D9228A"/>
    <w:rsid w:val="00D93187"/>
    <w:rsid w:val="00D932CB"/>
    <w:rsid w:val="00D94A23"/>
    <w:rsid w:val="00D94AF5"/>
    <w:rsid w:val="00D953FE"/>
    <w:rsid w:val="00D96589"/>
    <w:rsid w:val="00D96D2A"/>
    <w:rsid w:val="00D96D9D"/>
    <w:rsid w:val="00D97B49"/>
    <w:rsid w:val="00D97EF8"/>
    <w:rsid w:val="00DA02E7"/>
    <w:rsid w:val="00DA0953"/>
    <w:rsid w:val="00DA2052"/>
    <w:rsid w:val="00DA2DD5"/>
    <w:rsid w:val="00DA3C4D"/>
    <w:rsid w:val="00DA4C25"/>
    <w:rsid w:val="00DA5D39"/>
    <w:rsid w:val="00DA6943"/>
    <w:rsid w:val="00DA7670"/>
    <w:rsid w:val="00DA7803"/>
    <w:rsid w:val="00DB1344"/>
    <w:rsid w:val="00DB136A"/>
    <w:rsid w:val="00DB212C"/>
    <w:rsid w:val="00DB23B3"/>
    <w:rsid w:val="00DB271C"/>
    <w:rsid w:val="00DB2737"/>
    <w:rsid w:val="00DB2AD6"/>
    <w:rsid w:val="00DB2F1F"/>
    <w:rsid w:val="00DB375B"/>
    <w:rsid w:val="00DB3A98"/>
    <w:rsid w:val="00DB4056"/>
    <w:rsid w:val="00DB6009"/>
    <w:rsid w:val="00DB638E"/>
    <w:rsid w:val="00DB72D6"/>
    <w:rsid w:val="00DB7744"/>
    <w:rsid w:val="00DC0885"/>
    <w:rsid w:val="00DC1B40"/>
    <w:rsid w:val="00DC1F1C"/>
    <w:rsid w:val="00DC2ADE"/>
    <w:rsid w:val="00DC33ED"/>
    <w:rsid w:val="00DC38DC"/>
    <w:rsid w:val="00DC4080"/>
    <w:rsid w:val="00DC4A18"/>
    <w:rsid w:val="00DC4B89"/>
    <w:rsid w:val="00DC5245"/>
    <w:rsid w:val="00DC571A"/>
    <w:rsid w:val="00DC5E61"/>
    <w:rsid w:val="00DC699E"/>
    <w:rsid w:val="00DC7F9A"/>
    <w:rsid w:val="00DD0361"/>
    <w:rsid w:val="00DD161A"/>
    <w:rsid w:val="00DD23C4"/>
    <w:rsid w:val="00DD2F4F"/>
    <w:rsid w:val="00DD387A"/>
    <w:rsid w:val="00DD3B70"/>
    <w:rsid w:val="00DD3E69"/>
    <w:rsid w:val="00DD43B3"/>
    <w:rsid w:val="00DD5134"/>
    <w:rsid w:val="00DD514C"/>
    <w:rsid w:val="00DD635F"/>
    <w:rsid w:val="00DD76BD"/>
    <w:rsid w:val="00DE059D"/>
    <w:rsid w:val="00DE07E8"/>
    <w:rsid w:val="00DE14E7"/>
    <w:rsid w:val="00DE1C8A"/>
    <w:rsid w:val="00DE2B14"/>
    <w:rsid w:val="00DE2BD3"/>
    <w:rsid w:val="00DE2D9F"/>
    <w:rsid w:val="00DE3141"/>
    <w:rsid w:val="00DE32EC"/>
    <w:rsid w:val="00DE3512"/>
    <w:rsid w:val="00DE3704"/>
    <w:rsid w:val="00DE4865"/>
    <w:rsid w:val="00DE4A25"/>
    <w:rsid w:val="00DE4EB7"/>
    <w:rsid w:val="00DE65CB"/>
    <w:rsid w:val="00DE6ADC"/>
    <w:rsid w:val="00DE7488"/>
    <w:rsid w:val="00DE78F1"/>
    <w:rsid w:val="00DE7BE7"/>
    <w:rsid w:val="00DF0534"/>
    <w:rsid w:val="00DF0B20"/>
    <w:rsid w:val="00DF0BF9"/>
    <w:rsid w:val="00DF23F8"/>
    <w:rsid w:val="00DF2639"/>
    <w:rsid w:val="00DF2758"/>
    <w:rsid w:val="00DF2D77"/>
    <w:rsid w:val="00DF4A94"/>
    <w:rsid w:val="00DF4B4B"/>
    <w:rsid w:val="00DF50B4"/>
    <w:rsid w:val="00DF5380"/>
    <w:rsid w:val="00DF5448"/>
    <w:rsid w:val="00DF5608"/>
    <w:rsid w:val="00DF5A96"/>
    <w:rsid w:val="00DF5B80"/>
    <w:rsid w:val="00DF5D87"/>
    <w:rsid w:val="00DF627B"/>
    <w:rsid w:val="00DF6285"/>
    <w:rsid w:val="00DF62B9"/>
    <w:rsid w:val="00DF63AF"/>
    <w:rsid w:val="00DF6E79"/>
    <w:rsid w:val="00E005EB"/>
    <w:rsid w:val="00E00742"/>
    <w:rsid w:val="00E00C10"/>
    <w:rsid w:val="00E010C3"/>
    <w:rsid w:val="00E016CA"/>
    <w:rsid w:val="00E018EA"/>
    <w:rsid w:val="00E02CE1"/>
    <w:rsid w:val="00E03217"/>
    <w:rsid w:val="00E0395C"/>
    <w:rsid w:val="00E04FC7"/>
    <w:rsid w:val="00E05028"/>
    <w:rsid w:val="00E05086"/>
    <w:rsid w:val="00E05619"/>
    <w:rsid w:val="00E059CB"/>
    <w:rsid w:val="00E05B80"/>
    <w:rsid w:val="00E05BB8"/>
    <w:rsid w:val="00E06D19"/>
    <w:rsid w:val="00E07F66"/>
    <w:rsid w:val="00E11784"/>
    <w:rsid w:val="00E1215D"/>
    <w:rsid w:val="00E12972"/>
    <w:rsid w:val="00E13A4F"/>
    <w:rsid w:val="00E13B26"/>
    <w:rsid w:val="00E13E67"/>
    <w:rsid w:val="00E13FA8"/>
    <w:rsid w:val="00E14AF6"/>
    <w:rsid w:val="00E15DB1"/>
    <w:rsid w:val="00E16C4E"/>
    <w:rsid w:val="00E20592"/>
    <w:rsid w:val="00E20609"/>
    <w:rsid w:val="00E20DB7"/>
    <w:rsid w:val="00E20FEC"/>
    <w:rsid w:val="00E213F7"/>
    <w:rsid w:val="00E22C1D"/>
    <w:rsid w:val="00E2435A"/>
    <w:rsid w:val="00E258FF"/>
    <w:rsid w:val="00E264E4"/>
    <w:rsid w:val="00E264F3"/>
    <w:rsid w:val="00E278FE"/>
    <w:rsid w:val="00E27E7F"/>
    <w:rsid w:val="00E3029E"/>
    <w:rsid w:val="00E30A9F"/>
    <w:rsid w:val="00E31653"/>
    <w:rsid w:val="00E31A94"/>
    <w:rsid w:val="00E32335"/>
    <w:rsid w:val="00E330EC"/>
    <w:rsid w:val="00E33A16"/>
    <w:rsid w:val="00E33AB6"/>
    <w:rsid w:val="00E34F89"/>
    <w:rsid w:val="00E356C3"/>
    <w:rsid w:val="00E3618D"/>
    <w:rsid w:val="00E362F7"/>
    <w:rsid w:val="00E366F8"/>
    <w:rsid w:val="00E370EF"/>
    <w:rsid w:val="00E373AE"/>
    <w:rsid w:val="00E3746D"/>
    <w:rsid w:val="00E375A2"/>
    <w:rsid w:val="00E37A93"/>
    <w:rsid w:val="00E40E4F"/>
    <w:rsid w:val="00E421A9"/>
    <w:rsid w:val="00E43385"/>
    <w:rsid w:val="00E43746"/>
    <w:rsid w:val="00E4448B"/>
    <w:rsid w:val="00E44516"/>
    <w:rsid w:val="00E4561F"/>
    <w:rsid w:val="00E45EF8"/>
    <w:rsid w:val="00E46018"/>
    <w:rsid w:val="00E468EF"/>
    <w:rsid w:val="00E46EC0"/>
    <w:rsid w:val="00E47436"/>
    <w:rsid w:val="00E47CC1"/>
    <w:rsid w:val="00E47DAB"/>
    <w:rsid w:val="00E50D05"/>
    <w:rsid w:val="00E50EEB"/>
    <w:rsid w:val="00E5134C"/>
    <w:rsid w:val="00E52083"/>
    <w:rsid w:val="00E52301"/>
    <w:rsid w:val="00E53956"/>
    <w:rsid w:val="00E54AB6"/>
    <w:rsid w:val="00E54F94"/>
    <w:rsid w:val="00E55614"/>
    <w:rsid w:val="00E55F58"/>
    <w:rsid w:val="00E56070"/>
    <w:rsid w:val="00E56986"/>
    <w:rsid w:val="00E56D27"/>
    <w:rsid w:val="00E57ED4"/>
    <w:rsid w:val="00E6042F"/>
    <w:rsid w:val="00E60F3D"/>
    <w:rsid w:val="00E62CA8"/>
    <w:rsid w:val="00E63066"/>
    <w:rsid w:val="00E633D2"/>
    <w:rsid w:val="00E63957"/>
    <w:rsid w:val="00E63F65"/>
    <w:rsid w:val="00E6504E"/>
    <w:rsid w:val="00E65C8C"/>
    <w:rsid w:val="00E66108"/>
    <w:rsid w:val="00E6669B"/>
    <w:rsid w:val="00E66B04"/>
    <w:rsid w:val="00E66D0C"/>
    <w:rsid w:val="00E67FDA"/>
    <w:rsid w:val="00E700C2"/>
    <w:rsid w:val="00E7081A"/>
    <w:rsid w:val="00E7085F"/>
    <w:rsid w:val="00E711CF"/>
    <w:rsid w:val="00E72012"/>
    <w:rsid w:val="00E72D3C"/>
    <w:rsid w:val="00E73020"/>
    <w:rsid w:val="00E74417"/>
    <w:rsid w:val="00E7444E"/>
    <w:rsid w:val="00E74EFA"/>
    <w:rsid w:val="00E75542"/>
    <w:rsid w:val="00E75AD1"/>
    <w:rsid w:val="00E7672C"/>
    <w:rsid w:val="00E771E1"/>
    <w:rsid w:val="00E80A1D"/>
    <w:rsid w:val="00E82433"/>
    <w:rsid w:val="00E82DC8"/>
    <w:rsid w:val="00E84BAE"/>
    <w:rsid w:val="00E850B7"/>
    <w:rsid w:val="00E853E6"/>
    <w:rsid w:val="00E854BC"/>
    <w:rsid w:val="00E855B1"/>
    <w:rsid w:val="00E85744"/>
    <w:rsid w:val="00E85A97"/>
    <w:rsid w:val="00E863CB"/>
    <w:rsid w:val="00E86F2B"/>
    <w:rsid w:val="00E872E3"/>
    <w:rsid w:val="00E875A8"/>
    <w:rsid w:val="00E902FB"/>
    <w:rsid w:val="00E9078A"/>
    <w:rsid w:val="00E90C5D"/>
    <w:rsid w:val="00E90EB5"/>
    <w:rsid w:val="00E9124E"/>
    <w:rsid w:val="00E91A8E"/>
    <w:rsid w:val="00E923F2"/>
    <w:rsid w:val="00E92A70"/>
    <w:rsid w:val="00E9326A"/>
    <w:rsid w:val="00E94156"/>
    <w:rsid w:val="00E94AC9"/>
    <w:rsid w:val="00E94DC6"/>
    <w:rsid w:val="00E95972"/>
    <w:rsid w:val="00E95CA4"/>
    <w:rsid w:val="00E97505"/>
    <w:rsid w:val="00E97D4F"/>
    <w:rsid w:val="00E97F0C"/>
    <w:rsid w:val="00EA0CA9"/>
    <w:rsid w:val="00EA10CC"/>
    <w:rsid w:val="00EA19E9"/>
    <w:rsid w:val="00EA211C"/>
    <w:rsid w:val="00EA285E"/>
    <w:rsid w:val="00EA2DF4"/>
    <w:rsid w:val="00EA2E54"/>
    <w:rsid w:val="00EA309C"/>
    <w:rsid w:val="00EA3304"/>
    <w:rsid w:val="00EA390C"/>
    <w:rsid w:val="00EA3F38"/>
    <w:rsid w:val="00EA4B8A"/>
    <w:rsid w:val="00EA5A52"/>
    <w:rsid w:val="00EA5BF3"/>
    <w:rsid w:val="00EA5C20"/>
    <w:rsid w:val="00EA600E"/>
    <w:rsid w:val="00EA6ABD"/>
    <w:rsid w:val="00EA6F4D"/>
    <w:rsid w:val="00EA7212"/>
    <w:rsid w:val="00EA7E29"/>
    <w:rsid w:val="00EB18AC"/>
    <w:rsid w:val="00EB1CA6"/>
    <w:rsid w:val="00EB222B"/>
    <w:rsid w:val="00EB228F"/>
    <w:rsid w:val="00EB2F48"/>
    <w:rsid w:val="00EB307A"/>
    <w:rsid w:val="00EB3E9D"/>
    <w:rsid w:val="00EB4137"/>
    <w:rsid w:val="00EB4302"/>
    <w:rsid w:val="00EB490D"/>
    <w:rsid w:val="00EB4CF4"/>
    <w:rsid w:val="00EB5ADC"/>
    <w:rsid w:val="00EB5B33"/>
    <w:rsid w:val="00EB623C"/>
    <w:rsid w:val="00EB6314"/>
    <w:rsid w:val="00EB6C59"/>
    <w:rsid w:val="00EB6CFE"/>
    <w:rsid w:val="00EB7062"/>
    <w:rsid w:val="00EB7323"/>
    <w:rsid w:val="00EB78C3"/>
    <w:rsid w:val="00EC0397"/>
    <w:rsid w:val="00EC04D0"/>
    <w:rsid w:val="00EC079A"/>
    <w:rsid w:val="00EC1160"/>
    <w:rsid w:val="00EC14EC"/>
    <w:rsid w:val="00EC2D5B"/>
    <w:rsid w:val="00EC3492"/>
    <w:rsid w:val="00EC3D04"/>
    <w:rsid w:val="00EC5B53"/>
    <w:rsid w:val="00EC681B"/>
    <w:rsid w:val="00EC7054"/>
    <w:rsid w:val="00EC70C8"/>
    <w:rsid w:val="00ED0B47"/>
    <w:rsid w:val="00ED1490"/>
    <w:rsid w:val="00ED2000"/>
    <w:rsid w:val="00ED2CC7"/>
    <w:rsid w:val="00ED3A07"/>
    <w:rsid w:val="00ED3ED8"/>
    <w:rsid w:val="00ED4109"/>
    <w:rsid w:val="00ED4C71"/>
    <w:rsid w:val="00ED4E2C"/>
    <w:rsid w:val="00ED53F2"/>
    <w:rsid w:val="00ED5713"/>
    <w:rsid w:val="00ED70AF"/>
    <w:rsid w:val="00EE02AC"/>
    <w:rsid w:val="00EE02F7"/>
    <w:rsid w:val="00EE1410"/>
    <w:rsid w:val="00EE179A"/>
    <w:rsid w:val="00EE21C1"/>
    <w:rsid w:val="00EE332C"/>
    <w:rsid w:val="00EE3380"/>
    <w:rsid w:val="00EE34DE"/>
    <w:rsid w:val="00EE35ED"/>
    <w:rsid w:val="00EE360A"/>
    <w:rsid w:val="00EE3F39"/>
    <w:rsid w:val="00EE43E3"/>
    <w:rsid w:val="00EE4B71"/>
    <w:rsid w:val="00EE5F7A"/>
    <w:rsid w:val="00EE6BE7"/>
    <w:rsid w:val="00EE71E7"/>
    <w:rsid w:val="00EE726A"/>
    <w:rsid w:val="00EE7BDD"/>
    <w:rsid w:val="00EF0E5F"/>
    <w:rsid w:val="00EF138F"/>
    <w:rsid w:val="00EF28DE"/>
    <w:rsid w:val="00EF2A3D"/>
    <w:rsid w:val="00EF2E0B"/>
    <w:rsid w:val="00EF4814"/>
    <w:rsid w:val="00EF5B60"/>
    <w:rsid w:val="00EF5E19"/>
    <w:rsid w:val="00EF656C"/>
    <w:rsid w:val="00F0016B"/>
    <w:rsid w:val="00F02551"/>
    <w:rsid w:val="00F02697"/>
    <w:rsid w:val="00F02A73"/>
    <w:rsid w:val="00F041CB"/>
    <w:rsid w:val="00F0433D"/>
    <w:rsid w:val="00F049D3"/>
    <w:rsid w:val="00F05123"/>
    <w:rsid w:val="00F05586"/>
    <w:rsid w:val="00F05E66"/>
    <w:rsid w:val="00F06D7E"/>
    <w:rsid w:val="00F07199"/>
    <w:rsid w:val="00F10470"/>
    <w:rsid w:val="00F1079C"/>
    <w:rsid w:val="00F10A5B"/>
    <w:rsid w:val="00F11687"/>
    <w:rsid w:val="00F11DF6"/>
    <w:rsid w:val="00F124C8"/>
    <w:rsid w:val="00F12E0D"/>
    <w:rsid w:val="00F1439E"/>
    <w:rsid w:val="00F14732"/>
    <w:rsid w:val="00F1564B"/>
    <w:rsid w:val="00F169E0"/>
    <w:rsid w:val="00F16E55"/>
    <w:rsid w:val="00F17137"/>
    <w:rsid w:val="00F176FC"/>
    <w:rsid w:val="00F17C2D"/>
    <w:rsid w:val="00F21D0D"/>
    <w:rsid w:val="00F2214A"/>
    <w:rsid w:val="00F24944"/>
    <w:rsid w:val="00F25544"/>
    <w:rsid w:val="00F25753"/>
    <w:rsid w:val="00F25BAB"/>
    <w:rsid w:val="00F30099"/>
    <w:rsid w:val="00F300E6"/>
    <w:rsid w:val="00F30105"/>
    <w:rsid w:val="00F30864"/>
    <w:rsid w:val="00F313D5"/>
    <w:rsid w:val="00F31A9A"/>
    <w:rsid w:val="00F31B1E"/>
    <w:rsid w:val="00F326EF"/>
    <w:rsid w:val="00F32E21"/>
    <w:rsid w:val="00F33818"/>
    <w:rsid w:val="00F33BF0"/>
    <w:rsid w:val="00F33C0B"/>
    <w:rsid w:val="00F33C65"/>
    <w:rsid w:val="00F34027"/>
    <w:rsid w:val="00F345A4"/>
    <w:rsid w:val="00F35B8B"/>
    <w:rsid w:val="00F35BC3"/>
    <w:rsid w:val="00F36850"/>
    <w:rsid w:val="00F374B4"/>
    <w:rsid w:val="00F375FF"/>
    <w:rsid w:val="00F37E00"/>
    <w:rsid w:val="00F37F49"/>
    <w:rsid w:val="00F4069A"/>
    <w:rsid w:val="00F40C00"/>
    <w:rsid w:val="00F40C5E"/>
    <w:rsid w:val="00F40D01"/>
    <w:rsid w:val="00F42071"/>
    <w:rsid w:val="00F42094"/>
    <w:rsid w:val="00F42141"/>
    <w:rsid w:val="00F42642"/>
    <w:rsid w:val="00F42F5C"/>
    <w:rsid w:val="00F430B1"/>
    <w:rsid w:val="00F43D35"/>
    <w:rsid w:val="00F44591"/>
    <w:rsid w:val="00F4495F"/>
    <w:rsid w:val="00F45404"/>
    <w:rsid w:val="00F45B2E"/>
    <w:rsid w:val="00F45CC5"/>
    <w:rsid w:val="00F4634C"/>
    <w:rsid w:val="00F467A3"/>
    <w:rsid w:val="00F46850"/>
    <w:rsid w:val="00F47BFF"/>
    <w:rsid w:val="00F504D5"/>
    <w:rsid w:val="00F507E0"/>
    <w:rsid w:val="00F51298"/>
    <w:rsid w:val="00F5182A"/>
    <w:rsid w:val="00F51B9D"/>
    <w:rsid w:val="00F53360"/>
    <w:rsid w:val="00F5347C"/>
    <w:rsid w:val="00F5375C"/>
    <w:rsid w:val="00F53E62"/>
    <w:rsid w:val="00F53F08"/>
    <w:rsid w:val="00F542D1"/>
    <w:rsid w:val="00F54A81"/>
    <w:rsid w:val="00F54CD3"/>
    <w:rsid w:val="00F54ECF"/>
    <w:rsid w:val="00F54F0D"/>
    <w:rsid w:val="00F55610"/>
    <w:rsid w:val="00F556B3"/>
    <w:rsid w:val="00F55B31"/>
    <w:rsid w:val="00F56781"/>
    <w:rsid w:val="00F5689F"/>
    <w:rsid w:val="00F56A69"/>
    <w:rsid w:val="00F57D99"/>
    <w:rsid w:val="00F60C6B"/>
    <w:rsid w:val="00F61984"/>
    <w:rsid w:val="00F6260A"/>
    <w:rsid w:val="00F62B2F"/>
    <w:rsid w:val="00F63C59"/>
    <w:rsid w:val="00F6468D"/>
    <w:rsid w:val="00F64E29"/>
    <w:rsid w:val="00F64E5E"/>
    <w:rsid w:val="00F651EA"/>
    <w:rsid w:val="00F65226"/>
    <w:rsid w:val="00F65633"/>
    <w:rsid w:val="00F66C1E"/>
    <w:rsid w:val="00F678F4"/>
    <w:rsid w:val="00F67B91"/>
    <w:rsid w:val="00F67DDB"/>
    <w:rsid w:val="00F7085D"/>
    <w:rsid w:val="00F71549"/>
    <w:rsid w:val="00F71580"/>
    <w:rsid w:val="00F72D1B"/>
    <w:rsid w:val="00F72D44"/>
    <w:rsid w:val="00F72D73"/>
    <w:rsid w:val="00F74034"/>
    <w:rsid w:val="00F74928"/>
    <w:rsid w:val="00F75D8D"/>
    <w:rsid w:val="00F7673F"/>
    <w:rsid w:val="00F7681F"/>
    <w:rsid w:val="00F76C23"/>
    <w:rsid w:val="00F77539"/>
    <w:rsid w:val="00F80295"/>
    <w:rsid w:val="00F80A10"/>
    <w:rsid w:val="00F82061"/>
    <w:rsid w:val="00F825EE"/>
    <w:rsid w:val="00F8463A"/>
    <w:rsid w:val="00F84922"/>
    <w:rsid w:val="00F84D08"/>
    <w:rsid w:val="00F85567"/>
    <w:rsid w:val="00F858C6"/>
    <w:rsid w:val="00F86AE2"/>
    <w:rsid w:val="00F8709F"/>
    <w:rsid w:val="00F87486"/>
    <w:rsid w:val="00F907DF"/>
    <w:rsid w:val="00F90822"/>
    <w:rsid w:val="00F90EC8"/>
    <w:rsid w:val="00F913A7"/>
    <w:rsid w:val="00F91C0C"/>
    <w:rsid w:val="00F91D8E"/>
    <w:rsid w:val="00F9229A"/>
    <w:rsid w:val="00F922E2"/>
    <w:rsid w:val="00F932FC"/>
    <w:rsid w:val="00F94503"/>
    <w:rsid w:val="00F947AD"/>
    <w:rsid w:val="00F950CA"/>
    <w:rsid w:val="00F95D88"/>
    <w:rsid w:val="00F976B9"/>
    <w:rsid w:val="00F97944"/>
    <w:rsid w:val="00F979FD"/>
    <w:rsid w:val="00FA08F3"/>
    <w:rsid w:val="00FA0B6F"/>
    <w:rsid w:val="00FA0D15"/>
    <w:rsid w:val="00FA1265"/>
    <w:rsid w:val="00FA288F"/>
    <w:rsid w:val="00FA43F8"/>
    <w:rsid w:val="00FA44A5"/>
    <w:rsid w:val="00FA52B2"/>
    <w:rsid w:val="00FA6E3B"/>
    <w:rsid w:val="00FA73CD"/>
    <w:rsid w:val="00FA7434"/>
    <w:rsid w:val="00FB08D3"/>
    <w:rsid w:val="00FB1315"/>
    <w:rsid w:val="00FB1893"/>
    <w:rsid w:val="00FB1F1C"/>
    <w:rsid w:val="00FB2146"/>
    <w:rsid w:val="00FB25A8"/>
    <w:rsid w:val="00FB4B8A"/>
    <w:rsid w:val="00FB54FB"/>
    <w:rsid w:val="00FB5BBF"/>
    <w:rsid w:val="00FB5CC6"/>
    <w:rsid w:val="00FB659C"/>
    <w:rsid w:val="00FB6C5F"/>
    <w:rsid w:val="00FB799B"/>
    <w:rsid w:val="00FB7A42"/>
    <w:rsid w:val="00FC07C0"/>
    <w:rsid w:val="00FC0951"/>
    <w:rsid w:val="00FC09ED"/>
    <w:rsid w:val="00FC0C58"/>
    <w:rsid w:val="00FC180C"/>
    <w:rsid w:val="00FC19B5"/>
    <w:rsid w:val="00FC1AEA"/>
    <w:rsid w:val="00FC1DDC"/>
    <w:rsid w:val="00FC22B2"/>
    <w:rsid w:val="00FC275B"/>
    <w:rsid w:val="00FC2E15"/>
    <w:rsid w:val="00FC2ECA"/>
    <w:rsid w:val="00FC2F89"/>
    <w:rsid w:val="00FC367B"/>
    <w:rsid w:val="00FC36AC"/>
    <w:rsid w:val="00FC3DA2"/>
    <w:rsid w:val="00FC4C8A"/>
    <w:rsid w:val="00FC4D81"/>
    <w:rsid w:val="00FC587B"/>
    <w:rsid w:val="00FC603A"/>
    <w:rsid w:val="00FC61F1"/>
    <w:rsid w:val="00FC6542"/>
    <w:rsid w:val="00FD120B"/>
    <w:rsid w:val="00FD16A6"/>
    <w:rsid w:val="00FD1F2D"/>
    <w:rsid w:val="00FD3036"/>
    <w:rsid w:val="00FD3385"/>
    <w:rsid w:val="00FD346E"/>
    <w:rsid w:val="00FD39A9"/>
    <w:rsid w:val="00FD3F45"/>
    <w:rsid w:val="00FD4227"/>
    <w:rsid w:val="00FD4255"/>
    <w:rsid w:val="00FD56FE"/>
    <w:rsid w:val="00FD6643"/>
    <w:rsid w:val="00FD728F"/>
    <w:rsid w:val="00FD781E"/>
    <w:rsid w:val="00FD783E"/>
    <w:rsid w:val="00FE0AF0"/>
    <w:rsid w:val="00FE19A8"/>
    <w:rsid w:val="00FE1A10"/>
    <w:rsid w:val="00FE21E3"/>
    <w:rsid w:val="00FE26A8"/>
    <w:rsid w:val="00FE317D"/>
    <w:rsid w:val="00FE3829"/>
    <w:rsid w:val="00FE3C65"/>
    <w:rsid w:val="00FE4509"/>
    <w:rsid w:val="00FE59C9"/>
    <w:rsid w:val="00FE5E58"/>
    <w:rsid w:val="00FE5EE5"/>
    <w:rsid w:val="00FE61B0"/>
    <w:rsid w:val="00FE738E"/>
    <w:rsid w:val="00FE7947"/>
    <w:rsid w:val="00FF0266"/>
    <w:rsid w:val="00FF0F18"/>
    <w:rsid w:val="00FF14CF"/>
    <w:rsid w:val="00FF1B6A"/>
    <w:rsid w:val="00FF21F5"/>
    <w:rsid w:val="00FF2B7C"/>
    <w:rsid w:val="00FF2E4B"/>
    <w:rsid w:val="00FF30F2"/>
    <w:rsid w:val="00FF3123"/>
    <w:rsid w:val="00FF37FF"/>
    <w:rsid w:val="00FF3BE4"/>
    <w:rsid w:val="00FF4765"/>
    <w:rsid w:val="00FF4ACB"/>
    <w:rsid w:val="00FF5040"/>
    <w:rsid w:val="00FF57DE"/>
    <w:rsid w:val="00FF5E0D"/>
    <w:rsid w:val="00FF6605"/>
    <w:rsid w:val="00FF66BE"/>
    <w:rsid w:val="00FF6931"/>
    <w:rsid w:val="00FF7180"/>
    <w:rsid w:val="00FF757E"/>
    <w:rsid w:val="00FF78DB"/>
    <w:rsid w:val="00FF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2"/>
    </o:shapelayout>
  </w:shapeDefaults>
  <w:decimalSymbol w:val="."/>
  <w:listSeparator w:val=","/>
  <w14:docId w14:val="61CEEFE4"/>
  <w15:docId w15:val="{4CD434F0-3BE7-4FC9-B26A-50484784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0A1D"/>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semiHidden/>
    <w:unhideWhenUsed/>
    <w:qFormat/>
    <w:rsid w:val="00E80A1D"/>
    <w:pPr>
      <w:keepNext/>
      <w:spacing w:before="240" w:after="60" w:line="240" w:lineRule="auto"/>
      <w:outlineLvl w:val="1"/>
    </w:pPr>
    <w:rPr>
      <w:rFonts w:ascii="Calibri Light" w:eastAsia="Times New Roman" w:hAnsi="Calibri Light"/>
      <w:b/>
      <w:bCs/>
      <w:i/>
      <w:i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styleId="UnresolvedMention">
    <w:name w:val="Unresolved Mention"/>
    <w:basedOn w:val="DefaultParagraphFont"/>
    <w:uiPriority w:val="99"/>
    <w:semiHidden/>
    <w:unhideWhenUsed/>
    <w:rsid w:val="00184D12"/>
    <w:rPr>
      <w:color w:val="605E5C"/>
      <w:shd w:val="clear" w:color="auto" w:fill="E1DFDD"/>
    </w:rPr>
  </w:style>
  <w:style w:type="paragraph" w:styleId="FootnoteText">
    <w:name w:val="footnote text"/>
    <w:basedOn w:val="Normal"/>
    <w:link w:val="FootnoteTextChar1"/>
    <w:unhideWhenUsed/>
    <w:rsid w:val="006C05AB"/>
    <w:pPr>
      <w:spacing w:after="0" w:line="240" w:lineRule="auto"/>
    </w:pPr>
    <w:rPr>
      <w:rFonts w:ascii="Calibri" w:eastAsia="Calibri" w:hAnsi="Calibri"/>
      <w:sz w:val="20"/>
      <w:szCs w:val="20"/>
      <w:lang w:val="x-none" w:eastAsia="x-none"/>
    </w:rPr>
  </w:style>
  <w:style w:type="character" w:customStyle="1" w:styleId="FootnoteTextChar">
    <w:name w:val="Footnote Text Char"/>
    <w:basedOn w:val="DefaultParagraphFont"/>
    <w:uiPriority w:val="99"/>
    <w:rsid w:val="006C05AB"/>
    <w:rPr>
      <w:sz w:val="20"/>
      <w:szCs w:val="20"/>
    </w:rPr>
  </w:style>
  <w:style w:type="character" w:customStyle="1" w:styleId="FootnoteTextChar1">
    <w:name w:val="Footnote Text Char1"/>
    <w:link w:val="FootnoteText"/>
    <w:uiPriority w:val="99"/>
    <w:rsid w:val="006C05A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E80A1D"/>
    <w:rPr>
      <w:vertAlign w:val="superscript"/>
    </w:rPr>
  </w:style>
  <w:style w:type="character" w:customStyle="1" w:styleId="Heading1Char">
    <w:name w:val="Heading 1 Char"/>
    <w:basedOn w:val="DefaultParagraphFont"/>
    <w:link w:val="Heading1"/>
    <w:uiPriority w:val="9"/>
    <w:rsid w:val="00E80A1D"/>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uiPriority w:val="9"/>
    <w:semiHidden/>
    <w:rsid w:val="00E80A1D"/>
    <w:rPr>
      <w:rFonts w:ascii="Calibri Light" w:eastAsia="Times New Roman" w:hAnsi="Calibri Light" w:cs="Times New Roman"/>
      <w:b/>
      <w:bCs/>
      <w:i/>
      <w:iCs/>
      <w:kern w:val="32"/>
      <w:sz w:val="28"/>
      <w:szCs w:val="28"/>
    </w:rPr>
  </w:style>
  <w:style w:type="character" w:customStyle="1" w:styleId="apple-converted-space">
    <w:name w:val="apple-converted-space"/>
    <w:rsid w:val="00E80A1D"/>
    <w:rPr>
      <w:rFonts w:ascii="Times New Roman" w:hAnsi="Times New Roman" w:cs="Times New Roman" w:hint="default"/>
    </w:rPr>
  </w:style>
  <w:style w:type="character" w:customStyle="1" w:styleId="pagetitle1">
    <w:name w:val="pagetitle1"/>
    <w:rsid w:val="00E80A1D"/>
    <w:rPr>
      <w:rFonts w:ascii="Arial" w:hAnsi="Arial" w:cs="Arial" w:hint="default"/>
      <w:b/>
      <w:bCs/>
      <w:sz w:val="32"/>
      <w:szCs w:val="32"/>
    </w:rPr>
  </w:style>
  <w:style w:type="character" w:customStyle="1" w:styleId="il">
    <w:name w:val="il"/>
    <w:basedOn w:val="DefaultParagraphFont"/>
    <w:rsid w:val="00E80A1D"/>
  </w:style>
  <w:style w:type="paragraph" w:styleId="NormalWeb">
    <w:name w:val="Normal (Web)"/>
    <w:basedOn w:val="Normal"/>
    <w:uiPriority w:val="99"/>
    <w:semiHidden/>
    <w:unhideWhenUsed/>
    <w:rsid w:val="00E80A1D"/>
    <w:pPr>
      <w:spacing w:before="100" w:beforeAutospacing="1" w:after="100" w:afterAutospacing="1" w:line="240" w:lineRule="auto"/>
    </w:pPr>
    <w:rPr>
      <w:rFonts w:eastAsia="Times New Roman"/>
    </w:rPr>
  </w:style>
  <w:style w:type="character" w:customStyle="1" w:styleId="def">
    <w:name w:val="def"/>
    <w:basedOn w:val="DefaultParagraphFont"/>
    <w:rsid w:val="00E80A1D"/>
  </w:style>
  <w:style w:type="character" w:styleId="Strong">
    <w:name w:val="Strong"/>
    <w:uiPriority w:val="22"/>
    <w:qFormat/>
    <w:rsid w:val="00E80A1D"/>
    <w:rPr>
      <w:b/>
      <w:bCs/>
    </w:rPr>
  </w:style>
  <w:style w:type="character" w:customStyle="1" w:styleId="downloadlink">
    <w:name w:val="downloadlink"/>
    <w:basedOn w:val="DefaultParagraphFont"/>
    <w:rsid w:val="00E80A1D"/>
  </w:style>
  <w:style w:type="character" w:styleId="Emphasis">
    <w:name w:val="Emphasis"/>
    <w:uiPriority w:val="20"/>
    <w:qFormat/>
    <w:rsid w:val="00E80A1D"/>
    <w:rPr>
      <w:i/>
      <w:iCs/>
    </w:rPr>
  </w:style>
  <w:style w:type="paragraph" w:styleId="BodyText2">
    <w:name w:val="Body Text 2"/>
    <w:basedOn w:val="Normal"/>
    <w:link w:val="BodyText2Char"/>
    <w:rsid w:val="00E80A1D"/>
    <w:pPr>
      <w:spacing w:after="120" w:line="480" w:lineRule="auto"/>
    </w:pPr>
    <w:rPr>
      <w:rFonts w:eastAsia="Times New Roman"/>
    </w:rPr>
  </w:style>
  <w:style w:type="character" w:customStyle="1" w:styleId="BodyText2Char">
    <w:name w:val="Body Text 2 Char"/>
    <w:basedOn w:val="DefaultParagraphFont"/>
    <w:link w:val="BodyText2"/>
    <w:rsid w:val="00E80A1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80A1D"/>
    <w:pPr>
      <w:spacing w:after="0" w:line="240" w:lineRule="auto"/>
    </w:pPr>
    <w:rPr>
      <w:rFonts w:eastAsia="Times New Roman" w:cs="Arial"/>
      <w:bCs/>
      <w:kern w:val="32"/>
      <w:sz w:val="20"/>
      <w:szCs w:val="20"/>
    </w:rPr>
  </w:style>
  <w:style w:type="character" w:customStyle="1" w:styleId="EndnoteTextChar">
    <w:name w:val="Endnote Text Char"/>
    <w:basedOn w:val="DefaultParagraphFont"/>
    <w:link w:val="EndnoteText"/>
    <w:uiPriority w:val="99"/>
    <w:semiHidden/>
    <w:rsid w:val="00E80A1D"/>
    <w:rPr>
      <w:rFonts w:ascii="Times New Roman" w:eastAsia="Times New Roman" w:hAnsi="Times New Roman" w:cs="Arial"/>
      <w:bCs/>
      <w:kern w:val="32"/>
      <w:sz w:val="20"/>
      <w:szCs w:val="20"/>
    </w:rPr>
  </w:style>
  <w:style w:type="character" w:styleId="EndnoteReference">
    <w:name w:val="endnote reference"/>
    <w:uiPriority w:val="99"/>
    <w:semiHidden/>
    <w:unhideWhenUsed/>
    <w:rsid w:val="00E80A1D"/>
    <w:rPr>
      <w:vertAlign w:val="superscript"/>
    </w:rPr>
  </w:style>
  <w:style w:type="table" w:customStyle="1" w:styleId="TableGrid1">
    <w:name w:val="Table Grid1"/>
    <w:basedOn w:val="TableNormal"/>
    <w:next w:val="TableGrid"/>
    <w:uiPriority w:val="59"/>
    <w:rsid w:val="00E80A1D"/>
    <w:pPr>
      <w:spacing w:after="0" w:line="240" w:lineRule="auto"/>
    </w:pPr>
    <w:rPr>
      <w:rFonts w:ascii="Calibri" w:eastAsia="Calibri" w:hAnsi="Calibr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80A1D"/>
    <w:pPr>
      <w:spacing w:after="0" w:line="240" w:lineRule="auto"/>
      <w:jc w:val="center"/>
    </w:pPr>
    <w:rPr>
      <w:rFonts w:eastAsia="Times New Roman"/>
      <w:b/>
      <w:bCs/>
    </w:rPr>
  </w:style>
  <w:style w:type="character" w:customStyle="1" w:styleId="TitleChar">
    <w:name w:val="Title Char"/>
    <w:basedOn w:val="DefaultParagraphFont"/>
    <w:link w:val="Title"/>
    <w:rsid w:val="00E80A1D"/>
    <w:rPr>
      <w:rFonts w:ascii="Times New Roman" w:eastAsia="Times New Roman" w:hAnsi="Times New Roman" w:cs="Times New Roman"/>
      <w:b/>
      <w:bCs/>
      <w:sz w:val="24"/>
      <w:szCs w:val="24"/>
    </w:rPr>
  </w:style>
  <w:style w:type="paragraph" w:customStyle="1" w:styleId="frfield">
    <w:name w:val="fr_field"/>
    <w:basedOn w:val="Normal"/>
    <w:rsid w:val="00E80A1D"/>
    <w:pPr>
      <w:spacing w:before="100" w:beforeAutospacing="1" w:after="100" w:afterAutospacing="1" w:line="240" w:lineRule="auto"/>
    </w:pPr>
    <w:rPr>
      <w:rFonts w:eastAsia="Times New Roman"/>
    </w:rPr>
  </w:style>
  <w:style w:type="character" w:customStyle="1" w:styleId="frlabel">
    <w:name w:val="fr_label"/>
    <w:rsid w:val="00E80A1D"/>
  </w:style>
  <w:style w:type="paragraph" w:customStyle="1" w:styleId="sourcetitle">
    <w:name w:val="sourcetitle"/>
    <w:basedOn w:val="Normal"/>
    <w:rsid w:val="00E80A1D"/>
    <w:pPr>
      <w:spacing w:before="100" w:beforeAutospacing="1" w:after="100" w:afterAutospacing="1" w:line="240" w:lineRule="auto"/>
    </w:pPr>
    <w:rPr>
      <w:rFonts w:eastAsia="Times New Roman"/>
    </w:rPr>
  </w:style>
  <w:style w:type="character" w:styleId="HTMLCite">
    <w:name w:val="HTML Cite"/>
    <w:uiPriority w:val="99"/>
    <w:semiHidden/>
    <w:unhideWhenUsed/>
    <w:rsid w:val="00E80A1D"/>
    <w:rPr>
      <w:i/>
      <w:iCs/>
    </w:rPr>
  </w:style>
  <w:style w:type="character" w:customStyle="1" w:styleId="author">
    <w:name w:val="author"/>
    <w:rsid w:val="00E80A1D"/>
  </w:style>
  <w:style w:type="character" w:customStyle="1" w:styleId="pubyear">
    <w:name w:val="pubyear"/>
    <w:rsid w:val="00E80A1D"/>
  </w:style>
  <w:style w:type="character" w:customStyle="1" w:styleId="articletitle">
    <w:name w:val="articletitle"/>
    <w:rsid w:val="00E80A1D"/>
  </w:style>
  <w:style w:type="character" w:customStyle="1" w:styleId="journaltitle">
    <w:name w:val="journaltitle"/>
    <w:rsid w:val="00E80A1D"/>
  </w:style>
  <w:style w:type="character" w:customStyle="1" w:styleId="vol">
    <w:name w:val="vol"/>
    <w:rsid w:val="00E80A1D"/>
  </w:style>
  <w:style w:type="character" w:customStyle="1" w:styleId="pagefirst">
    <w:name w:val="pagefirst"/>
    <w:rsid w:val="00E80A1D"/>
  </w:style>
  <w:style w:type="character" w:customStyle="1" w:styleId="pagelast">
    <w:name w:val="pagelast"/>
    <w:rsid w:val="00E80A1D"/>
  </w:style>
  <w:style w:type="character" w:customStyle="1" w:styleId="size-xl">
    <w:name w:val="size-xl"/>
    <w:rsid w:val="00E80A1D"/>
  </w:style>
  <w:style w:type="character" w:customStyle="1" w:styleId="MTEquationSection">
    <w:name w:val="MTEquationSection"/>
    <w:rsid w:val="00E80A1D"/>
    <w:rPr>
      <w:b/>
      <w:caps/>
      <w:vanish/>
      <w:color w:val="FF0000"/>
      <w:szCs w:val="24"/>
    </w:rPr>
  </w:style>
  <w:style w:type="paragraph" w:customStyle="1" w:styleId="MTDisplayEquation">
    <w:name w:val="MTDisplayEquation"/>
    <w:basedOn w:val="Normal"/>
    <w:next w:val="Normal"/>
    <w:link w:val="MTDisplayEquationChar"/>
    <w:rsid w:val="00E80A1D"/>
    <w:pPr>
      <w:tabs>
        <w:tab w:val="center" w:pos="4680"/>
        <w:tab w:val="right" w:pos="9360"/>
      </w:tabs>
      <w:spacing w:after="0" w:line="360" w:lineRule="auto"/>
      <w:jc w:val="both"/>
    </w:pPr>
    <w:rPr>
      <w:rFonts w:eastAsia="Times New Roman" w:cs="Arial"/>
      <w:bCs/>
      <w:kern w:val="32"/>
      <w:szCs w:val="32"/>
    </w:rPr>
  </w:style>
  <w:style w:type="character" w:customStyle="1" w:styleId="MTDisplayEquationChar">
    <w:name w:val="MTDisplayEquation Char"/>
    <w:link w:val="MTDisplayEquation"/>
    <w:rsid w:val="00E80A1D"/>
    <w:rPr>
      <w:rFonts w:ascii="Times New Roman" w:eastAsia="Times New Roman" w:hAnsi="Times New Roman"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35330367">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021809569">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61.bin"/><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image" Target="media/image72.wmf"/><Relationship Id="rId324" Type="http://schemas.openxmlformats.org/officeDocument/2006/relationships/oleObject" Target="embeddings/oleObject174.bin"/><Relationship Id="rId366" Type="http://schemas.openxmlformats.org/officeDocument/2006/relationships/image" Target="media/image168.wmf"/><Relationship Id="rId170" Type="http://schemas.openxmlformats.org/officeDocument/2006/relationships/image" Target="media/image77.wmf"/><Relationship Id="rId226" Type="http://schemas.openxmlformats.org/officeDocument/2006/relationships/oleObject" Target="embeddings/oleObject120.bin"/><Relationship Id="rId433" Type="http://schemas.openxmlformats.org/officeDocument/2006/relationships/hyperlink" Target="http://microdata.gov.in/nada43/index.php/catalog/138/" TargetMode="External"/><Relationship Id="rId268" Type="http://schemas.openxmlformats.org/officeDocument/2006/relationships/image" Target="media/image121.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7.wmf"/><Relationship Id="rId335" Type="http://schemas.openxmlformats.org/officeDocument/2006/relationships/image" Target="media/image154.wmf"/><Relationship Id="rId377" Type="http://schemas.openxmlformats.org/officeDocument/2006/relationships/image" Target="media/image173.wmf"/><Relationship Id="rId5" Type="http://schemas.openxmlformats.org/officeDocument/2006/relationships/settings" Target="settings.xml"/><Relationship Id="rId181" Type="http://schemas.openxmlformats.org/officeDocument/2006/relationships/oleObject" Target="embeddings/oleObject97.bin"/><Relationship Id="rId237" Type="http://schemas.openxmlformats.org/officeDocument/2006/relationships/oleObject" Target="embeddings/oleObject126.bin"/><Relationship Id="rId402" Type="http://schemas.openxmlformats.org/officeDocument/2006/relationships/oleObject" Target="embeddings/oleObject216.bin"/><Relationship Id="rId279" Type="http://schemas.openxmlformats.org/officeDocument/2006/relationships/oleObject" Target="embeddings/oleObject150.bin"/><Relationship Id="rId43" Type="http://schemas.openxmlformats.org/officeDocument/2006/relationships/oleObject" Target="embeddings/oleObject19.bin"/><Relationship Id="rId139" Type="http://schemas.openxmlformats.org/officeDocument/2006/relationships/oleObject" Target="embeddings/oleObject74.bin"/><Relationship Id="rId290" Type="http://schemas.openxmlformats.org/officeDocument/2006/relationships/image" Target="media/image132.wmf"/><Relationship Id="rId304" Type="http://schemas.openxmlformats.org/officeDocument/2006/relationships/image" Target="media/image140.wmf"/><Relationship Id="rId346" Type="http://schemas.openxmlformats.org/officeDocument/2006/relationships/image" Target="media/image159.wmf"/><Relationship Id="rId388" Type="http://schemas.openxmlformats.org/officeDocument/2006/relationships/oleObject" Target="embeddings/oleObject209.bin"/><Relationship Id="rId85" Type="http://schemas.openxmlformats.org/officeDocument/2006/relationships/oleObject" Target="embeddings/oleObject46.bin"/><Relationship Id="rId150" Type="http://schemas.openxmlformats.org/officeDocument/2006/relationships/oleObject" Target="embeddings/oleObject80.bin"/><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oleObject" Target="embeddings/oleObject222.bin"/><Relationship Id="rId248" Type="http://schemas.openxmlformats.org/officeDocument/2006/relationships/oleObject" Target="embeddings/oleObject133.bin"/><Relationship Id="rId12" Type="http://schemas.openxmlformats.org/officeDocument/2006/relationships/hyperlink" Target="mailto:aupal.mondal@utexas.edu" TargetMode="External"/><Relationship Id="rId108" Type="http://schemas.openxmlformats.org/officeDocument/2006/relationships/oleObject" Target="embeddings/oleObject58.bin"/><Relationship Id="rId315" Type="http://schemas.openxmlformats.org/officeDocument/2006/relationships/oleObject" Target="embeddings/oleObject169.bin"/><Relationship Id="rId357" Type="http://schemas.openxmlformats.org/officeDocument/2006/relationships/image" Target="media/image164.wmf"/><Relationship Id="rId54" Type="http://schemas.openxmlformats.org/officeDocument/2006/relationships/image" Target="media/image22.wmf"/><Relationship Id="rId96" Type="http://schemas.openxmlformats.org/officeDocument/2006/relationships/image" Target="media/image42.wmf"/><Relationship Id="rId161" Type="http://schemas.openxmlformats.org/officeDocument/2006/relationships/image" Target="media/image73.wmf"/><Relationship Id="rId217" Type="http://schemas.openxmlformats.org/officeDocument/2006/relationships/image" Target="media/image99.wmf"/><Relationship Id="rId399" Type="http://schemas.openxmlformats.org/officeDocument/2006/relationships/image" Target="media/image184.wmf"/><Relationship Id="rId259" Type="http://schemas.openxmlformats.org/officeDocument/2006/relationships/oleObject" Target="embeddings/oleObject140.bin"/><Relationship Id="rId424" Type="http://schemas.openxmlformats.org/officeDocument/2006/relationships/image" Target="media/image200.wmf"/><Relationship Id="rId23" Type="http://schemas.openxmlformats.org/officeDocument/2006/relationships/image" Target="media/image7.wmf"/><Relationship Id="rId119" Type="http://schemas.openxmlformats.org/officeDocument/2006/relationships/oleObject" Target="embeddings/oleObject64.bin"/><Relationship Id="rId270" Type="http://schemas.openxmlformats.org/officeDocument/2006/relationships/image" Target="media/image122.wmf"/><Relationship Id="rId326" Type="http://schemas.openxmlformats.org/officeDocument/2006/relationships/oleObject" Target="embeddings/oleObject175.bin"/><Relationship Id="rId65" Type="http://schemas.openxmlformats.org/officeDocument/2006/relationships/image" Target="media/image28.wmf"/><Relationship Id="rId130" Type="http://schemas.openxmlformats.org/officeDocument/2006/relationships/image" Target="media/image58.wmf"/><Relationship Id="rId368" Type="http://schemas.openxmlformats.org/officeDocument/2006/relationships/image" Target="media/image169.wmf"/><Relationship Id="rId172" Type="http://schemas.openxmlformats.org/officeDocument/2006/relationships/image" Target="media/image78.wmf"/><Relationship Id="rId228" Type="http://schemas.openxmlformats.org/officeDocument/2006/relationships/oleObject" Target="embeddings/oleObject121.bin"/><Relationship Id="rId435" Type="http://schemas.openxmlformats.org/officeDocument/2006/relationships/footer" Target="footer3.xml"/><Relationship Id="rId281" Type="http://schemas.openxmlformats.org/officeDocument/2006/relationships/oleObject" Target="embeddings/oleObject151.bin"/><Relationship Id="rId337" Type="http://schemas.openxmlformats.org/officeDocument/2006/relationships/oleObject" Target="embeddings/oleObject182.bin"/><Relationship Id="rId34" Type="http://schemas.openxmlformats.org/officeDocument/2006/relationships/image" Target="media/image12.wmf"/><Relationship Id="rId76" Type="http://schemas.openxmlformats.org/officeDocument/2006/relationships/oleObject" Target="embeddings/oleObject40.bin"/><Relationship Id="rId141" Type="http://schemas.openxmlformats.org/officeDocument/2006/relationships/oleObject" Target="embeddings/oleObject75.bin"/><Relationship Id="rId379" Type="http://schemas.openxmlformats.org/officeDocument/2006/relationships/image" Target="media/image174.wmf"/><Relationship Id="rId7" Type="http://schemas.openxmlformats.org/officeDocument/2006/relationships/footnotes" Target="footnotes.xml"/><Relationship Id="rId183" Type="http://schemas.openxmlformats.org/officeDocument/2006/relationships/oleObject" Target="embeddings/oleObject98.bin"/><Relationship Id="rId239" Type="http://schemas.openxmlformats.org/officeDocument/2006/relationships/oleObject" Target="embeddings/oleObject127.bin"/><Relationship Id="rId390" Type="http://schemas.openxmlformats.org/officeDocument/2006/relationships/oleObject" Target="embeddings/oleObject210.bin"/><Relationship Id="rId404" Type="http://schemas.openxmlformats.org/officeDocument/2006/relationships/oleObject" Target="embeddings/oleObject217.bin"/><Relationship Id="rId250" Type="http://schemas.openxmlformats.org/officeDocument/2006/relationships/oleObject" Target="embeddings/oleObject135.bin"/><Relationship Id="rId292" Type="http://schemas.openxmlformats.org/officeDocument/2006/relationships/image" Target="media/image133.wmf"/><Relationship Id="rId306" Type="http://schemas.openxmlformats.org/officeDocument/2006/relationships/image" Target="media/image141.wmf"/><Relationship Id="rId45" Type="http://schemas.openxmlformats.org/officeDocument/2006/relationships/oleObject" Target="embeddings/oleObject20.bin"/><Relationship Id="rId87" Type="http://schemas.openxmlformats.org/officeDocument/2006/relationships/oleObject" Target="embeddings/oleObject47.bin"/><Relationship Id="rId110" Type="http://schemas.openxmlformats.org/officeDocument/2006/relationships/oleObject" Target="embeddings/oleObject59.bin"/><Relationship Id="rId348" Type="http://schemas.openxmlformats.org/officeDocument/2006/relationships/image" Target="media/image160.wmf"/><Relationship Id="rId152" Type="http://schemas.openxmlformats.org/officeDocument/2006/relationships/oleObject" Target="embeddings/oleObject81.bin"/><Relationship Id="rId194" Type="http://schemas.openxmlformats.org/officeDocument/2006/relationships/image" Target="media/image88.wmf"/><Relationship Id="rId208" Type="http://schemas.openxmlformats.org/officeDocument/2006/relationships/image" Target="media/image95.wmf"/><Relationship Id="rId415" Type="http://schemas.openxmlformats.org/officeDocument/2006/relationships/oleObject" Target="embeddings/oleObject228.bin"/><Relationship Id="rId261" Type="http://schemas.openxmlformats.org/officeDocument/2006/relationships/oleObject" Target="embeddings/oleObject141.bin"/><Relationship Id="rId14" Type="http://schemas.openxmlformats.org/officeDocument/2006/relationships/footer" Target="footer1.xml"/><Relationship Id="rId56" Type="http://schemas.openxmlformats.org/officeDocument/2006/relationships/image" Target="media/image23.wmf"/><Relationship Id="rId317" Type="http://schemas.openxmlformats.org/officeDocument/2006/relationships/oleObject" Target="embeddings/oleObject170.bin"/><Relationship Id="rId359" Type="http://schemas.openxmlformats.org/officeDocument/2006/relationships/image" Target="media/image165.wmf"/><Relationship Id="rId98" Type="http://schemas.openxmlformats.org/officeDocument/2006/relationships/image" Target="media/image43.wmf"/><Relationship Id="rId121" Type="http://schemas.openxmlformats.org/officeDocument/2006/relationships/oleObject" Target="embeddings/oleObject65.bin"/><Relationship Id="rId163" Type="http://schemas.openxmlformats.org/officeDocument/2006/relationships/image" Target="media/image74.wmf"/><Relationship Id="rId219" Type="http://schemas.openxmlformats.org/officeDocument/2006/relationships/image" Target="media/image100.wmf"/><Relationship Id="rId370" Type="http://schemas.openxmlformats.org/officeDocument/2006/relationships/image" Target="media/image170.wmf"/><Relationship Id="rId426" Type="http://schemas.openxmlformats.org/officeDocument/2006/relationships/oleObject" Target="embeddings/oleObject235.bin"/><Relationship Id="rId230" Type="http://schemas.openxmlformats.org/officeDocument/2006/relationships/image" Target="media/image105.wmf"/><Relationship Id="rId25" Type="http://schemas.openxmlformats.org/officeDocument/2006/relationships/image" Target="media/image8.wmf"/><Relationship Id="rId67" Type="http://schemas.openxmlformats.org/officeDocument/2006/relationships/image" Target="media/image29.wmf"/><Relationship Id="rId272" Type="http://schemas.openxmlformats.org/officeDocument/2006/relationships/image" Target="media/image123.wmf"/><Relationship Id="rId328" Type="http://schemas.openxmlformats.org/officeDocument/2006/relationships/image" Target="media/image151.wmf"/><Relationship Id="rId132" Type="http://schemas.openxmlformats.org/officeDocument/2006/relationships/image" Target="media/image59.wmf"/><Relationship Id="rId174" Type="http://schemas.openxmlformats.org/officeDocument/2006/relationships/image" Target="media/image79.wmf"/><Relationship Id="rId381" Type="http://schemas.openxmlformats.org/officeDocument/2006/relationships/image" Target="media/image175.wmf"/><Relationship Id="rId241" Type="http://schemas.openxmlformats.org/officeDocument/2006/relationships/oleObject" Target="embeddings/oleObject128.bin"/><Relationship Id="rId437" Type="http://schemas.openxmlformats.org/officeDocument/2006/relationships/oleObject" Target="embeddings/oleObject239.bin"/><Relationship Id="rId36" Type="http://schemas.openxmlformats.org/officeDocument/2006/relationships/image" Target="media/image13.wmf"/><Relationship Id="rId283" Type="http://schemas.openxmlformats.org/officeDocument/2006/relationships/oleObject" Target="embeddings/oleObject152.bin"/><Relationship Id="rId339" Type="http://schemas.openxmlformats.org/officeDocument/2006/relationships/oleObject" Target="embeddings/oleObject183.bin"/><Relationship Id="rId78" Type="http://schemas.openxmlformats.org/officeDocument/2006/relationships/oleObject" Target="embeddings/oleObject41.bin"/><Relationship Id="rId101" Type="http://schemas.openxmlformats.org/officeDocument/2006/relationships/image" Target="media/image44.wmf"/><Relationship Id="rId143" Type="http://schemas.openxmlformats.org/officeDocument/2006/relationships/oleObject" Target="embeddings/oleObject76.bin"/><Relationship Id="rId185" Type="http://schemas.openxmlformats.org/officeDocument/2006/relationships/oleObject" Target="embeddings/oleObject99.bin"/><Relationship Id="rId350" Type="http://schemas.openxmlformats.org/officeDocument/2006/relationships/image" Target="media/image161.wmf"/><Relationship Id="rId406" Type="http://schemas.openxmlformats.org/officeDocument/2006/relationships/oleObject" Target="embeddings/oleObject218.bin"/><Relationship Id="rId9" Type="http://schemas.openxmlformats.org/officeDocument/2006/relationships/hyperlink" Target="mailto:shobhits@iisc.ac.in" TargetMode="External"/><Relationship Id="rId210" Type="http://schemas.openxmlformats.org/officeDocument/2006/relationships/oleObject" Target="embeddings/oleObject112.bin"/><Relationship Id="rId392" Type="http://schemas.openxmlformats.org/officeDocument/2006/relationships/oleObject" Target="embeddings/oleObject211.bin"/><Relationship Id="rId252" Type="http://schemas.openxmlformats.org/officeDocument/2006/relationships/oleObject" Target="embeddings/oleObject136.bin"/><Relationship Id="rId294" Type="http://schemas.openxmlformats.org/officeDocument/2006/relationships/image" Target="media/image135.wmf"/><Relationship Id="rId308" Type="http://schemas.openxmlformats.org/officeDocument/2006/relationships/image" Target="media/image142.wmf"/><Relationship Id="rId47" Type="http://schemas.openxmlformats.org/officeDocument/2006/relationships/oleObject" Target="embeddings/oleObject21.bin"/><Relationship Id="rId89" Type="http://schemas.openxmlformats.org/officeDocument/2006/relationships/oleObject" Target="embeddings/oleObject48.bin"/><Relationship Id="rId112" Type="http://schemas.openxmlformats.org/officeDocument/2006/relationships/oleObject" Target="embeddings/oleObject60.bin"/><Relationship Id="rId154" Type="http://schemas.openxmlformats.org/officeDocument/2006/relationships/oleObject" Target="embeddings/oleObject82.bin"/><Relationship Id="rId361" Type="http://schemas.openxmlformats.org/officeDocument/2006/relationships/image" Target="media/image166.wmf"/><Relationship Id="rId196" Type="http://schemas.openxmlformats.org/officeDocument/2006/relationships/image" Target="media/image89.wmf"/><Relationship Id="rId417" Type="http://schemas.openxmlformats.org/officeDocument/2006/relationships/image" Target="media/image197.wmf"/><Relationship Id="rId16" Type="http://schemas.openxmlformats.org/officeDocument/2006/relationships/oleObject" Target="embeddings/oleObject5.bin"/><Relationship Id="rId221" Type="http://schemas.openxmlformats.org/officeDocument/2006/relationships/image" Target="media/image101.wmf"/><Relationship Id="rId263" Type="http://schemas.openxmlformats.org/officeDocument/2006/relationships/oleObject" Target="embeddings/oleObject142.bin"/><Relationship Id="rId319" Type="http://schemas.openxmlformats.org/officeDocument/2006/relationships/oleObject" Target="embeddings/oleObject171.bin"/><Relationship Id="rId58" Type="http://schemas.openxmlformats.org/officeDocument/2006/relationships/image" Target="media/image25.wmf"/><Relationship Id="rId123" Type="http://schemas.openxmlformats.org/officeDocument/2006/relationships/oleObject" Target="embeddings/oleObject66.bin"/><Relationship Id="rId330" Type="http://schemas.openxmlformats.org/officeDocument/2006/relationships/image" Target="media/image152.wmf"/><Relationship Id="rId165" Type="http://schemas.openxmlformats.org/officeDocument/2006/relationships/oleObject" Target="embeddings/oleObject88.bin"/><Relationship Id="rId372" Type="http://schemas.openxmlformats.org/officeDocument/2006/relationships/image" Target="media/image171.wmf"/><Relationship Id="rId428" Type="http://schemas.openxmlformats.org/officeDocument/2006/relationships/oleObject" Target="embeddings/oleObject236.bin"/><Relationship Id="rId232" Type="http://schemas.openxmlformats.org/officeDocument/2006/relationships/image" Target="media/image106.wmf"/><Relationship Id="rId274" Type="http://schemas.openxmlformats.org/officeDocument/2006/relationships/image" Target="media/image124.wmf"/><Relationship Id="rId27" Type="http://schemas.openxmlformats.org/officeDocument/2006/relationships/image" Target="media/image9.wmf"/><Relationship Id="rId69" Type="http://schemas.openxmlformats.org/officeDocument/2006/relationships/oleObject" Target="embeddings/oleObject36.bin"/><Relationship Id="rId134" Type="http://schemas.openxmlformats.org/officeDocument/2006/relationships/image" Target="media/image60.wmf"/><Relationship Id="rId80" Type="http://schemas.openxmlformats.org/officeDocument/2006/relationships/oleObject" Target="embeddings/oleObject42.bin"/><Relationship Id="rId176" Type="http://schemas.openxmlformats.org/officeDocument/2006/relationships/oleObject" Target="embeddings/oleObject94.bin"/><Relationship Id="rId341" Type="http://schemas.openxmlformats.org/officeDocument/2006/relationships/oleObject" Target="embeddings/oleObject184.bin"/><Relationship Id="rId383" Type="http://schemas.openxmlformats.org/officeDocument/2006/relationships/image" Target="media/image176.wmf"/><Relationship Id="rId439" Type="http://schemas.openxmlformats.org/officeDocument/2006/relationships/oleObject" Target="embeddings/oleObject240.bin"/><Relationship Id="rId201" Type="http://schemas.openxmlformats.org/officeDocument/2006/relationships/oleObject" Target="embeddings/oleObject107.bin"/><Relationship Id="rId243" Type="http://schemas.openxmlformats.org/officeDocument/2006/relationships/oleObject" Target="embeddings/oleObject129.bin"/><Relationship Id="rId285" Type="http://schemas.openxmlformats.org/officeDocument/2006/relationships/oleObject" Target="embeddings/oleObject153.bin"/><Relationship Id="rId38" Type="http://schemas.openxmlformats.org/officeDocument/2006/relationships/image" Target="media/image14.wmf"/><Relationship Id="rId103" Type="http://schemas.openxmlformats.org/officeDocument/2006/relationships/image" Target="media/image45.wmf"/><Relationship Id="rId310" Type="http://schemas.openxmlformats.org/officeDocument/2006/relationships/image" Target="media/image143.wmf"/><Relationship Id="rId91" Type="http://schemas.openxmlformats.org/officeDocument/2006/relationships/oleObject" Target="embeddings/oleObject49.bin"/><Relationship Id="rId145" Type="http://schemas.openxmlformats.org/officeDocument/2006/relationships/oleObject" Target="embeddings/oleObject77.bin"/><Relationship Id="rId187" Type="http://schemas.openxmlformats.org/officeDocument/2006/relationships/oleObject" Target="embeddings/oleObject100.bin"/><Relationship Id="rId352" Type="http://schemas.openxmlformats.org/officeDocument/2006/relationships/oleObject" Target="embeddings/oleObject190.bin"/><Relationship Id="rId394" Type="http://schemas.openxmlformats.org/officeDocument/2006/relationships/oleObject" Target="embeddings/oleObject212.bin"/><Relationship Id="rId408" Type="http://schemas.openxmlformats.org/officeDocument/2006/relationships/image" Target="media/image188.wmf"/><Relationship Id="rId212" Type="http://schemas.openxmlformats.org/officeDocument/2006/relationships/oleObject" Target="embeddings/oleObject113.bin"/><Relationship Id="rId254" Type="http://schemas.openxmlformats.org/officeDocument/2006/relationships/image" Target="media/image114.wmf"/><Relationship Id="rId49" Type="http://schemas.openxmlformats.org/officeDocument/2006/relationships/oleObject" Target="embeddings/oleObject22.bin"/><Relationship Id="rId114" Type="http://schemas.openxmlformats.org/officeDocument/2006/relationships/oleObject" Target="embeddings/oleObject61.bin"/><Relationship Id="rId296" Type="http://schemas.openxmlformats.org/officeDocument/2006/relationships/image" Target="media/image136.wmf"/><Relationship Id="rId60" Type="http://schemas.openxmlformats.org/officeDocument/2006/relationships/oleObject" Target="embeddings/oleObject30.bin"/><Relationship Id="rId156" Type="http://schemas.openxmlformats.org/officeDocument/2006/relationships/oleObject" Target="embeddings/oleObject83.bin"/><Relationship Id="rId198" Type="http://schemas.openxmlformats.org/officeDocument/2006/relationships/image" Target="media/image90.wmf"/><Relationship Id="rId321" Type="http://schemas.openxmlformats.org/officeDocument/2006/relationships/image" Target="media/image148.wmf"/><Relationship Id="rId363" Type="http://schemas.openxmlformats.org/officeDocument/2006/relationships/oleObject" Target="embeddings/oleObject196.bin"/><Relationship Id="rId419" Type="http://schemas.openxmlformats.org/officeDocument/2006/relationships/image" Target="media/image198.wmf"/><Relationship Id="rId202" Type="http://schemas.openxmlformats.org/officeDocument/2006/relationships/image" Target="media/image92.wmf"/><Relationship Id="rId223" Type="http://schemas.openxmlformats.org/officeDocument/2006/relationships/image" Target="media/image102.wmf"/><Relationship Id="rId244" Type="http://schemas.openxmlformats.org/officeDocument/2006/relationships/oleObject" Target="embeddings/oleObject130.bin"/><Relationship Id="rId430" Type="http://schemas.openxmlformats.org/officeDocument/2006/relationships/oleObject" Target="embeddings/oleObject237.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43.bin"/><Relationship Id="rId286" Type="http://schemas.openxmlformats.org/officeDocument/2006/relationships/image" Target="media/image130.wmf"/><Relationship Id="rId50" Type="http://schemas.openxmlformats.org/officeDocument/2006/relationships/image" Target="media/image20.wmf"/><Relationship Id="rId104" Type="http://schemas.openxmlformats.org/officeDocument/2006/relationships/oleObject" Target="embeddings/oleObject56.bin"/><Relationship Id="rId125" Type="http://schemas.openxmlformats.org/officeDocument/2006/relationships/oleObject" Target="embeddings/oleObject67.bin"/><Relationship Id="rId146" Type="http://schemas.openxmlformats.org/officeDocument/2006/relationships/oleObject" Target="embeddings/oleObject78.bin"/><Relationship Id="rId167" Type="http://schemas.openxmlformats.org/officeDocument/2006/relationships/oleObject" Target="embeddings/oleObject89.bin"/><Relationship Id="rId188" Type="http://schemas.openxmlformats.org/officeDocument/2006/relationships/image" Target="media/image85.wmf"/><Relationship Id="rId311" Type="http://schemas.openxmlformats.org/officeDocument/2006/relationships/oleObject" Target="embeddings/oleObject167.bin"/><Relationship Id="rId332" Type="http://schemas.openxmlformats.org/officeDocument/2006/relationships/image" Target="media/image153.wmf"/><Relationship Id="rId353" Type="http://schemas.openxmlformats.org/officeDocument/2006/relationships/image" Target="media/image162.wmf"/><Relationship Id="rId374" Type="http://schemas.openxmlformats.org/officeDocument/2006/relationships/oleObject" Target="embeddings/oleObject202.bin"/><Relationship Id="rId395" Type="http://schemas.openxmlformats.org/officeDocument/2006/relationships/image" Target="media/image182.wmf"/><Relationship Id="rId409" Type="http://schemas.openxmlformats.org/officeDocument/2006/relationships/oleObject" Target="embeddings/oleObject220.bin"/><Relationship Id="rId71" Type="http://schemas.openxmlformats.org/officeDocument/2006/relationships/oleObject" Target="embeddings/oleObject37.bin"/><Relationship Id="rId92" Type="http://schemas.openxmlformats.org/officeDocument/2006/relationships/image" Target="media/image40.wmf"/><Relationship Id="rId213" Type="http://schemas.openxmlformats.org/officeDocument/2006/relationships/image" Target="media/image97.wmf"/><Relationship Id="rId234" Type="http://schemas.openxmlformats.org/officeDocument/2006/relationships/image" Target="media/image107.wmf"/><Relationship Id="rId420" Type="http://schemas.openxmlformats.org/officeDocument/2006/relationships/oleObject" Target="embeddings/oleObject231.bin"/><Relationship Id="rId2" Type="http://schemas.openxmlformats.org/officeDocument/2006/relationships/customXml" Target="../customXml/item1.xml"/><Relationship Id="rId29" Type="http://schemas.openxmlformats.org/officeDocument/2006/relationships/image" Target="media/image10.wmf"/><Relationship Id="rId255" Type="http://schemas.openxmlformats.org/officeDocument/2006/relationships/oleObject" Target="embeddings/oleObject138.bin"/><Relationship Id="rId276" Type="http://schemas.openxmlformats.org/officeDocument/2006/relationships/image" Target="media/image125.wmf"/><Relationship Id="rId297" Type="http://schemas.openxmlformats.org/officeDocument/2006/relationships/oleObject" Target="embeddings/oleObject160.bin"/><Relationship Id="rId441" Type="http://schemas.openxmlformats.org/officeDocument/2006/relationships/theme" Target="theme/theme1.xml"/><Relationship Id="rId40" Type="http://schemas.openxmlformats.org/officeDocument/2006/relationships/image" Target="media/image15.wmf"/><Relationship Id="rId115" Type="http://schemas.openxmlformats.org/officeDocument/2006/relationships/image" Target="media/image51.wmf"/><Relationship Id="rId136" Type="http://schemas.openxmlformats.org/officeDocument/2006/relationships/image" Target="media/image61.wmf"/><Relationship Id="rId157" Type="http://schemas.openxmlformats.org/officeDocument/2006/relationships/image" Target="media/image71.wmf"/><Relationship Id="rId178" Type="http://schemas.openxmlformats.org/officeDocument/2006/relationships/oleObject" Target="embeddings/oleObject95.bin"/><Relationship Id="rId301" Type="http://schemas.openxmlformats.org/officeDocument/2006/relationships/oleObject" Target="embeddings/oleObject162.bin"/><Relationship Id="rId322" Type="http://schemas.openxmlformats.org/officeDocument/2006/relationships/oleObject" Target="embeddings/oleObject173.bin"/><Relationship Id="rId343" Type="http://schemas.openxmlformats.org/officeDocument/2006/relationships/oleObject" Target="embeddings/oleObject185.bin"/><Relationship Id="rId364" Type="http://schemas.openxmlformats.org/officeDocument/2006/relationships/image" Target="media/image167.wmf"/><Relationship Id="rId61" Type="http://schemas.openxmlformats.org/officeDocument/2006/relationships/image" Target="media/image26.wmf"/><Relationship Id="rId82" Type="http://schemas.openxmlformats.org/officeDocument/2006/relationships/oleObject" Target="embeddings/oleObject44.bin"/><Relationship Id="rId199" Type="http://schemas.openxmlformats.org/officeDocument/2006/relationships/oleObject" Target="embeddings/oleObject106.bin"/><Relationship Id="rId203" Type="http://schemas.openxmlformats.org/officeDocument/2006/relationships/oleObject" Target="embeddings/oleObject108.bin"/><Relationship Id="rId385" Type="http://schemas.openxmlformats.org/officeDocument/2006/relationships/image" Target="media/image177.wmf"/><Relationship Id="rId19" Type="http://schemas.openxmlformats.org/officeDocument/2006/relationships/image" Target="media/image5.wmf"/><Relationship Id="rId224" Type="http://schemas.openxmlformats.org/officeDocument/2006/relationships/oleObject" Target="embeddings/oleObject119.bin"/><Relationship Id="rId245" Type="http://schemas.openxmlformats.org/officeDocument/2006/relationships/image" Target="media/image112.wmf"/><Relationship Id="rId266" Type="http://schemas.openxmlformats.org/officeDocument/2006/relationships/image" Target="media/image120.wmf"/><Relationship Id="rId287" Type="http://schemas.openxmlformats.org/officeDocument/2006/relationships/oleObject" Target="embeddings/oleObject154.bin"/><Relationship Id="rId410" Type="http://schemas.openxmlformats.org/officeDocument/2006/relationships/image" Target="media/image189.wmf"/><Relationship Id="rId431" Type="http://schemas.openxmlformats.org/officeDocument/2006/relationships/image" Target="media/image203.wmf"/><Relationship Id="rId30" Type="http://schemas.openxmlformats.org/officeDocument/2006/relationships/oleObject" Target="embeddings/oleObject12.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image" Target="media/image76.wmf"/><Relationship Id="rId312" Type="http://schemas.openxmlformats.org/officeDocument/2006/relationships/image" Target="media/image144.wmf"/><Relationship Id="rId333" Type="http://schemas.openxmlformats.org/officeDocument/2006/relationships/oleObject" Target="embeddings/oleObject179.bin"/><Relationship Id="rId354" Type="http://schemas.openxmlformats.org/officeDocument/2006/relationships/oleObject" Target="embeddings/oleObject191.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50.bin"/><Relationship Id="rId189" Type="http://schemas.openxmlformats.org/officeDocument/2006/relationships/oleObject" Target="embeddings/oleObject101.bin"/><Relationship Id="rId375" Type="http://schemas.openxmlformats.org/officeDocument/2006/relationships/image" Target="media/image172.wmf"/><Relationship Id="rId396" Type="http://schemas.openxmlformats.org/officeDocument/2006/relationships/oleObject" Target="embeddings/oleObject213.bin"/><Relationship Id="rId3" Type="http://schemas.openxmlformats.org/officeDocument/2006/relationships/numbering" Target="numbering.xml"/><Relationship Id="rId214" Type="http://schemas.openxmlformats.org/officeDocument/2006/relationships/oleObject" Target="embeddings/oleObject114.bin"/><Relationship Id="rId235" Type="http://schemas.openxmlformats.org/officeDocument/2006/relationships/oleObject" Target="embeddings/oleObject125.bin"/><Relationship Id="rId256" Type="http://schemas.openxmlformats.org/officeDocument/2006/relationships/image" Target="media/image115.wmf"/><Relationship Id="rId277" Type="http://schemas.openxmlformats.org/officeDocument/2006/relationships/oleObject" Target="embeddings/oleObject149.bin"/><Relationship Id="rId298" Type="http://schemas.openxmlformats.org/officeDocument/2006/relationships/image" Target="media/image137.wmf"/><Relationship Id="rId400" Type="http://schemas.openxmlformats.org/officeDocument/2006/relationships/oleObject" Target="embeddings/oleObject215.bin"/><Relationship Id="rId421" Type="http://schemas.openxmlformats.org/officeDocument/2006/relationships/oleObject" Target="embeddings/oleObject232.bin"/><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oleObject" Target="embeddings/oleObject84.bin"/><Relationship Id="rId302" Type="http://schemas.openxmlformats.org/officeDocument/2006/relationships/image" Target="media/image139.wmf"/><Relationship Id="rId323" Type="http://schemas.openxmlformats.org/officeDocument/2006/relationships/image" Target="media/image149.wmf"/><Relationship Id="rId344" Type="http://schemas.openxmlformats.org/officeDocument/2006/relationships/image" Target="media/image158.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image" Target="media/image36.wmf"/><Relationship Id="rId179" Type="http://schemas.openxmlformats.org/officeDocument/2006/relationships/oleObject" Target="embeddings/oleObject96.bin"/><Relationship Id="rId365" Type="http://schemas.openxmlformats.org/officeDocument/2006/relationships/oleObject" Target="embeddings/oleObject197.bin"/><Relationship Id="rId386" Type="http://schemas.openxmlformats.org/officeDocument/2006/relationships/oleObject" Target="embeddings/oleObject208.bin"/><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image" Target="media/image103.wmf"/><Relationship Id="rId246" Type="http://schemas.openxmlformats.org/officeDocument/2006/relationships/oleObject" Target="embeddings/oleObject131.bin"/><Relationship Id="rId267" Type="http://schemas.openxmlformats.org/officeDocument/2006/relationships/oleObject" Target="embeddings/oleObject144.bin"/><Relationship Id="rId288" Type="http://schemas.openxmlformats.org/officeDocument/2006/relationships/image" Target="media/image131.wmf"/><Relationship Id="rId411" Type="http://schemas.openxmlformats.org/officeDocument/2006/relationships/oleObject" Target="embeddings/oleObject221.bin"/><Relationship Id="rId432" Type="http://schemas.openxmlformats.org/officeDocument/2006/relationships/oleObject" Target="embeddings/oleObject238.bin"/><Relationship Id="rId106" Type="http://schemas.openxmlformats.org/officeDocument/2006/relationships/oleObject" Target="embeddings/oleObject57.bin"/><Relationship Id="rId127" Type="http://schemas.openxmlformats.org/officeDocument/2006/relationships/oleObject" Target="embeddings/oleObject68.bin"/><Relationship Id="rId313" Type="http://schemas.openxmlformats.org/officeDocument/2006/relationships/oleObject" Target="embeddings/oleObject168.bin"/><Relationship Id="rId10" Type="http://schemas.openxmlformats.org/officeDocument/2006/relationships/hyperlink" Target="mailto:abdul@iisc.ac.in" TargetMode="External"/><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8.bin"/><Relationship Id="rId94" Type="http://schemas.openxmlformats.org/officeDocument/2006/relationships/image" Target="media/image41.wmf"/><Relationship Id="rId148" Type="http://schemas.openxmlformats.org/officeDocument/2006/relationships/oleObject" Target="embeddings/oleObject79.bin"/><Relationship Id="rId169" Type="http://schemas.openxmlformats.org/officeDocument/2006/relationships/oleObject" Target="embeddings/oleObject90.bin"/><Relationship Id="rId334" Type="http://schemas.openxmlformats.org/officeDocument/2006/relationships/oleObject" Target="embeddings/oleObject180.bin"/><Relationship Id="rId355" Type="http://schemas.openxmlformats.org/officeDocument/2006/relationships/image" Target="media/image163.wmf"/><Relationship Id="rId376" Type="http://schemas.openxmlformats.org/officeDocument/2006/relationships/oleObject" Target="embeddings/oleObject203.bin"/><Relationship Id="rId397" Type="http://schemas.openxmlformats.org/officeDocument/2006/relationships/image" Target="media/image183.wmf"/><Relationship Id="rId4" Type="http://schemas.openxmlformats.org/officeDocument/2006/relationships/styles" Target="styles.xml"/><Relationship Id="rId180" Type="http://schemas.openxmlformats.org/officeDocument/2006/relationships/image" Target="media/image81.wmf"/><Relationship Id="rId215" Type="http://schemas.openxmlformats.org/officeDocument/2006/relationships/image" Target="media/image98.wmf"/><Relationship Id="rId236" Type="http://schemas.openxmlformats.org/officeDocument/2006/relationships/image" Target="media/image108.wmf"/><Relationship Id="rId257" Type="http://schemas.openxmlformats.org/officeDocument/2006/relationships/oleObject" Target="embeddings/oleObject139.bin"/><Relationship Id="rId278" Type="http://schemas.openxmlformats.org/officeDocument/2006/relationships/image" Target="media/image126.wmf"/><Relationship Id="rId401" Type="http://schemas.openxmlformats.org/officeDocument/2006/relationships/image" Target="media/image185.wmf"/><Relationship Id="rId422" Type="http://schemas.openxmlformats.org/officeDocument/2006/relationships/image" Target="media/image199.wmf"/><Relationship Id="rId303" Type="http://schemas.openxmlformats.org/officeDocument/2006/relationships/oleObject" Target="embeddings/oleObject163.bin"/><Relationship Id="rId42" Type="http://schemas.openxmlformats.org/officeDocument/2006/relationships/image" Target="media/image16.wmf"/><Relationship Id="rId84" Type="http://schemas.openxmlformats.org/officeDocument/2006/relationships/oleObject" Target="embeddings/oleObject45.bin"/><Relationship Id="rId138" Type="http://schemas.openxmlformats.org/officeDocument/2006/relationships/image" Target="media/image62.wmf"/><Relationship Id="rId345" Type="http://schemas.openxmlformats.org/officeDocument/2006/relationships/oleObject" Target="embeddings/oleObject186.bin"/><Relationship Id="rId387" Type="http://schemas.openxmlformats.org/officeDocument/2006/relationships/image" Target="media/image178.wmf"/><Relationship Id="rId191" Type="http://schemas.openxmlformats.org/officeDocument/2006/relationships/oleObject" Target="embeddings/oleObject102.bin"/><Relationship Id="rId205" Type="http://schemas.openxmlformats.org/officeDocument/2006/relationships/oleObject" Target="embeddings/oleObject109.bin"/><Relationship Id="rId247" Type="http://schemas.openxmlformats.org/officeDocument/2006/relationships/oleObject" Target="embeddings/oleObject132.bin"/><Relationship Id="rId412" Type="http://schemas.openxmlformats.org/officeDocument/2006/relationships/image" Target="media/image190.wmf"/><Relationship Id="rId107" Type="http://schemas.openxmlformats.org/officeDocument/2006/relationships/image" Target="media/image47.wmf"/><Relationship Id="rId289" Type="http://schemas.openxmlformats.org/officeDocument/2006/relationships/oleObject" Target="embeddings/oleObject155.bin"/><Relationship Id="rId11" Type="http://schemas.openxmlformats.org/officeDocument/2006/relationships/hyperlink" Target="mailto:bhat@mail.utexas.edu" TargetMode="External"/><Relationship Id="rId53" Type="http://schemas.openxmlformats.org/officeDocument/2006/relationships/oleObject" Target="embeddings/oleObject24.bin"/><Relationship Id="rId149" Type="http://schemas.openxmlformats.org/officeDocument/2006/relationships/image" Target="media/image67.wmf"/><Relationship Id="rId314" Type="http://schemas.openxmlformats.org/officeDocument/2006/relationships/image" Target="media/image145.wmf"/><Relationship Id="rId356" Type="http://schemas.openxmlformats.org/officeDocument/2006/relationships/oleObject" Target="embeddings/oleObject192.bin"/><Relationship Id="rId398" Type="http://schemas.openxmlformats.org/officeDocument/2006/relationships/oleObject" Target="embeddings/oleObject214.bin"/><Relationship Id="rId95" Type="http://schemas.openxmlformats.org/officeDocument/2006/relationships/oleObject" Target="embeddings/oleObject51.bin"/><Relationship Id="rId160" Type="http://schemas.openxmlformats.org/officeDocument/2006/relationships/oleObject" Target="embeddings/oleObject85.bin"/><Relationship Id="rId216" Type="http://schemas.openxmlformats.org/officeDocument/2006/relationships/oleObject" Target="embeddings/oleObject115.bin"/><Relationship Id="rId423" Type="http://schemas.openxmlformats.org/officeDocument/2006/relationships/oleObject" Target="embeddings/oleObject233.bin"/><Relationship Id="rId258" Type="http://schemas.openxmlformats.org/officeDocument/2006/relationships/image" Target="media/image116.wmf"/><Relationship Id="rId22" Type="http://schemas.openxmlformats.org/officeDocument/2006/relationships/oleObject" Target="embeddings/oleObject8.bin"/><Relationship Id="rId64" Type="http://schemas.openxmlformats.org/officeDocument/2006/relationships/oleObject" Target="embeddings/oleObject32.bin"/><Relationship Id="rId118" Type="http://schemas.openxmlformats.org/officeDocument/2006/relationships/image" Target="media/image52.wmf"/><Relationship Id="rId325" Type="http://schemas.openxmlformats.org/officeDocument/2006/relationships/image" Target="media/image150.wmf"/><Relationship Id="rId367" Type="http://schemas.openxmlformats.org/officeDocument/2006/relationships/oleObject" Target="embeddings/oleObject198.bin"/><Relationship Id="rId171" Type="http://schemas.openxmlformats.org/officeDocument/2006/relationships/oleObject" Target="embeddings/oleObject91.bin"/><Relationship Id="rId227" Type="http://schemas.openxmlformats.org/officeDocument/2006/relationships/image" Target="media/image104.wmf"/><Relationship Id="rId269" Type="http://schemas.openxmlformats.org/officeDocument/2006/relationships/oleObject" Target="embeddings/oleObject145.bin"/><Relationship Id="rId434" Type="http://schemas.openxmlformats.org/officeDocument/2006/relationships/footer" Target="footer2.xml"/><Relationship Id="rId33" Type="http://schemas.openxmlformats.org/officeDocument/2006/relationships/oleObject" Target="embeddings/oleObject14.bin"/><Relationship Id="rId129" Type="http://schemas.openxmlformats.org/officeDocument/2006/relationships/oleObject" Target="embeddings/oleObject69.bin"/><Relationship Id="rId280" Type="http://schemas.openxmlformats.org/officeDocument/2006/relationships/image" Target="media/image127.wmf"/><Relationship Id="rId336" Type="http://schemas.openxmlformats.org/officeDocument/2006/relationships/oleObject" Target="embeddings/oleObject181.bin"/><Relationship Id="rId75" Type="http://schemas.openxmlformats.org/officeDocument/2006/relationships/oleObject" Target="embeddings/oleObject39.bin"/><Relationship Id="rId140" Type="http://schemas.openxmlformats.org/officeDocument/2006/relationships/image" Target="media/image63.wmf"/><Relationship Id="rId182" Type="http://schemas.openxmlformats.org/officeDocument/2006/relationships/image" Target="media/image82.wmf"/><Relationship Id="rId378" Type="http://schemas.openxmlformats.org/officeDocument/2006/relationships/oleObject" Target="embeddings/oleObject204.bin"/><Relationship Id="rId403" Type="http://schemas.openxmlformats.org/officeDocument/2006/relationships/image" Target="media/image186.wmf"/><Relationship Id="rId6" Type="http://schemas.openxmlformats.org/officeDocument/2006/relationships/webSettings" Target="webSettings.xml"/><Relationship Id="rId238" Type="http://schemas.openxmlformats.org/officeDocument/2006/relationships/image" Target="media/image109.wmf"/><Relationship Id="rId291" Type="http://schemas.openxmlformats.org/officeDocument/2006/relationships/oleObject" Target="embeddings/oleObject156.bin"/><Relationship Id="rId305" Type="http://schemas.openxmlformats.org/officeDocument/2006/relationships/oleObject" Target="embeddings/oleObject164.bin"/><Relationship Id="rId347" Type="http://schemas.openxmlformats.org/officeDocument/2006/relationships/oleObject" Target="embeddings/oleObject187.bin"/><Relationship Id="rId44" Type="http://schemas.openxmlformats.org/officeDocument/2006/relationships/image" Target="media/image17.wmf"/><Relationship Id="rId86" Type="http://schemas.openxmlformats.org/officeDocument/2006/relationships/image" Target="media/image37.wmf"/><Relationship Id="rId151" Type="http://schemas.openxmlformats.org/officeDocument/2006/relationships/image" Target="media/image68.wmf"/><Relationship Id="rId389" Type="http://schemas.openxmlformats.org/officeDocument/2006/relationships/image" Target="media/image179.wmf"/><Relationship Id="rId193" Type="http://schemas.openxmlformats.org/officeDocument/2006/relationships/oleObject" Target="embeddings/oleObject103.bin"/><Relationship Id="rId207" Type="http://schemas.openxmlformats.org/officeDocument/2006/relationships/oleObject" Target="embeddings/oleObject110.bin"/><Relationship Id="rId249" Type="http://schemas.openxmlformats.org/officeDocument/2006/relationships/oleObject" Target="embeddings/oleObject134.bin"/><Relationship Id="rId414" Type="http://schemas.openxmlformats.org/officeDocument/2006/relationships/image" Target="media/image196.wmf"/><Relationship Id="rId13" Type="http://schemas.openxmlformats.org/officeDocument/2006/relationships/header" Target="header1.xml"/><Relationship Id="rId109" Type="http://schemas.openxmlformats.org/officeDocument/2006/relationships/image" Target="media/image48.wmf"/><Relationship Id="rId260" Type="http://schemas.openxmlformats.org/officeDocument/2006/relationships/image" Target="media/image117.wmf"/><Relationship Id="rId316" Type="http://schemas.openxmlformats.org/officeDocument/2006/relationships/image" Target="media/image146.wmf"/><Relationship Id="rId55" Type="http://schemas.openxmlformats.org/officeDocument/2006/relationships/oleObject" Target="embeddings/oleObject25.bin"/><Relationship Id="rId97" Type="http://schemas.openxmlformats.org/officeDocument/2006/relationships/oleObject" Target="embeddings/oleObject52.bin"/><Relationship Id="rId120" Type="http://schemas.openxmlformats.org/officeDocument/2006/relationships/image" Target="media/image53.wmf"/><Relationship Id="rId358" Type="http://schemas.openxmlformats.org/officeDocument/2006/relationships/oleObject" Target="embeddings/oleObject193.bin"/><Relationship Id="rId162" Type="http://schemas.openxmlformats.org/officeDocument/2006/relationships/oleObject" Target="embeddings/oleObject86.bin"/><Relationship Id="rId218" Type="http://schemas.openxmlformats.org/officeDocument/2006/relationships/oleObject" Target="embeddings/oleObject116.bin"/><Relationship Id="rId425" Type="http://schemas.openxmlformats.org/officeDocument/2006/relationships/oleObject" Target="embeddings/oleObject234.bin"/><Relationship Id="rId271" Type="http://schemas.openxmlformats.org/officeDocument/2006/relationships/oleObject" Target="embeddings/oleObject146.bin"/><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oleObject" Target="embeddings/oleObject70.bin"/><Relationship Id="rId327" Type="http://schemas.openxmlformats.org/officeDocument/2006/relationships/oleObject" Target="embeddings/oleObject176.bin"/><Relationship Id="rId369" Type="http://schemas.openxmlformats.org/officeDocument/2006/relationships/oleObject" Target="embeddings/oleObject199.bin"/><Relationship Id="rId173" Type="http://schemas.openxmlformats.org/officeDocument/2006/relationships/oleObject" Target="embeddings/oleObject92.bin"/><Relationship Id="rId229" Type="http://schemas.openxmlformats.org/officeDocument/2006/relationships/oleObject" Target="embeddings/oleObject122.bin"/><Relationship Id="rId380" Type="http://schemas.openxmlformats.org/officeDocument/2006/relationships/oleObject" Target="embeddings/oleObject205.bin"/><Relationship Id="rId436" Type="http://schemas.openxmlformats.org/officeDocument/2006/relationships/image" Target="media/image204.wmf"/><Relationship Id="rId240" Type="http://schemas.openxmlformats.org/officeDocument/2006/relationships/image" Target="media/image110.wmf"/><Relationship Id="rId35" Type="http://schemas.openxmlformats.org/officeDocument/2006/relationships/oleObject" Target="embeddings/oleObject15.bin"/><Relationship Id="rId77" Type="http://schemas.openxmlformats.org/officeDocument/2006/relationships/image" Target="media/image34.wmf"/><Relationship Id="rId100" Type="http://schemas.openxmlformats.org/officeDocument/2006/relationships/oleObject" Target="embeddings/oleObject54.bin"/><Relationship Id="rId282" Type="http://schemas.openxmlformats.org/officeDocument/2006/relationships/image" Target="media/image128.wmf"/><Relationship Id="rId338" Type="http://schemas.openxmlformats.org/officeDocument/2006/relationships/image" Target="media/image155.wmf"/><Relationship Id="rId8" Type="http://schemas.openxmlformats.org/officeDocument/2006/relationships/endnotes" Target="endnotes.xml"/><Relationship Id="rId142" Type="http://schemas.openxmlformats.org/officeDocument/2006/relationships/image" Target="media/image64.wmf"/><Relationship Id="rId184" Type="http://schemas.openxmlformats.org/officeDocument/2006/relationships/image" Target="media/image83.wmf"/><Relationship Id="rId391" Type="http://schemas.openxmlformats.org/officeDocument/2006/relationships/image" Target="media/image180.wmf"/><Relationship Id="rId405" Type="http://schemas.openxmlformats.org/officeDocument/2006/relationships/image" Target="media/image187.wmf"/><Relationship Id="rId251" Type="http://schemas.openxmlformats.org/officeDocument/2006/relationships/image" Target="media/image113.wmf"/><Relationship Id="rId46" Type="http://schemas.openxmlformats.org/officeDocument/2006/relationships/image" Target="media/image18.wmf"/><Relationship Id="rId293" Type="http://schemas.openxmlformats.org/officeDocument/2006/relationships/oleObject" Target="embeddings/oleObject157.bin"/><Relationship Id="rId307" Type="http://schemas.openxmlformats.org/officeDocument/2006/relationships/oleObject" Target="embeddings/oleObject165.bin"/><Relationship Id="rId349" Type="http://schemas.openxmlformats.org/officeDocument/2006/relationships/oleObject" Target="embeddings/oleObject188.bin"/><Relationship Id="rId88" Type="http://schemas.openxmlformats.org/officeDocument/2006/relationships/image" Target="media/image38.wmf"/><Relationship Id="rId111" Type="http://schemas.openxmlformats.org/officeDocument/2006/relationships/image" Target="media/image49.wmf"/><Relationship Id="rId153" Type="http://schemas.openxmlformats.org/officeDocument/2006/relationships/image" Target="media/image69.wmf"/><Relationship Id="rId195" Type="http://schemas.openxmlformats.org/officeDocument/2006/relationships/oleObject" Target="embeddings/oleObject104.bin"/><Relationship Id="rId209" Type="http://schemas.openxmlformats.org/officeDocument/2006/relationships/oleObject" Target="embeddings/oleObject111.bin"/><Relationship Id="rId360" Type="http://schemas.openxmlformats.org/officeDocument/2006/relationships/oleObject" Target="embeddings/oleObject194.bin"/><Relationship Id="rId416" Type="http://schemas.openxmlformats.org/officeDocument/2006/relationships/oleObject" Target="embeddings/oleObject229.bin"/><Relationship Id="rId220" Type="http://schemas.openxmlformats.org/officeDocument/2006/relationships/oleObject" Target="embeddings/oleObject117.bin"/><Relationship Id="rId15" Type="http://schemas.openxmlformats.org/officeDocument/2006/relationships/image" Target="media/image3.wmf"/><Relationship Id="rId57" Type="http://schemas.openxmlformats.org/officeDocument/2006/relationships/oleObject" Target="embeddings/oleObject26.bin"/><Relationship Id="rId262" Type="http://schemas.openxmlformats.org/officeDocument/2006/relationships/image" Target="media/image118.wmf"/><Relationship Id="rId318" Type="http://schemas.openxmlformats.org/officeDocument/2006/relationships/image" Target="media/image147.wmf"/><Relationship Id="rId99" Type="http://schemas.openxmlformats.org/officeDocument/2006/relationships/oleObject" Target="embeddings/oleObject53.bin"/><Relationship Id="rId122" Type="http://schemas.openxmlformats.org/officeDocument/2006/relationships/image" Target="media/image54.wmf"/><Relationship Id="rId164" Type="http://schemas.openxmlformats.org/officeDocument/2006/relationships/oleObject" Target="embeddings/oleObject87.bin"/><Relationship Id="rId371" Type="http://schemas.openxmlformats.org/officeDocument/2006/relationships/oleObject" Target="embeddings/oleObject200.bin"/><Relationship Id="rId427" Type="http://schemas.openxmlformats.org/officeDocument/2006/relationships/image" Target="media/image201.wmf"/><Relationship Id="rId26" Type="http://schemas.openxmlformats.org/officeDocument/2006/relationships/oleObject" Target="embeddings/oleObject10.bin"/><Relationship Id="rId231" Type="http://schemas.openxmlformats.org/officeDocument/2006/relationships/oleObject" Target="embeddings/oleObject123.bin"/><Relationship Id="rId273" Type="http://schemas.openxmlformats.org/officeDocument/2006/relationships/oleObject" Target="embeddings/oleObject147.bin"/><Relationship Id="rId329" Type="http://schemas.openxmlformats.org/officeDocument/2006/relationships/oleObject" Target="embeddings/oleObject177.bin"/><Relationship Id="rId68" Type="http://schemas.openxmlformats.org/officeDocument/2006/relationships/oleObject" Target="embeddings/oleObject34.bin"/><Relationship Id="rId133" Type="http://schemas.openxmlformats.org/officeDocument/2006/relationships/oleObject" Target="embeddings/oleObject71.bin"/><Relationship Id="rId175" Type="http://schemas.openxmlformats.org/officeDocument/2006/relationships/oleObject" Target="embeddings/oleObject93.bin"/><Relationship Id="rId340" Type="http://schemas.openxmlformats.org/officeDocument/2006/relationships/image" Target="media/image156.wmf"/><Relationship Id="rId200" Type="http://schemas.openxmlformats.org/officeDocument/2006/relationships/image" Target="media/image91.wmf"/><Relationship Id="rId382" Type="http://schemas.openxmlformats.org/officeDocument/2006/relationships/oleObject" Target="embeddings/oleObject206.bin"/><Relationship Id="rId438" Type="http://schemas.openxmlformats.org/officeDocument/2006/relationships/image" Target="media/image205.wmf"/><Relationship Id="rId242" Type="http://schemas.openxmlformats.org/officeDocument/2006/relationships/image" Target="media/image111.wmf"/><Relationship Id="rId284" Type="http://schemas.openxmlformats.org/officeDocument/2006/relationships/image" Target="media/image129.wmf"/><Relationship Id="rId37" Type="http://schemas.openxmlformats.org/officeDocument/2006/relationships/oleObject" Target="embeddings/oleObject16.bin"/><Relationship Id="rId79" Type="http://schemas.openxmlformats.org/officeDocument/2006/relationships/image" Target="media/image35.wmf"/><Relationship Id="rId102" Type="http://schemas.openxmlformats.org/officeDocument/2006/relationships/oleObject" Target="embeddings/oleObject55.bin"/><Relationship Id="rId144" Type="http://schemas.openxmlformats.org/officeDocument/2006/relationships/image" Target="media/image65.wmf"/><Relationship Id="rId90" Type="http://schemas.openxmlformats.org/officeDocument/2006/relationships/image" Target="media/image39.wmf"/><Relationship Id="rId186" Type="http://schemas.openxmlformats.org/officeDocument/2006/relationships/image" Target="media/image84.wmf"/><Relationship Id="rId351" Type="http://schemas.openxmlformats.org/officeDocument/2006/relationships/oleObject" Target="embeddings/oleObject189.bin"/><Relationship Id="rId393" Type="http://schemas.openxmlformats.org/officeDocument/2006/relationships/image" Target="media/image181.wmf"/><Relationship Id="rId407" Type="http://schemas.openxmlformats.org/officeDocument/2006/relationships/oleObject" Target="embeddings/oleObject219.bin"/><Relationship Id="rId211" Type="http://schemas.openxmlformats.org/officeDocument/2006/relationships/image" Target="media/image96.wmf"/><Relationship Id="rId253" Type="http://schemas.openxmlformats.org/officeDocument/2006/relationships/oleObject" Target="embeddings/oleObject137.bin"/><Relationship Id="rId295" Type="http://schemas.openxmlformats.org/officeDocument/2006/relationships/oleObject" Target="embeddings/oleObject159.bin"/><Relationship Id="rId309" Type="http://schemas.openxmlformats.org/officeDocument/2006/relationships/oleObject" Target="embeddings/oleObject166.bin"/><Relationship Id="rId48" Type="http://schemas.openxmlformats.org/officeDocument/2006/relationships/image" Target="media/image19.wmf"/><Relationship Id="rId113" Type="http://schemas.openxmlformats.org/officeDocument/2006/relationships/image" Target="media/image50.wmf"/><Relationship Id="rId320" Type="http://schemas.openxmlformats.org/officeDocument/2006/relationships/oleObject" Target="embeddings/oleObject172.bin"/><Relationship Id="rId155" Type="http://schemas.openxmlformats.org/officeDocument/2006/relationships/image" Target="media/image70.wmf"/><Relationship Id="rId197" Type="http://schemas.openxmlformats.org/officeDocument/2006/relationships/oleObject" Target="embeddings/oleObject105.bin"/><Relationship Id="rId362" Type="http://schemas.openxmlformats.org/officeDocument/2006/relationships/oleObject" Target="embeddings/oleObject195.bin"/><Relationship Id="rId418" Type="http://schemas.openxmlformats.org/officeDocument/2006/relationships/oleObject" Target="embeddings/oleObject230.bin"/><Relationship Id="rId222" Type="http://schemas.openxmlformats.org/officeDocument/2006/relationships/oleObject" Target="embeddings/oleObject118.bin"/><Relationship Id="rId264" Type="http://schemas.openxmlformats.org/officeDocument/2006/relationships/image" Target="media/image119.wmf"/><Relationship Id="rId17" Type="http://schemas.openxmlformats.org/officeDocument/2006/relationships/image" Target="media/image4.wmf"/><Relationship Id="rId59" Type="http://schemas.openxmlformats.org/officeDocument/2006/relationships/oleObject" Target="embeddings/oleObject29.bin"/><Relationship Id="rId124" Type="http://schemas.openxmlformats.org/officeDocument/2006/relationships/image" Target="media/image55.wmf"/><Relationship Id="rId70" Type="http://schemas.openxmlformats.org/officeDocument/2006/relationships/image" Target="media/image31.wmf"/><Relationship Id="rId166" Type="http://schemas.openxmlformats.org/officeDocument/2006/relationships/image" Target="media/image75.wmf"/><Relationship Id="rId331" Type="http://schemas.openxmlformats.org/officeDocument/2006/relationships/oleObject" Target="embeddings/oleObject178.bin"/><Relationship Id="rId373" Type="http://schemas.openxmlformats.org/officeDocument/2006/relationships/oleObject" Target="embeddings/oleObject201.bin"/><Relationship Id="rId429" Type="http://schemas.openxmlformats.org/officeDocument/2006/relationships/image" Target="media/image202.wmf"/><Relationship Id="rId1" Type="http://schemas.microsoft.com/office/2006/relationships/keyMapCustomizations" Target="customizations.xml"/><Relationship Id="rId233" Type="http://schemas.openxmlformats.org/officeDocument/2006/relationships/oleObject" Target="embeddings/oleObject124.bin"/><Relationship Id="rId440" Type="http://schemas.openxmlformats.org/officeDocument/2006/relationships/fontTable" Target="fontTable.xml"/><Relationship Id="rId28" Type="http://schemas.openxmlformats.org/officeDocument/2006/relationships/oleObject" Target="embeddings/oleObject11.bin"/><Relationship Id="rId275" Type="http://schemas.openxmlformats.org/officeDocument/2006/relationships/oleObject" Target="embeddings/oleObject148.bin"/><Relationship Id="rId300" Type="http://schemas.openxmlformats.org/officeDocument/2006/relationships/image" Target="media/image138.wmf"/><Relationship Id="rId81" Type="http://schemas.openxmlformats.org/officeDocument/2006/relationships/oleObject" Target="embeddings/oleObject43.bin"/><Relationship Id="rId135" Type="http://schemas.openxmlformats.org/officeDocument/2006/relationships/oleObject" Target="embeddings/oleObject72.bin"/><Relationship Id="rId177" Type="http://schemas.openxmlformats.org/officeDocument/2006/relationships/image" Target="media/image80.wmf"/><Relationship Id="rId342" Type="http://schemas.openxmlformats.org/officeDocument/2006/relationships/image" Target="media/image157.wmf"/><Relationship Id="rId384" Type="http://schemas.openxmlformats.org/officeDocument/2006/relationships/oleObject" Target="embeddings/oleObject207.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7.bin"/><Relationship Id="rId13" Type="http://schemas.openxmlformats.org/officeDocument/2006/relationships/image" Target="media/image134.wmf"/><Relationship Id="rId18" Type="http://schemas.openxmlformats.org/officeDocument/2006/relationships/oleObject" Target="embeddings/oleObject224.bin"/><Relationship Id="rId3" Type="http://schemas.openxmlformats.org/officeDocument/2006/relationships/oleObject" Target="embeddings/oleObject2.bin"/><Relationship Id="rId21" Type="http://schemas.openxmlformats.org/officeDocument/2006/relationships/image" Target="media/image194.wmf"/><Relationship Id="rId7" Type="http://schemas.openxmlformats.org/officeDocument/2006/relationships/image" Target="media/image24.wmf"/><Relationship Id="rId12" Type="http://schemas.openxmlformats.org/officeDocument/2006/relationships/oleObject" Target="embeddings/oleObject35.bin"/><Relationship Id="rId17" Type="http://schemas.openxmlformats.org/officeDocument/2006/relationships/image" Target="media/image192.wmf"/><Relationship Id="rId2" Type="http://schemas.openxmlformats.org/officeDocument/2006/relationships/oleObject" Target="embeddings/oleObject1.bin"/><Relationship Id="rId16" Type="http://schemas.openxmlformats.org/officeDocument/2006/relationships/oleObject" Target="embeddings/oleObject223.bin"/><Relationship Id="rId20" Type="http://schemas.openxmlformats.org/officeDocument/2006/relationships/oleObject" Target="embeddings/oleObject225.bin"/><Relationship Id="rId1" Type="http://schemas.openxmlformats.org/officeDocument/2006/relationships/image" Target="media/image1.wmf"/><Relationship Id="rId6" Type="http://schemas.openxmlformats.org/officeDocument/2006/relationships/oleObject" Target="embeddings/oleObject4.bin"/><Relationship Id="rId11" Type="http://schemas.openxmlformats.org/officeDocument/2006/relationships/image" Target="media/image30.wmf"/><Relationship Id="rId24" Type="http://schemas.openxmlformats.org/officeDocument/2006/relationships/oleObject" Target="embeddings/oleObject227.bin"/><Relationship Id="rId5" Type="http://schemas.openxmlformats.org/officeDocument/2006/relationships/oleObject" Target="embeddings/oleObject3.bin"/><Relationship Id="rId15" Type="http://schemas.openxmlformats.org/officeDocument/2006/relationships/image" Target="media/image191.wmf"/><Relationship Id="rId23" Type="http://schemas.openxmlformats.org/officeDocument/2006/relationships/image" Target="media/image195.wmf"/><Relationship Id="rId10" Type="http://schemas.openxmlformats.org/officeDocument/2006/relationships/oleObject" Target="embeddings/oleObject28.bin"/><Relationship Id="rId19" Type="http://schemas.openxmlformats.org/officeDocument/2006/relationships/image" Target="media/image193.wmf"/><Relationship Id="rId4" Type="http://schemas.openxmlformats.org/officeDocument/2006/relationships/image" Target="media/image2.wmf"/><Relationship Id="rId9" Type="http://schemas.openxmlformats.org/officeDocument/2006/relationships/image" Target="media/image9.wmf"/><Relationship Id="rId14" Type="http://schemas.openxmlformats.org/officeDocument/2006/relationships/oleObject" Target="embeddings/oleObject158.bin"/><Relationship Id="rId22" Type="http://schemas.openxmlformats.org/officeDocument/2006/relationships/oleObject" Target="embeddings/oleObject2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B661-9181-4F4F-9F78-7AFA5932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12019</Words>
  <Characters>68510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TRR Editorial Office</dc:creator>
  <cp:keywords/>
  <dc:description/>
  <cp:lastModifiedBy>Macias, Lisa J</cp:lastModifiedBy>
  <cp:revision>3</cp:revision>
  <cp:lastPrinted>2022-10-05T19:02:00Z</cp:lastPrinted>
  <dcterms:created xsi:type="dcterms:W3CDTF">2022-10-05T19:01:00Z</dcterms:created>
  <dcterms:modified xsi:type="dcterms:W3CDTF">2022-10-05T19:04:00Z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MTWinEqns">
    <vt:bool>true</vt:bool>
  </property>
</Properties>
</file>