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E2E3D" w14:textId="4E4C2738" w:rsidR="00BF27D8" w:rsidRDefault="00BF27D8" w:rsidP="006A64C8">
      <w:pPr>
        <w:spacing w:after="0" w:line="240" w:lineRule="auto"/>
        <w:ind w:left="720" w:hanging="720"/>
        <w:jc w:val="center"/>
        <w:rPr>
          <w:rFonts w:ascii="Times New Roman" w:hAnsi="Times New Roman"/>
          <w:b/>
          <w:color w:val="000000" w:themeColor="text1"/>
          <w:sz w:val="24"/>
          <w:szCs w:val="24"/>
        </w:rPr>
      </w:pPr>
      <w:bookmarkStart w:id="0" w:name="_GoBack"/>
      <w:bookmarkEnd w:id="0"/>
      <w:r>
        <w:rPr>
          <w:rFonts w:ascii="Times New Roman" w:hAnsi="Times New Roman"/>
          <w:b/>
          <w:color w:val="000000" w:themeColor="text1"/>
          <w:sz w:val="24"/>
          <w:szCs w:val="24"/>
        </w:rPr>
        <w:t>Online Supplement to the Paper</w:t>
      </w:r>
    </w:p>
    <w:p w14:paraId="5A897C37" w14:textId="1D124DDF" w:rsidR="00BF27D8" w:rsidRDefault="00BF27D8" w:rsidP="006A64C8">
      <w:pPr>
        <w:spacing w:after="0" w:line="240" w:lineRule="auto"/>
        <w:ind w:left="720" w:hanging="720"/>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r w:rsidRPr="00BF27D8">
        <w:rPr>
          <w:rFonts w:ascii="Times New Roman" w:hAnsi="Times New Roman"/>
          <w:b/>
          <w:color w:val="000000" w:themeColor="text1"/>
          <w:sz w:val="24"/>
          <w:szCs w:val="24"/>
        </w:rPr>
        <w:t>Quantifying the Relative Contribution of Factors to Household Vehicle Miles of Travel</w:t>
      </w:r>
      <w:r>
        <w:rPr>
          <w:rFonts w:ascii="Times New Roman" w:hAnsi="Times New Roman"/>
          <w:b/>
          <w:color w:val="000000" w:themeColor="text1"/>
          <w:sz w:val="24"/>
          <w:szCs w:val="24"/>
        </w:rPr>
        <w:t>”</w:t>
      </w:r>
    </w:p>
    <w:p w14:paraId="39752170" w14:textId="63F50F8C" w:rsidR="00BF27D8" w:rsidRDefault="00BF27D8" w:rsidP="00D84135">
      <w:pPr>
        <w:spacing w:after="0" w:line="240" w:lineRule="auto"/>
        <w:ind w:left="720" w:hanging="720"/>
        <w:rPr>
          <w:rFonts w:ascii="Times New Roman" w:hAnsi="Times New Roman"/>
          <w:b/>
          <w:color w:val="000000" w:themeColor="text1"/>
          <w:sz w:val="24"/>
          <w:szCs w:val="24"/>
        </w:rPr>
      </w:pPr>
    </w:p>
    <w:p w14:paraId="3DA8D8BF" w14:textId="0A5C3E04" w:rsidR="00BF27D8" w:rsidRPr="00BF27D8" w:rsidRDefault="00BF27D8" w:rsidP="00D84135">
      <w:pPr>
        <w:spacing w:after="0" w:line="240" w:lineRule="auto"/>
        <w:ind w:left="720" w:hanging="720"/>
        <w:jc w:val="center"/>
        <w:rPr>
          <w:rFonts w:ascii="Times New Roman" w:hAnsi="Times New Roman"/>
          <w:color w:val="000000" w:themeColor="text1"/>
          <w:sz w:val="24"/>
          <w:szCs w:val="24"/>
        </w:rPr>
      </w:pPr>
      <w:r w:rsidRPr="00BF27D8">
        <w:rPr>
          <w:rFonts w:ascii="Times New Roman" w:hAnsi="Times New Roman"/>
          <w:color w:val="000000" w:themeColor="text1"/>
          <w:sz w:val="24"/>
          <w:szCs w:val="24"/>
        </w:rPr>
        <w:t>Abhilash C. Singh, Sebastian Astroza, Venu M. Garikapati, Ram M. Pendyala,</w:t>
      </w:r>
    </w:p>
    <w:p w14:paraId="4B626059" w14:textId="2AB20450" w:rsidR="00BF27D8" w:rsidRPr="00D84135" w:rsidRDefault="00BF27D8">
      <w:pPr>
        <w:spacing w:after="0" w:line="240" w:lineRule="auto"/>
        <w:ind w:left="720" w:hanging="720"/>
        <w:jc w:val="center"/>
        <w:rPr>
          <w:rFonts w:ascii="Times New Roman" w:hAnsi="Times New Roman"/>
          <w:color w:val="000000" w:themeColor="text1"/>
          <w:sz w:val="24"/>
          <w:szCs w:val="24"/>
        </w:rPr>
      </w:pPr>
      <w:r w:rsidRPr="00BF27D8">
        <w:rPr>
          <w:rFonts w:ascii="Times New Roman" w:hAnsi="Times New Roman"/>
          <w:color w:val="000000" w:themeColor="text1"/>
          <w:sz w:val="24"/>
          <w:szCs w:val="24"/>
        </w:rPr>
        <w:t>Chandra R. Bhat</w:t>
      </w:r>
      <w:r>
        <w:rPr>
          <w:rFonts w:ascii="Times New Roman" w:hAnsi="Times New Roman"/>
          <w:color w:val="000000" w:themeColor="text1"/>
          <w:sz w:val="24"/>
          <w:szCs w:val="24"/>
        </w:rPr>
        <w:t xml:space="preserve"> (</w:t>
      </w:r>
      <w:r w:rsidRPr="00D84135">
        <w:rPr>
          <w:rFonts w:ascii="Times New Roman" w:hAnsi="Times New Roman"/>
          <w:i/>
          <w:color w:val="000000" w:themeColor="text1"/>
          <w:sz w:val="24"/>
          <w:szCs w:val="24"/>
        </w:rPr>
        <w:t>corresponding author</w:t>
      </w:r>
      <w:r>
        <w:rPr>
          <w:rFonts w:ascii="Times New Roman" w:hAnsi="Times New Roman"/>
          <w:color w:val="000000" w:themeColor="text1"/>
          <w:sz w:val="24"/>
          <w:szCs w:val="24"/>
        </w:rPr>
        <w:t>)</w:t>
      </w:r>
      <w:r w:rsidRPr="00BF27D8">
        <w:rPr>
          <w:rFonts w:ascii="Times New Roman" w:hAnsi="Times New Roman"/>
          <w:color w:val="000000" w:themeColor="text1"/>
          <w:sz w:val="24"/>
          <w:szCs w:val="24"/>
        </w:rPr>
        <w:t>, and Patricia L. Mokhtarian</w:t>
      </w:r>
    </w:p>
    <w:p w14:paraId="0D0BD4D6" w14:textId="77777777" w:rsidR="00BF27D8" w:rsidRDefault="00BF27D8" w:rsidP="00D84135">
      <w:pPr>
        <w:spacing w:after="0" w:line="240" w:lineRule="auto"/>
        <w:ind w:left="720" w:hanging="720"/>
        <w:rPr>
          <w:rFonts w:ascii="Times New Roman" w:hAnsi="Times New Roman"/>
          <w:b/>
          <w:color w:val="000000" w:themeColor="text1"/>
          <w:sz w:val="24"/>
          <w:szCs w:val="24"/>
        </w:rPr>
      </w:pPr>
    </w:p>
    <w:p w14:paraId="006179EB" w14:textId="77777777" w:rsidR="00D84135" w:rsidRDefault="00D84135" w:rsidP="00D84135">
      <w:pPr>
        <w:spacing w:after="0" w:line="240" w:lineRule="auto"/>
        <w:ind w:left="720" w:hanging="720"/>
        <w:rPr>
          <w:rFonts w:ascii="Times New Roman" w:hAnsi="Times New Roman"/>
          <w:b/>
          <w:color w:val="000000" w:themeColor="text1"/>
          <w:sz w:val="24"/>
          <w:szCs w:val="24"/>
        </w:rPr>
      </w:pPr>
    </w:p>
    <w:p w14:paraId="283DE699" w14:textId="5D908A05" w:rsidR="00112805" w:rsidRPr="006A64C8" w:rsidRDefault="00112805" w:rsidP="00D84135">
      <w:pPr>
        <w:spacing w:after="120" w:line="240" w:lineRule="auto"/>
        <w:ind w:left="720" w:hanging="720"/>
        <w:rPr>
          <w:rFonts w:ascii="Times New Roman" w:hAnsi="Times New Roman"/>
          <w:b/>
          <w:color w:val="000000" w:themeColor="text1"/>
          <w:sz w:val="24"/>
          <w:szCs w:val="24"/>
        </w:rPr>
      </w:pPr>
      <w:r w:rsidRPr="006A64C8">
        <w:rPr>
          <w:rFonts w:ascii="Times New Roman" w:hAnsi="Times New Roman"/>
          <w:b/>
          <w:color w:val="000000" w:themeColor="text1"/>
          <w:sz w:val="24"/>
          <w:szCs w:val="24"/>
        </w:rPr>
        <w:t>Reasons for Using Density as the Sole Built Environment (BE) variabl</w:t>
      </w:r>
      <w:r w:rsidR="00100EB9" w:rsidRPr="006A64C8">
        <w:rPr>
          <w:rFonts w:ascii="Times New Roman" w:hAnsi="Times New Roman"/>
          <w:b/>
          <w:color w:val="000000" w:themeColor="text1"/>
          <w:sz w:val="24"/>
          <w:szCs w:val="24"/>
        </w:rPr>
        <w:t>e</w:t>
      </w:r>
    </w:p>
    <w:p w14:paraId="2BF12333" w14:textId="77777777" w:rsidR="00112805" w:rsidRDefault="00112805" w:rsidP="006A64C8">
      <w:pPr>
        <w:spacing w:after="0" w:line="240" w:lineRule="auto"/>
        <w:jc w:val="both"/>
        <w:rPr>
          <w:rFonts w:ascii="Times New Roman" w:hAnsi="Times New Roman"/>
          <w:sz w:val="24"/>
          <w:szCs w:val="24"/>
        </w:rPr>
      </w:pPr>
      <w:r>
        <w:rPr>
          <w:rFonts w:ascii="Times New Roman" w:hAnsi="Times New Roman"/>
          <w:sz w:val="24"/>
          <w:szCs w:val="24"/>
        </w:rPr>
        <w:t xml:space="preserve">At the outset, we should state that </w:t>
      </w:r>
      <w:r w:rsidRPr="00281B77">
        <w:rPr>
          <w:rFonts w:ascii="Times New Roman" w:hAnsi="Times New Roman"/>
          <w:sz w:val="24"/>
          <w:szCs w:val="24"/>
        </w:rPr>
        <w:t xml:space="preserve">the consideration of more BE variables is a key aspect that is worthy of further exploration in future research efforts. In this study, there are </w:t>
      </w:r>
      <w:r>
        <w:rPr>
          <w:rFonts w:ascii="Times New Roman" w:hAnsi="Times New Roman"/>
          <w:sz w:val="24"/>
          <w:szCs w:val="24"/>
        </w:rPr>
        <w:t>three</w:t>
      </w:r>
      <w:r w:rsidRPr="00281B77">
        <w:rPr>
          <w:rFonts w:ascii="Times New Roman" w:hAnsi="Times New Roman"/>
          <w:sz w:val="24"/>
          <w:szCs w:val="24"/>
        </w:rPr>
        <w:t xml:space="preserve"> key reasons for the use of density as the </w:t>
      </w:r>
      <w:r>
        <w:rPr>
          <w:rFonts w:ascii="Times New Roman" w:hAnsi="Times New Roman"/>
          <w:sz w:val="24"/>
          <w:szCs w:val="24"/>
        </w:rPr>
        <w:t xml:space="preserve">sole </w:t>
      </w:r>
      <w:r w:rsidRPr="00281B77">
        <w:rPr>
          <w:rFonts w:ascii="Times New Roman" w:hAnsi="Times New Roman"/>
          <w:sz w:val="24"/>
          <w:szCs w:val="24"/>
        </w:rPr>
        <w:t xml:space="preserve">measure of built environment. </w:t>
      </w:r>
      <w:r>
        <w:rPr>
          <w:rFonts w:ascii="Times New Roman" w:hAnsi="Times New Roman"/>
          <w:sz w:val="24"/>
          <w:szCs w:val="24"/>
        </w:rPr>
        <w:t xml:space="preserve">We state these reasons below. For ease, we take the case of why we are, for example, not including “distance to CBD” as an additional land-use variable, as has been done in some previous studies. </w:t>
      </w:r>
    </w:p>
    <w:p w14:paraId="5CE037C3" w14:textId="77777777" w:rsidR="00112805" w:rsidRDefault="00112805" w:rsidP="006A64C8">
      <w:pPr>
        <w:spacing w:after="0" w:line="240" w:lineRule="auto"/>
        <w:jc w:val="both"/>
        <w:rPr>
          <w:rFonts w:ascii="Times New Roman" w:hAnsi="Times New Roman"/>
          <w:sz w:val="24"/>
          <w:szCs w:val="24"/>
        </w:rPr>
      </w:pPr>
    </w:p>
    <w:p w14:paraId="20C824AF" w14:textId="428897A3" w:rsidR="00112805" w:rsidRPr="00A9463E" w:rsidRDefault="00112805" w:rsidP="006A64C8">
      <w:pPr>
        <w:autoSpaceDE w:val="0"/>
        <w:autoSpaceDN w:val="0"/>
        <w:adjustRightInd w:val="0"/>
        <w:spacing w:after="0" w:line="240" w:lineRule="auto"/>
        <w:jc w:val="both"/>
        <w:rPr>
          <w:rFonts w:ascii="AdvTT5235d5a9" w:hAnsi="AdvTT5235d5a9" w:cs="AdvTT5235d5a9"/>
          <w:color w:val="000000"/>
          <w:sz w:val="16"/>
          <w:szCs w:val="16"/>
        </w:rPr>
      </w:pPr>
      <w:r w:rsidRPr="00281B77">
        <w:rPr>
          <w:rFonts w:ascii="Times New Roman" w:hAnsi="Times New Roman"/>
          <w:sz w:val="24"/>
          <w:szCs w:val="24"/>
        </w:rPr>
        <w:t xml:space="preserve">First, density is a commonly used quantitative metric of the built environment. It is easily measured, quantified, calculated, and understood.  Many other measures such as walkability index, pedestrian friendliness, bicycle level of service, land use diversity and variety, and proximity to transit infrastructure can also be useful measures of the built environment. However, although these attributes have been defined and used in the literature, some ambiguity remains in their definition and what exactly they represent. </w:t>
      </w:r>
      <w:r>
        <w:rPr>
          <w:rFonts w:ascii="Times New Roman" w:hAnsi="Times New Roman"/>
          <w:sz w:val="24"/>
          <w:szCs w:val="24"/>
        </w:rPr>
        <w:t xml:space="preserve">Besides, there is ample evidence that the many measures of land-use are highly correlated with density, which is also easy to quantify. As Brownstone (2009) stated about a decade back in a major special Transportation Research Board report “There are potentially many aspects of the built environment that could affect households’ travel behavior. Naturally research has concentrated on those aspects that are easy to measure. Since most measures of the built environment are highly correlated, it may only be necessary to include a few key characteristics to capture the effects. Most national level studies only use residential and/or employment density since these are the easiest to obtain.” Kim and </w:t>
      </w:r>
      <w:r w:rsidRPr="00100EB9">
        <w:rPr>
          <w:rFonts w:ascii="Times New Roman" w:hAnsi="Times New Roman"/>
          <w:sz w:val="24"/>
          <w:szCs w:val="24"/>
        </w:rPr>
        <w:t>Brownstone (2013) further state that “</w:t>
      </w:r>
      <w:r w:rsidRPr="00100EB9">
        <w:rPr>
          <w:rFonts w:ascii="Times New Roman" w:hAnsi="Times New Roman"/>
          <w:color w:val="000000"/>
          <w:sz w:val="24"/>
          <w:szCs w:val="24"/>
        </w:rPr>
        <w:t>…..land use density is highly correlated</w:t>
      </w:r>
      <w:r w:rsidR="00100EB9">
        <w:rPr>
          <w:rFonts w:ascii="Times New Roman" w:hAnsi="Times New Roman"/>
          <w:color w:val="000000"/>
          <w:sz w:val="24"/>
          <w:szCs w:val="24"/>
        </w:rPr>
        <w:t xml:space="preserve"> </w:t>
      </w:r>
      <w:r w:rsidRPr="00100EB9">
        <w:rPr>
          <w:rFonts w:ascii="Times New Roman" w:hAnsi="Times New Roman"/>
          <w:color w:val="000000"/>
          <w:sz w:val="24"/>
          <w:szCs w:val="24"/>
        </w:rPr>
        <w:t xml:space="preserve">with almost all measures of urban sprawl”, referencing also </w:t>
      </w:r>
      <w:r w:rsidRPr="00D84135">
        <w:rPr>
          <w:rFonts w:ascii="Times New Roman" w:hAnsi="Times New Roman"/>
          <w:color w:val="000000" w:themeColor="text1"/>
          <w:sz w:val="24"/>
          <w:szCs w:val="24"/>
        </w:rPr>
        <w:t>Badoe and Miller</w:t>
      </w:r>
      <w:r w:rsidR="00E70411">
        <w:rPr>
          <w:rFonts w:ascii="Times New Roman" w:hAnsi="Times New Roman"/>
          <w:color w:val="000000" w:themeColor="text1"/>
          <w:sz w:val="24"/>
          <w:szCs w:val="24"/>
        </w:rPr>
        <w:t xml:space="preserve"> (</w:t>
      </w:r>
      <w:r w:rsidRPr="00D84135">
        <w:rPr>
          <w:rFonts w:ascii="Times New Roman" w:hAnsi="Times New Roman"/>
          <w:color w:val="000000" w:themeColor="text1"/>
          <w:sz w:val="24"/>
          <w:szCs w:val="24"/>
        </w:rPr>
        <w:t>2000</w:t>
      </w:r>
      <w:r w:rsidR="00E70411">
        <w:rPr>
          <w:rFonts w:ascii="Times New Roman" w:hAnsi="Times New Roman"/>
          <w:color w:val="000000" w:themeColor="text1"/>
          <w:sz w:val="24"/>
          <w:szCs w:val="24"/>
        </w:rPr>
        <w:t>)</w:t>
      </w:r>
      <w:r w:rsidRPr="00100EB9">
        <w:rPr>
          <w:rFonts w:ascii="Times New Roman" w:hAnsi="Times New Roman"/>
          <w:color w:val="000000"/>
          <w:sz w:val="24"/>
          <w:szCs w:val="24"/>
        </w:rPr>
        <w:t xml:space="preserve">. </w:t>
      </w:r>
      <w:r w:rsidRPr="00100EB9">
        <w:rPr>
          <w:rFonts w:ascii="Times New Roman" w:hAnsi="Times New Roman"/>
          <w:sz w:val="24"/>
          <w:szCs w:val="24"/>
        </w:rPr>
        <w:t>Indeed</w:t>
      </w:r>
      <w:r w:rsidRPr="00A9463E">
        <w:rPr>
          <w:rFonts w:ascii="Times New Roman" w:hAnsi="Times New Roman"/>
          <w:sz w:val="24"/>
          <w:szCs w:val="24"/>
        </w:rPr>
        <w:t>, many recent studies continue to use density as the sole indicator of the built environment</w:t>
      </w:r>
      <w:r>
        <w:rPr>
          <w:rFonts w:ascii="Times New Roman" w:hAnsi="Times New Roman"/>
          <w:sz w:val="24"/>
          <w:szCs w:val="24"/>
        </w:rPr>
        <w:t xml:space="preserve"> because of the ease of computing density and the high correlation with other built environment measures</w:t>
      </w:r>
      <w:r w:rsidRPr="00A9463E">
        <w:rPr>
          <w:rFonts w:ascii="Times New Roman" w:hAnsi="Times New Roman"/>
          <w:sz w:val="24"/>
          <w:szCs w:val="24"/>
        </w:rPr>
        <w:t>, so we are certainly not the only ones to do so (see, for example, Kim and Brownstone</w:t>
      </w:r>
      <w:r w:rsidR="00E70411">
        <w:rPr>
          <w:rFonts w:ascii="Times New Roman" w:hAnsi="Times New Roman"/>
          <w:sz w:val="24"/>
          <w:szCs w:val="24"/>
        </w:rPr>
        <w:t xml:space="preserve">, </w:t>
      </w:r>
      <w:r w:rsidRPr="00A9463E">
        <w:rPr>
          <w:rFonts w:ascii="Times New Roman" w:hAnsi="Times New Roman"/>
          <w:sz w:val="24"/>
          <w:szCs w:val="24"/>
        </w:rPr>
        <w:t>2013</w:t>
      </w:r>
      <w:r w:rsidR="00E70411">
        <w:rPr>
          <w:rFonts w:ascii="Times New Roman" w:hAnsi="Times New Roman"/>
          <w:sz w:val="24"/>
          <w:szCs w:val="24"/>
        </w:rPr>
        <w:t>;</w:t>
      </w:r>
      <w:r w:rsidRPr="00A9463E">
        <w:rPr>
          <w:rFonts w:ascii="Times New Roman" w:hAnsi="Times New Roman"/>
          <w:sz w:val="24"/>
          <w:szCs w:val="24"/>
        </w:rPr>
        <w:t xml:space="preserve"> Brownstone and Fang</w:t>
      </w:r>
      <w:r w:rsidR="00E70411">
        <w:rPr>
          <w:rFonts w:ascii="Times New Roman" w:hAnsi="Times New Roman"/>
          <w:sz w:val="24"/>
          <w:szCs w:val="24"/>
        </w:rPr>
        <w:t xml:space="preserve">, </w:t>
      </w:r>
      <w:r w:rsidRPr="00A9463E">
        <w:rPr>
          <w:rFonts w:ascii="Times New Roman" w:hAnsi="Times New Roman"/>
          <w:sz w:val="24"/>
          <w:szCs w:val="24"/>
        </w:rPr>
        <w:t>201</w:t>
      </w:r>
      <w:r w:rsidR="0016229D">
        <w:rPr>
          <w:rFonts w:ascii="Times New Roman" w:hAnsi="Times New Roman"/>
          <w:sz w:val="24"/>
          <w:szCs w:val="24"/>
        </w:rPr>
        <w:t>4</w:t>
      </w:r>
      <w:r w:rsidR="00E70411">
        <w:rPr>
          <w:rFonts w:ascii="Times New Roman" w:hAnsi="Times New Roman"/>
          <w:sz w:val="24"/>
          <w:szCs w:val="24"/>
        </w:rPr>
        <w:t>;</w:t>
      </w:r>
      <w:r w:rsidRPr="00A9463E">
        <w:rPr>
          <w:rFonts w:ascii="Times New Roman" w:hAnsi="Times New Roman"/>
          <w:sz w:val="24"/>
          <w:szCs w:val="24"/>
        </w:rPr>
        <w:t xml:space="preserve"> Paleti et al.</w:t>
      </w:r>
      <w:r w:rsidR="00E70411">
        <w:rPr>
          <w:rFonts w:ascii="Times New Roman" w:hAnsi="Times New Roman"/>
          <w:sz w:val="24"/>
          <w:szCs w:val="24"/>
        </w:rPr>
        <w:t>,</w:t>
      </w:r>
      <w:r w:rsidRPr="00A9463E">
        <w:rPr>
          <w:rFonts w:ascii="Times New Roman" w:hAnsi="Times New Roman"/>
          <w:sz w:val="24"/>
          <w:szCs w:val="24"/>
        </w:rPr>
        <w:t xml:space="preserve"> 2013</w:t>
      </w:r>
      <w:r w:rsidR="00E70411">
        <w:rPr>
          <w:rFonts w:ascii="Times New Roman" w:hAnsi="Times New Roman"/>
          <w:sz w:val="24"/>
          <w:szCs w:val="24"/>
        </w:rPr>
        <w:t>;</w:t>
      </w:r>
      <w:r w:rsidRPr="00A9463E">
        <w:rPr>
          <w:rFonts w:ascii="Times New Roman" w:hAnsi="Times New Roman"/>
          <w:sz w:val="24"/>
          <w:szCs w:val="24"/>
        </w:rPr>
        <w:t xml:space="preserve"> Cao and Fan</w:t>
      </w:r>
      <w:r w:rsidR="00E70411">
        <w:rPr>
          <w:rFonts w:ascii="Times New Roman" w:hAnsi="Times New Roman"/>
          <w:sz w:val="24"/>
          <w:szCs w:val="24"/>
        </w:rPr>
        <w:t>, 2</w:t>
      </w:r>
      <w:r w:rsidRPr="00A9463E">
        <w:rPr>
          <w:rFonts w:ascii="Times New Roman" w:hAnsi="Times New Roman"/>
          <w:sz w:val="24"/>
          <w:szCs w:val="24"/>
        </w:rPr>
        <w:t>012</w:t>
      </w:r>
      <w:r w:rsidR="00E70411">
        <w:rPr>
          <w:rFonts w:ascii="Times New Roman" w:hAnsi="Times New Roman"/>
          <w:sz w:val="24"/>
          <w:szCs w:val="24"/>
        </w:rPr>
        <w:t>;</w:t>
      </w:r>
      <w:r w:rsidRPr="00A9463E">
        <w:rPr>
          <w:rFonts w:ascii="Times New Roman" w:hAnsi="Times New Roman"/>
          <w:sz w:val="24"/>
          <w:szCs w:val="24"/>
        </w:rPr>
        <w:t xml:space="preserve"> and Bhat et al.</w:t>
      </w:r>
      <w:r w:rsidR="00E70411">
        <w:rPr>
          <w:rFonts w:ascii="Times New Roman" w:hAnsi="Times New Roman"/>
          <w:sz w:val="24"/>
          <w:szCs w:val="24"/>
        </w:rPr>
        <w:t xml:space="preserve">, </w:t>
      </w:r>
      <w:r w:rsidRPr="00A9463E">
        <w:rPr>
          <w:rFonts w:ascii="Times New Roman" w:hAnsi="Times New Roman"/>
          <w:sz w:val="24"/>
          <w:szCs w:val="24"/>
        </w:rPr>
        <w:t>2016</w:t>
      </w:r>
      <w:r w:rsidR="00E70411">
        <w:rPr>
          <w:rFonts w:ascii="Times New Roman" w:hAnsi="Times New Roman"/>
          <w:sz w:val="24"/>
          <w:szCs w:val="24"/>
        </w:rPr>
        <w:t>)</w:t>
      </w:r>
      <w:r>
        <w:rPr>
          <w:rFonts w:ascii="Times New Roman" w:hAnsi="Times New Roman"/>
          <w:sz w:val="24"/>
          <w:szCs w:val="24"/>
        </w:rPr>
        <w:t>. Besides, in our analysis, when we added in “distance to CBD”, where the CBD was defined as the zone with the highest continuous value of density (this zone came out to be zone ID 124, bounded by West 46</w:t>
      </w:r>
      <w:r w:rsidRPr="00AF46B0">
        <w:rPr>
          <w:rFonts w:ascii="Times New Roman" w:hAnsi="Times New Roman"/>
          <w:sz w:val="24"/>
          <w:szCs w:val="24"/>
          <w:vertAlign w:val="superscript"/>
        </w:rPr>
        <w:t>th</w:t>
      </w:r>
      <w:r>
        <w:rPr>
          <w:rFonts w:ascii="Times New Roman" w:hAnsi="Times New Roman"/>
          <w:sz w:val="24"/>
          <w:szCs w:val="24"/>
        </w:rPr>
        <w:t xml:space="preserve"> street to the north, West 42</w:t>
      </w:r>
      <w:r w:rsidRPr="00AF46B0">
        <w:rPr>
          <w:rFonts w:ascii="Times New Roman" w:hAnsi="Times New Roman"/>
          <w:sz w:val="24"/>
          <w:szCs w:val="24"/>
          <w:vertAlign w:val="superscript"/>
        </w:rPr>
        <w:t>nd</w:t>
      </w:r>
      <w:r>
        <w:rPr>
          <w:rFonts w:ascii="Times New Roman" w:hAnsi="Times New Roman"/>
          <w:sz w:val="24"/>
          <w:szCs w:val="24"/>
        </w:rPr>
        <w:t xml:space="preserve"> street to the south, 7</w:t>
      </w:r>
      <w:r w:rsidRPr="00AF46B0">
        <w:rPr>
          <w:rFonts w:ascii="Times New Roman" w:hAnsi="Times New Roman"/>
          <w:sz w:val="24"/>
          <w:szCs w:val="24"/>
          <w:vertAlign w:val="superscript"/>
        </w:rPr>
        <w:t>th</w:t>
      </w:r>
      <w:r>
        <w:rPr>
          <w:rFonts w:ascii="Times New Roman" w:hAnsi="Times New Roman"/>
          <w:sz w:val="24"/>
          <w:szCs w:val="24"/>
        </w:rPr>
        <w:t xml:space="preserve"> avenue to the west, and 6</w:t>
      </w:r>
      <w:r w:rsidRPr="00AF46B0">
        <w:rPr>
          <w:rFonts w:ascii="Times New Roman" w:hAnsi="Times New Roman"/>
          <w:sz w:val="24"/>
          <w:szCs w:val="24"/>
          <w:vertAlign w:val="superscript"/>
        </w:rPr>
        <w:t>th</w:t>
      </w:r>
      <w:r>
        <w:rPr>
          <w:rFonts w:ascii="Times New Roman" w:hAnsi="Times New Roman"/>
          <w:sz w:val="24"/>
          <w:szCs w:val="24"/>
        </w:rPr>
        <w:t xml:space="preserve"> avenue to the east; Time Square is just outside this zone, less than 100 feet from the northwest tip of this CBD zone), there was only a relatively marginal improvement in data fit after including density. To confirm that this was because of the high correlation between density and “distance to CBD”, we examined the correlation coefficient between these two variables in continuous form, which came out to be very close to -0.8. That is, zones that are low density are, in general, far away from the “CBD” zone, and zones with high density are, in general, close to the “CBD” zone. To further reinforce this, we examined the average distance to CBD across the records of households within the three discrete density categories of low, medium, and high density. Within those residing in the low density zones, the distance to CBD was 53 miles. Within the medium density zones, the corresponding value was 25 miles, and within the high density zones, the value was 9 miles. The strong negative correlation is readily </w:t>
      </w:r>
      <w:r>
        <w:rPr>
          <w:rFonts w:ascii="Times New Roman" w:hAnsi="Times New Roman"/>
          <w:sz w:val="24"/>
          <w:szCs w:val="24"/>
        </w:rPr>
        <w:lastRenderedPageBreak/>
        <w:t xml:space="preserve">apparent again. As another data point, the top ten zones with the highest continuous density are all in the immediate vicinity of the CBD zone, less than a mile away. </w:t>
      </w:r>
    </w:p>
    <w:p w14:paraId="3934162E" w14:textId="77777777" w:rsidR="00112805" w:rsidRDefault="00112805" w:rsidP="006A64C8">
      <w:pPr>
        <w:spacing w:after="0" w:line="240" w:lineRule="auto"/>
        <w:jc w:val="both"/>
        <w:rPr>
          <w:rFonts w:ascii="Times New Roman" w:hAnsi="Times New Roman"/>
          <w:sz w:val="24"/>
          <w:szCs w:val="24"/>
        </w:rPr>
      </w:pPr>
    </w:p>
    <w:p w14:paraId="1E43BCED" w14:textId="0D2E213C" w:rsidR="00112805" w:rsidRDefault="00112805" w:rsidP="006A64C8">
      <w:pPr>
        <w:spacing w:after="0" w:line="240" w:lineRule="auto"/>
        <w:jc w:val="both"/>
        <w:rPr>
          <w:rFonts w:ascii="Times New Roman" w:hAnsi="Times New Roman"/>
          <w:sz w:val="24"/>
          <w:szCs w:val="24"/>
        </w:rPr>
      </w:pPr>
      <w:r>
        <w:rPr>
          <w:rFonts w:ascii="Times New Roman" w:hAnsi="Times New Roman"/>
          <w:sz w:val="24"/>
          <w:szCs w:val="24"/>
        </w:rPr>
        <w:t>A second reason for not including the “distance to the CBD” variable is that plenty of recent studies show that the notion of major cities being mono-centric is not valid anymore, so that the concept of “distance from CBD” becomes fuzzy. Indeed, in the specific context of New York City, Cox (2010), while acknowledging that New York City is one of the most centralized large urban areas in the world (with midtown Manhattan in and around Time Square being what may be traditionally called as the CBD point in the city), indicate</w:t>
      </w:r>
      <w:r w:rsidR="00100EB9">
        <w:rPr>
          <w:rFonts w:ascii="Times New Roman" w:hAnsi="Times New Roman"/>
          <w:sz w:val="24"/>
          <w:szCs w:val="24"/>
        </w:rPr>
        <w:t>s</w:t>
      </w:r>
      <w:r>
        <w:rPr>
          <w:rFonts w:ascii="Times New Roman" w:hAnsi="Times New Roman"/>
          <w:sz w:val="24"/>
          <w:szCs w:val="24"/>
        </w:rPr>
        <w:t xml:space="preserve"> that the city, in reality, is “a highly decentralized metropolitan area”. Notwithstanding the clustering of high density zones in and around time square (as indicated in the earlier paragraph), approximately, 74% of the employment in the New York metro area is outside Manhattan, according to the 2010 US Census Bureau work flow tables. Indeed, the inner ring suburbs of New York City (outside the five boroughs of New York City) have more employment (28%) than Manhattan (26%). The four boroughs of New York City (Brooklyn, Queens, The Bronx, and Staten Island) hold 22% of the employment, and the outer ring suburbs hold the remaining 24% of the jobs. At the same time, a relatively small fraction of workers (35%) in the four boroughs other than Manhattan work in Manhattan, and this percentage falls rapidly down to 14% of the inner ring suburban workers who work in Manhattan and 6% of the outer ring suburban workers who work in Manhattan. Basically, there is a trend of working more closely to home, rather than the commute into Manhattan implied by assuming a monocentric city. In short, as Cox indicates, there is a “dominantly local nature of commuting in New York…..All of this is a huge change from a half-century ago….New</w:t>
      </w:r>
      <w:r w:rsidRPr="005B1625">
        <w:rPr>
          <w:rFonts w:ascii="Times New Roman" w:hAnsi="Times New Roman"/>
          <w:sz w:val="24"/>
          <w:szCs w:val="24"/>
        </w:rPr>
        <w:t xml:space="preserve"> </w:t>
      </w:r>
      <w:r>
        <w:rPr>
          <w:rFonts w:ascii="Times New Roman" w:hAnsi="Times New Roman"/>
          <w:sz w:val="24"/>
          <w:szCs w:val="24"/>
        </w:rPr>
        <w:t xml:space="preserve">York City has moved from virtual monocentrism to the Edge Cities polycentrism and increasingly even to an amorphous Edgeless City employment dispersion”. In fact, employment in Manhattan has dropped substantially, and risen elsewhere, including in Queens and Staten Island, where both employment and population growth has been very strong in the recent past. Besides, as New York University urban scholars Solly Angel and Patrick Lamson-Hall show in a two minute animation video of how Manhattan area densities have changed over a 210 year period from 1800 to 2010 (see </w:t>
      </w:r>
      <w:hyperlink r:id="rId7" w:history="1">
        <w:r w:rsidRPr="00113829">
          <w:rPr>
            <w:rStyle w:val="Hyperlink"/>
            <w:rFonts w:ascii="Times New Roman" w:hAnsi="Times New Roman"/>
            <w:sz w:val="24"/>
            <w:szCs w:val="24"/>
          </w:rPr>
          <w:t>https://www.citylab.com/equity/2015/06/watch-210-years-of-manhattan-densification-in-2-minutes/394736/</w:t>
        </w:r>
      </w:hyperlink>
      <w:r>
        <w:rPr>
          <w:rFonts w:ascii="Times New Roman" w:hAnsi="Times New Roman"/>
          <w:sz w:val="24"/>
          <w:szCs w:val="24"/>
        </w:rPr>
        <w:t>), the densities have tapered off by about 40% since 1910 and are now much more evenly spread all through Manhattan (as opposed to, during the 1800s and 1900s, the substantial density peaking patterns within the lower east side of Manhattan first and then midtown Manhattan later). Also, as stated by Cox, these researchers did find the outward movement of residences and employers to the other four boroughs of New York and to the inner and outer ring suburbs. Interes</w:t>
      </w:r>
      <w:r w:rsidR="00100EB9">
        <w:rPr>
          <w:rFonts w:ascii="Times New Roman" w:hAnsi="Times New Roman"/>
          <w:sz w:val="24"/>
          <w:szCs w:val="24"/>
        </w:rPr>
        <w:t>t</w:t>
      </w:r>
      <w:r>
        <w:rPr>
          <w:rFonts w:ascii="Times New Roman" w:hAnsi="Times New Roman"/>
          <w:sz w:val="24"/>
          <w:szCs w:val="24"/>
        </w:rPr>
        <w:t>ingly, the above comments about monocentric metro regions transforming into polycentric or even edgeless cities is much more universal than for New York City alone, as documented by Angel and Blei (2016), Hu et al. (2018), and Zhong et al. (201</w:t>
      </w:r>
      <w:r w:rsidR="00E92ECD">
        <w:rPr>
          <w:rFonts w:ascii="Times New Roman" w:hAnsi="Times New Roman"/>
          <w:sz w:val="24"/>
          <w:szCs w:val="24"/>
        </w:rPr>
        <w:t>7</w:t>
      </w:r>
      <w:r>
        <w:rPr>
          <w:rFonts w:ascii="Times New Roman" w:hAnsi="Times New Roman"/>
          <w:sz w:val="24"/>
          <w:szCs w:val="24"/>
        </w:rPr>
        <w:t xml:space="preserve">). </w:t>
      </w:r>
    </w:p>
    <w:p w14:paraId="27B39E40" w14:textId="77777777" w:rsidR="00112805" w:rsidRDefault="00112805" w:rsidP="006A64C8">
      <w:pPr>
        <w:spacing w:after="0" w:line="240" w:lineRule="auto"/>
        <w:jc w:val="both"/>
        <w:rPr>
          <w:rFonts w:ascii="Times New Roman" w:hAnsi="Times New Roman"/>
          <w:sz w:val="24"/>
          <w:szCs w:val="24"/>
        </w:rPr>
      </w:pPr>
    </w:p>
    <w:p w14:paraId="30CAC209" w14:textId="77777777" w:rsidR="00112805" w:rsidRPr="00281B77" w:rsidRDefault="00112805" w:rsidP="006A64C8">
      <w:pPr>
        <w:spacing w:after="0" w:line="240" w:lineRule="auto"/>
        <w:jc w:val="both"/>
        <w:rPr>
          <w:rFonts w:ascii="Times New Roman" w:hAnsi="Times New Roman"/>
          <w:sz w:val="24"/>
          <w:szCs w:val="24"/>
        </w:rPr>
      </w:pPr>
      <w:r>
        <w:rPr>
          <w:rFonts w:ascii="Times New Roman" w:hAnsi="Times New Roman"/>
          <w:sz w:val="24"/>
          <w:szCs w:val="24"/>
        </w:rPr>
        <w:t>Third</w:t>
      </w:r>
      <w:r w:rsidRPr="00281B77">
        <w:rPr>
          <w:rFonts w:ascii="Times New Roman" w:hAnsi="Times New Roman"/>
          <w:sz w:val="24"/>
          <w:szCs w:val="24"/>
        </w:rPr>
        <w:t xml:space="preserve">, </w:t>
      </w:r>
      <w:r>
        <w:rPr>
          <w:rFonts w:ascii="Times New Roman" w:hAnsi="Times New Roman"/>
          <w:sz w:val="24"/>
          <w:szCs w:val="24"/>
        </w:rPr>
        <w:t xml:space="preserve">and as we indicated in our earlier rebuttal, </w:t>
      </w:r>
      <w:r w:rsidRPr="00281B77">
        <w:rPr>
          <w:rFonts w:ascii="Times New Roman" w:hAnsi="Times New Roman"/>
          <w:sz w:val="24"/>
          <w:szCs w:val="24"/>
        </w:rPr>
        <w:t>there remains a methodological challenge that is worthy of additional research.  In the model system considered in the paper, the residential location choice alternatives are defined by “density”; and density variables are, in turn, incorporated in the VMT equation (continuous dependent variable) to capture built environment effects.  By doing so, it is possible to explicitly and easily tease out residential sorting effects (represented by error covariances) from built environment effects.  If additional built environment attributes were included in the VMT equation specificatio</w:t>
      </w:r>
      <w:r>
        <w:rPr>
          <w:rFonts w:ascii="Times New Roman" w:hAnsi="Times New Roman"/>
          <w:sz w:val="24"/>
          <w:szCs w:val="24"/>
        </w:rPr>
        <w:t>n (such as distance to CBD, land-use mix, network attributes, etc.)</w:t>
      </w:r>
      <w:r w:rsidRPr="00281B77">
        <w:rPr>
          <w:rFonts w:ascii="Times New Roman" w:hAnsi="Times New Roman"/>
          <w:sz w:val="24"/>
          <w:szCs w:val="24"/>
        </w:rPr>
        <w:t xml:space="preserve">, the correlation between “density” and these additional built environment measures </w:t>
      </w:r>
      <w:r w:rsidRPr="00281B77">
        <w:rPr>
          <w:rFonts w:ascii="Times New Roman" w:hAnsi="Times New Roman"/>
          <w:sz w:val="24"/>
          <w:szCs w:val="24"/>
        </w:rPr>
        <w:lastRenderedPageBreak/>
        <w:t xml:space="preserve">would render it difficult to cleanly separate residential self-selection effects from true built environment effects.  Additional research and development efforts on the methodological front are needed to address this issue, namely, tease out residential self-selection and built environment effects separately in the presence of multicollinearity. </w:t>
      </w:r>
      <w:r>
        <w:rPr>
          <w:rFonts w:ascii="Times New Roman" w:hAnsi="Times New Roman"/>
          <w:sz w:val="24"/>
          <w:szCs w:val="24"/>
        </w:rPr>
        <w:t xml:space="preserve">In short, there is no reason to believe that there will be no self-selection in the other built environment variables just like we have considered the self-selection in density at the residential location. Certainly, it is possible that people who are loath to driving and are more walk and bicycle friendly will live closer to their work places and also have lower VMT. That is, “distance to CBD” could well be endogenous to VMT choices. </w:t>
      </w:r>
      <w:r w:rsidRPr="00281B77">
        <w:rPr>
          <w:rFonts w:ascii="Times New Roman" w:hAnsi="Times New Roman"/>
          <w:sz w:val="24"/>
          <w:szCs w:val="24"/>
        </w:rPr>
        <w:t xml:space="preserve">Given the methodological challenges involved </w:t>
      </w:r>
      <w:r>
        <w:rPr>
          <w:rFonts w:ascii="Times New Roman" w:hAnsi="Times New Roman"/>
          <w:sz w:val="24"/>
          <w:szCs w:val="24"/>
        </w:rPr>
        <w:t xml:space="preserve">in such a multi-dimensional endogenous modeling set-up, </w:t>
      </w:r>
      <w:r w:rsidRPr="00281B77">
        <w:rPr>
          <w:rFonts w:ascii="Times New Roman" w:hAnsi="Times New Roman"/>
          <w:sz w:val="24"/>
          <w:szCs w:val="24"/>
        </w:rPr>
        <w:t xml:space="preserve">and </w:t>
      </w:r>
      <w:r>
        <w:rPr>
          <w:rFonts w:ascii="Times New Roman" w:hAnsi="Times New Roman"/>
          <w:sz w:val="24"/>
          <w:szCs w:val="24"/>
        </w:rPr>
        <w:t>our</w:t>
      </w:r>
      <w:r w:rsidRPr="00281B77">
        <w:rPr>
          <w:rFonts w:ascii="Times New Roman" w:hAnsi="Times New Roman"/>
          <w:sz w:val="24"/>
          <w:szCs w:val="24"/>
        </w:rPr>
        <w:t xml:space="preserve"> desire to separate residential self-selection effects from true built environment effects, the authors exclusively focused on density as the measure of built environment – both to characterize residential location choice and as explanatory variables in the VMT equation. </w:t>
      </w:r>
    </w:p>
    <w:p w14:paraId="6D82A35E" w14:textId="77777777" w:rsidR="00112805" w:rsidRDefault="00112805" w:rsidP="006A64C8">
      <w:pPr>
        <w:spacing w:after="0" w:line="240" w:lineRule="auto"/>
        <w:jc w:val="both"/>
        <w:rPr>
          <w:rFonts w:ascii="Times New Roman" w:hAnsi="Times New Roman"/>
          <w:sz w:val="24"/>
          <w:szCs w:val="24"/>
        </w:rPr>
      </w:pPr>
    </w:p>
    <w:p w14:paraId="47C22DA8" w14:textId="03A41CD6" w:rsidR="00112805" w:rsidRDefault="00112805" w:rsidP="006A64C8">
      <w:pPr>
        <w:spacing w:after="0" w:line="240" w:lineRule="auto"/>
        <w:jc w:val="both"/>
        <w:rPr>
          <w:rFonts w:ascii="Times New Roman" w:hAnsi="Times New Roman"/>
          <w:sz w:val="24"/>
          <w:szCs w:val="24"/>
        </w:rPr>
      </w:pPr>
      <w:r w:rsidRPr="00281B77">
        <w:rPr>
          <w:rFonts w:ascii="Times New Roman" w:hAnsi="Times New Roman"/>
          <w:sz w:val="24"/>
          <w:szCs w:val="24"/>
        </w:rPr>
        <w:t>Having said all of the above, the point made by the reviewer remains a valid one.  In the absence of consideration of any other built environment attributes, is it possible that this study is under-estimating the true built environment effects?  Is some of the built environment effect captured in the “unexplained” portion of the variance</w:t>
      </w:r>
      <w:r>
        <w:rPr>
          <w:rFonts w:ascii="Times New Roman" w:hAnsi="Times New Roman"/>
          <w:sz w:val="24"/>
          <w:szCs w:val="24"/>
        </w:rPr>
        <w:t>?</w:t>
      </w:r>
      <w:r w:rsidRPr="00281B77">
        <w:rPr>
          <w:rFonts w:ascii="Times New Roman" w:hAnsi="Times New Roman"/>
          <w:sz w:val="24"/>
          <w:szCs w:val="24"/>
        </w:rPr>
        <w:t xml:space="preserve"> These are important questions that are worthy of future research, and the paper</w:t>
      </w:r>
      <w:r w:rsidR="00100EB9">
        <w:rPr>
          <w:rFonts w:ascii="Times New Roman" w:hAnsi="Times New Roman"/>
          <w:sz w:val="24"/>
          <w:szCs w:val="24"/>
        </w:rPr>
        <w:t xml:space="preserve"> </w:t>
      </w:r>
      <w:r w:rsidRPr="00281B77">
        <w:rPr>
          <w:rFonts w:ascii="Times New Roman" w:hAnsi="Times New Roman"/>
          <w:sz w:val="24"/>
          <w:szCs w:val="24"/>
        </w:rPr>
        <w:t>includes a paragraph about the limitations of the study and directions for future research.</w:t>
      </w:r>
      <w:r>
        <w:rPr>
          <w:rFonts w:ascii="Times New Roman" w:hAnsi="Times New Roman"/>
          <w:sz w:val="24"/>
          <w:szCs w:val="24"/>
        </w:rPr>
        <w:t xml:space="preserve"> </w:t>
      </w:r>
    </w:p>
    <w:p w14:paraId="49F2F09E" w14:textId="41165EDB" w:rsidR="00E92ECD" w:rsidRDefault="00E92ECD" w:rsidP="006A64C8">
      <w:pPr>
        <w:spacing w:after="0" w:line="240" w:lineRule="auto"/>
        <w:jc w:val="both"/>
        <w:rPr>
          <w:rFonts w:ascii="Times New Roman" w:hAnsi="Times New Roman"/>
          <w:sz w:val="24"/>
          <w:szCs w:val="24"/>
        </w:rPr>
      </w:pPr>
    </w:p>
    <w:p w14:paraId="1241CF74" w14:textId="77777777" w:rsidR="0016229D" w:rsidRDefault="0016229D" w:rsidP="006A64C8">
      <w:pPr>
        <w:spacing w:after="0" w:line="240" w:lineRule="auto"/>
        <w:jc w:val="both"/>
        <w:rPr>
          <w:rFonts w:ascii="Times New Roman" w:hAnsi="Times New Roman"/>
          <w:sz w:val="24"/>
          <w:szCs w:val="24"/>
        </w:rPr>
      </w:pPr>
    </w:p>
    <w:p w14:paraId="1E2AF416" w14:textId="3DBDA62E" w:rsidR="00EB33BE" w:rsidRDefault="00E92ECD" w:rsidP="00D84135">
      <w:pPr>
        <w:spacing w:after="0" w:line="240" w:lineRule="auto"/>
        <w:jc w:val="both"/>
        <w:rPr>
          <w:rFonts w:ascii="Times New Roman" w:hAnsi="Times New Roman"/>
          <w:b/>
          <w:sz w:val="24"/>
          <w:szCs w:val="24"/>
        </w:rPr>
      </w:pPr>
      <w:r w:rsidRPr="00D84135">
        <w:rPr>
          <w:rFonts w:ascii="Times New Roman" w:hAnsi="Times New Roman"/>
          <w:b/>
          <w:sz w:val="24"/>
          <w:szCs w:val="24"/>
        </w:rPr>
        <w:t>REFERENCES</w:t>
      </w:r>
    </w:p>
    <w:p w14:paraId="44FBBDDB" w14:textId="77777777" w:rsidR="00EB33BE" w:rsidRDefault="00EB33BE" w:rsidP="00EB33BE">
      <w:pPr>
        <w:spacing w:after="0" w:line="240" w:lineRule="auto"/>
        <w:ind w:left="540" w:hanging="540"/>
        <w:jc w:val="both"/>
        <w:rPr>
          <w:rFonts w:ascii="Times New Roman" w:hAnsi="Times New Roman"/>
          <w:color w:val="000000" w:themeColor="text1"/>
          <w:sz w:val="24"/>
          <w:szCs w:val="24"/>
        </w:rPr>
      </w:pPr>
    </w:p>
    <w:p w14:paraId="1C83C932" w14:textId="70E2B9B8" w:rsidR="00EB33BE" w:rsidRPr="00336011" w:rsidRDefault="00EB33BE" w:rsidP="00EB33BE">
      <w:pPr>
        <w:spacing w:after="0" w:line="240" w:lineRule="auto"/>
        <w:ind w:left="540" w:hanging="540"/>
        <w:jc w:val="both"/>
        <w:rPr>
          <w:rFonts w:ascii="Times New Roman" w:hAnsi="Times New Roman"/>
          <w:color w:val="000000" w:themeColor="text1"/>
          <w:sz w:val="24"/>
          <w:szCs w:val="24"/>
        </w:rPr>
      </w:pPr>
      <w:r w:rsidRPr="00336011">
        <w:rPr>
          <w:rFonts w:ascii="Times New Roman" w:hAnsi="Times New Roman"/>
          <w:color w:val="000000" w:themeColor="text1"/>
          <w:sz w:val="24"/>
          <w:szCs w:val="24"/>
        </w:rPr>
        <w:t>Angel</w:t>
      </w:r>
      <w:r>
        <w:rPr>
          <w:rFonts w:ascii="Times New Roman" w:hAnsi="Times New Roman"/>
          <w:color w:val="000000" w:themeColor="text1"/>
          <w:sz w:val="24"/>
          <w:szCs w:val="24"/>
        </w:rPr>
        <w:t>, S.</w:t>
      </w:r>
      <w:r w:rsidRPr="0033601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and </w:t>
      </w:r>
      <w:r w:rsidRPr="00336011">
        <w:rPr>
          <w:rFonts w:ascii="Times New Roman" w:hAnsi="Times New Roman"/>
          <w:color w:val="000000" w:themeColor="text1"/>
          <w:sz w:val="24"/>
          <w:szCs w:val="24"/>
        </w:rPr>
        <w:t>Blei</w:t>
      </w:r>
      <w:r>
        <w:rPr>
          <w:rFonts w:ascii="Times New Roman" w:hAnsi="Times New Roman"/>
          <w:color w:val="000000" w:themeColor="text1"/>
          <w:sz w:val="24"/>
          <w:szCs w:val="24"/>
        </w:rPr>
        <w:t>, A.M. (2016)</w:t>
      </w:r>
      <w:r w:rsidRPr="00336011">
        <w:rPr>
          <w:rFonts w:ascii="Times New Roman" w:hAnsi="Times New Roman"/>
          <w:color w:val="000000" w:themeColor="text1"/>
          <w:sz w:val="24"/>
          <w:szCs w:val="24"/>
        </w:rPr>
        <w:t xml:space="preserve"> The spatial structure of American cities: The great</w:t>
      </w:r>
      <w:r>
        <w:rPr>
          <w:rFonts w:ascii="Times New Roman" w:hAnsi="Times New Roman"/>
          <w:color w:val="000000" w:themeColor="text1"/>
          <w:sz w:val="24"/>
          <w:szCs w:val="24"/>
        </w:rPr>
        <w:t xml:space="preserve"> </w:t>
      </w:r>
      <w:r w:rsidRPr="00336011">
        <w:rPr>
          <w:rFonts w:ascii="Times New Roman" w:hAnsi="Times New Roman"/>
          <w:color w:val="000000" w:themeColor="text1"/>
          <w:sz w:val="24"/>
          <w:szCs w:val="24"/>
        </w:rPr>
        <w:t xml:space="preserve">majority of workplaces are no longer in CBDs, employment sub-centers, or live-work communities, </w:t>
      </w:r>
      <w:r w:rsidRPr="00336011">
        <w:rPr>
          <w:rFonts w:ascii="Times New Roman" w:hAnsi="Times New Roman"/>
          <w:i/>
          <w:color w:val="000000" w:themeColor="text1"/>
          <w:sz w:val="24"/>
          <w:szCs w:val="24"/>
        </w:rPr>
        <w:t>Cities</w:t>
      </w:r>
      <w:r w:rsidRPr="00336011">
        <w:rPr>
          <w:rFonts w:ascii="Times New Roman" w:hAnsi="Times New Roman"/>
          <w:color w:val="000000" w:themeColor="text1"/>
          <w:sz w:val="24"/>
          <w:szCs w:val="24"/>
        </w:rPr>
        <w:t>, 51, 21-35.</w:t>
      </w:r>
    </w:p>
    <w:p w14:paraId="7F5E5E12" w14:textId="08AF57B3" w:rsidR="001D06BD" w:rsidRDefault="001D06BD" w:rsidP="00D84135">
      <w:pPr>
        <w:spacing w:after="0" w:line="240" w:lineRule="auto"/>
        <w:jc w:val="both"/>
      </w:pPr>
    </w:p>
    <w:p w14:paraId="2E11CBE4" w14:textId="30180318" w:rsidR="00BA01A5" w:rsidRDefault="00BA01A5" w:rsidP="00D84135">
      <w:pPr>
        <w:autoSpaceDE w:val="0"/>
        <w:autoSpaceDN w:val="0"/>
        <w:adjustRightInd w:val="0"/>
        <w:spacing w:after="0" w:line="240" w:lineRule="auto"/>
        <w:ind w:left="540" w:hanging="540"/>
        <w:jc w:val="both"/>
        <w:rPr>
          <w:rFonts w:ascii="Times New Roman" w:hAnsi="Times New Roman"/>
          <w:sz w:val="24"/>
          <w:szCs w:val="24"/>
        </w:rPr>
      </w:pPr>
      <w:r w:rsidRPr="00336011">
        <w:rPr>
          <w:rFonts w:ascii="Times New Roman" w:hAnsi="Times New Roman"/>
          <w:bCs/>
          <w:sz w:val="24"/>
          <w:szCs w:val="24"/>
        </w:rPr>
        <w:t xml:space="preserve">Badoe, D. A., </w:t>
      </w:r>
      <w:r w:rsidR="00D84135">
        <w:rPr>
          <w:rFonts w:ascii="Times New Roman" w:hAnsi="Times New Roman"/>
          <w:sz w:val="24"/>
          <w:szCs w:val="24"/>
        </w:rPr>
        <w:t>and Miller, E. J. (2000)</w:t>
      </w:r>
      <w:r w:rsidRPr="00336011">
        <w:rPr>
          <w:rFonts w:ascii="Times New Roman" w:hAnsi="Times New Roman"/>
          <w:sz w:val="24"/>
          <w:szCs w:val="24"/>
        </w:rPr>
        <w:t xml:space="preserve"> Transportation-land-use interaction:</w:t>
      </w:r>
      <w:r>
        <w:rPr>
          <w:rFonts w:ascii="Times New Roman" w:hAnsi="Times New Roman"/>
          <w:sz w:val="24"/>
          <w:szCs w:val="24"/>
        </w:rPr>
        <w:t xml:space="preserve"> </w:t>
      </w:r>
      <w:r w:rsidRPr="00336011">
        <w:rPr>
          <w:rFonts w:ascii="Times New Roman" w:hAnsi="Times New Roman"/>
          <w:sz w:val="24"/>
          <w:szCs w:val="24"/>
        </w:rPr>
        <w:t>Empirical findings in North America, and the implications for</w:t>
      </w:r>
      <w:r>
        <w:rPr>
          <w:rFonts w:ascii="Times New Roman" w:hAnsi="Times New Roman"/>
          <w:sz w:val="24"/>
          <w:szCs w:val="24"/>
        </w:rPr>
        <w:t xml:space="preserve"> </w:t>
      </w:r>
      <w:r w:rsidRPr="00336011">
        <w:rPr>
          <w:rFonts w:ascii="Times New Roman" w:hAnsi="Times New Roman"/>
          <w:sz w:val="24"/>
          <w:szCs w:val="24"/>
        </w:rPr>
        <w:t xml:space="preserve">modeling. </w:t>
      </w:r>
      <w:r w:rsidRPr="00336011">
        <w:rPr>
          <w:rFonts w:ascii="Times New Roman" w:hAnsi="Times New Roman"/>
          <w:i/>
          <w:iCs/>
          <w:sz w:val="24"/>
          <w:szCs w:val="24"/>
        </w:rPr>
        <w:t>Transportation Research D</w:t>
      </w:r>
      <w:r w:rsidRPr="00D84135">
        <w:rPr>
          <w:rFonts w:ascii="Times New Roman" w:hAnsi="Times New Roman"/>
          <w:iCs/>
          <w:sz w:val="24"/>
          <w:szCs w:val="24"/>
        </w:rPr>
        <w:t>, 5</w:t>
      </w:r>
      <w:r w:rsidRPr="00336011">
        <w:rPr>
          <w:rFonts w:ascii="Times New Roman" w:hAnsi="Times New Roman"/>
          <w:sz w:val="24"/>
          <w:szCs w:val="24"/>
        </w:rPr>
        <w:t>(4), 235–263.</w:t>
      </w:r>
    </w:p>
    <w:p w14:paraId="6F75B462" w14:textId="1195FA1B" w:rsidR="00075ECA" w:rsidRDefault="00075ECA" w:rsidP="00D84135">
      <w:pPr>
        <w:autoSpaceDE w:val="0"/>
        <w:autoSpaceDN w:val="0"/>
        <w:adjustRightInd w:val="0"/>
        <w:spacing w:after="0" w:line="240" w:lineRule="auto"/>
        <w:ind w:left="540" w:hanging="540"/>
        <w:jc w:val="both"/>
        <w:rPr>
          <w:rFonts w:ascii="Times New Roman" w:hAnsi="Times New Roman"/>
          <w:sz w:val="24"/>
          <w:szCs w:val="24"/>
        </w:rPr>
      </w:pPr>
    </w:p>
    <w:p w14:paraId="41A8A3DE" w14:textId="7DA34F1D" w:rsidR="00075ECA" w:rsidRDefault="00075ECA" w:rsidP="00D84135">
      <w:pPr>
        <w:autoSpaceDE w:val="0"/>
        <w:autoSpaceDN w:val="0"/>
        <w:adjustRightInd w:val="0"/>
        <w:spacing w:after="0" w:line="240" w:lineRule="auto"/>
        <w:ind w:left="540" w:hanging="540"/>
        <w:jc w:val="both"/>
        <w:rPr>
          <w:rFonts w:ascii="Times New Roman" w:hAnsi="Times New Roman"/>
          <w:sz w:val="24"/>
          <w:szCs w:val="24"/>
        </w:rPr>
      </w:pPr>
      <w:r w:rsidRPr="004D74D7">
        <w:rPr>
          <w:rFonts w:ascii="Times New Roman" w:hAnsi="Times New Roman"/>
          <w:sz w:val="24"/>
          <w:szCs w:val="24"/>
        </w:rPr>
        <w:t xml:space="preserve">Bhat, C.R., S. Astroza, A.C. Bhat, and K. Nagel (2016) </w:t>
      </w:r>
      <w:r w:rsidRPr="004D74D7">
        <w:rPr>
          <w:rFonts w:ascii="Times New Roman" w:hAnsi="Times New Roman"/>
          <w:bCs/>
          <w:sz w:val="24"/>
          <w:szCs w:val="24"/>
        </w:rPr>
        <w:t>Incorporating a Multiple Discrete-Continuous Outcome in the Generalized Heterogeneous Data Model: Application to Residential Self-Selection Effects Analysis in an Activity Time-use Behavior Model</w:t>
      </w:r>
      <w:r w:rsidRPr="004D74D7">
        <w:rPr>
          <w:rFonts w:ascii="Times New Roman" w:hAnsi="Times New Roman"/>
          <w:sz w:val="24"/>
          <w:szCs w:val="24"/>
        </w:rPr>
        <w:t xml:space="preserve">, </w:t>
      </w:r>
      <w:r w:rsidRPr="004D74D7">
        <w:rPr>
          <w:rFonts w:ascii="Times New Roman" w:hAnsi="Times New Roman"/>
          <w:i/>
          <w:iCs/>
          <w:sz w:val="24"/>
          <w:szCs w:val="24"/>
        </w:rPr>
        <w:t>Transportation Research Part B</w:t>
      </w:r>
      <w:r w:rsidRPr="004D74D7">
        <w:rPr>
          <w:rFonts w:ascii="Times New Roman" w:hAnsi="Times New Roman"/>
          <w:sz w:val="24"/>
          <w:szCs w:val="24"/>
        </w:rPr>
        <w:t>, 91, 52-76</w:t>
      </w:r>
    </w:p>
    <w:p w14:paraId="13D79C40" w14:textId="77777777" w:rsidR="00BA01A5" w:rsidRPr="00D84135" w:rsidRDefault="00BA01A5" w:rsidP="00D84135">
      <w:pPr>
        <w:autoSpaceDE w:val="0"/>
        <w:autoSpaceDN w:val="0"/>
        <w:adjustRightInd w:val="0"/>
        <w:spacing w:after="0" w:line="240" w:lineRule="auto"/>
        <w:ind w:left="540" w:hanging="540"/>
        <w:jc w:val="both"/>
        <w:rPr>
          <w:rFonts w:ascii="Times New Roman" w:hAnsi="Times New Roman"/>
          <w:sz w:val="24"/>
          <w:szCs w:val="24"/>
        </w:rPr>
      </w:pPr>
    </w:p>
    <w:p w14:paraId="2CD41AF9" w14:textId="21A14DFC" w:rsidR="00BA01A5" w:rsidRDefault="00BA01A5">
      <w:pPr>
        <w:autoSpaceDE w:val="0"/>
        <w:autoSpaceDN w:val="0"/>
        <w:adjustRightInd w:val="0"/>
        <w:spacing w:after="0" w:line="240" w:lineRule="auto"/>
        <w:ind w:left="540" w:hanging="540"/>
        <w:jc w:val="both"/>
        <w:rPr>
          <w:rFonts w:ascii="Times New Roman" w:hAnsi="Times New Roman"/>
          <w:sz w:val="24"/>
          <w:szCs w:val="24"/>
        </w:rPr>
      </w:pPr>
      <w:r w:rsidRPr="00336011">
        <w:rPr>
          <w:rFonts w:ascii="Times New Roman" w:hAnsi="Times New Roman"/>
          <w:color w:val="000000" w:themeColor="text1"/>
          <w:sz w:val="24"/>
          <w:szCs w:val="24"/>
        </w:rPr>
        <w:t>Brownstone</w:t>
      </w:r>
      <w:r>
        <w:rPr>
          <w:rFonts w:ascii="Times New Roman" w:hAnsi="Times New Roman"/>
          <w:color w:val="000000" w:themeColor="text1"/>
          <w:sz w:val="24"/>
          <w:szCs w:val="24"/>
        </w:rPr>
        <w:t>, D.</w:t>
      </w:r>
      <w:r w:rsidRPr="00336011">
        <w:rPr>
          <w:rFonts w:ascii="Times New Roman" w:hAnsi="Times New Roman"/>
          <w:color w:val="000000" w:themeColor="text1"/>
          <w:sz w:val="24"/>
          <w:szCs w:val="24"/>
        </w:rPr>
        <w:t xml:space="preserve"> (2009) </w:t>
      </w:r>
      <w:r w:rsidRPr="00336011">
        <w:rPr>
          <w:rFonts w:ascii="Times New Roman" w:hAnsi="Times New Roman"/>
          <w:bCs/>
          <w:sz w:val="24"/>
          <w:szCs w:val="24"/>
        </w:rPr>
        <w:t>Key Relationships Between the Built Environment and VMT</w:t>
      </w:r>
      <w:r>
        <w:rPr>
          <w:rFonts w:ascii="Times New Roman" w:hAnsi="Times New Roman"/>
          <w:bCs/>
          <w:sz w:val="24"/>
          <w:szCs w:val="24"/>
        </w:rPr>
        <w:t>.</w:t>
      </w:r>
      <w:r w:rsidRPr="00336011">
        <w:rPr>
          <w:rFonts w:ascii="Times New Roman" w:hAnsi="Times New Roman"/>
          <w:bCs/>
          <w:sz w:val="24"/>
          <w:szCs w:val="24"/>
        </w:rPr>
        <w:t xml:space="preserve"> Transportation Research Board Special Report 298 on </w:t>
      </w:r>
      <w:r>
        <w:rPr>
          <w:rFonts w:ascii="Times New Roman" w:hAnsi="Times New Roman"/>
          <w:bCs/>
          <w:sz w:val="24"/>
          <w:szCs w:val="24"/>
        </w:rPr>
        <w:t>Driving and the built environment: The effects of compact development on motorized travel, energy use, and CO2 emissions</w:t>
      </w:r>
      <w:r w:rsidRPr="00336011">
        <w:rPr>
          <w:rFonts w:ascii="Times New Roman" w:hAnsi="Times New Roman"/>
          <w:sz w:val="24"/>
          <w:szCs w:val="24"/>
        </w:rPr>
        <w:t>.</w:t>
      </w:r>
    </w:p>
    <w:p w14:paraId="44398BD2" w14:textId="6EB5D7DE" w:rsidR="0016229D" w:rsidRDefault="0016229D">
      <w:pPr>
        <w:autoSpaceDE w:val="0"/>
        <w:autoSpaceDN w:val="0"/>
        <w:adjustRightInd w:val="0"/>
        <w:spacing w:after="0" w:line="240" w:lineRule="auto"/>
        <w:ind w:left="540" w:hanging="540"/>
        <w:jc w:val="both"/>
        <w:rPr>
          <w:rFonts w:ascii="Times New Roman" w:hAnsi="Times New Roman"/>
          <w:sz w:val="24"/>
          <w:szCs w:val="24"/>
        </w:rPr>
      </w:pPr>
    </w:p>
    <w:p w14:paraId="51276505" w14:textId="4CD55DCD" w:rsidR="0016229D" w:rsidRDefault="0016229D">
      <w:pPr>
        <w:autoSpaceDE w:val="0"/>
        <w:autoSpaceDN w:val="0"/>
        <w:adjustRightInd w:val="0"/>
        <w:spacing w:after="0" w:line="240" w:lineRule="auto"/>
        <w:ind w:left="540" w:hanging="540"/>
        <w:jc w:val="both"/>
        <w:rPr>
          <w:rFonts w:ascii="Times New Roman" w:hAnsi="Times New Roman"/>
          <w:sz w:val="24"/>
          <w:szCs w:val="24"/>
        </w:rPr>
      </w:pPr>
      <w:r>
        <w:rPr>
          <w:rFonts w:ascii="Times New Roman" w:hAnsi="Times New Roman"/>
          <w:sz w:val="24"/>
          <w:szCs w:val="24"/>
        </w:rPr>
        <w:t>Brownstone, D., and</w:t>
      </w:r>
      <w:r w:rsidR="00D84135">
        <w:rPr>
          <w:rFonts w:ascii="Times New Roman" w:hAnsi="Times New Roman"/>
          <w:sz w:val="24"/>
          <w:szCs w:val="24"/>
        </w:rPr>
        <w:t xml:space="preserve"> Fang, H. (2014)</w:t>
      </w:r>
      <w:r w:rsidRPr="0016229D">
        <w:rPr>
          <w:rFonts w:ascii="Times New Roman" w:hAnsi="Times New Roman"/>
          <w:sz w:val="24"/>
          <w:szCs w:val="24"/>
        </w:rPr>
        <w:t xml:space="preserve"> A vehicle ownership and utilization choice model with endogenous residential density. </w:t>
      </w:r>
      <w:r w:rsidRPr="00D84135">
        <w:rPr>
          <w:rFonts w:ascii="Times New Roman" w:hAnsi="Times New Roman"/>
          <w:i/>
          <w:sz w:val="24"/>
          <w:szCs w:val="24"/>
        </w:rPr>
        <w:t>Journal of Transport and Land Use</w:t>
      </w:r>
      <w:r w:rsidRPr="0016229D">
        <w:rPr>
          <w:rFonts w:ascii="Times New Roman" w:hAnsi="Times New Roman"/>
          <w:sz w:val="24"/>
          <w:szCs w:val="24"/>
        </w:rPr>
        <w:t>, 7(2), 135-151.</w:t>
      </w:r>
    </w:p>
    <w:p w14:paraId="049B318B" w14:textId="50C85067" w:rsidR="00BA01A5" w:rsidRDefault="00BA01A5">
      <w:pPr>
        <w:autoSpaceDE w:val="0"/>
        <w:autoSpaceDN w:val="0"/>
        <w:adjustRightInd w:val="0"/>
        <w:spacing w:after="0" w:line="240" w:lineRule="auto"/>
        <w:ind w:left="540" w:hanging="540"/>
        <w:jc w:val="both"/>
        <w:rPr>
          <w:rFonts w:ascii="Times New Roman" w:hAnsi="Times New Roman"/>
          <w:sz w:val="24"/>
          <w:szCs w:val="24"/>
        </w:rPr>
      </w:pPr>
    </w:p>
    <w:p w14:paraId="2FC14E05" w14:textId="6054C8E6" w:rsidR="00BA01A5" w:rsidRDefault="00BA01A5" w:rsidP="00D84135">
      <w:pPr>
        <w:spacing w:after="0" w:line="240" w:lineRule="auto"/>
        <w:ind w:left="630" w:hanging="630"/>
        <w:jc w:val="both"/>
        <w:rPr>
          <w:rFonts w:ascii="Times New Roman" w:hAnsi="Times New Roman"/>
          <w:sz w:val="24"/>
          <w:szCs w:val="24"/>
          <w:shd w:val="clear" w:color="auto" w:fill="FFFFFF"/>
        </w:rPr>
      </w:pPr>
      <w:r w:rsidRPr="004D74D7">
        <w:rPr>
          <w:rFonts w:ascii="Times New Roman" w:hAnsi="Times New Roman"/>
          <w:sz w:val="24"/>
          <w:szCs w:val="24"/>
          <w:shd w:val="clear" w:color="auto" w:fill="FFFFFF"/>
        </w:rPr>
        <w:t xml:space="preserve">Cao, X. and Y. Fan (2012) Exploring the Influences of Density on Travel Behavior Using Propensity Score Matching. </w:t>
      </w:r>
      <w:r w:rsidRPr="004D74D7">
        <w:rPr>
          <w:rFonts w:ascii="Times New Roman" w:hAnsi="Times New Roman"/>
          <w:i/>
          <w:iCs/>
          <w:sz w:val="24"/>
          <w:szCs w:val="24"/>
          <w:shd w:val="clear" w:color="auto" w:fill="FFFFFF"/>
        </w:rPr>
        <w:t>Environment and Planning B</w:t>
      </w:r>
      <w:r w:rsidRPr="004D74D7">
        <w:rPr>
          <w:rFonts w:ascii="Times New Roman" w:hAnsi="Times New Roman"/>
          <w:sz w:val="24"/>
          <w:szCs w:val="24"/>
          <w:shd w:val="clear" w:color="auto" w:fill="FFFFFF"/>
        </w:rPr>
        <w:t xml:space="preserve">, </w:t>
      </w:r>
      <w:r w:rsidRPr="00D84135">
        <w:rPr>
          <w:rFonts w:ascii="Times New Roman" w:hAnsi="Times New Roman"/>
          <w:iCs/>
          <w:sz w:val="24"/>
          <w:szCs w:val="24"/>
          <w:shd w:val="clear" w:color="auto" w:fill="FFFFFF"/>
        </w:rPr>
        <w:t>39</w:t>
      </w:r>
      <w:r w:rsidRPr="004D74D7">
        <w:rPr>
          <w:rFonts w:ascii="Times New Roman" w:hAnsi="Times New Roman"/>
          <w:sz w:val="24"/>
          <w:szCs w:val="24"/>
          <w:shd w:val="clear" w:color="auto" w:fill="FFFFFF"/>
        </w:rPr>
        <w:t>(3), 459-470.</w:t>
      </w:r>
    </w:p>
    <w:p w14:paraId="2FABFBB8" w14:textId="73E4855A" w:rsidR="00EB33BE" w:rsidRDefault="00EB33BE" w:rsidP="00D84135">
      <w:pPr>
        <w:spacing w:after="0" w:line="240" w:lineRule="auto"/>
        <w:ind w:left="630" w:hanging="630"/>
        <w:jc w:val="both"/>
        <w:rPr>
          <w:rFonts w:ascii="Times New Roman" w:hAnsi="Times New Roman"/>
          <w:sz w:val="24"/>
          <w:szCs w:val="24"/>
          <w:shd w:val="clear" w:color="auto" w:fill="FFFFFF"/>
        </w:rPr>
      </w:pPr>
    </w:p>
    <w:p w14:paraId="20DCC0CA" w14:textId="36C01D9C" w:rsidR="00EB33BE" w:rsidRPr="00D84135" w:rsidRDefault="00EB33BE" w:rsidP="00D84135">
      <w:pPr>
        <w:spacing w:after="0" w:line="240" w:lineRule="auto"/>
        <w:ind w:left="540" w:hanging="540"/>
        <w:jc w:val="both"/>
        <w:rPr>
          <w:rFonts w:ascii="Times New Roman" w:hAnsi="Times New Roman"/>
          <w:color w:val="000000" w:themeColor="text1"/>
          <w:sz w:val="24"/>
          <w:szCs w:val="24"/>
        </w:rPr>
      </w:pPr>
      <w:r w:rsidRPr="00336011">
        <w:rPr>
          <w:rFonts w:ascii="Times New Roman" w:hAnsi="Times New Roman"/>
          <w:color w:val="000000" w:themeColor="text1"/>
          <w:sz w:val="24"/>
          <w:szCs w:val="24"/>
        </w:rPr>
        <w:lastRenderedPageBreak/>
        <w:t>Hu</w:t>
      </w:r>
      <w:r>
        <w:rPr>
          <w:rFonts w:ascii="Times New Roman" w:hAnsi="Times New Roman"/>
          <w:color w:val="000000" w:themeColor="text1"/>
          <w:sz w:val="24"/>
          <w:szCs w:val="24"/>
        </w:rPr>
        <w:t>, L.</w:t>
      </w:r>
      <w:r w:rsidRPr="00336011">
        <w:rPr>
          <w:rFonts w:ascii="Times New Roman" w:hAnsi="Times New Roman"/>
          <w:color w:val="000000" w:themeColor="text1"/>
          <w:sz w:val="24"/>
          <w:szCs w:val="24"/>
        </w:rPr>
        <w:t>, Sun</w:t>
      </w:r>
      <w:r>
        <w:rPr>
          <w:rFonts w:ascii="Times New Roman" w:hAnsi="Times New Roman"/>
          <w:color w:val="000000" w:themeColor="text1"/>
          <w:sz w:val="24"/>
          <w:szCs w:val="24"/>
        </w:rPr>
        <w:t>, T.</w:t>
      </w:r>
      <w:r w:rsidRPr="00336011">
        <w:rPr>
          <w:rFonts w:ascii="Times New Roman" w:hAnsi="Times New Roman"/>
          <w:color w:val="000000" w:themeColor="text1"/>
          <w:sz w:val="24"/>
          <w:szCs w:val="24"/>
        </w:rPr>
        <w:t>,</w:t>
      </w:r>
      <w:r>
        <w:rPr>
          <w:rFonts w:ascii="Times New Roman" w:hAnsi="Times New Roman"/>
          <w:color w:val="000000" w:themeColor="text1"/>
          <w:sz w:val="24"/>
          <w:szCs w:val="24"/>
        </w:rPr>
        <w:t xml:space="preserve"> and </w:t>
      </w:r>
      <w:r w:rsidRPr="00336011">
        <w:rPr>
          <w:rFonts w:ascii="Times New Roman" w:hAnsi="Times New Roman"/>
          <w:color w:val="000000" w:themeColor="text1"/>
          <w:sz w:val="24"/>
          <w:szCs w:val="24"/>
        </w:rPr>
        <w:t>Wang</w:t>
      </w:r>
      <w:r>
        <w:rPr>
          <w:rFonts w:ascii="Times New Roman" w:hAnsi="Times New Roman"/>
          <w:color w:val="000000" w:themeColor="text1"/>
          <w:sz w:val="24"/>
          <w:szCs w:val="24"/>
        </w:rPr>
        <w:t>, L. (2018)</w:t>
      </w:r>
      <w:r w:rsidRPr="00336011">
        <w:rPr>
          <w:rFonts w:ascii="Times New Roman" w:hAnsi="Times New Roman"/>
          <w:color w:val="000000" w:themeColor="text1"/>
          <w:sz w:val="24"/>
          <w:szCs w:val="24"/>
        </w:rPr>
        <w:t xml:space="preserve"> Evolving urban spatial structure and</w:t>
      </w:r>
      <w:r>
        <w:rPr>
          <w:rFonts w:ascii="Times New Roman" w:hAnsi="Times New Roman"/>
          <w:color w:val="000000" w:themeColor="text1"/>
          <w:sz w:val="24"/>
          <w:szCs w:val="24"/>
        </w:rPr>
        <w:t xml:space="preserve"> </w:t>
      </w:r>
      <w:r w:rsidRPr="00336011">
        <w:rPr>
          <w:rFonts w:ascii="Times New Roman" w:hAnsi="Times New Roman"/>
          <w:color w:val="000000" w:themeColor="text1"/>
          <w:sz w:val="24"/>
          <w:szCs w:val="24"/>
        </w:rPr>
        <w:t>commuting patterns: A case study of Beijing, China</w:t>
      </w:r>
      <w:r>
        <w:rPr>
          <w:rFonts w:ascii="Times New Roman" w:hAnsi="Times New Roman"/>
          <w:color w:val="000000" w:themeColor="text1"/>
          <w:sz w:val="24"/>
          <w:szCs w:val="24"/>
        </w:rPr>
        <w:t>.</w:t>
      </w:r>
      <w:r w:rsidRPr="00336011">
        <w:rPr>
          <w:rFonts w:ascii="Times New Roman" w:hAnsi="Times New Roman"/>
          <w:color w:val="000000" w:themeColor="text1"/>
          <w:sz w:val="24"/>
          <w:szCs w:val="24"/>
        </w:rPr>
        <w:t xml:space="preserve"> </w:t>
      </w:r>
      <w:r w:rsidRPr="00336011">
        <w:rPr>
          <w:rFonts w:ascii="Times New Roman" w:hAnsi="Times New Roman"/>
          <w:i/>
          <w:color w:val="000000" w:themeColor="text1"/>
          <w:sz w:val="24"/>
          <w:szCs w:val="24"/>
        </w:rPr>
        <w:t>Transportation Research Part D</w:t>
      </w:r>
      <w:r w:rsidRPr="00336011">
        <w:rPr>
          <w:rFonts w:ascii="Times New Roman" w:hAnsi="Times New Roman"/>
          <w:color w:val="000000" w:themeColor="text1"/>
          <w:sz w:val="24"/>
          <w:szCs w:val="24"/>
        </w:rPr>
        <w:t>, 59, 11-22.</w:t>
      </w:r>
    </w:p>
    <w:p w14:paraId="7F6171EB" w14:textId="585C3F54" w:rsidR="00BA01A5" w:rsidRDefault="00BA01A5">
      <w:pPr>
        <w:autoSpaceDE w:val="0"/>
        <w:autoSpaceDN w:val="0"/>
        <w:adjustRightInd w:val="0"/>
        <w:spacing w:after="0" w:line="240" w:lineRule="auto"/>
        <w:ind w:left="540" w:hanging="540"/>
        <w:jc w:val="both"/>
        <w:rPr>
          <w:rFonts w:ascii="Times New Roman" w:hAnsi="Times New Roman"/>
          <w:sz w:val="24"/>
          <w:szCs w:val="24"/>
        </w:rPr>
      </w:pPr>
    </w:p>
    <w:p w14:paraId="3655D6D1" w14:textId="34C1FE90" w:rsidR="00BA01A5" w:rsidRDefault="00BA01A5" w:rsidP="00D84135">
      <w:pPr>
        <w:spacing w:after="0" w:line="240" w:lineRule="auto"/>
        <w:ind w:left="630" w:hanging="630"/>
        <w:jc w:val="both"/>
        <w:rPr>
          <w:rFonts w:ascii="Times New Roman" w:hAnsi="Times New Roman"/>
          <w:sz w:val="24"/>
          <w:szCs w:val="24"/>
        </w:rPr>
      </w:pPr>
      <w:r>
        <w:rPr>
          <w:rFonts w:ascii="Times New Roman" w:hAnsi="Times New Roman"/>
          <w:sz w:val="24"/>
          <w:szCs w:val="24"/>
        </w:rPr>
        <w:t>Kim, J., and</w:t>
      </w:r>
      <w:r w:rsidRPr="00BD6E22">
        <w:rPr>
          <w:rFonts w:ascii="Times New Roman" w:hAnsi="Times New Roman"/>
          <w:sz w:val="24"/>
          <w:szCs w:val="24"/>
        </w:rPr>
        <w:t xml:space="preserve"> Brownstone, D. (2013) The impact of residential density on vehicle usage and fuel consumption: Evidence from national samples. </w:t>
      </w:r>
      <w:r w:rsidRPr="00FF6AA3">
        <w:rPr>
          <w:rFonts w:ascii="Times New Roman" w:hAnsi="Times New Roman"/>
          <w:i/>
          <w:sz w:val="24"/>
          <w:szCs w:val="24"/>
        </w:rPr>
        <w:t>Energy Economics</w:t>
      </w:r>
      <w:r w:rsidRPr="00BD6E22">
        <w:rPr>
          <w:rFonts w:ascii="Times New Roman" w:hAnsi="Times New Roman"/>
          <w:sz w:val="24"/>
          <w:szCs w:val="24"/>
        </w:rPr>
        <w:t>, 40, 196-206.</w:t>
      </w:r>
    </w:p>
    <w:p w14:paraId="114FA0AC" w14:textId="36D3AF77" w:rsidR="00BA01A5" w:rsidRDefault="00BA01A5" w:rsidP="00D84135">
      <w:pPr>
        <w:spacing w:after="0" w:line="240" w:lineRule="auto"/>
        <w:ind w:left="630" w:hanging="630"/>
        <w:jc w:val="both"/>
        <w:rPr>
          <w:rFonts w:ascii="Times New Roman" w:hAnsi="Times New Roman"/>
          <w:sz w:val="24"/>
          <w:szCs w:val="24"/>
        </w:rPr>
      </w:pPr>
    </w:p>
    <w:p w14:paraId="681DC3A4" w14:textId="7C4D7B29" w:rsidR="00BA01A5" w:rsidRDefault="00BA01A5" w:rsidP="00D84135">
      <w:pPr>
        <w:spacing w:after="0" w:line="240" w:lineRule="auto"/>
        <w:ind w:left="630" w:hanging="630"/>
        <w:jc w:val="both"/>
        <w:rPr>
          <w:rFonts w:ascii="Times New Roman" w:hAnsi="Times New Roman"/>
          <w:sz w:val="24"/>
          <w:szCs w:val="24"/>
          <w:shd w:val="clear" w:color="auto" w:fill="FFFFFF"/>
        </w:rPr>
      </w:pPr>
      <w:r w:rsidRPr="004D74D7">
        <w:rPr>
          <w:rFonts w:ascii="Times New Roman" w:hAnsi="Times New Roman"/>
          <w:sz w:val="24"/>
          <w:szCs w:val="24"/>
          <w:shd w:val="clear" w:color="auto" w:fill="FFFFFF"/>
        </w:rPr>
        <w:t xml:space="preserve">Paleti, R., C.R. Bhat, R.M. Pendyala, and K.G. Goulias (2013) Modeling of Household Vehicle Type Choice Accommodating Spatial Dependence Effects. </w:t>
      </w:r>
      <w:r w:rsidRPr="004D74D7">
        <w:rPr>
          <w:rFonts w:ascii="Times New Roman" w:hAnsi="Times New Roman"/>
          <w:i/>
          <w:iCs/>
          <w:sz w:val="24"/>
          <w:szCs w:val="24"/>
          <w:shd w:val="clear" w:color="auto" w:fill="FFFFFF"/>
        </w:rPr>
        <w:t>Transportation Research Record: Journal of the Transportation Research Board</w:t>
      </w:r>
      <w:r w:rsidRPr="004D74D7">
        <w:rPr>
          <w:rFonts w:ascii="Times New Roman" w:hAnsi="Times New Roman"/>
          <w:sz w:val="24"/>
          <w:szCs w:val="24"/>
          <w:shd w:val="clear" w:color="auto" w:fill="FFFFFF"/>
        </w:rPr>
        <w:t>, 2343, 86-94.</w:t>
      </w:r>
    </w:p>
    <w:p w14:paraId="38F8D65F" w14:textId="4B67BE4F" w:rsidR="00075ECA" w:rsidRPr="00336011" w:rsidRDefault="00075ECA" w:rsidP="00D84135">
      <w:pPr>
        <w:spacing w:after="0"/>
        <w:jc w:val="both"/>
        <w:rPr>
          <w:rFonts w:ascii="Times New Roman" w:hAnsi="Times New Roman"/>
          <w:color w:val="000000" w:themeColor="text1"/>
          <w:sz w:val="24"/>
          <w:szCs w:val="24"/>
        </w:rPr>
      </w:pPr>
    </w:p>
    <w:p w14:paraId="3D44CDFB" w14:textId="5771B7C0" w:rsidR="00075ECA" w:rsidRDefault="00075ECA">
      <w:pPr>
        <w:spacing w:after="0"/>
        <w:ind w:left="540" w:hanging="540"/>
        <w:jc w:val="both"/>
        <w:rPr>
          <w:rFonts w:ascii="Times New Roman" w:hAnsi="Times New Roman"/>
          <w:color w:val="000000" w:themeColor="text1"/>
          <w:sz w:val="24"/>
          <w:szCs w:val="24"/>
        </w:rPr>
      </w:pPr>
      <w:r w:rsidRPr="0018543B">
        <w:rPr>
          <w:rFonts w:ascii="Times New Roman" w:hAnsi="Times New Roman"/>
          <w:color w:val="000000" w:themeColor="text1"/>
          <w:sz w:val="24"/>
          <w:szCs w:val="24"/>
        </w:rPr>
        <w:t>Zhong, C., Schläpfer, M., Müller Aris</w:t>
      </w:r>
      <w:r>
        <w:rPr>
          <w:rFonts w:ascii="Times New Roman" w:hAnsi="Times New Roman"/>
          <w:color w:val="000000" w:themeColor="text1"/>
          <w:sz w:val="24"/>
          <w:szCs w:val="24"/>
        </w:rPr>
        <w:t>ona, S., Batty, M., Ratti, C., and</w:t>
      </w:r>
      <w:r w:rsidR="00D84135">
        <w:rPr>
          <w:rFonts w:ascii="Times New Roman" w:hAnsi="Times New Roman"/>
          <w:color w:val="000000" w:themeColor="text1"/>
          <w:sz w:val="24"/>
          <w:szCs w:val="24"/>
        </w:rPr>
        <w:t xml:space="preserve"> Schmitt, G. (2017)</w:t>
      </w:r>
      <w:r w:rsidRPr="0018543B">
        <w:rPr>
          <w:rFonts w:ascii="Times New Roman" w:hAnsi="Times New Roman"/>
          <w:color w:val="000000" w:themeColor="text1"/>
          <w:sz w:val="24"/>
          <w:szCs w:val="24"/>
        </w:rPr>
        <w:t xml:space="preserve"> Revealing centrality in the spatial structure of cities from human activity patterns. </w:t>
      </w:r>
      <w:r w:rsidRPr="00336011">
        <w:rPr>
          <w:rFonts w:ascii="Times New Roman" w:hAnsi="Times New Roman"/>
          <w:i/>
          <w:color w:val="000000" w:themeColor="text1"/>
          <w:sz w:val="24"/>
          <w:szCs w:val="24"/>
        </w:rPr>
        <w:t>Urban Studies</w:t>
      </w:r>
      <w:r w:rsidRPr="0018543B">
        <w:rPr>
          <w:rFonts w:ascii="Times New Roman" w:hAnsi="Times New Roman"/>
          <w:color w:val="000000" w:themeColor="text1"/>
          <w:sz w:val="24"/>
          <w:szCs w:val="24"/>
        </w:rPr>
        <w:t>, 54(2), 437-455.</w:t>
      </w:r>
      <w:r w:rsidRPr="00336011" w:rsidDel="0018543B">
        <w:rPr>
          <w:rFonts w:ascii="Times New Roman" w:hAnsi="Times New Roman"/>
          <w:color w:val="000000" w:themeColor="text1"/>
          <w:sz w:val="24"/>
          <w:szCs w:val="24"/>
        </w:rPr>
        <w:t xml:space="preserve"> </w:t>
      </w:r>
    </w:p>
    <w:p w14:paraId="67109A46" w14:textId="77777777" w:rsidR="00075ECA" w:rsidRPr="004D74D7" w:rsidRDefault="00075ECA" w:rsidP="00D84135">
      <w:pPr>
        <w:spacing w:after="0" w:line="240" w:lineRule="auto"/>
        <w:ind w:left="630" w:hanging="630"/>
        <w:jc w:val="both"/>
        <w:rPr>
          <w:rFonts w:ascii="Times New Roman" w:hAnsi="Times New Roman"/>
          <w:sz w:val="24"/>
          <w:szCs w:val="24"/>
        </w:rPr>
      </w:pPr>
    </w:p>
    <w:p w14:paraId="71FF3EEB" w14:textId="77777777" w:rsidR="00BA01A5" w:rsidRPr="00425E3B" w:rsidRDefault="00BA01A5" w:rsidP="00D84135">
      <w:pPr>
        <w:spacing w:after="0" w:line="240" w:lineRule="auto"/>
        <w:ind w:left="630" w:hanging="630"/>
        <w:rPr>
          <w:rFonts w:ascii="Times New Roman" w:hAnsi="Times New Roman"/>
          <w:sz w:val="24"/>
          <w:szCs w:val="24"/>
        </w:rPr>
      </w:pPr>
    </w:p>
    <w:p w14:paraId="65F65633" w14:textId="77777777" w:rsidR="00BA01A5" w:rsidRPr="00336011" w:rsidRDefault="00BA01A5" w:rsidP="00BA01A5">
      <w:pPr>
        <w:autoSpaceDE w:val="0"/>
        <w:autoSpaceDN w:val="0"/>
        <w:adjustRightInd w:val="0"/>
        <w:spacing w:after="0" w:line="240" w:lineRule="auto"/>
        <w:ind w:left="540" w:hanging="540"/>
        <w:jc w:val="both"/>
        <w:rPr>
          <w:rFonts w:ascii="Times New Roman" w:hAnsi="Times New Roman"/>
          <w:sz w:val="24"/>
          <w:szCs w:val="24"/>
        </w:rPr>
      </w:pPr>
    </w:p>
    <w:p w14:paraId="601B9939" w14:textId="77777777" w:rsidR="00BA01A5" w:rsidRPr="00336011" w:rsidRDefault="00BA01A5" w:rsidP="00BA01A5">
      <w:pPr>
        <w:autoSpaceDE w:val="0"/>
        <w:autoSpaceDN w:val="0"/>
        <w:adjustRightInd w:val="0"/>
        <w:spacing w:after="0" w:line="240" w:lineRule="auto"/>
        <w:ind w:left="900" w:hanging="900"/>
        <w:jc w:val="both"/>
        <w:rPr>
          <w:rFonts w:ascii="Times New Roman" w:hAnsi="Times New Roman"/>
          <w:sz w:val="24"/>
          <w:szCs w:val="24"/>
        </w:rPr>
      </w:pPr>
    </w:p>
    <w:p w14:paraId="22F1AF05" w14:textId="77777777" w:rsidR="00BA01A5" w:rsidRDefault="00BA01A5" w:rsidP="006A64C8">
      <w:pPr>
        <w:jc w:val="both"/>
      </w:pPr>
    </w:p>
    <w:p w14:paraId="794F66EB" w14:textId="77777777" w:rsidR="00BA01A5" w:rsidRDefault="00BA01A5" w:rsidP="006A64C8">
      <w:pPr>
        <w:jc w:val="both"/>
      </w:pPr>
    </w:p>
    <w:sectPr w:rsidR="00BA01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86B0D" w14:textId="77777777" w:rsidR="006B12EE" w:rsidRDefault="006B12EE" w:rsidP="00D84135">
      <w:pPr>
        <w:spacing w:after="0" w:line="240" w:lineRule="auto"/>
      </w:pPr>
      <w:r>
        <w:separator/>
      </w:r>
    </w:p>
  </w:endnote>
  <w:endnote w:type="continuationSeparator" w:id="0">
    <w:p w14:paraId="06E82AB2" w14:textId="77777777" w:rsidR="006B12EE" w:rsidRDefault="006B12EE" w:rsidP="00D84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dvTT5235d5a9">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196676"/>
      <w:docPartObj>
        <w:docPartGallery w:val="Page Numbers (Bottom of Page)"/>
        <w:docPartUnique/>
      </w:docPartObj>
    </w:sdtPr>
    <w:sdtEndPr>
      <w:rPr>
        <w:noProof/>
      </w:rPr>
    </w:sdtEndPr>
    <w:sdtContent>
      <w:p w14:paraId="29DE90DF" w14:textId="5F03947B" w:rsidR="00D84135" w:rsidRDefault="00D84135" w:rsidP="00D84135">
        <w:pPr>
          <w:pStyle w:val="Footer"/>
          <w:jc w:val="center"/>
        </w:pPr>
        <w:r w:rsidRPr="00D84135">
          <w:rPr>
            <w:rFonts w:ascii="Times New Roman" w:hAnsi="Times New Roman"/>
          </w:rPr>
          <w:fldChar w:fldCharType="begin"/>
        </w:r>
        <w:r w:rsidRPr="00D84135">
          <w:rPr>
            <w:rFonts w:ascii="Times New Roman" w:hAnsi="Times New Roman"/>
          </w:rPr>
          <w:instrText xml:space="preserve"> PAGE   \* MERGEFORMAT </w:instrText>
        </w:r>
        <w:r w:rsidRPr="00D84135">
          <w:rPr>
            <w:rFonts w:ascii="Times New Roman" w:hAnsi="Times New Roman"/>
          </w:rPr>
          <w:fldChar w:fldCharType="separate"/>
        </w:r>
        <w:r w:rsidR="006B7BF5">
          <w:rPr>
            <w:rFonts w:ascii="Times New Roman" w:hAnsi="Times New Roman"/>
            <w:noProof/>
          </w:rPr>
          <w:t>1</w:t>
        </w:r>
        <w:r w:rsidRPr="00D84135">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C9C16" w14:textId="77777777" w:rsidR="006B12EE" w:rsidRDefault="006B12EE" w:rsidP="00D84135">
      <w:pPr>
        <w:spacing w:after="0" w:line="240" w:lineRule="auto"/>
      </w:pPr>
      <w:r>
        <w:separator/>
      </w:r>
    </w:p>
  </w:footnote>
  <w:footnote w:type="continuationSeparator" w:id="0">
    <w:p w14:paraId="3D234DEA" w14:textId="77777777" w:rsidR="006B12EE" w:rsidRDefault="006B12EE" w:rsidP="00D841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05"/>
    <w:rsid w:val="00054AFF"/>
    <w:rsid w:val="00075ECA"/>
    <w:rsid w:val="00100EB9"/>
    <w:rsid w:val="00112805"/>
    <w:rsid w:val="0016229D"/>
    <w:rsid w:val="001D06BD"/>
    <w:rsid w:val="00340B6C"/>
    <w:rsid w:val="004F1123"/>
    <w:rsid w:val="005954F1"/>
    <w:rsid w:val="006A64C8"/>
    <w:rsid w:val="006B12EE"/>
    <w:rsid w:val="006B7BF5"/>
    <w:rsid w:val="006F7EB2"/>
    <w:rsid w:val="00BA01A5"/>
    <w:rsid w:val="00BF27D8"/>
    <w:rsid w:val="00D84135"/>
    <w:rsid w:val="00E70411"/>
    <w:rsid w:val="00E92ECD"/>
    <w:rsid w:val="00EB33BE"/>
    <w:rsid w:val="00ED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C0DE"/>
  <w15:chartTrackingRefBased/>
  <w15:docId w15:val="{02A1E9E5-84BE-4599-9498-07E1487C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8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4F1123"/>
    <w:rPr>
      <w:position w:val="0"/>
      <w:vertAlign w:val="superscript"/>
    </w:rPr>
  </w:style>
  <w:style w:type="character" w:styleId="Hyperlink">
    <w:name w:val="Hyperlink"/>
    <w:uiPriority w:val="99"/>
    <w:unhideWhenUsed/>
    <w:rsid w:val="00112805"/>
    <w:rPr>
      <w:color w:val="0000FF"/>
      <w:u w:val="single"/>
    </w:rPr>
  </w:style>
  <w:style w:type="paragraph" w:styleId="BalloonText">
    <w:name w:val="Balloon Text"/>
    <w:basedOn w:val="Normal"/>
    <w:link w:val="BalloonTextChar"/>
    <w:uiPriority w:val="99"/>
    <w:semiHidden/>
    <w:unhideWhenUsed/>
    <w:rsid w:val="00D84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135"/>
    <w:rPr>
      <w:rFonts w:ascii="Segoe UI" w:eastAsia="Calibri" w:hAnsi="Segoe UI" w:cs="Segoe UI"/>
      <w:sz w:val="18"/>
      <w:szCs w:val="18"/>
    </w:rPr>
  </w:style>
  <w:style w:type="paragraph" w:styleId="Header">
    <w:name w:val="header"/>
    <w:basedOn w:val="Normal"/>
    <w:link w:val="HeaderChar"/>
    <w:uiPriority w:val="99"/>
    <w:unhideWhenUsed/>
    <w:rsid w:val="00D84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135"/>
    <w:rPr>
      <w:rFonts w:ascii="Calibri" w:eastAsia="Calibri" w:hAnsi="Calibri" w:cs="Times New Roman"/>
    </w:rPr>
  </w:style>
  <w:style w:type="paragraph" w:styleId="Footer">
    <w:name w:val="footer"/>
    <w:basedOn w:val="Normal"/>
    <w:link w:val="FooterChar"/>
    <w:uiPriority w:val="99"/>
    <w:unhideWhenUsed/>
    <w:rsid w:val="00D84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13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tylab.com/equity/2015/06/watch-210-years-of-manhattan-densification-in-2-minutes/39473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FFEBC-FCF0-4EBF-918C-A5E56F96F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 Chandra R</dc:creator>
  <cp:keywords/>
  <dc:description/>
  <cp:lastModifiedBy>Macias, Lisa J</cp:lastModifiedBy>
  <cp:revision>2</cp:revision>
  <dcterms:created xsi:type="dcterms:W3CDTF">2018-04-05T18:46:00Z</dcterms:created>
  <dcterms:modified xsi:type="dcterms:W3CDTF">2018-04-05T18:46:00Z</dcterms:modified>
</cp:coreProperties>
</file>