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535" w14:textId="77777777" w:rsidR="004B0C12" w:rsidRDefault="004B0C12" w:rsidP="00CF6E59">
      <w:pPr>
        <w:spacing w:line="240" w:lineRule="auto"/>
        <w:jc w:val="both"/>
        <w:rPr>
          <w:b/>
          <w:bCs/>
        </w:rPr>
      </w:pPr>
    </w:p>
    <w:p w14:paraId="4CF958D9" w14:textId="77777777" w:rsidR="004B0C12" w:rsidRDefault="004B0C12" w:rsidP="00CF6E59">
      <w:pPr>
        <w:spacing w:line="240" w:lineRule="auto"/>
        <w:jc w:val="both"/>
        <w:rPr>
          <w:b/>
          <w:bCs/>
        </w:rPr>
      </w:pPr>
    </w:p>
    <w:p w14:paraId="0030C17B" w14:textId="400CFAAB" w:rsidR="006007C0" w:rsidRPr="009B2F97" w:rsidRDefault="006007C0" w:rsidP="00CF6E59">
      <w:pPr>
        <w:spacing w:line="240" w:lineRule="auto"/>
        <w:jc w:val="both"/>
        <w:rPr>
          <w:b/>
          <w:bCs/>
        </w:rPr>
      </w:pPr>
      <w:r w:rsidRPr="009B2F97">
        <w:rPr>
          <w:b/>
          <w:bCs/>
        </w:rPr>
        <w:t>Housing Choice in an Evolving Remote Work Landscape</w:t>
      </w:r>
    </w:p>
    <w:p w14:paraId="431B0B87" w14:textId="14D257CC" w:rsidR="006007C0" w:rsidRDefault="006007C0" w:rsidP="00CF6E59">
      <w:pPr>
        <w:spacing w:line="240" w:lineRule="auto"/>
        <w:jc w:val="both"/>
        <w:rPr>
          <w:b/>
          <w:bCs/>
        </w:rPr>
      </w:pPr>
    </w:p>
    <w:p w14:paraId="647EF437" w14:textId="77777777" w:rsidR="004B0C12" w:rsidRPr="009434FD" w:rsidRDefault="004B0C12" w:rsidP="00CF6E59">
      <w:pPr>
        <w:spacing w:line="240" w:lineRule="auto"/>
        <w:jc w:val="both"/>
        <w:rPr>
          <w:b/>
          <w:bCs/>
        </w:rPr>
      </w:pPr>
    </w:p>
    <w:p w14:paraId="3DD5BC22" w14:textId="77777777" w:rsidR="006007C0" w:rsidRPr="009434FD" w:rsidRDefault="006007C0" w:rsidP="00CF6E59">
      <w:pPr>
        <w:spacing w:line="240" w:lineRule="auto"/>
        <w:jc w:val="both"/>
        <w:rPr>
          <w:b/>
          <w:bCs/>
        </w:rPr>
      </w:pPr>
    </w:p>
    <w:p w14:paraId="21EAF093" w14:textId="2CEFA243" w:rsidR="00DA20DA" w:rsidRPr="009179E5" w:rsidRDefault="00DA20DA" w:rsidP="00CF6E59">
      <w:pPr>
        <w:spacing w:after="0" w:line="240" w:lineRule="auto"/>
        <w:jc w:val="both"/>
        <w:rPr>
          <w:b/>
          <w:bCs/>
        </w:rPr>
      </w:pPr>
      <w:r w:rsidRPr="009C5F54">
        <w:rPr>
          <w:b/>
          <w:bCs/>
        </w:rPr>
        <w:t>Dale Robbennolt</w:t>
      </w:r>
    </w:p>
    <w:p w14:paraId="37520603" w14:textId="77777777" w:rsidR="00DA20DA" w:rsidRPr="009B2F97" w:rsidRDefault="00DA20DA" w:rsidP="00CF6E59">
      <w:pPr>
        <w:spacing w:after="0" w:line="240" w:lineRule="auto"/>
        <w:jc w:val="both"/>
      </w:pPr>
      <w:r w:rsidRPr="009B2F97">
        <w:t>The University of Texas at Austin</w:t>
      </w:r>
    </w:p>
    <w:p w14:paraId="60BD8245" w14:textId="77777777" w:rsidR="00DA20DA" w:rsidRPr="009B2F97" w:rsidRDefault="00DA20DA" w:rsidP="00CF6E59">
      <w:pPr>
        <w:spacing w:after="0" w:line="240" w:lineRule="auto"/>
        <w:jc w:val="both"/>
      </w:pPr>
      <w:r w:rsidRPr="009B2F97">
        <w:t>Department of Civil, Architectural and Environmental Engineering</w:t>
      </w:r>
    </w:p>
    <w:p w14:paraId="613B8175" w14:textId="77777777" w:rsidR="00DA20DA" w:rsidRPr="009B2F97" w:rsidRDefault="00DA20DA" w:rsidP="00CF6E59">
      <w:pPr>
        <w:spacing w:after="0" w:line="240" w:lineRule="auto"/>
        <w:jc w:val="both"/>
      </w:pPr>
      <w:r w:rsidRPr="009B2F97">
        <w:t>301 E. Dean Keeton St. Stop C1761, Austin TX 78712, USA</w:t>
      </w:r>
    </w:p>
    <w:p w14:paraId="42E25107" w14:textId="70E21940" w:rsidR="00DA20DA" w:rsidRPr="009B2F97" w:rsidRDefault="00DA20DA" w:rsidP="00CF6E59">
      <w:pPr>
        <w:spacing w:after="0" w:line="240" w:lineRule="auto"/>
        <w:jc w:val="both"/>
      </w:pPr>
      <w:r w:rsidRPr="009B2F97">
        <w:t xml:space="preserve">Email: </w:t>
      </w:r>
      <w:r w:rsidR="006007C0" w:rsidRPr="009B2F97">
        <w:t>dar4836</w:t>
      </w:r>
      <w:r w:rsidRPr="009B2F97">
        <w:t>@utexas.edu</w:t>
      </w:r>
    </w:p>
    <w:p w14:paraId="24E98157" w14:textId="77777777" w:rsidR="00DA20DA" w:rsidRPr="009B2F97" w:rsidRDefault="00DA20DA" w:rsidP="00CF6E59">
      <w:pPr>
        <w:spacing w:after="0" w:line="240" w:lineRule="auto"/>
        <w:jc w:val="both"/>
        <w:rPr>
          <w:b/>
          <w:bCs/>
        </w:rPr>
      </w:pPr>
    </w:p>
    <w:p w14:paraId="7F1721A7" w14:textId="77777777" w:rsidR="00D73BF5" w:rsidRPr="009B2F97" w:rsidRDefault="00D73BF5" w:rsidP="00CF6E59">
      <w:pPr>
        <w:spacing w:after="0" w:line="240" w:lineRule="auto"/>
        <w:jc w:val="both"/>
        <w:rPr>
          <w:b/>
          <w:bCs/>
        </w:rPr>
      </w:pPr>
      <w:r w:rsidRPr="009B2F97">
        <w:rPr>
          <w:b/>
          <w:bCs/>
        </w:rPr>
        <w:t>Angela Haddad</w:t>
      </w:r>
    </w:p>
    <w:p w14:paraId="3573096A" w14:textId="77777777" w:rsidR="00D73BF5" w:rsidRPr="009B2F97" w:rsidRDefault="00D73BF5" w:rsidP="00CF6E59">
      <w:pPr>
        <w:spacing w:after="0" w:line="240" w:lineRule="auto"/>
        <w:jc w:val="both"/>
      </w:pPr>
      <w:r w:rsidRPr="009B2F97">
        <w:t>The University of Texas at Austin</w:t>
      </w:r>
    </w:p>
    <w:p w14:paraId="193D0A31" w14:textId="77777777" w:rsidR="00D73BF5" w:rsidRPr="009B2F97" w:rsidRDefault="00D73BF5" w:rsidP="00CF6E59">
      <w:pPr>
        <w:spacing w:after="0" w:line="240" w:lineRule="auto"/>
        <w:jc w:val="both"/>
      </w:pPr>
      <w:r w:rsidRPr="009B2F97">
        <w:t>Department of Civil, Architectural and Environmental Engineering</w:t>
      </w:r>
    </w:p>
    <w:p w14:paraId="55BCB5BE" w14:textId="77777777" w:rsidR="00D73BF5" w:rsidRPr="009B2F97" w:rsidRDefault="00D73BF5" w:rsidP="00CF6E59">
      <w:pPr>
        <w:spacing w:after="0" w:line="240" w:lineRule="auto"/>
        <w:jc w:val="both"/>
      </w:pPr>
      <w:r w:rsidRPr="009B2F97">
        <w:t>301 E. Dean Keeton St. Stop C1761, Austin TX 78712, USA</w:t>
      </w:r>
    </w:p>
    <w:p w14:paraId="04707CE7" w14:textId="6C483F07" w:rsidR="00D73BF5" w:rsidRPr="009B2F97" w:rsidRDefault="00D73BF5" w:rsidP="00CF6E59">
      <w:pPr>
        <w:spacing w:after="0" w:line="240" w:lineRule="auto"/>
        <w:jc w:val="both"/>
      </w:pPr>
      <w:r w:rsidRPr="009B2F97">
        <w:t>Email: angela.haddad@utexas.edu</w:t>
      </w:r>
    </w:p>
    <w:p w14:paraId="49A69B2A" w14:textId="77777777" w:rsidR="00D73BF5" w:rsidRPr="009B2F97" w:rsidRDefault="00D73BF5" w:rsidP="00CF6E59">
      <w:pPr>
        <w:spacing w:after="0" w:line="240" w:lineRule="auto"/>
        <w:jc w:val="both"/>
        <w:rPr>
          <w:b/>
          <w:bCs/>
        </w:rPr>
      </w:pPr>
    </w:p>
    <w:p w14:paraId="41874E7B" w14:textId="15752203" w:rsidR="004039FF" w:rsidRPr="009B2F97" w:rsidRDefault="004039FF" w:rsidP="00CF6E59">
      <w:pPr>
        <w:spacing w:after="0" w:line="240" w:lineRule="auto"/>
        <w:jc w:val="both"/>
        <w:rPr>
          <w:b/>
          <w:bCs/>
        </w:rPr>
      </w:pPr>
      <w:r w:rsidRPr="009B2F97">
        <w:rPr>
          <w:b/>
          <w:bCs/>
        </w:rPr>
        <w:t>Aupal Mondal</w:t>
      </w:r>
    </w:p>
    <w:p w14:paraId="7EDAA9C2" w14:textId="77777777" w:rsidR="004039FF" w:rsidRPr="009B2F97" w:rsidRDefault="004039FF" w:rsidP="00CF6E59">
      <w:pPr>
        <w:spacing w:after="0" w:line="240" w:lineRule="auto"/>
        <w:jc w:val="both"/>
      </w:pPr>
      <w:r w:rsidRPr="009B2F97">
        <w:t>The University of Texas at Austin</w:t>
      </w:r>
    </w:p>
    <w:p w14:paraId="25AF78F4" w14:textId="77777777" w:rsidR="004039FF" w:rsidRPr="009B2F97" w:rsidRDefault="004039FF" w:rsidP="00CF6E59">
      <w:pPr>
        <w:spacing w:after="0" w:line="240" w:lineRule="auto"/>
        <w:jc w:val="both"/>
      </w:pPr>
      <w:r w:rsidRPr="009B2F97">
        <w:t>Department of Civil, Architectural and Environmental Engineering</w:t>
      </w:r>
    </w:p>
    <w:p w14:paraId="57BFFDAF" w14:textId="77777777" w:rsidR="004039FF" w:rsidRPr="009B2F97" w:rsidRDefault="004039FF" w:rsidP="00CF6E59">
      <w:pPr>
        <w:spacing w:after="0" w:line="240" w:lineRule="auto"/>
        <w:jc w:val="both"/>
      </w:pPr>
      <w:r w:rsidRPr="009B2F97">
        <w:t>301 E. Dean Keeton St. Stop C1761, Austin TX 78712, USA</w:t>
      </w:r>
    </w:p>
    <w:p w14:paraId="7B7402A1" w14:textId="77777777" w:rsidR="004039FF" w:rsidRPr="009B2F97" w:rsidRDefault="004039FF" w:rsidP="00CF6E59">
      <w:pPr>
        <w:spacing w:after="0" w:line="240" w:lineRule="auto"/>
        <w:jc w:val="both"/>
      </w:pPr>
      <w:r w:rsidRPr="009B2F97">
        <w:t>Email: aupal.mondal@utexas.edu</w:t>
      </w:r>
    </w:p>
    <w:p w14:paraId="4D75F6BB" w14:textId="77777777" w:rsidR="004039FF" w:rsidRPr="009B2F97" w:rsidRDefault="004039FF" w:rsidP="00CF6E59">
      <w:pPr>
        <w:spacing w:after="0" w:line="240" w:lineRule="auto"/>
        <w:jc w:val="both"/>
        <w:rPr>
          <w:b/>
          <w:bCs/>
        </w:rPr>
      </w:pPr>
    </w:p>
    <w:p w14:paraId="6E7BDCC8" w14:textId="0B6F7F85" w:rsidR="004039FF" w:rsidRPr="009B2F97" w:rsidRDefault="00E3794E" w:rsidP="00CF6E59">
      <w:pPr>
        <w:spacing w:after="0" w:line="240" w:lineRule="auto"/>
        <w:jc w:val="both"/>
        <w:rPr>
          <w:b/>
          <w:bCs/>
        </w:rPr>
      </w:pPr>
      <w:r w:rsidRPr="009B2F97">
        <w:rPr>
          <w:b/>
          <w:bCs/>
        </w:rPr>
        <w:t>Chandra R. Bhat</w:t>
      </w:r>
      <w:r>
        <w:rPr>
          <w:b/>
          <w:bCs/>
        </w:rPr>
        <w:t xml:space="preserve"> </w:t>
      </w:r>
      <w:r>
        <w:rPr>
          <w:b/>
        </w:rPr>
        <w:t>(corresponding author)</w:t>
      </w:r>
    </w:p>
    <w:p w14:paraId="20D1C71D" w14:textId="77777777" w:rsidR="004039FF" w:rsidRPr="009B2F97" w:rsidRDefault="004039FF" w:rsidP="00CF6E59">
      <w:pPr>
        <w:spacing w:after="0" w:line="240" w:lineRule="auto"/>
        <w:jc w:val="both"/>
      </w:pPr>
      <w:r w:rsidRPr="009B2F97">
        <w:t>The University of Texas at Austin</w:t>
      </w:r>
    </w:p>
    <w:p w14:paraId="2AD07116" w14:textId="77777777" w:rsidR="004039FF" w:rsidRPr="009B2F97" w:rsidRDefault="004039FF" w:rsidP="00CF6E59">
      <w:pPr>
        <w:spacing w:after="0" w:line="240" w:lineRule="auto"/>
        <w:jc w:val="both"/>
      </w:pPr>
      <w:r w:rsidRPr="009B2F97">
        <w:t>Department of Civil, Architectural and Environmental Engineering</w:t>
      </w:r>
    </w:p>
    <w:p w14:paraId="198F32C2" w14:textId="77777777" w:rsidR="004039FF" w:rsidRPr="009B2F97" w:rsidRDefault="004039FF" w:rsidP="00CF6E59">
      <w:pPr>
        <w:spacing w:after="0" w:line="240" w:lineRule="auto"/>
        <w:jc w:val="both"/>
      </w:pPr>
      <w:r w:rsidRPr="009B2F97">
        <w:t>301 E. Dean Keeton St. Stop C1761, Austin TX 78712, USA</w:t>
      </w:r>
    </w:p>
    <w:p w14:paraId="259B072F" w14:textId="77777777" w:rsidR="004039FF" w:rsidRPr="009B2F97" w:rsidRDefault="004039FF" w:rsidP="00CF6E59">
      <w:pPr>
        <w:spacing w:after="0" w:line="240" w:lineRule="auto"/>
        <w:jc w:val="both"/>
      </w:pPr>
      <w:r w:rsidRPr="009B2F97">
        <w:t>Tel: +1-512-471-4535; Email: bhat@mail.utexas.edu</w:t>
      </w:r>
    </w:p>
    <w:p w14:paraId="5839B293" w14:textId="77777777" w:rsidR="00D73BF5" w:rsidRPr="009B2F97" w:rsidRDefault="00D73BF5" w:rsidP="00CF6E59">
      <w:pPr>
        <w:spacing w:after="0" w:line="240" w:lineRule="auto"/>
        <w:jc w:val="both"/>
        <w:rPr>
          <w:b/>
          <w:bCs/>
        </w:rPr>
      </w:pPr>
    </w:p>
    <w:p w14:paraId="67A6BA59" w14:textId="79233F20" w:rsidR="00DA20DA" w:rsidRPr="009B2F97" w:rsidRDefault="00DA20DA" w:rsidP="00CF6E59">
      <w:pPr>
        <w:spacing w:after="0" w:line="240" w:lineRule="auto"/>
        <w:jc w:val="both"/>
        <w:rPr>
          <w:b/>
          <w:bCs/>
        </w:rPr>
      </w:pPr>
      <w:r w:rsidRPr="009B2F97">
        <w:rPr>
          <w:b/>
          <w:bCs/>
        </w:rPr>
        <w:br w:type="page"/>
      </w:r>
    </w:p>
    <w:p w14:paraId="6928F3DD" w14:textId="21836E04" w:rsidR="00D270A9" w:rsidRPr="009B2F97" w:rsidRDefault="00514613" w:rsidP="006A1584">
      <w:pPr>
        <w:spacing w:after="0" w:line="240" w:lineRule="auto"/>
        <w:jc w:val="both"/>
        <w:rPr>
          <w:b/>
          <w:bCs/>
        </w:rPr>
      </w:pPr>
      <w:r w:rsidRPr="009B2F97">
        <w:rPr>
          <w:b/>
          <w:bCs/>
        </w:rPr>
        <w:lastRenderedPageBreak/>
        <w:t>ABSTRACT</w:t>
      </w:r>
    </w:p>
    <w:p w14:paraId="77BA2E89" w14:textId="53AD4459" w:rsidR="002C65C7" w:rsidRDefault="001003AB" w:rsidP="006F37E3">
      <w:pPr>
        <w:spacing w:after="120" w:line="240" w:lineRule="auto"/>
        <w:jc w:val="both"/>
      </w:pPr>
      <w:r>
        <w:t xml:space="preserve">We </w:t>
      </w:r>
      <w:r w:rsidR="00994B24" w:rsidRPr="009B2F97">
        <w:t>estimate a joint model of</w:t>
      </w:r>
      <w:r w:rsidR="00E41E95" w:rsidRPr="009B2F97">
        <w:t xml:space="preserve"> housing choice </w:t>
      </w:r>
      <w:r w:rsidR="000C0708" w:rsidRPr="009B2F97">
        <w:t xml:space="preserve">along </w:t>
      </w:r>
      <w:r w:rsidR="009B63DA" w:rsidRPr="009B2F97">
        <w:t>several</w:t>
      </w:r>
      <w:r w:rsidR="000C0708" w:rsidRPr="009B2F97">
        <w:t xml:space="preserve"> dimensions</w:t>
      </w:r>
      <w:r w:rsidR="009B63DA" w:rsidRPr="009B2F97">
        <w:t xml:space="preserve"> to account for </w:t>
      </w:r>
      <w:r w:rsidR="00F253E3" w:rsidRPr="009B2F97">
        <w:t xml:space="preserve">changing valuations of housing outcomes due to the COVID-19 pandemic. </w:t>
      </w:r>
      <w:r w:rsidR="00202E7C" w:rsidRPr="009B2F97">
        <w:t xml:space="preserve">We consider housing outcomes including </w:t>
      </w:r>
      <w:r w:rsidR="000C0708" w:rsidRPr="009B2F97">
        <w:t xml:space="preserve">housing type, tenure type, </w:t>
      </w:r>
      <w:r w:rsidR="00374307">
        <w:t xml:space="preserve">the </w:t>
      </w:r>
      <w:r w:rsidR="000C0708" w:rsidRPr="009B2F97">
        <w:t xml:space="preserve">presence of a patio or yard, </w:t>
      </w:r>
      <w:r w:rsidR="00374307">
        <w:t xml:space="preserve">the </w:t>
      </w:r>
      <w:r w:rsidR="000C0708" w:rsidRPr="009B2F97">
        <w:t xml:space="preserve">number of bedrooms, </w:t>
      </w:r>
      <w:r w:rsidR="00202E7C" w:rsidRPr="009B2F97">
        <w:t xml:space="preserve">neighborhood population density, median housing cost, </w:t>
      </w:r>
      <w:r w:rsidR="00404211" w:rsidRPr="009B2F97">
        <w:t xml:space="preserve">accessibility of amenities, school quality, crime rate, and commute distance. </w:t>
      </w:r>
      <w:r w:rsidR="00364327" w:rsidRPr="009B2F97">
        <w:t xml:space="preserve">Data </w:t>
      </w:r>
      <w:r w:rsidR="00481911" w:rsidRPr="009B2F97">
        <w:t>used for this analysis w</w:t>
      </w:r>
      <w:r w:rsidR="00374307">
        <w:t>ere</w:t>
      </w:r>
      <w:r w:rsidR="00481911" w:rsidRPr="009B2F97">
        <w:t xml:space="preserve"> collected in October </w:t>
      </w:r>
      <w:r w:rsidR="00374307">
        <w:t>and</w:t>
      </w:r>
      <w:r w:rsidR="00481911" w:rsidRPr="009B2F97">
        <w:t xml:space="preserve"> </w:t>
      </w:r>
      <w:r w:rsidR="00A75187" w:rsidRPr="009B2F97">
        <w:t>November</w:t>
      </w:r>
      <w:r w:rsidR="00481911" w:rsidRPr="009B2F97">
        <w:t xml:space="preserve"> </w:t>
      </w:r>
      <w:r w:rsidR="00374307">
        <w:t xml:space="preserve">of </w:t>
      </w:r>
      <w:r w:rsidR="00481911" w:rsidRPr="009B2F97">
        <w:t xml:space="preserve">2021 from 24 metropolitan areas across the United States. </w:t>
      </w:r>
      <w:r w:rsidR="00AA1D22" w:rsidRPr="009B2F97">
        <w:t xml:space="preserve">A Generalized Heterogeneous Data Model (GHDM) is used to </w:t>
      </w:r>
      <w:r w:rsidR="008353D6" w:rsidRPr="009B2F97">
        <w:t>estimate these housing outcomes as a function of exogenous household sociodemographic characteristics</w:t>
      </w:r>
      <w:r w:rsidR="009A112A" w:rsidRPr="009B2F97">
        <w:t xml:space="preserve"> and latent lifestyle propensities. </w:t>
      </w:r>
      <w:r w:rsidR="00C22A63" w:rsidRPr="009B2F97">
        <w:t xml:space="preserve">The GHDM </w:t>
      </w:r>
      <w:r w:rsidR="005903A5" w:rsidRPr="009B2F97">
        <w:t xml:space="preserve">also captures jointness caused by unobserved factors, allowing for </w:t>
      </w:r>
      <w:r w:rsidR="004502A1">
        <w:t xml:space="preserve">the </w:t>
      </w:r>
      <w:r w:rsidR="005903A5" w:rsidRPr="009B2F97">
        <w:t xml:space="preserve">estimation of </w:t>
      </w:r>
      <w:r w:rsidR="00F721B2">
        <w:t xml:space="preserve">accurate </w:t>
      </w:r>
      <w:r w:rsidR="005903A5" w:rsidRPr="009B2F97">
        <w:t xml:space="preserve">causal effects between outcomes. </w:t>
      </w:r>
      <w:r w:rsidR="00B66588" w:rsidRPr="009B2F97">
        <w:t xml:space="preserve">The results reveal that lifestyle preferences have significant impacts on housing outcomes. </w:t>
      </w:r>
      <w:r w:rsidR="002C65C7" w:rsidRPr="009B2F97">
        <w:t xml:space="preserve">Specifically, individuals with a preference for teleworking are more likely to reside in </w:t>
      </w:r>
      <w:r w:rsidR="00BD084D">
        <w:t>single-family homes</w:t>
      </w:r>
      <w:r w:rsidR="002C65C7" w:rsidRPr="009B2F97">
        <w:t xml:space="preserve"> in highly populated areas, experience longer commute distances, and exhibit a higher sensitivity to the presence of amenities in their neighborhoods.</w:t>
      </w:r>
      <w:r w:rsidR="002A769A" w:rsidRPr="009B2F97">
        <w:t xml:space="preserve"> Additionally, the analysis of tradeoffs between </w:t>
      </w:r>
      <w:r w:rsidR="000165D4" w:rsidRPr="009B2F97">
        <w:t>housing outcomes</w:t>
      </w:r>
      <w:r w:rsidR="002A769A" w:rsidRPr="009B2F97">
        <w:t xml:space="preserve"> reveals </w:t>
      </w:r>
      <w:r w:rsidR="00D47B73">
        <w:t xml:space="preserve">the relative valuations of various housing outcomes. </w:t>
      </w:r>
      <w:r w:rsidR="008924AA">
        <w:t>An increased commute distance is found to lead to an increase in single</w:t>
      </w:r>
      <w:r w:rsidR="002A0542">
        <w:t>-</w:t>
      </w:r>
      <w:r w:rsidR="008924AA">
        <w:t>family homes, reduction</w:t>
      </w:r>
      <w:r w:rsidR="002A0542">
        <w:t>s</w:t>
      </w:r>
      <w:r w:rsidR="008924AA">
        <w:t xml:space="preserve"> in density, and </w:t>
      </w:r>
      <w:r w:rsidR="00902510">
        <w:t xml:space="preserve">an </w:t>
      </w:r>
      <w:r w:rsidR="00FC3A77">
        <w:t xml:space="preserve">increased crime rate. Choosing an apartment in a </w:t>
      </w:r>
      <w:r w:rsidR="005F27AF">
        <w:t>high-density</w:t>
      </w:r>
      <w:r w:rsidR="00FC3A77">
        <w:t xml:space="preserve"> neighborhood </w:t>
      </w:r>
      <w:r w:rsidR="00D12EEF">
        <w:t xml:space="preserve">is found to lead to </w:t>
      </w:r>
      <w:r w:rsidR="0027572A">
        <w:t xml:space="preserve">reductions in school quality and significant increases in crime rates. </w:t>
      </w:r>
      <w:r w:rsidR="00F721B2">
        <w:t>Implications of the results for land-use planning, travel demand analysis, and equity considerations are identified and discussed.</w:t>
      </w:r>
    </w:p>
    <w:p w14:paraId="0D9BF804" w14:textId="77777777" w:rsidR="00736C04" w:rsidRDefault="00736C04" w:rsidP="006F37E3">
      <w:pPr>
        <w:spacing w:after="120" w:line="240" w:lineRule="auto"/>
        <w:jc w:val="both"/>
      </w:pPr>
    </w:p>
    <w:p w14:paraId="47FFA972" w14:textId="09718850" w:rsidR="00736C04" w:rsidRPr="00736C04" w:rsidRDefault="00736C04" w:rsidP="006F37E3">
      <w:pPr>
        <w:spacing w:after="120" w:line="240" w:lineRule="auto"/>
        <w:jc w:val="both"/>
      </w:pPr>
      <w:r>
        <w:rPr>
          <w:b/>
          <w:bCs/>
        </w:rPr>
        <w:t xml:space="preserve">Keywords: </w:t>
      </w:r>
      <w:r w:rsidR="004E35DF" w:rsidRPr="00A2115B">
        <w:t>Housing choices, dwelling unit characteristics, residential location, latent lifestyles, urban planning, travel demand analysis</w:t>
      </w:r>
    </w:p>
    <w:p w14:paraId="1845D2F8" w14:textId="77777777" w:rsidR="00375020" w:rsidRDefault="00514613" w:rsidP="00CF6E59">
      <w:pPr>
        <w:spacing w:line="240" w:lineRule="auto"/>
        <w:jc w:val="both"/>
        <w:rPr>
          <w:b/>
          <w:bCs/>
        </w:rPr>
      </w:pPr>
      <w:r w:rsidRPr="009B2F97">
        <w:rPr>
          <w:b/>
          <w:bCs/>
        </w:rPr>
        <w:br w:type="page"/>
      </w:r>
    </w:p>
    <w:p w14:paraId="5204FD61" w14:textId="77777777" w:rsidR="00736C04" w:rsidRDefault="00736C04" w:rsidP="00CF6E59">
      <w:pPr>
        <w:spacing w:line="240" w:lineRule="auto"/>
        <w:jc w:val="both"/>
        <w:rPr>
          <w:b/>
          <w:bCs/>
        </w:rPr>
        <w:sectPr w:rsidR="00736C04" w:rsidSect="007D1DDE">
          <w:pgSz w:w="12240" w:h="15840"/>
          <w:pgMar w:top="1440" w:right="1440" w:bottom="1440" w:left="1440" w:header="720" w:footer="720" w:gutter="0"/>
          <w:pgNumType w:start="1"/>
          <w:cols w:space="720"/>
          <w:titlePg/>
          <w:docGrid w:linePitch="360"/>
        </w:sectPr>
      </w:pPr>
    </w:p>
    <w:p w14:paraId="1AEA8AD8" w14:textId="044BBDEB" w:rsidR="00040667" w:rsidRPr="009B2F97" w:rsidRDefault="00A82708" w:rsidP="006F37E3">
      <w:pPr>
        <w:spacing w:after="0" w:line="240" w:lineRule="auto"/>
        <w:jc w:val="both"/>
        <w:rPr>
          <w:b/>
          <w:bCs/>
        </w:rPr>
      </w:pPr>
      <w:r w:rsidRPr="009B2F97">
        <w:rPr>
          <w:b/>
          <w:bCs/>
        </w:rPr>
        <w:lastRenderedPageBreak/>
        <w:t xml:space="preserve">1. </w:t>
      </w:r>
      <w:r w:rsidR="00F7780C">
        <w:rPr>
          <w:b/>
          <w:bCs/>
        </w:rPr>
        <w:t>INTRODUCTION</w:t>
      </w:r>
    </w:p>
    <w:p w14:paraId="39B2B237" w14:textId="78DDC231" w:rsidR="00432890" w:rsidRPr="009B2F97" w:rsidRDefault="00432890" w:rsidP="006F37E3">
      <w:pPr>
        <w:spacing w:after="0" w:line="240" w:lineRule="auto"/>
        <w:jc w:val="both"/>
      </w:pPr>
      <w:r w:rsidRPr="00D21817">
        <w:t xml:space="preserve">The </w:t>
      </w:r>
      <w:r w:rsidR="00641CC2" w:rsidRPr="00CB3EDA">
        <w:t xml:space="preserve">social distancing protocols </w:t>
      </w:r>
      <w:r w:rsidR="00CD79B6" w:rsidRPr="00CB3EDA">
        <w:t xml:space="preserve">implemented during the </w:t>
      </w:r>
      <w:r w:rsidRPr="00DD68D6">
        <w:t xml:space="preserve">COVID-19 pandemic </w:t>
      </w:r>
      <w:r w:rsidR="00CD79B6" w:rsidRPr="00DD68D6">
        <w:t>have</w:t>
      </w:r>
      <w:r w:rsidR="008D3F7F" w:rsidRPr="009434FD">
        <w:t xml:space="preserve"> </w:t>
      </w:r>
      <w:r w:rsidR="0063093E" w:rsidRPr="009434FD">
        <w:t>led</w:t>
      </w:r>
      <w:r w:rsidRPr="009C5F54">
        <w:t xml:space="preserve"> businesses and individuals </w:t>
      </w:r>
      <w:r w:rsidR="00FD7941" w:rsidRPr="009B2F97">
        <w:t xml:space="preserve">across the world </w:t>
      </w:r>
      <w:r w:rsidRPr="009B2F97">
        <w:t xml:space="preserve">to </w:t>
      </w:r>
      <w:r w:rsidR="0046682F" w:rsidRPr="009B2F97">
        <w:t>consider</w:t>
      </w:r>
      <w:r w:rsidR="00DF12AF" w:rsidRPr="009B2F97">
        <w:t xml:space="preserve"> innovative</w:t>
      </w:r>
      <w:r w:rsidRPr="009B2F97">
        <w:t xml:space="preserve"> workflows, lifestyles, and routines.</w:t>
      </w:r>
      <w:r w:rsidR="00FD7941" w:rsidRPr="009B2F97">
        <w:t xml:space="preserve"> In the U</w:t>
      </w:r>
      <w:r w:rsidR="009238AE" w:rsidRPr="009B2F97">
        <w:t xml:space="preserve">nited </w:t>
      </w:r>
      <w:r w:rsidR="00FD7941" w:rsidRPr="009B2F97">
        <w:t>S</w:t>
      </w:r>
      <w:r w:rsidR="009238AE" w:rsidRPr="009B2F97">
        <w:t>tates</w:t>
      </w:r>
      <w:r w:rsidR="009C48BF" w:rsidRPr="009B2F97">
        <w:t>,</w:t>
      </w:r>
      <w:r w:rsidR="009F3AA5" w:rsidRPr="009B2F97">
        <w:t xml:space="preserve"> </w:t>
      </w:r>
      <w:r w:rsidR="00F27079" w:rsidRPr="009B2F97">
        <w:t xml:space="preserve">the share of workers reporting fully </w:t>
      </w:r>
      <w:r w:rsidR="009F3AA5" w:rsidRPr="009B2F97">
        <w:t xml:space="preserve">remote work arrangements </w:t>
      </w:r>
      <w:r w:rsidR="008D2367" w:rsidRPr="009B2F97">
        <w:t>increased significantly</w:t>
      </w:r>
      <w:r w:rsidR="009F3AA5" w:rsidRPr="009B2F97">
        <w:t xml:space="preserve"> from approximately </w:t>
      </w:r>
      <w:r w:rsidR="009C48BF" w:rsidRPr="009B2F97">
        <w:t>7% to about 62%</w:t>
      </w:r>
      <w:r w:rsidR="00AB42D2" w:rsidRPr="009B2F97">
        <w:t xml:space="preserve"> throughout 2020 and 2021</w:t>
      </w:r>
      <w:r w:rsidR="00D33979" w:rsidRPr="009B2F97">
        <w:t xml:space="preserve"> </w:t>
      </w:r>
      <w:r w:rsidR="00D33979" w:rsidRPr="009B2F97">
        <w:fldChar w:fldCharType="begin"/>
      </w:r>
      <w:r w:rsidR="008912F0">
        <w:instrText xml:space="preserve"> ADDIN ZOTERO_ITEM CSL_CITATION {"citationID":"jtYQhNuF","properties":{"formattedCitation":"(Bureau of Labor Statistics, 2022)","plainCitation":"(Bureau of Labor Statistics, 2022)","noteIndex":0},"citationItems":[{"id":108,"uris":["http://zotero.org/users/local/1ztI2Oc6/items/JKWSQHP2","http://zotero.org/users/12832277/items/JKWSQHP2"],"itemData":{"id":108,"type":"report","publisher":"US Department of Labor","title":"National Compensation Survey - Benefits","author":[{"family":"Bureau of Labor Statistics","given":""}],"issued":{"date-parts":[["2022"]]}}}],"schema":"https://github.com/citation-style-language/schema/raw/master/csl-citation.json"} </w:instrText>
      </w:r>
      <w:r w:rsidR="00D33979" w:rsidRPr="009B2F97">
        <w:fldChar w:fldCharType="separate"/>
      </w:r>
      <w:r w:rsidR="00BA12C7" w:rsidRPr="009B2F97">
        <w:t>(Bureau of Labor Statistics, 2022)</w:t>
      </w:r>
      <w:r w:rsidR="00D33979" w:rsidRPr="009B2F97">
        <w:fldChar w:fldCharType="end"/>
      </w:r>
      <w:r w:rsidR="00AB42D2" w:rsidRPr="009B2F97">
        <w:t>.</w:t>
      </w:r>
      <w:r w:rsidR="0041107E" w:rsidRPr="009B2F97">
        <w:t xml:space="preserve"> </w:t>
      </w:r>
      <w:r w:rsidR="008D2367" w:rsidRPr="00D21817">
        <w:t>With society now managing the spread and impact of COVID-19</w:t>
      </w:r>
      <w:r w:rsidRPr="00CB3EDA">
        <w:t xml:space="preserve">, many employers </w:t>
      </w:r>
      <w:r w:rsidR="00CA1DBF" w:rsidRPr="009434FD">
        <w:t>are</w:t>
      </w:r>
      <w:r w:rsidRPr="009434FD">
        <w:t xml:space="preserve"> reverting to their </w:t>
      </w:r>
      <w:r w:rsidR="009E7FB5" w:rsidRPr="009C5F54">
        <w:t>pre-pandemic</w:t>
      </w:r>
      <w:r w:rsidRPr="009179E5">
        <w:t xml:space="preserve"> workplace stru</w:t>
      </w:r>
      <w:r w:rsidRPr="0077513C">
        <w:t>ctures</w:t>
      </w:r>
      <w:r w:rsidR="00CA1DBF" w:rsidRPr="00DF135E">
        <w:t>,</w:t>
      </w:r>
      <w:r w:rsidRPr="00DF135E">
        <w:t xml:space="preserve"> </w:t>
      </w:r>
      <w:r w:rsidR="00B8509D" w:rsidRPr="009B2F97">
        <w:t>asking</w:t>
      </w:r>
      <w:r w:rsidRPr="009B2F97">
        <w:t xml:space="preserve"> employees </w:t>
      </w:r>
      <w:r w:rsidR="00B8509D" w:rsidRPr="009B2F97">
        <w:t xml:space="preserve">to </w:t>
      </w:r>
      <w:r w:rsidRPr="009B2F97">
        <w:t xml:space="preserve">return to the in-person workplace for at least a few days </w:t>
      </w:r>
      <w:r w:rsidR="009E7FB5" w:rsidRPr="009B2F97">
        <w:t>per</w:t>
      </w:r>
      <w:r w:rsidRPr="009B2F97">
        <w:t xml:space="preserve"> month. Other</w:t>
      </w:r>
      <w:r w:rsidR="008C775A" w:rsidRPr="009B2F97">
        <w:t xml:space="preserve"> employers</w:t>
      </w:r>
      <w:r w:rsidRPr="009B2F97">
        <w:t xml:space="preserve">, however, are embracing the changes brought </w:t>
      </w:r>
      <w:r w:rsidR="008C775A" w:rsidRPr="009B2F97">
        <w:t xml:space="preserve">about </w:t>
      </w:r>
      <w:r w:rsidRPr="009B2F97">
        <w:t>by the pandemic and exploring</w:t>
      </w:r>
      <w:r w:rsidR="00671E7B" w:rsidRPr="009B2F97">
        <w:t xml:space="preserve"> the possibility of</w:t>
      </w:r>
      <w:r w:rsidRPr="009B2F97">
        <w:t xml:space="preserve"> </w:t>
      </w:r>
      <w:r w:rsidR="00E85FCC" w:rsidRPr="009B2F97">
        <w:t>continued</w:t>
      </w:r>
      <w:r w:rsidRPr="009B2F97">
        <w:t xml:space="preserve"> flexible work arrangements. Overall, </w:t>
      </w:r>
      <w:r w:rsidR="00671E7B" w:rsidRPr="009B2F97">
        <w:t>the prevailing view is</w:t>
      </w:r>
      <w:r w:rsidRPr="009B2F97">
        <w:t xml:space="preserve"> that some level of flexible work arrangements </w:t>
      </w:r>
      <w:r w:rsidR="00241C9F" w:rsidRPr="009B2F97">
        <w:t>is</w:t>
      </w:r>
      <w:r w:rsidRPr="009B2F97">
        <w:t xml:space="preserve"> here to stay</w:t>
      </w:r>
      <w:r w:rsidR="00D8176C" w:rsidRPr="009B2F97">
        <w:t xml:space="preserve">, with about 35% of employees retaining the </w:t>
      </w:r>
      <w:r w:rsidR="00ED552B" w:rsidRPr="009B2F97">
        <w:t>option</w:t>
      </w:r>
      <w:r w:rsidR="00D8176C" w:rsidRPr="009B2F97">
        <w:t xml:space="preserve"> to work from home full</w:t>
      </w:r>
      <w:r w:rsidR="00BC4797" w:rsidRPr="009B2F97">
        <w:t>-</w:t>
      </w:r>
      <w:r w:rsidR="00D8176C" w:rsidRPr="009B2F97">
        <w:t xml:space="preserve">time </w:t>
      </w:r>
      <w:r w:rsidR="00241C9F" w:rsidRPr="009B2F97">
        <w:t xml:space="preserve">and 23% part-time </w:t>
      </w:r>
      <w:r w:rsidR="00D8176C" w:rsidRPr="009B2F97">
        <w:t>as of spring 2022</w:t>
      </w:r>
      <w:r w:rsidR="00241C9F" w:rsidRPr="009B2F97">
        <w:t xml:space="preserve"> </w:t>
      </w:r>
      <w:r w:rsidR="00241C9F" w:rsidRPr="009B2F97">
        <w:fldChar w:fldCharType="begin"/>
      </w:r>
      <w:r w:rsidR="008912F0">
        <w:instrText xml:space="preserve"> ADDIN ZOTERO_ITEM CSL_CITATION {"citationID":"apM66L2g","properties":{"formattedCitation":"(McKinsey, 2022)","plainCitation":"(McKinsey, 2022)","noteIndex":0},"citationItems":[{"id":111,"uris":["http://zotero.org/users/local/1ztI2Oc6/items/DGM3UXBS","http://zotero.org/users/12832277/items/DGM3UXBS"],"itemData":{"id":111,"type":"report","abstract":"The McKinsey American Opportunity Survey spotlights Americans&amp;rsquo; views on economic opportunity, the obstacles they face, and the path ahead to create more sustainable and inclusive growth in the US","language":"en","title":"American Opportunity Survey","URL":"https://www.mckinsey.com/industries/real-estate/our-insights/americans-are-embracing-flexible-work-and-they-want-more-of-it","author":[{"family":"McKinsey","given":""}],"accessed":{"date-parts":[["2023",2,10]]},"issued":{"date-parts":[["2022"]]}}}],"schema":"https://github.com/citation-style-language/schema/raw/master/csl-citation.json"} </w:instrText>
      </w:r>
      <w:r w:rsidR="00241C9F" w:rsidRPr="009B2F97">
        <w:fldChar w:fldCharType="separate"/>
      </w:r>
      <w:r w:rsidR="00BA12C7" w:rsidRPr="009B2F97">
        <w:t>(McKinsey, 2022)</w:t>
      </w:r>
      <w:r w:rsidR="00241C9F" w:rsidRPr="009B2F97">
        <w:fldChar w:fldCharType="end"/>
      </w:r>
      <w:r w:rsidRPr="009B2F97">
        <w:t xml:space="preserve">. </w:t>
      </w:r>
    </w:p>
    <w:p w14:paraId="176BB6E2" w14:textId="71382D6F" w:rsidR="00432890" w:rsidRPr="009B2F97" w:rsidRDefault="00432890" w:rsidP="006F37E3">
      <w:pPr>
        <w:spacing w:after="0" w:line="240" w:lineRule="auto"/>
        <w:ind w:firstLine="720"/>
        <w:jc w:val="both"/>
      </w:pPr>
      <w:r w:rsidRPr="009434FD">
        <w:t xml:space="preserve">The </w:t>
      </w:r>
      <w:r w:rsidR="00ED552B" w:rsidRPr="009434FD">
        <w:t xml:space="preserve">increasing prevalence and </w:t>
      </w:r>
      <w:r w:rsidRPr="009C5F54">
        <w:t xml:space="preserve">popularity of remote work </w:t>
      </w:r>
      <w:r w:rsidR="00D710D0" w:rsidRPr="009179E5">
        <w:t>have</w:t>
      </w:r>
      <w:r w:rsidRPr="0077513C">
        <w:t xml:space="preserve"> led individuals </w:t>
      </w:r>
      <w:r w:rsidR="00ED552B" w:rsidRPr="00DF135E">
        <w:t xml:space="preserve">and households </w:t>
      </w:r>
      <w:r w:rsidRPr="009B2F97">
        <w:t xml:space="preserve">to </w:t>
      </w:r>
      <w:r w:rsidR="00ED552B" w:rsidRPr="009B2F97">
        <w:t>reconsider</w:t>
      </w:r>
      <w:r w:rsidRPr="009B2F97">
        <w:t xml:space="preserve"> their housing choices</w:t>
      </w:r>
      <w:r w:rsidR="00A4778A" w:rsidRPr="009B2F97">
        <w:t xml:space="preserve"> </w:t>
      </w:r>
      <w:r w:rsidR="002019CD" w:rsidRPr="009B2F97">
        <w:t xml:space="preserve">and reevaluate the </w:t>
      </w:r>
      <w:r w:rsidR="00483E99" w:rsidRPr="009B2F97">
        <w:t>multitude of</w:t>
      </w:r>
      <w:r w:rsidR="002019CD" w:rsidRPr="009B2F97">
        <w:t xml:space="preserve"> </w:t>
      </w:r>
      <w:r w:rsidR="00A4778A" w:rsidRPr="009B2F97">
        <w:t>factors that influence their</w:t>
      </w:r>
      <w:r w:rsidR="00483E99" w:rsidRPr="009B2F97">
        <w:t xml:space="preserve"> housing</w:t>
      </w:r>
      <w:r w:rsidR="00A4778A" w:rsidRPr="009B2F97">
        <w:t xml:space="preserve"> decisions</w:t>
      </w:r>
      <w:r w:rsidR="002114E1" w:rsidRPr="009B2F97">
        <w:t xml:space="preserve"> </w:t>
      </w:r>
      <w:r w:rsidR="007E7B4C" w:rsidRPr="009B2F97">
        <w:fldChar w:fldCharType="begin"/>
      </w:r>
      <w:r w:rsidR="000C4AE3">
        <w:instrText xml:space="preserve"> ADDIN ZOTERO_ITEM CSL_CITATION {"citationID":"SotdYozv","properties":{"formattedCitation":"(Fatmi et al., 2022; Puppateravanit et al., 2022)","plainCitation":"(Fatmi et al., 2022; Puppateravanit et al., 2022)","noteIndex":0},"citationItems":[{"id":113,"uris":["http://zotero.org/users/local/1ztI2Oc6/items/ISAE2NIE","http://zotero.org/users/12832277/items/ISAE2NIE"],"itemData":{"id":113,"type":"article-journal","abstract":"COVID-19 caused unprecedented changes in the daily lives of many people worldwide, with many working from home for the first time. This shift in working arrangement has the potential to have a lasting impact in future. This paper investigates longer-term impacts of COVID-19 on work-arrangements, specifically, individuals’ preferences towards work-from-home post COVID-19. This study utilizes data from a stated preference component of a travel survey conducted in the Central Okanagan region of British Columbia. A random parameter ordered logit model is developed to accommodate the ordinal nature of the preference variable and capture unobserved heterogeneity. One of the key features of the study is to confirm the effects of residential choice in-terms of location characteristics and dwelling attributes on work-from-home preferences after the pandemic. For example, individuals’ dwelling attributes such as larger sized dwelling, larger sized apartments are likely to have positive effect on frequent work-from-home. The model confirms significant heterogeneity, in relation to location characteristics such as commute distance and distance to urban center. For instance, initially, females were less likely to work-from-home. However, they showed significant heterogeneity with large standard deviation, specifically their preference was found to vary by residential location. For instance, females residing farther from urban centers prefer a higher frequency of work-from-home. Elasticity analysis suggests that part-time female workers, mid-age individuals, full-time workers with children, and full-time workers with longer commutes have a significantly higher probability to work-from-home every day after the pandemic. The findings of the study provide important insights which will assist in developing effective work-from-home strategies post-the-pandemic.","container-title":"Transportation Research Interdisciplinary Perspectives","DOI":"10.1016/j.trip.2022.100685","ISSN":"2590-1982","language":"en","source":"ScienceDirect","title":"The Future of Telecommuting Post COVID-19 Pandemic","URL":"https://www.sciencedirect.com/science/article/pii/S2590198222001452","volume":"16","author":[{"family":"Fatmi","given":"Mahmudur Rahman"},{"family":"Orvin","given":"Muntahith Mehadil"},{"family":"Thirkell","given":"Corrie Elizabeth"}],"accessed":{"date-parts":[["2023",2,10]]},"issued":{"date-parts":[["2022",12,1]]}}},{"id":116,"uris":["http://zotero.org/users/local/1ztI2Oc6/items/9G7HRC5X","http://zotero.org/users/12832277/items/9G7HRC5X"],"itemData":{"id":116,"type":"article-journal","abstract":"This study evaluated the effects of COVID-19 on attitudes toward residential associated with travel behavior on decisions regarding future relocation. Chi-square automatic interaction detection was used to generate tree and classification segments to investigate the various segmentations of travelers and residents around mass transit stations. The decision tree revealed that the most influential variables were the number of transport card ownerships, walking distance to the nearest mass station, number of households, type of resident, property ownership, travel cost, and trip frequency. During the COVID-19 pandemic, people have concentrated on reducing travel time, reducing the number of transfers, and decreasing unnecessary trips. Consequently, people who live near mass transit stations less than 400 and 400–1000 m away prefer to live in residential and rural areas in the future. Structural Equation Modeling was used to confirm the relationship between attitudes in normal and pandemic situations. According to the findings, attitudes toward residential accessibility of travel modes were a significant determinant of attitudes toward residential location areas. This research demonstrates travelers’ and residents’ uncertain decision-making regarding relocation, allowing policymakers and transport authorities to better understand their behavior to improve transportation services.","container-title":"Future Transportation","DOI":"10.3390/futuretransp2020030","ISSN":"2673-7590","issue":"2","language":"en","license":"http://creativecommons.org/licenses/by/3.0/","note":"number: 2\npublisher: Multidisciplinary Digital Publishing Institute","page":"541-566","source":"www.mdpi.com","title":"Attitude-Based Segmentation of Residential Self-Selection and Travel Behavior Changes Affected by COVID-19","volume":"2","author":[{"family":"Puppateravanit","given":"Chonnipa"},{"family":"Sano","given":"Kazushi"},{"family":"Hatoyama","given":"Kiichiro"}],"issued":{"date-parts":[["2022",6]]}}}],"schema":"https://github.com/citation-style-language/schema/raw/master/csl-citation.json"} </w:instrText>
      </w:r>
      <w:r w:rsidR="007E7B4C" w:rsidRPr="009B2F97">
        <w:fldChar w:fldCharType="separate"/>
      </w:r>
      <w:r w:rsidR="00BA12C7" w:rsidRPr="009B2F97">
        <w:t>(Fatmi et al., 2022; Puppa</w:t>
      </w:r>
      <w:r w:rsidR="00BA12C7" w:rsidRPr="00D21817">
        <w:t>teravanit et al., 2022)</w:t>
      </w:r>
      <w:r w:rsidR="007E7B4C" w:rsidRPr="009B2F97">
        <w:fldChar w:fldCharType="end"/>
      </w:r>
      <w:r w:rsidRPr="009B2F97">
        <w:t>.</w:t>
      </w:r>
      <w:r w:rsidR="00BE35B3" w:rsidRPr="009B2F97">
        <w:t xml:space="preserve"> </w:t>
      </w:r>
      <w:r w:rsidR="00B85016" w:rsidRPr="00D21817">
        <w:t>With remote work becoming more common</w:t>
      </w:r>
      <w:r w:rsidR="009264A5" w:rsidRPr="009434FD">
        <w:t>, t</w:t>
      </w:r>
      <w:r w:rsidRPr="009434FD">
        <w:t xml:space="preserve">he physical </w:t>
      </w:r>
      <w:r w:rsidR="00183588" w:rsidRPr="009C5F54">
        <w:t>proximity</w:t>
      </w:r>
      <w:r w:rsidRPr="009179E5">
        <w:t xml:space="preserve"> of residence</w:t>
      </w:r>
      <w:r w:rsidR="00634D90" w:rsidRPr="0077513C">
        <w:t xml:space="preserve"> to the in-person workplace may no longer be the primary</w:t>
      </w:r>
      <w:r w:rsidRPr="009B2F97">
        <w:t xml:space="preserve"> determinant of residential choice</w:t>
      </w:r>
      <w:r w:rsidR="00634D90" w:rsidRPr="009B2F97">
        <w:t>,</w:t>
      </w:r>
      <w:r w:rsidRPr="009B2F97">
        <w:t xml:space="preserve"> as</w:t>
      </w:r>
      <w:r w:rsidR="00634D90" w:rsidRPr="009B2F97">
        <w:t xml:space="preserve"> it was</w:t>
      </w:r>
      <w:r w:rsidRPr="009B2F97">
        <w:t xml:space="preserve"> </w:t>
      </w:r>
      <w:r w:rsidR="00F57405" w:rsidRPr="009B2F97">
        <w:t xml:space="preserve">for many </w:t>
      </w:r>
      <w:r w:rsidRPr="009B2F97">
        <w:t>before the pandemic</w:t>
      </w:r>
      <w:r w:rsidR="00474DCD" w:rsidRPr="009B2F97">
        <w:t xml:space="preserve"> </w:t>
      </w:r>
      <w:r w:rsidR="00474DCD" w:rsidRPr="009B2F97">
        <w:fldChar w:fldCharType="begin"/>
      </w:r>
      <w:r w:rsidR="000C4AE3">
        <w:instrText xml:space="preserve"> ADDIN ZOTERO_ITEM CSL_CITATION {"citationID":"YoEwnr7n","properties":{"formattedCitation":"(Song et al., 2023)","plainCitation":"(Song et al., 2023)","noteIndex":0},"citationItems":[{"id":637,"uris":["http://zotero.org/users/local/1ztI2Oc6/items/MZC3CT2W","http://zotero.org/users/12832277/items/MZC3CT2W"],"itemData":{"id":637,"type":"article-journal","abstract":"The formation of urban districts and the appeal of densely populated areas reflect a spatial equilibrium in which workers migrate to locations with greater urban vitality but diminished environmental qualities. However, the pandemic and associated health concerns have accelerated remote and hybrid work modes, altered people's sense of place and appreciation of urban density, and transformed perceptions of desirable places to live and work. This study presents a systematic method for evaluating the trade-offs between perceived urban environmental qualities and urban amenities by analysing post-pandemic urban residence preferences. By evaluating neighbourhood Street View Imagery (SVI) and urban amenity data, such as park sizes, the study collects subjective opinions from surveys on two working conditions (work-from-office or from-home). On this basis, several Machine Learning (ML) models were trained to predict the preference scores for both work modes. In light of the complexity of work-from-home preferences, the results demonstrate that the method predicts work-from-office scores with greater precision. In the post-pandemic era, the research aims to shed light on the development of a valuable instrument for driving and evaluating urban design strategies based on the potential self-organisation of work-life patterns and social profiles in designated neighbourhoods.","container-title":"Architectural Intelligence","DOI":"10.1007/s44223-022-00020-x","ISSN":"2731-6726","issue":"1","journalAbbreviation":"ARIN","language":"en","source":"Springer Link","title":"The Evaluation of Urban Spatial Quality and Utility Trade-Offs for Post-COVID Working Preferences: A Case Study of Hong Kong","title-short":"The Evaluation of Urban Spatial Quality and Utility Trade-Offs for Post-Covid Working Preferences","URL":"https://doi.org/10.1007/s44223-022-00020-x","volume":"2","author":[{"family":"Song","given":"Qiwei"},{"family":"Dou","given":"Zhiyi"},{"family":"Qiu","given":"Waishan"},{"family":"Li","given":"Wenjing"},{"family":"Wang","given":"Jingsong"},{"family":"Ameijde","given":"Jeroen","non-dropping-particle":"van"},{"family":"Luo","given":"Dan"}],"accessed":{"date-parts":[["2023",5,5]]},"issued":{"date-parts":[["2023",1,27]]}}}],"schema":"https://github.com/citation-style-language/schema/raw/master/csl-citation.json"} </w:instrText>
      </w:r>
      <w:r w:rsidR="00474DCD" w:rsidRPr="009B2F97">
        <w:fldChar w:fldCharType="separate"/>
      </w:r>
      <w:r w:rsidR="00474DCD" w:rsidRPr="009B2F97">
        <w:t xml:space="preserve">(Song </w:t>
      </w:r>
      <w:r w:rsidR="00474DCD" w:rsidRPr="00D21817">
        <w:t>et al., 2023)</w:t>
      </w:r>
      <w:r w:rsidR="00474DCD" w:rsidRPr="009B2F97">
        <w:fldChar w:fldCharType="end"/>
      </w:r>
      <w:r w:rsidR="002114E1" w:rsidRPr="009B2F97">
        <w:t>.</w:t>
      </w:r>
      <w:r w:rsidR="009264A5" w:rsidRPr="009B2F97">
        <w:t xml:space="preserve"> Instead,</w:t>
      </w:r>
      <w:r w:rsidRPr="00D21817">
        <w:t xml:space="preserve"> the </w:t>
      </w:r>
      <w:r w:rsidR="00933952" w:rsidRPr="00CB3EDA">
        <w:t>features</w:t>
      </w:r>
      <w:r w:rsidRPr="00CB3EDA">
        <w:t xml:space="preserve"> of the dwelling unit (such as </w:t>
      </w:r>
      <w:r w:rsidR="009264A5" w:rsidRPr="00DD68D6">
        <w:t>the presence of a</w:t>
      </w:r>
      <w:r w:rsidRPr="00DD68D6">
        <w:t xml:space="preserve"> study/office in the home, yard space, house square footage, and number of </w:t>
      </w:r>
      <w:r w:rsidR="007A1602" w:rsidRPr="009434FD">
        <w:t>bedrooms</w:t>
      </w:r>
      <w:r w:rsidRPr="009434FD">
        <w:t xml:space="preserve"> and bathrooms) and the </w:t>
      </w:r>
      <w:r w:rsidR="00933952" w:rsidRPr="009C5F54">
        <w:t xml:space="preserve">characteristics of the </w:t>
      </w:r>
      <w:r w:rsidRPr="009179E5">
        <w:t>neighborhood (such as crime</w:t>
      </w:r>
      <w:r w:rsidR="00D710D0" w:rsidRPr="0077513C">
        <w:t xml:space="preserve"> rate</w:t>
      </w:r>
      <w:r w:rsidRPr="00DF135E">
        <w:t>, school</w:t>
      </w:r>
      <w:r w:rsidR="00D710D0" w:rsidRPr="009B2F97">
        <w:t xml:space="preserve"> quality</w:t>
      </w:r>
      <w:r w:rsidRPr="009B2F97">
        <w:t>, and proximity to nature and recreational areas) are becoming increasingly important</w:t>
      </w:r>
      <w:r w:rsidR="00BF5C9B" w:rsidRPr="009B2F97">
        <w:t xml:space="preserve"> in determining housing choices</w:t>
      </w:r>
      <w:r w:rsidR="002842F7" w:rsidRPr="002842F7">
        <w:t xml:space="preserve"> </w:t>
      </w:r>
      <w:r w:rsidR="002842F7">
        <w:fldChar w:fldCharType="begin"/>
      </w:r>
      <w:r w:rsidR="000C4AE3">
        <w:instrText xml:space="preserve"> ADDIN ZOTERO_ITEM CSL_CITATION {"citationID":"0briTuy4","properties":{"formattedCitation":"(Fatmi et al., 2022; Navas-Mart\\uc0\\u237{}n et al., 2022)","plainCitation":"(Fatmi et al., 2022; Navas-Martín et al., 2022)","noteIndex":0},"citationItems":[{"id":113,"uris":["http://zotero.org/users/local/1ztI2Oc6/items/ISAE2NIE","http://zotero.org/users/12832277/items/ISAE2NIE"],"itemData":{"id":113,"type":"article-journal","abstract":"COVID-19 caused unprecedented changes in the daily lives of many people worldwide, with many working from home for the first time. This shift in working arrangement has the potential to have a lasting impact in future. This paper investigates longer-term impacts of COVID-19 on work-arrangements, specifically, individuals’ preferences towards work-from-home post COVID-19. This study utilizes data from a stated preference component of a travel survey conducted in the Central Okanagan region of British Columbia. A random parameter ordered logit model is developed to accommodate the ordinal nature of the preference variable and capture unobserved heterogeneity. One of the key features of the study is to confirm the effects of residential choice in-terms of location characteristics and dwelling attributes on work-from-home preferences after the pandemic. For example, individuals’ dwelling attributes such as larger sized dwelling, larger sized apartments are likely to have positive effect on frequent work-from-home. The model confirms significant heterogeneity, in relation to location characteristics such as commute distance and distance to urban center. For instance, initially, females were less likely to work-from-home. However, they showed significant heterogeneity with large standard deviation, specifically their preference was found to vary by residential location. For instance, females residing farther from urban centers prefer a higher frequency of work-from-home. Elasticity analysis suggests that part-time female workers, mid-age individuals, full-time workers with children, and full-time workers with longer commutes have a significantly higher probability to work-from-home every day after the pandemic. The findings of the study provide important insights which will assist in developing effective work-from-home strategies post-the-pandemic.","container-title":"Transportation Research Interdisciplinary Perspectives","DOI":"10.1016/j.trip.2022.100685","ISSN":"2590-1982","language":"en","source":"ScienceDirect","title":"The Future of Telecommuting Post COVID-19 Pandemic","URL":"https://www.sciencedirect.com/science/article/pii/S2590198222001452","volume":"16","author":[{"family":"Fatmi","given":"Mahmudur Rahman"},{"family":"Orvin","given":"Muntahith Mehadil"},{"family":"Thirkell","given":"Corrie Elizabeth"}],"accessed":{"date-parts":[["2023",2,10]]},"issued":{"date-parts":[["2022",12,1]]}}},{"id":366,"uris":["http://zotero.org/users/local/1ztI2Oc6/items/P9VLK2MV","http://zotero.org/users/12832277/items/P9VLK2MV"],"itemData":{"id":366,"type":"article-journal","abstract":"In the wake of the SARS-CoV-2 pandemic, promoted by the World Health Organization (WHO), governments urged people to stay at home. For this reason, practically all human activity took place inside the houses. The research question established if housing quality responded to people’s needs in the context of confinement. Specifically, the purpose was to taxonomize the dwelling stock occupied by confined households during the first COVID-19 wave in Spain, as well as to deepen in features and subjective perceptions on Indoor Environmental Quality (IEQ). As an exploratory study, an online questionnaire was disseminated in the Spring of 2020, obtaining 1,673 valid responses. A descriptive statistical analysis included sociodemographic, territorial and housing variables, related to indoor environmental quality, the availability of outdoor spaces, and the prospects for changes in. Also, a logistic regression stablished multivariate relations for the dependent variable “general dwelling satisfaction”. The results associated urban habitat, tenancy regime, higher incomes, and fewer cohabitants, with worse perceived IEQ, and lack of own outdoor space. Same variables showed relations with people’s desire for domestic changes. In conclusion, it is remarkable the determining role of housing design for dwellers’ satisfaction, especially in uncertain times like COVID-19 pandemic. This not only conditioned the different ways of inhabiting and occupying dwellings, but also the people’s capacity to face lockdown. The built environment, the habitat, and households’ circumstances also influenced. The latter did on people's perception of their experience, and how they lived and expressed it. Additionally, resilient building design and renovation opportunities were identified.","container-title":"Journal of Building Engineering","DOI":"10.1016/j.jobe.2022.105012","ISSN":"2352-7102","language":"en","source":"ScienceDirect","title":"Dwelling in Times of COVID-19: An Analysis on Habitability and Environmental Factors of Spanish Housing","URL":"https://www.sciencedirect.com/science/article/pii/S2352710222010221","volume":"60","author":[{"family":"Navas-Martín","given":"Miguel Ángel"},{"family":"Oteiza","given":"Ignacio"},{"family":"Cuerdo-Vilches","given":"Teresa"}],"accessed":{"date-parts":[["2023",3,23]]},"issued":{"date-parts":[["2022",11,15]]}}}],"schema":"https://github.com/citation-style-language/schema/raw/master/csl-citation.json"} </w:instrText>
      </w:r>
      <w:r w:rsidR="002842F7">
        <w:fldChar w:fldCharType="separate"/>
      </w:r>
      <w:r w:rsidR="002842F7" w:rsidRPr="002842F7">
        <w:t>(Fatmi et al., 2022; Navas-Martín et al., 2022)</w:t>
      </w:r>
      <w:r w:rsidR="002842F7">
        <w:fldChar w:fldCharType="end"/>
      </w:r>
      <w:r w:rsidRPr="009B2F97">
        <w:t>.</w:t>
      </w:r>
      <w:r w:rsidR="00DC5539" w:rsidRPr="009B2F97">
        <w:t xml:space="preserve"> </w:t>
      </w:r>
      <w:r w:rsidR="00AE685C" w:rsidRPr="009B2F97">
        <w:t>Th</w:t>
      </w:r>
      <w:r w:rsidR="00485EB1" w:rsidRPr="009B2F97">
        <w:t>is</w:t>
      </w:r>
      <w:r w:rsidR="00AE685C" w:rsidRPr="009B2F97">
        <w:t xml:space="preserve"> impact of </w:t>
      </w:r>
      <w:r w:rsidR="00CE0826" w:rsidRPr="009B2F97">
        <w:t>increased remote work</w:t>
      </w:r>
      <w:r w:rsidR="005B45E7" w:rsidRPr="009B2F97">
        <w:t>,</w:t>
      </w:r>
      <w:r w:rsidR="00CE0826" w:rsidRPr="009B2F97">
        <w:t xml:space="preserve"> engendered by the pandemic</w:t>
      </w:r>
      <w:r w:rsidR="005B45E7" w:rsidRPr="009B2F97">
        <w:t>,</w:t>
      </w:r>
      <w:r w:rsidR="00AE685C" w:rsidRPr="009B2F97">
        <w:t xml:space="preserve"> on housing decisions is </w:t>
      </w:r>
      <w:r w:rsidR="009C0D23" w:rsidRPr="009B2F97">
        <w:t>reflected</w:t>
      </w:r>
      <w:r w:rsidR="00AE685C" w:rsidRPr="009B2F97">
        <w:t xml:space="preserve"> in t</w:t>
      </w:r>
      <w:r w:rsidR="00D035D0" w:rsidRPr="009B2F97">
        <w:t>wo spikes in residential mobility during initial pandemic lockdowns and in early 202</w:t>
      </w:r>
      <w:r w:rsidR="004672F3" w:rsidRPr="009B2F97">
        <w:t>1</w:t>
      </w:r>
      <w:r w:rsidR="00BA4656" w:rsidRPr="009B2F97">
        <w:t>.</w:t>
      </w:r>
      <w:r w:rsidR="00D035D0" w:rsidRPr="009B2F97">
        <w:t xml:space="preserve"> </w:t>
      </w:r>
      <w:r w:rsidR="00C30356" w:rsidRPr="009B2F97">
        <w:t xml:space="preserve">These spikes also stand out </w:t>
      </w:r>
      <w:r w:rsidR="00CE0826" w:rsidRPr="009B2F97">
        <w:t xml:space="preserve">in </w:t>
      </w:r>
      <w:r w:rsidR="00C30356" w:rsidRPr="009B2F97">
        <w:t>contrast</w:t>
      </w:r>
      <w:r w:rsidR="00CE0826" w:rsidRPr="009B2F97">
        <w:t xml:space="preserve"> to</w:t>
      </w:r>
      <w:r w:rsidR="00C30356" w:rsidRPr="009B2F97">
        <w:t xml:space="preserve"> </w:t>
      </w:r>
      <w:r w:rsidR="00DA5EDE" w:rsidRPr="009B2F97">
        <w:t xml:space="preserve">the </w:t>
      </w:r>
      <w:r w:rsidR="00C30356" w:rsidRPr="009B2F97">
        <w:t xml:space="preserve">long-term trend of declining residential mobility </w:t>
      </w:r>
      <w:r w:rsidR="00F80814" w:rsidRPr="009B2F97">
        <w:t xml:space="preserve">observed </w:t>
      </w:r>
      <w:r w:rsidR="00C30356" w:rsidRPr="009B2F97">
        <w:t xml:space="preserve">since the 1980s </w:t>
      </w:r>
      <w:r w:rsidR="0095265B" w:rsidRPr="009B2F97">
        <w:fldChar w:fldCharType="begin"/>
      </w:r>
      <w:r w:rsidR="008912F0">
        <w:instrText xml:space="preserve"> ADDIN ZOTERO_ITEM CSL_CITATION {"citationID":"qp3wdIzL","properties":{"formattedCitation":"(Frost, 2023, 2020)","plainCitation":"(Frost, 2023, 2020)","noteIndex":0},"citationItems":[{"id":382,"uris":["http://zotero.org/users/local/1ztI2Oc6/items/H8PPKYQP","http://zotero.org/users/12832277/items/H8PPKYQP"],"itemData":{"id":382,"type":"report","language":"en","publisher":"Joint Center for Housing Studies of Harvard University","source":"Zotero","title":"Did More People Move During the Pandemic?","URL":"https://www.jchs.harvard.edu/sites/default/files/research/files/harvard_jchs_pandemic_mobility_frost_2023.pdf","author":[{"family":"Frost","given":"Riordan"}],"issued":{"date-parts":[["2023",3]]}}},{"id":384,"uris":["http://zotero.org/users/local/1ztI2Oc6/items/MHSX2QRT","http://zotero.org/users/12832277/items/MHSX2QRT"],"itemData":{"id":384,"type":"report","language":"en","publisher":"https://www.jchs.harvard.edu/sites/default/files/research/files/harvard_jchs_pandemic_mobility_frost_2023.pdf","source":"Zotero","title":"Are Americans Stuck in Place? Declining Residential Mobility in the US","URL":"https://www.jchs.harvard.edu/sites/default/files/media/imp/harvard_jchs_are_americans_stuck_in_place_frost_2020.pdf","author":[{"family":"Frost","given":"Riordan"}],"issued":{"date-parts":[["2020",5]]}}}],"schema":"https://github.com/citation-style-language/schema/raw/master/csl-citation.json"} </w:instrText>
      </w:r>
      <w:r w:rsidR="0095265B" w:rsidRPr="009B2F97">
        <w:fldChar w:fldCharType="separate"/>
      </w:r>
      <w:r w:rsidR="00BA12C7" w:rsidRPr="009B2F97">
        <w:t>(Frost, 2023, 2020)</w:t>
      </w:r>
      <w:r w:rsidR="0095265B" w:rsidRPr="009B2F97">
        <w:fldChar w:fldCharType="end"/>
      </w:r>
      <w:r w:rsidR="00C30356" w:rsidRPr="009B2F97">
        <w:t xml:space="preserve">. Further, a survey </w:t>
      </w:r>
      <w:r w:rsidR="00E04A1D" w:rsidRPr="009434FD">
        <w:t xml:space="preserve">sample </w:t>
      </w:r>
      <w:r w:rsidR="00C30356" w:rsidRPr="009434FD">
        <w:t xml:space="preserve">of </w:t>
      </w:r>
      <w:r w:rsidR="00E04A1D" w:rsidRPr="009C5F54">
        <w:t xml:space="preserve">US </w:t>
      </w:r>
      <w:r w:rsidR="00C30356" w:rsidRPr="009179E5">
        <w:t>households revealed that housing and location-related concerns are now the primary motivators for moving, replacing job-related factors that</w:t>
      </w:r>
      <w:r w:rsidR="00280B49" w:rsidRPr="009B2F97">
        <w:t xml:space="preserve"> were dominant before the pandemic</w:t>
      </w:r>
      <w:r w:rsidR="00DF1DDA" w:rsidRPr="009B2F97">
        <w:t xml:space="preserve"> </w:t>
      </w:r>
      <w:r w:rsidR="00DF1DDA" w:rsidRPr="009B2F97">
        <w:fldChar w:fldCharType="begin"/>
      </w:r>
      <w:r w:rsidR="008912F0">
        <w:instrText xml:space="preserve"> ADDIN ZOTERO_ITEM CSL_CITATION {"citationID":"au86YYtI","properties":{"formattedCitation":"(Frost, 2023)","plainCitation":"(Frost, 2023)","noteIndex":0},"citationItems":[{"id":382,"uris":["http://zotero.org/users/local/1ztI2Oc6/items/H8PPKYQP","http://zotero.org/users/12832277/items/H8PPKYQP"],"itemData":{"id":382,"type":"report","language":"en","publisher":"Joint Center for Housing Studies of Harvard University","source":"Zotero","title":"Did More People Move During the Pandemic?","URL":"https://www.jchs.harvard.edu/sites/default/files/research/files/harvard_jchs_pandemic_mobility_frost_2023.pdf","author":[{"family":"Frost","given":"Riordan"}],"issued":{"date-parts":[["2023",3]]}}}],"schema":"https://github.com/citation-style-language/schema/raw/master/csl-citation.json"} </w:instrText>
      </w:r>
      <w:r w:rsidR="00DF1DDA" w:rsidRPr="009B2F97">
        <w:fldChar w:fldCharType="separate"/>
      </w:r>
      <w:r w:rsidR="00BA12C7" w:rsidRPr="009B2F97">
        <w:t>(Frost, 2023)</w:t>
      </w:r>
      <w:r w:rsidR="00DF1DDA" w:rsidRPr="009B2F97">
        <w:fldChar w:fldCharType="end"/>
      </w:r>
      <w:r w:rsidR="00280B49" w:rsidRPr="009B2F97">
        <w:t xml:space="preserve">. Additionally, </w:t>
      </w:r>
      <w:r w:rsidR="0007011F" w:rsidRPr="009B2F97">
        <w:t>households</w:t>
      </w:r>
      <w:r w:rsidR="009475EC" w:rsidRPr="00D21817">
        <w:t xml:space="preserve"> moving </w:t>
      </w:r>
      <w:r w:rsidR="00B44104" w:rsidRPr="00CB3EDA">
        <w:t xml:space="preserve">away </w:t>
      </w:r>
      <w:r w:rsidR="009475EC" w:rsidRPr="00CB3EDA">
        <w:t>from dense urban neighborhoods report t</w:t>
      </w:r>
      <w:r w:rsidR="009475EC" w:rsidRPr="00DD68D6">
        <w:t xml:space="preserve">he ability to </w:t>
      </w:r>
      <w:r w:rsidR="0098788B" w:rsidRPr="00DD68D6">
        <w:t>telework</w:t>
      </w:r>
      <w:r w:rsidR="009475EC" w:rsidRPr="009434FD">
        <w:t xml:space="preserve"> </w:t>
      </w:r>
      <w:r w:rsidR="003D7668" w:rsidRPr="009434FD">
        <w:t xml:space="preserve">as a motivation for </w:t>
      </w:r>
      <w:r w:rsidR="003D7668" w:rsidRPr="009C5F54">
        <w:t>moving</w:t>
      </w:r>
      <w:r w:rsidR="00DF1DDA" w:rsidRPr="009179E5">
        <w:t xml:space="preserve"> </w:t>
      </w:r>
      <w:r w:rsidR="00DF1DDA" w:rsidRPr="009B2F97">
        <w:fldChar w:fldCharType="begin"/>
      </w:r>
      <w:r w:rsidR="008912F0">
        <w:instrText xml:space="preserve"> ADDIN ZOTERO_ITEM CSL_CITATION {"citationID":"fMsaqNzZ","properties":{"formattedCitation":"(Salon and Conway, 2022)","plainCitation":"(Salon and Conway, 2022)","noteIndex":0},"citationItems":[{"id":297,"uris":["http://zotero.org/users/local/1ztI2Oc6/items/FEIHFDKJ","http://zotero.org/users/12832277/items/FEIHFDKJ"],"itemData":{"id":297,"type":"report","abstract":"Human behavior is notoriously difficult to change, but a disruption of the magnitude of the COVID-19 pandemic has the potential to bring about long-term behavioral changes. During the pandemic, people have been forced to experience new ways of interacting, working, learning, shopping, traveling, and eating meals. A critical question going forward is how these experiences have actually changed preferences and habits in ways that might persist after the pandemic ends. Many observers have suggested theories about what the future will bring, but concrete evidence has been lacking. We present evidence on how much US adults expect their own postpandemic choices to differ from their prepandemic lifestyles in the areas of telecommuting, restaurant patronage, air travel, online shopping, transit use, car commuting, uptake of walking and biking, and home location. The analysis is based on a nationally representative survey dataset collected between July and October 2020. Key findings include that the “new normal” will feature a doubling of telecommuting, reduced air travel, and improved quality of life for some.","event-place":"Tempe, AZ","publisher":"Arizona State University","publisher-place":"Tempe, AZ","title":"Investigating Attitudinal and Behavioral Changes in U.S. Households Before, During, and After the COVID-19 Pandemic","author":[{"family":"Salon","given":"Deborah"},{"family":"Conway","given":"Matthew"}],"issued":{"date-parts":[["2022",6]]}}}],"schema":"https://github.com/citation-style-language/schema/raw/master/csl-citation.json"} </w:instrText>
      </w:r>
      <w:r w:rsidR="00DF1DDA" w:rsidRPr="009B2F97">
        <w:fldChar w:fldCharType="separate"/>
      </w:r>
      <w:r w:rsidR="00BA12C7" w:rsidRPr="009B2F97">
        <w:t>(Salon and Conway, 2022)</w:t>
      </w:r>
      <w:r w:rsidR="00DF1DDA" w:rsidRPr="009B2F97">
        <w:fldChar w:fldCharType="end"/>
      </w:r>
      <w:r w:rsidR="003D7668" w:rsidRPr="009B2F97">
        <w:t>.</w:t>
      </w:r>
      <w:r w:rsidR="00114774" w:rsidRPr="009B2F97">
        <w:rPr>
          <w:b/>
          <w:bCs/>
        </w:rPr>
        <w:t xml:space="preserve"> </w:t>
      </w:r>
      <w:r w:rsidR="00DD3EC6" w:rsidRPr="00D21817">
        <w:t>Therefore</w:t>
      </w:r>
      <w:r w:rsidRPr="00CB3EDA">
        <w:t xml:space="preserve">, traditional </w:t>
      </w:r>
      <w:r w:rsidR="00DD3EC6" w:rsidRPr="009434FD">
        <w:t xml:space="preserve">residential choice modeling </w:t>
      </w:r>
      <w:r w:rsidRPr="009434FD">
        <w:t xml:space="preserve">approaches </w:t>
      </w:r>
      <w:r w:rsidR="00DA5EDE" w:rsidRPr="009C5F54">
        <w:t xml:space="preserve">(such as a gravity-type formulation or a bid-rent model) </w:t>
      </w:r>
      <w:r w:rsidRPr="009B2F97">
        <w:t>that primarily</w:t>
      </w:r>
      <w:r w:rsidR="00DD3EC6" w:rsidRPr="009B2F97">
        <w:t xml:space="preserve"> </w:t>
      </w:r>
      <w:r w:rsidR="0007011F" w:rsidRPr="009B2F97">
        <w:t xml:space="preserve">focus </w:t>
      </w:r>
      <w:r w:rsidR="00DD3EC6" w:rsidRPr="009B2F97">
        <w:t>on</w:t>
      </w:r>
      <w:r w:rsidR="002B52B5" w:rsidRPr="009B2F97">
        <w:t xml:space="preserve"> the</w:t>
      </w:r>
      <w:r w:rsidRPr="009B2F97">
        <w:t xml:space="preserve"> trade-off between commuting time and land prices may no </w:t>
      </w:r>
      <w:r w:rsidR="0007011F" w:rsidRPr="009B2F97">
        <w:t>longer</w:t>
      </w:r>
      <w:r w:rsidRPr="009B2F97">
        <w:t xml:space="preserve"> </w:t>
      </w:r>
      <w:r w:rsidR="001544B9" w:rsidRPr="009B2F97">
        <w:t xml:space="preserve">adequately reflect </w:t>
      </w:r>
      <w:r w:rsidR="00EC77A4" w:rsidRPr="009B2F97">
        <w:t xml:space="preserve">the behavioral process that </w:t>
      </w:r>
      <w:r w:rsidR="00D47283" w:rsidRPr="009B2F97">
        <w:t>drives</w:t>
      </w:r>
      <w:r w:rsidR="00EC77A4" w:rsidRPr="009B2F97">
        <w:t xml:space="preserve"> housing choices</w:t>
      </w:r>
      <w:r w:rsidR="00A656CE" w:rsidRPr="009B2F97">
        <w:t xml:space="preserve"> (in the rest of this paper, we will use the terms “residential” and “housing” interchangeably)</w:t>
      </w:r>
      <w:r w:rsidR="00EC77A4" w:rsidRPr="009B2F97">
        <w:t xml:space="preserve">. </w:t>
      </w:r>
    </w:p>
    <w:p w14:paraId="7FE77073" w14:textId="2583BBDB" w:rsidR="004F64C0" w:rsidRPr="009179E5" w:rsidRDefault="00DA5EDE" w:rsidP="006F37E3">
      <w:pPr>
        <w:spacing w:after="0" w:line="240" w:lineRule="auto"/>
        <w:ind w:firstLine="720"/>
        <w:jc w:val="both"/>
      </w:pPr>
      <w:r w:rsidRPr="009B2F97">
        <w:t xml:space="preserve">To be sure, even before the pandemic, the concepts underlying the gravity-type and bid-rent modeling approaches were being embedded within more general discrete choice models (DCMs) </w:t>
      </w:r>
      <w:r w:rsidR="00152731" w:rsidRPr="009B2F97">
        <w:t>for studying housing choice</w:t>
      </w:r>
      <w:r w:rsidR="003C00A1" w:rsidRPr="009B2F97">
        <w:t>. This is because DCMs</w:t>
      </w:r>
      <w:r w:rsidR="00152731" w:rsidRPr="009B2F97">
        <w:t xml:space="preserve"> </w:t>
      </w:r>
      <w:r w:rsidR="003C00A1" w:rsidRPr="009B2F97">
        <w:t xml:space="preserve">provide added </w:t>
      </w:r>
      <w:r w:rsidR="00152731" w:rsidRPr="009B2F97">
        <w:t xml:space="preserve">flexibility and versatility in capturing individuals’ </w:t>
      </w:r>
      <w:r w:rsidRPr="009B2F97">
        <w:t xml:space="preserve">multi-dimensional </w:t>
      </w:r>
      <w:r w:rsidR="00152731" w:rsidRPr="009B2F97">
        <w:t>preferences and decision-making processes</w:t>
      </w:r>
      <w:r w:rsidR="003C00A1" w:rsidRPr="009B2F97">
        <w:t xml:space="preserve"> that include, but are not limited to, commuting time and land prices</w:t>
      </w:r>
      <w:r w:rsidR="00BA69EE" w:rsidRPr="00BA69EE">
        <w:t xml:space="preserve"> </w:t>
      </w:r>
      <w:r w:rsidR="00BA69EE">
        <w:fldChar w:fldCharType="begin"/>
      </w:r>
      <w:r w:rsidR="00BA69EE">
        <w:instrText xml:space="preserve"> ADDIN ZOTERO_ITEM CSL_CITATION {"citationID":"UkgdUg79","properties":{"formattedCitation":"(Zolfaghari et al., 2012)","plainCitation":"(Zolfaghari et al., 2012)","noteIndex":0},"citationItems":[{"id":65,"uris":["http://zotero.org/users/local/1ztI2Oc6/items/8MPN8DE2","http://zotero.org/users/12832277/items/8MPN8DE2"],"itemData":{"id":65,"type":"article-journal","abstract":"The discrete choice analysis of residential location choice forms an important part of land use-transport modelling systems but gives rise to a number of significant modelling challenges, one of which is the choice set formation problem. A number of alternative approaches exist to addressing the choice set formation problem, but to the best of our knowledge, there have been no efforts to empirically compare their performance using real choice data. In this paper, we propose to address this gap by examining the performance of several choice set formation methods within the context of residential location choice in London. The paper presents a brief review of the relevant theoretical and empirical literature on the treatment of the choice set formation problem in the context of spatial choice and sets out the characteristics of the specific modelling approaches implemented in the empirical research. In particular, we compare a recently proposed hazard-based screening model with more conventional pure statistical treatments. The empirical research uses a specially constructed data-set on residential location choice, developed by the authors for the Greater London area, which draws on information from a number of separate data sources (including revealed preference data from the London Area Travel Survey). The alternative choice set formation approaches are assessed in terms of their prediction performance on a hold-out validation sub-sample and also in terms of estimated model parameters.","container-title":"Transportation Planning and Technology","DOI":"10.1080/03081060.2012.635420","ISSN":"0308-1060","issue":"1","note":"publisher: Routledge\n_eprint: https://doi.org/10.1080/03081060.2012.635420","page":"87-106","source":"Taylor and Francis+NEJM","title":"Choice Set Pruning in Residential Location Choice Modelling: A Comparison of Sampling and Choice Set Generation Approaches in Greater London","title-short":"Choice Set Pruning in Residential Location Choice Modelling","volume":"35","author":[{"family":"Zolfaghari","given":"Alireza"},{"family":"Sivakumar","given":"Aruna"},{"family":"Polak","given":"John W."}],"issued":{"date-parts":[["2012",2,1]]}}}],"schema":"https://github.com/citation-style-language/schema/raw/master/csl-citation.json"} </w:instrText>
      </w:r>
      <w:r w:rsidR="00BA69EE">
        <w:fldChar w:fldCharType="separate"/>
      </w:r>
      <w:r w:rsidR="00BA69EE" w:rsidRPr="00BA69EE">
        <w:t>(Zolfaghari et al., 2012)</w:t>
      </w:r>
      <w:r w:rsidR="00BA69EE">
        <w:fldChar w:fldCharType="end"/>
      </w:r>
      <w:r w:rsidR="00152731" w:rsidRPr="009B2F97">
        <w:t xml:space="preserve">. However, most of the available </w:t>
      </w:r>
      <w:r w:rsidRPr="009B2F97">
        <w:t>housing-related</w:t>
      </w:r>
      <w:r w:rsidR="00152731" w:rsidRPr="009B2F97">
        <w:t xml:space="preserve"> </w:t>
      </w:r>
      <w:r w:rsidRPr="009B2F97">
        <w:t xml:space="preserve">DCMs </w:t>
      </w:r>
      <w:r w:rsidR="00152731" w:rsidRPr="009B2F97">
        <w:t xml:space="preserve">focus on residential location (such as neighborhoods or zones) as the primary outcome, rather than the specific characteristics of the dwelling units. </w:t>
      </w:r>
      <w:r w:rsidR="00DF135E">
        <w:t>However, s</w:t>
      </w:r>
      <w:r w:rsidR="00152731" w:rsidRPr="009B2F97">
        <w:t>ome researchers have expanded the discrete choice framework by incorporating individual dwelling units</w:t>
      </w:r>
      <w:r w:rsidR="00F15EDD" w:rsidRPr="00F15EDD">
        <w:t xml:space="preserve"> </w:t>
      </w:r>
      <w:r w:rsidR="00F15EDD" w:rsidRPr="009B2F97">
        <w:t>as outcomes</w:t>
      </w:r>
      <w:r w:rsidR="00152731" w:rsidRPr="009B2F97">
        <w:t xml:space="preserve"> (</w:t>
      </w:r>
      <w:r w:rsidR="0015755E" w:rsidRPr="009B2F97">
        <w:t>using</w:t>
      </w:r>
      <w:r w:rsidR="00152731" w:rsidRPr="009B2F97">
        <w:t xml:space="preserve"> each house </w:t>
      </w:r>
      <w:r w:rsidR="0015755E" w:rsidRPr="009B2F97">
        <w:t>as</w:t>
      </w:r>
      <w:r w:rsidR="00152731" w:rsidRPr="009B2F97">
        <w:t xml:space="preserve"> a specific alternative) instead of residential locations</w:t>
      </w:r>
      <w:r w:rsidR="007B6058" w:rsidRPr="009B2F97">
        <w:t xml:space="preserve"> </w:t>
      </w:r>
      <w:r w:rsidR="007B6058" w:rsidRPr="009B2F97">
        <w:fldChar w:fldCharType="begin"/>
      </w:r>
      <w:r w:rsidR="008912F0">
        <w:instrText xml:space="preserve"> ADDIN ZOTERO_ITEM CSL_CITATION {"citationID":"XlVzvo8R","properties":{"formattedCitation":"(Habib and Miller, 2009; Lee et al., 2010)","plainCitation":"(Habib and Miller, 2009; Lee et al., 2010)","noteIndex":0},"citationItems":[{"id":49,"uris":["http://zotero.org/users/local/1ztI2Oc6/items/KLZQ7YY5","http://zotero.org/users/12832277/items/KLZQ7YY5"],"itemData":{"id":49,"type":"article-journal","abstract":"This paper presents a reference-dependent model for residential location choice. The key contribution of the model is its incorporation of reference dependence that explicitly recognizes the role of the status quo and captures asymmetric responses toward gains and losses in making location choice decisions. The study uses a retrospective residential search survey and a dwelling supply data set from the Toronto Real Estate Board in Ontario, Canada, to estimate the model at the elemental level of individual dwelling units. The study applies a mixed logit formulation that captures unobserved heterogeneity and avoids imposing independence of irrelevant alternatives restrictions on the choice probabilities. Several types of variables, including dwelling characteristics, land uses and other zonal attributes, accessibility measures, and household socio-demographics, are tested in the model. Although the current dwelling is assumed to be the reference point in framing evaluation of alternative dwellings, all gains and losses are measured by a comparison of current and prospective dwellings in the modeling framework. The results reveal that households prefer gains in the number of bedrooms, but they are more sensitive to the equal amounts of losses. A similar loss aversion attitude is observed for the percentage of open areas and unemployment rate. It is also found that decision makers are sensitive only to the losses for the level of service attributes. The reference-dependent model performs better than a conventional location choice model in terms of model fit and provides important behavioral insights.","container-title":"Transportation Research Record","DOI":"10.3141/2133-10","ISSN":"0361-1981","issue":"1","language":"en","note":"publisher: SAGE Publications Inc","page":"92-99","source":"SAGE Journals","title":"Reference-Dependent Residential Location Choice Model within a Relocation Context","volume":"2133","author":[{"family":"Habib","given":"Muhammad Ahsanul"},{"family":"Miller","given":"Eric J."}],"issued":{"date-parts":[["2009",1,1]]}}},{"id":357,"uris":["http://zotero.org/users/local/1ztI2Oc6/items/N34VWRSN","http://zotero.org/users/12832277/items/N34VWRSN"],"itemData":{"id":357,"type":"article-journal","abstract":"The concept of accessibility has long been theorized as a principal determinant of residential choice behavior. Research on this influence is extensive but the empirical results have been mixed, with some research suggesting that accessibility is becoming a relatively insignificant influence on housing choices. Further, the measurement of accessibility must contend with complications arising from the increasing prevalence of trip chains, nonwork activities, and multiworker households, and also reconcile person-specific travel needs with household residential decisions. With this paper we contribute to the literature by addressing the gap framed by these issues and present a novel residential choice model with three main elements of innovation. First, we operationalize a time?space prism (TSP) accessibility measure, which we believe to be the first application of its kind in a residential choice model. Second, we represent the choice sets in a building-level framework?the lowest level of spatial disaggregation available for modeling residential choices. Third, we explicitly examine the influence of nonwork accessibility at both the local and the person level. This residential choice model is applied in the central Puget Sound region using a 2006 household activity survey. The model estimation results confirm that accessibility remains an important influence, with individual-specific work accessibility as the most critical consideration. By using the TSP approach we establish that nonwork accessibility in a trip-chaining context does contribute to the residential choice decision, even after accounting for work accessibility. Empirical tests also reveal a useful aggregation method to incorporate individual-specific accessibility measures into a household-level choice model.","container-title":"Environment and Planning A: Economy and Space","DOI":"10.1068/a4291","ISSN":"0308-518X","issue":"4","journalAbbreviation":"Environ Plan A","note":"publisher: SAGE Publications Ltd","page":"913-930","source":"SAGE Journals","title":"Reexamining the Influence of Work and Nonwork Accessibility on Residential Location Choices with a Microanalytic Framework","volume":"42","author":[{"family":"Lee","given":"Brian H Y"},{"family":"Waddell","given":"Paul"},{"family":"Wang","given":"Liming"},{"family":"Pendyala","given":"Ram M"}],"issued":{"date-parts":[["2010",4,1]]}}}],"schema":"https://github.com/citation-style-language/schema/raw/master/csl-citation.json"} </w:instrText>
      </w:r>
      <w:r w:rsidR="007B6058" w:rsidRPr="009B2F97">
        <w:fldChar w:fldCharType="separate"/>
      </w:r>
      <w:r w:rsidR="008C4F9D" w:rsidRPr="009B2F97">
        <w:t>(Habib and Miller, 2009; Lee et al., 2010)</w:t>
      </w:r>
      <w:r w:rsidR="007B6058" w:rsidRPr="009B2F97">
        <w:fldChar w:fldCharType="end"/>
      </w:r>
      <w:r w:rsidR="00E54A6F" w:rsidRPr="009B2F97">
        <w:t xml:space="preserve">. </w:t>
      </w:r>
      <w:r w:rsidR="004F030E" w:rsidRPr="009B2F97">
        <w:t xml:space="preserve">In </w:t>
      </w:r>
      <w:r w:rsidRPr="00D21817">
        <w:t>such studies</w:t>
      </w:r>
      <w:r w:rsidR="004F030E" w:rsidRPr="009B2F97">
        <w:t xml:space="preserve">, the attributes corresponding to the dwelling units (such as area, number of rooms, and presence of a backyard or patio) and the characteristics of the </w:t>
      </w:r>
      <w:r w:rsidR="003C00A1" w:rsidRPr="009B2F97">
        <w:t xml:space="preserve">residential </w:t>
      </w:r>
      <w:r w:rsidR="004F030E" w:rsidRPr="009B2F97">
        <w:t xml:space="preserve">location (such as population density, availability of amenities, and school quality) are used as determinants of </w:t>
      </w:r>
      <w:r w:rsidR="003C00A1" w:rsidRPr="009B2F97">
        <w:t xml:space="preserve">the </w:t>
      </w:r>
      <w:r w:rsidR="004F030E" w:rsidRPr="009B2F97">
        <w:t xml:space="preserve">preference for a </w:t>
      </w:r>
      <w:r w:rsidR="003C00A1" w:rsidRPr="009B2F97">
        <w:t xml:space="preserve">joint </w:t>
      </w:r>
      <w:r w:rsidR="003C00A1" w:rsidRPr="009B2F97">
        <w:lastRenderedPageBreak/>
        <w:t xml:space="preserve">combination of a </w:t>
      </w:r>
      <w:r w:rsidR="004F030E" w:rsidRPr="009B2F97">
        <w:t xml:space="preserve">specific dwelling unit </w:t>
      </w:r>
      <w:r w:rsidR="003C00A1" w:rsidRPr="009B2F97">
        <w:t xml:space="preserve">within a specific </w:t>
      </w:r>
      <w:r w:rsidR="004F030E" w:rsidRPr="009B2F97">
        <w:t xml:space="preserve">residential </w:t>
      </w:r>
      <w:r w:rsidR="003C00A1" w:rsidRPr="009B2F97">
        <w:t>neighborhood</w:t>
      </w:r>
      <w:r w:rsidR="004F030E" w:rsidRPr="009B2F97">
        <w:t xml:space="preserve">. </w:t>
      </w:r>
      <w:r w:rsidR="00F15EDD">
        <w:t>However</w:t>
      </w:r>
      <w:r w:rsidR="004F030E" w:rsidRPr="009B2F97">
        <w:t xml:space="preserve">, since this approach uses </w:t>
      </w:r>
      <w:r w:rsidR="003C00A1" w:rsidRPr="009B2F97">
        <w:t xml:space="preserve">an </w:t>
      </w:r>
      <w:r w:rsidR="004F030E" w:rsidRPr="009B2F97">
        <w:t xml:space="preserve">individual dwelling unit as </w:t>
      </w:r>
      <w:r w:rsidR="003C00A1" w:rsidRPr="009B2F97">
        <w:t xml:space="preserve">the </w:t>
      </w:r>
      <w:r w:rsidR="004F030E" w:rsidRPr="009B2F97">
        <w:t>outcome alternative</w:t>
      </w:r>
      <w:r w:rsidR="00C134E6" w:rsidRPr="009B2F97">
        <w:t>, the universal choice set becomes infeasibly large</w:t>
      </w:r>
      <w:r w:rsidR="00B907C0" w:rsidRPr="009B2F97">
        <w:t xml:space="preserve"> </w:t>
      </w:r>
      <w:r w:rsidR="007B2694" w:rsidRPr="009B2F97">
        <w:fldChar w:fldCharType="begin"/>
      </w:r>
      <w:r w:rsidR="008912F0">
        <w:instrText xml:space="preserve"> ADDIN ZOTERO_ITEM CSL_CITATION {"citationID":"YzTOIXPI","properties":{"formattedCitation":"(Zolfaghari et al., 2012)","plainCitation":"(Zolfaghari et al., 2012)","noteIndex":0},"citationItems":[{"id":65,"uris":["http://zotero.org/users/local/1ztI2Oc6/items/8MPN8DE2","http://zotero.org/users/12832277/items/8MPN8DE2"],"itemData":{"id":65,"type":"article-journal","abstract":"The discrete choice analysis of residential location choice forms an important part of land use-transport modelling systems but gives rise to a number of significant modelling challenges, one of which is the choice set formation problem. A number of alternative approaches exist to addressing the choice set formation problem, but to the best of our knowledge, there have been no efforts to empirically compare their performance using real choice data. In this paper, we propose to address this gap by examining the performance of several choice set formation methods within the context of residential location choice in London. The paper presents a brief review of the relevant theoretical and empirical literature on the treatment of the choice set formation problem in the context of spatial choice and sets out the characteristics of the specific modelling approaches implemented in the empirical research. In particular, we compare a recently proposed hazard-based screening model with more conventional pure statistical treatments. The empirical research uses a specially constructed data-set on residential location choice, developed by the authors for the Greater London area, which draws on information from a number of separate data sources (including revealed preference data from the London Area Travel Survey). The alternative choice set formation approaches are assessed in terms of their prediction performance on a hold-out validation sub-sample and also in terms of estimated model parameters.","container-title":"Transportation Planning and Technology","DOI":"10.1080/03081060.2012.635420","ISSN":"0308-1060","issue":"1","note":"publisher: Routledge\n_eprint: https://doi.org/10.1080/03081060.2012.635420","page":"87-106","source":"Taylor and Francis+NEJM","title":"Choice Set Pruning in Residential Location Choice Modelling: A Comparison of Sampling and Choice Set Generation Approaches in Greater London","title-short":"Choice Set Pruning in Residential Location Choice Modelling","volume":"35","author":[{"family":"Zolfaghari","given":"Alireza"},{"family":"Sivakumar","given":"Aruna"},{"family":"Polak","given":"John W."}],"issued":{"date-parts":[["2012",2,1]]}}}],"schema":"https://github.com/citation-style-language/schema/raw/master/csl-citation.json"} </w:instrText>
      </w:r>
      <w:r w:rsidR="007B2694" w:rsidRPr="009B2F97">
        <w:fldChar w:fldCharType="separate"/>
      </w:r>
      <w:r w:rsidR="007B2694" w:rsidRPr="009B2F97">
        <w:t>(Zolfaghari et al., 2012)</w:t>
      </w:r>
      <w:r w:rsidR="007B2694" w:rsidRPr="009B2F97">
        <w:fldChar w:fldCharType="end"/>
      </w:r>
      <w:r w:rsidR="003C00A1" w:rsidRPr="009B2F97">
        <w:t xml:space="preserve">, which </w:t>
      </w:r>
      <w:r w:rsidR="00125EFD" w:rsidRPr="009B2F97">
        <w:t xml:space="preserve">can </w:t>
      </w:r>
      <w:r w:rsidR="003C00A1" w:rsidRPr="009B2F97">
        <w:t xml:space="preserve">then </w:t>
      </w:r>
      <w:r w:rsidR="00125EFD" w:rsidRPr="009B2F97">
        <w:t xml:space="preserve">pose challenges for </w:t>
      </w:r>
      <w:r w:rsidR="003C00A1" w:rsidRPr="009B2F97">
        <w:t xml:space="preserve">model </w:t>
      </w:r>
      <w:r w:rsidR="00125EFD" w:rsidRPr="009B2F97">
        <w:t xml:space="preserve">estimation and forecasting as the probabilities for each alternative </w:t>
      </w:r>
      <w:r w:rsidR="0008004F" w:rsidRPr="009B2F97">
        <w:t>become</w:t>
      </w:r>
      <w:r w:rsidR="003C00A1" w:rsidRPr="009B2F97">
        <w:t xml:space="preserve"> miniscule</w:t>
      </w:r>
      <w:r w:rsidR="0008004F" w:rsidRPr="009B2F97">
        <w:t xml:space="preserve"> </w:t>
      </w:r>
      <w:r w:rsidR="0035675D" w:rsidRPr="009B2F97">
        <w:fldChar w:fldCharType="begin"/>
      </w:r>
      <w:r w:rsidR="000C4AE3">
        <w:instrText xml:space="preserve"> ADDIN ZOTERO_ITEM CSL_CITATION {"citationID":"d589WFgJ","properties":{"formattedCitation":"(Bhat, 2015a; Lee and Waddell, 2010)","plainCitation":"(Bhat, 2015a; Lee and Waddell, 2010)","noteIndex":0},"citationItems":[{"id":3,"uris":["http://zotero.org/users/local/1ztI2Oc6/items/8ZZCG8II","http://zotero.org/users/12832277/items/8ZZCG8II"],"itemData":{"id":3,"type":"article-journal","abstract":"This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R."}],"issued":{"date-parts":[["2015",9,1]]}}},{"id":51,"uris":["http://zotero.org/users/local/1ztI2Oc6/items/BN79DDKC","http://zotero.org/users/12832277/items/BN79DDKC"],"itemData":{"id":51,"type":"article-journal","abstract":"Residential mobility and relocation choice are essential parts of integrated transportation and land use models. These decision processes have been examined and modeled individually to a great extent but there remain gaps in the literature on the underlying behaviors that connect them. Households may partly base their decision to move from or stay at a current location on the price and quality of the available alternatives. Conversely, households that are on the market for a new location may evaluate housing choices relative to their previous residence. How and the degree to which these decisions relate to each other are, however, not completely understood. This research is intended to contribute to the body of empirical evidence that will help answer these questions. It is hypothesized that residential mobility and location choice are related household decisions that can be modeled together using a two-tier hierarchical structure. This paper presents a novel nested logit (NL) model with sampling of alternatives and a proposed procedure for sampling bias correction. The model was estimated using full-information maximum likelihood estimation methods. The results confirm the applicability of this NL model and support similar findings from other empirical studies in the residential mobility and location choice literature.","container-title":"Transportation","DOI":"10.1007/s11116-010-9270-4","ISSN":"1572-9435","issue":"4","language":"en","page":"587-601","source":"Springer Link","title":"Residential Mobility and Location Choice: A Nested Logit Model with Sampling of Alternatives","title-short":"Residential Mobility and Location Choice","volume":"37","author":[{"family":"Lee","given":"Brian H. Y."},{"family":"Waddell","given":"Paul"}],"issued":{"date-parts":[["2010",7,1]]}}}],"schema":"https://github.com/citation-style-language/schema/raw/master/csl-citation.json"} </w:instrText>
      </w:r>
      <w:r w:rsidR="0035675D" w:rsidRPr="009B2F97">
        <w:fldChar w:fldCharType="separate"/>
      </w:r>
      <w:r w:rsidR="00740933" w:rsidRPr="00740933">
        <w:t>(Bhat, 2015a; Lee and Waddell, 2010)</w:t>
      </w:r>
      <w:r w:rsidR="0035675D" w:rsidRPr="009B2F97">
        <w:fldChar w:fldCharType="end"/>
      </w:r>
      <w:r w:rsidR="0008004F" w:rsidRPr="009B2F97">
        <w:t xml:space="preserve">. </w:t>
      </w:r>
      <w:r w:rsidR="00AF2A91" w:rsidRPr="009B2F97">
        <w:t>To avoid these challenges</w:t>
      </w:r>
      <w:r w:rsidR="00AF2A91" w:rsidRPr="00D21817">
        <w:t>, many</w:t>
      </w:r>
      <w:r w:rsidR="00AF2A91" w:rsidRPr="009434FD">
        <w:t xml:space="preserve"> </w:t>
      </w:r>
      <w:r w:rsidR="00AF2A91" w:rsidRPr="009B2F97">
        <w:t>discrete choice modeling studies consider choices at a zonal level to limit the size of the choice set</w:t>
      </w:r>
      <w:r w:rsidR="00AF2A91" w:rsidRPr="009B2F97">
        <w:rPr>
          <w:b/>
          <w:bCs/>
        </w:rPr>
        <w:t xml:space="preserve"> </w:t>
      </w:r>
      <w:r w:rsidR="00AF2A91" w:rsidRPr="009B2F97">
        <w:rPr>
          <w:b/>
          <w:bCs/>
        </w:rPr>
        <w:fldChar w:fldCharType="begin"/>
      </w:r>
      <w:r w:rsidR="000C4AE3">
        <w:rPr>
          <w:b/>
          <w:bCs/>
        </w:rPr>
        <w:instrText xml:space="preserve"> ADDIN ZOTERO_ITEM CSL_CITATION {"citationID":"Z1GoMHJV","properties":{"formattedCitation":"(Andrew and Meen, 2006; Pinjari et al., 2011)","plainCitation":"(Andrew and Meen, 2006; Pinjari et al., 2011)","noteIndex":0},"citationItems":[{"id":320,"uris":["http://zotero.org/users/local/1ztI2Oc6/items/GS8U5RHZ","http://zotero.org/users/12832277/items/GS8U5RHZ"],"itemData":{"id":320,"type":"article-journal","abstract":"Abstract. Many governments have introduced policies aimed at improving social mix, particularly in urban areas. In this article we develop a model of moving and location decisions, which demonstrates how cumulative processes of growth, decline and segregation occur that conflict with the aims of policies aimed at improving social mix. A nested multinomial logit model is estimated, using a micro data set for London and South East England to illustrate the likely outcomes.","container-title":"Papers in Regional Science","DOI":"10.1111/j.1435-5957.2006.00092.x","ISSN":"1435-5957","issue":"3","language":"en","note":"_eprint: https://onlinelibrary.wiley.com/doi/pdf/10.1111/j.1435-5957.2006.00092.x","page":"401-419","source":"Wiley Online Library","title":"Population Structure and Location Choice: A Study of London and South East England","title-short":"Population Structure and Location Choice","volume":"85","author":[{"family":"Andrew","given":"Mark"},{"family":"Meen","given":"Geoffrey"}],"issued":{"date-parts":[["2006"]]}}},{"id":312,"uris":["http://zotero.org/users/local/1ztI2Oc6/items/BEJC5RSR","http://zotero.org/users/12832277/items/BEJC5RSR"],"itemData":{"id":312,"type":"article-journal","abstract":"The integrated modeling of land use and transportation choices involves analyzing a continuum of choices that characterize people’s lifestyles across temporal scales. This includes long-term choices such as residential and work location choices that affect land-use, medium-term choices such as vehicle ownership, and short-term choices such as travel mode choice that affect travel demand. Prior research in this area has been limited by the complexities associated with the development of integrated model systems that combine the long-, medium- and short-term choices into a unified analytical framework. This paper presents an integrated simultaneous multi-dimensional choice model of residential location, auto ownership, bicycle ownership, and commute tour mode choices using a mixed multidimensional choice modeling methodology. Model estimation results using the San Francisco Bay Area highlight a series of interdependencies among the multi-dimensional choice processes. The interdependencies include: (1) self-selection effects due to observed and unobserved factors, where households locate based on lifestyle and mobility preferences, (2) endogeneity effects, where any one choice dimension is not exogenous to another, but is endogenous to the system as a whole, (3) correlated error structures, where common unobserved factors significantly and simultaneously impact multiple choice dimensions, and (4) unobserved heterogeneity, where decision-makers show significant variation in sensitivity to explanatory variables due to unobserved factors. From a policy standpoint, to be able to forecast the “true” causal influence of activity-travel environment changes on residential location, auto/bicycle ownership, and commute mode choices, it is necessary to capture the above-identified interdependencies by jointly modeling the multiple choice dimensions in an integrated framework.","container-title":"Transportation","DOI":"10.1007/s11116-011-9360-y","ISSN":"1572-9435","issue":"6","language":"en","page":"933-958","source":"Springer Link","title":"Modeling the Choice Continuum: An Integrated Model of Residential Location, Auto Ownership, Bicycle Ownership, and Commute Tour Mode Choice Decisions","volume":"38","author":[{"family":"Pinjari","given":"Abdul Rawoof"},{"family":"Pendyala","given":"Ram M."},{"family":"Bhat","given":"Chandra R."},{"family":"Waddell","given":"Paul A."}],"issued":{"date-parts":[["2011",11,1]]}}}],"schema":"https://github.com/citation-style-language/schema/raw/master/csl-citation.json"} </w:instrText>
      </w:r>
      <w:r w:rsidR="00AF2A91" w:rsidRPr="009B2F97">
        <w:rPr>
          <w:b/>
          <w:bCs/>
        </w:rPr>
        <w:fldChar w:fldCharType="separate"/>
      </w:r>
      <w:r w:rsidR="00AF2A91" w:rsidRPr="009B2F97">
        <w:t>(Andrew and Meen, 2006; Pinjari et al., 2011)</w:t>
      </w:r>
      <w:r w:rsidR="00AF2A91" w:rsidRPr="009B2F97">
        <w:rPr>
          <w:b/>
          <w:bCs/>
        </w:rPr>
        <w:fldChar w:fldCharType="end"/>
      </w:r>
      <w:r w:rsidR="00AF2A91" w:rsidRPr="009B2F97">
        <w:t>.</w:t>
      </w:r>
      <w:r w:rsidR="00DF135E">
        <w:t xml:space="preserve"> Unfortuna</w:t>
      </w:r>
      <w:r w:rsidR="006D1614">
        <w:t>t</w:t>
      </w:r>
      <w:r w:rsidR="00DF135E">
        <w:t>ely</w:t>
      </w:r>
      <w:r w:rsidR="00AF2A91" w:rsidRPr="009B2F97">
        <w:t xml:space="preserve">, </w:t>
      </w:r>
      <w:r w:rsidR="00AF2A91" w:rsidRPr="00D21817">
        <w:t xml:space="preserve">using a zonal </w:t>
      </w:r>
      <w:r w:rsidR="00AF2A91" w:rsidRPr="009434FD">
        <w:t>unit of analysis limits these studies to considering only residential location and not dwelling unit characteristics</w:t>
      </w:r>
      <w:r w:rsidR="00AF2A91" w:rsidRPr="009C5F54">
        <w:t>.</w:t>
      </w:r>
      <w:r w:rsidR="00AF2A91" w:rsidRPr="009179E5">
        <w:t xml:space="preserve"> </w:t>
      </w:r>
      <w:r w:rsidR="00AF2A91" w:rsidRPr="0077513C">
        <w:t xml:space="preserve">Other studies </w:t>
      </w:r>
      <w:r w:rsidR="007246B0">
        <w:fldChar w:fldCharType="begin"/>
      </w:r>
      <w:r w:rsidR="000C4AE3">
        <w:instrText xml:space="preserve"> ADDIN ZOTERO_ITEM CSL_CITATION {"citationID":"vqAHgsnW","properties":{"formattedCitation":"(Eliasson, 2010; Guevara and Ben-Akiva, 2013b; Vandeviver et al., 2015)","plainCitation":"(Eliasson, 2010; Guevara and Ben-Akiva, 2013b; Vandeviver et al., 2015)","dontUpdate":true,"noteIndex":0},"citationItems":[{"id":324,"uris":["http://zotero.org/users/local/1ztI2Oc6/items/QTENH5X5","http://zotero.org/users/12832277/items/QTENH5X5"],"itemData":{"id":324,"type":"chapter","abstract":"The focus of this paper is on modeling the influence of accessibility on the household’s location decision. Our main theoretical contribution is an elaborate specification of what we should mean by “accessibility” in this context. This is done by assuming that households make a joint choice of location and activity pattern subject to income and time constraints. This activity pattern implies a stochastic travel pattern, the expected value of which is known at the time of location. The locational utility then consists of four parts: the indirect utility of income and time net of housing cost and expected total travel time and travel cost, the direct utility of the optimal activity pattern, the direct disutility of the expected travel pattern and the direct utility derived from location characteristics. The locational utility is then used in a discrete choice model for the choice of location.","collection-title":"Advances in Spatial Science","container-title":"Residential Location Choice: Models and Applications","event-place":"Berlin, Heidelberg","ISBN":"978-3-642-12788-5","language":"en","note":"DOI: 10.1007/978-3-642-12788-5_7","page":"137-164","publisher":"Springer","publisher-place":"Berlin, Heidelberg","source":"Springer Link","title":"The Influence of Accessibility on Residential Location","URL":"https://doi.org/10.1007/978-3-642-12788-5_7","author":[{"family":"Eliasson","given":"Jonas"}],"editor":[{"family":"Pagliara","given":"Francesca"},{"family":"Preston","given":"John"},{"family":"Simmonds","given":"David"}],"accessed":{"date-parts":[["2023",3,23]]},"issued":{"date-parts":[["2010"]]}}},{"id":777,"uris":["http://zotero.org/users/local/1ztI2Oc6/items/GML6N9VP","http://zotero.org/users/12832277/items/GML6N9VP"],"itemData":{"id":777,"type":"article-journal","abstract":"Employing a strategy of sampling of alternatives is necessary for various transportation models that have to deal with large choice-sets. In this article, we propose a method to obtain consistent, asymptotically normal and relatively efficient estimators for Logit Mixture models while sampling alternatives. Our method is an extension of previous results for Logit and MEV models. We show that the practical application of the proposed method for Logit Mixture can result in a Naïve approach, in which the kernel is replaced by the usual sampling correction for Logit. We give theoretical support for previous applications of the Naïve approach, showing not only that it yields consistent estimators, but also providing its asymptotic distribution for proper hypothesis testing. We illustrate the proposed method using Monte Carlo experimentation and real data. Results provide further evidence that the Naïve approach is suitable and practical. The article concludes by summarizing the findings of this research, assessing their potential impact, and suggesting extensions of the research in this area.","container-title":"Transportation Research Part B: Methodological","DOI":"10.1016/j.trb.2013.08.011","ISSN":"0191-2615","language":"en","page":"185-198","source":"ScienceDirect","title":"Sampling of Alternatives in Logit Mixture Models","volume":"58","author":[{"family":"Guevara","given":"C. Angelo"},{"family":"Ben-Akiva","given":"Moshe E."}],"issued":{"date-parts":[["2013",12,1]]}}},{"id":761,"uris":["http://zotero.org/users/local/1ztI2Oc6/items/QPU4IUZL","http://zotero.org/users/12832277/items/QPU4IUZL"],"itemData":{"id":761,"type":"article-journal","abstract":"This article studies how burglars select a house to burglarize. We draw on the rational choice perspective to investigate how burglars select a target by relying on house-related attributes to optimize a combination of perceived rewards, efforts and risk. It extends current applications of the discrete spatial choice framework to burglary target selection by adopting the house as the spatial unit of analysis and studies burglars' target selection process in a larger and more diverse study area than that of earlier studies. Using data on 650 residential burglaries and on approximately 500,000 residential properties in the Belgian province East Flanders, we consider a discrete spatial choice model of burglary target selection to establish which house-related attributes influence burglars' target selection process. Our findings demonstrate that terraced houses, houses without a garage, houses that have not been outfitted with a central heating and/or air-conditioning system and houses nearby burglars' residences are more likely to be selected. Overall, our analysis suggests that burglars rely on effort-related attributes to distinguish between targets while higher perceived rewards actually decrease the odds of a house being burglarized. Risk-related attributes are unimportant for burglars' target choice.","container-title":"Applied Geography","DOI":"10.1016/j.apgeog.2015.08.004","ISSN":"0143-6228","language":"en","page":"24-34","source":"ScienceDirect","title":"A Discrete Spatial Choice Model of Burglary Target Selection at the House-Level","volume":"64","author":[{"family":"Vandeviver","given":"Christophe"},{"family":"Neutens","given":"Tijs"},{"family":"Daele","given":"Stijn","non-dropping-particle":"van"},{"family":"Geurts","given":"Dirk"},{"family":"Vander Beken","given":"Tom"}],"issued":{"date-parts":[["2015",10,1]]}}}],"schema":"https://github.com/citation-style-language/schema/raw/master/csl-citation.json"} </w:instrText>
      </w:r>
      <w:r w:rsidR="007246B0">
        <w:fldChar w:fldCharType="separate"/>
      </w:r>
      <w:r w:rsidR="007246B0" w:rsidRPr="007246B0">
        <w:t>(</w:t>
      </w:r>
      <w:r w:rsidR="007246B0">
        <w:t xml:space="preserve">see, for example, </w:t>
      </w:r>
      <w:r w:rsidR="007246B0" w:rsidRPr="007246B0">
        <w:t>Eliasson, 2010; Guevara and Ben-Akiva, 2013b; Vandeviver et al., 2015)</w:t>
      </w:r>
      <w:r w:rsidR="007246B0">
        <w:fldChar w:fldCharType="end"/>
      </w:r>
      <w:r w:rsidR="00AF2A91" w:rsidRPr="009B2F97">
        <w:t xml:space="preserve"> use sampling approaches in estimation wh</w:t>
      </w:r>
      <w:r w:rsidR="00DF135E">
        <w:t>en</w:t>
      </w:r>
      <w:r w:rsidR="00AF2A91" w:rsidRPr="009B2F97">
        <w:t xml:space="preserve"> considering a dwelling unit </w:t>
      </w:r>
      <w:r w:rsidR="007246B0">
        <w:t xml:space="preserve">level </w:t>
      </w:r>
      <w:r w:rsidR="00AF2A91" w:rsidRPr="009B2F97">
        <w:t xml:space="preserve">of analysis, but as discussed in detail later, such sampling approaches do not represent the housing choice-making process satisfactorily, and the issue of miniscule probabilities in forecasting still remains. </w:t>
      </w:r>
      <w:r w:rsidR="0008004F" w:rsidRPr="009B2F97">
        <w:t xml:space="preserve">Additionally, </w:t>
      </w:r>
      <w:r w:rsidR="00AF2A91" w:rsidRPr="009B2F97">
        <w:t xml:space="preserve">in such dwelling unit studies, </w:t>
      </w:r>
      <w:r w:rsidR="00431C50" w:rsidRPr="009B2F97">
        <w:t xml:space="preserve">heterogeneity </w:t>
      </w:r>
      <w:r w:rsidR="003C00A1" w:rsidRPr="009B2F97">
        <w:t xml:space="preserve">across individuals in </w:t>
      </w:r>
      <w:r w:rsidR="00431C50" w:rsidRPr="009B2F97">
        <w:t>the valuation of different dwelling unit</w:t>
      </w:r>
      <w:r w:rsidR="00DF135E">
        <w:t>s</w:t>
      </w:r>
      <w:r w:rsidR="00431C50" w:rsidRPr="009B2F97">
        <w:t xml:space="preserve"> </w:t>
      </w:r>
      <w:r w:rsidR="003C00A1" w:rsidRPr="009B2F97">
        <w:t xml:space="preserve">and neighborhood </w:t>
      </w:r>
      <w:r w:rsidR="00431C50" w:rsidRPr="009B2F97">
        <w:t xml:space="preserve">characteristics is </w:t>
      </w:r>
      <w:r w:rsidR="00AF2A91" w:rsidRPr="009B2F97">
        <w:t xml:space="preserve">not adequately </w:t>
      </w:r>
      <w:r w:rsidR="00431C50" w:rsidRPr="009B2F97">
        <w:t>considered</w:t>
      </w:r>
      <w:r w:rsidR="00AF2A91" w:rsidRPr="009B2F97">
        <w:t>. F</w:t>
      </w:r>
      <w:r w:rsidR="003C00A1" w:rsidRPr="009B2F97">
        <w:t xml:space="preserve">or example, when deciding on a dwelling unit, the importance </w:t>
      </w:r>
      <w:r w:rsidR="00F95442" w:rsidRPr="009B2F97">
        <w:t xml:space="preserve">ascribed </w:t>
      </w:r>
      <w:r w:rsidR="003C00A1" w:rsidRPr="009B2F97">
        <w:t xml:space="preserve">to </w:t>
      </w:r>
      <w:r w:rsidR="0027572A" w:rsidRPr="009B2F97">
        <w:t>the number</w:t>
      </w:r>
      <w:r w:rsidR="003C00A1" w:rsidRPr="009B2F97">
        <w:t xml:space="preserve"> of bedrooms is likely to differ based on whether a household has children or not. </w:t>
      </w:r>
      <w:r w:rsidR="00AF2A91" w:rsidRPr="009B2F97">
        <w:t>While such heterogeneity can be incorporated in a dwelling unit choice model through an interaction of the presence of children and number of bedrooms, doing so to accommodate possible heterogeneity in each dwelling unit dimension and based on multiple individual/household characteristics leads to an explosion in the number of parameters to be estimated</w:t>
      </w:r>
      <w:r w:rsidR="000A38A0" w:rsidRPr="009B2F97">
        <w:t>.</w:t>
      </w:r>
      <w:r w:rsidR="00140A28" w:rsidRPr="009B2F97">
        <w:t xml:space="preserve"> </w:t>
      </w:r>
    </w:p>
    <w:p w14:paraId="04E77DCB" w14:textId="417C3CA3" w:rsidR="009073F0" w:rsidRPr="009B2F97" w:rsidRDefault="00A01822" w:rsidP="006F37E3">
      <w:pPr>
        <w:spacing w:after="0" w:line="240" w:lineRule="auto"/>
        <w:ind w:firstLine="720"/>
        <w:jc w:val="both"/>
        <w:rPr>
          <w:b/>
          <w:bCs/>
        </w:rPr>
      </w:pPr>
      <w:r w:rsidRPr="009B2F97">
        <w:t>In the current paper, t</w:t>
      </w:r>
      <w:r w:rsidR="004F64C0" w:rsidRPr="009B2F97">
        <w:t xml:space="preserve">o overcome </w:t>
      </w:r>
      <w:r w:rsidRPr="009B2F97">
        <w:t xml:space="preserve">the </w:t>
      </w:r>
      <w:r w:rsidR="00C9008C" w:rsidRPr="009B2F97">
        <w:t xml:space="preserve">challenges </w:t>
      </w:r>
      <w:r w:rsidRPr="009B2F97">
        <w:t xml:space="preserve">associated </w:t>
      </w:r>
      <w:r w:rsidR="00C9008C" w:rsidRPr="009B2F97">
        <w:t>with the traditional discrete choice formulation</w:t>
      </w:r>
      <w:r w:rsidR="00375443" w:rsidRPr="009B2F97">
        <w:t>,</w:t>
      </w:r>
      <w:r w:rsidR="00C9008C" w:rsidRPr="009B2F97">
        <w:t xml:space="preserve"> </w:t>
      </w:r>
      <w:r w:rsidR="007A22F3" w:rsidRPr="009B2F97">
        <w:t xml:space="preserve">we partition the </w:t>
      </w:r>
      <w:r w:rsidRPr="009B2F97">
        <w:t xml:space="preserve">overall housing </w:t>
      </w:r>
      <w:r w:rsidR="007A22F3" w:rsidRPr="009B2F97">
        <w:t xml:space="preserve">choice into </w:t>
      </w:r>
      <w:r w:rsidRPr="009B2F97">
        <w:t xml:space="preserve">its </w:t>
      </w:r>
      <w:r w:rsidR="007A22F3" w:rsidRPr="009B2F97">
        <w:t xml:space="preserve">multiple </w:t>
      </w:r>
      <w:r w:rsidR="0027572A" w:rsidRPr="009B2F97">
        <w:t>dimensions and</w:t>
      </w:r>
      <w:r w:rsidRPr="009B2F97">
        <w:t xml:space="preserve"> </w:t>
      </w:r>
      <w:r w:rsidR="007A22F3" w:rsidRPr="009B2F97">
        <w:t>consider each dimension separate</w:t>
      </w:r>
      <w:r w:rsidRPr="009B2F97">
        <w:t xml:space="preserve">ly </w:t>
      </w:r>
      <w:r w:rsidR="00546EB1" w:rsidRPr="009B2F97">
        <w:t xml:space="preserve">within a joint model of housing outcomes. </w:t>
      </w:r>
      <w:r w:rsidR="001B0428" w:rsidRPr="009B2F97">
        <w:t xml:space="preserve">In particular, </w:t>
      </w:r>
      <w:r w:rsidR="00F95442" w:rsidRPr="009B2F97">
        <w:t xml:space="preserve">because we are not using the dwelling unit as the single endogenous outcome of analysis from which to extract relative valuations of the many dimensions characterizing that </w:t>
      </w:r>
      <w:r w:rsidR="004A443A" w:rsidRPr="009B2F97">
        <w:t>choice but</w:t>
      </w:r>
      <w:r w:rsidR="00F95442" w:rsidRPr="009B2F97">
        <w:t xml:space="preserve"> </w:t>
      </w:r>
      <w:r w:rsidR="003C403E">
        <w:t xml:space="preserve">are </w:t>
      </w:r>
      <w:r w:rsidR="00F95442" w:rsidRPr="009B2F97">
        <w:t xml:space="preserve">using the individual dimensions themselves as multiple endogenous outcomes, we do not have the problem of an infeasible number of alternatives. Besides, we are able to explicitly and directly incorporate heterogeneity across individuals along each dimension. Additionally, </w:t>
      </w:r>
      <w:r w:rsidR="0050080F" w:rsidRPr="009B2F97">
        <w:t xml:space="preserve">while </w:t>
      </w:r>
      <w:r w:rsidR="00DF135E">
        <w:t>our</w:t>
      </w:r>
      <w:r w:rsidR="0050080F" w:rsidRPr="009B2F97">
        <w:t xml:space="preserve"> direct modeling of the individual dimensions characterizing dwelling unit choice precludes a straightforward trade-off analysis (as is possible from a discrete choice model with dwelling units as outcomes), we propose a novel approach that is still able to tease out the</w:t>
      </w:r>
      <w:r w:rsidR="00B851B2">
        <w:t>se</w:t>
      </w:r>
      <w:r w:rsidR="0050080F" w:rsidRPr="009B2F97">
        <w:t xml:space="preserve"> relative valuations</w:t>
      </w:r>
      <w:r w:rsidR="00DF135E">
        <w:t>.</w:t>
      </w:r>
      <w:r w:rsidR="0050080F" w:rsidRPr="009B2F97">
        <w:t xml:space="preserve"> </w:t>
      </w:r>
    </w:p>
    <w:p w14:paraId="3B09149B" w14:textId="6FB2C2FB" w:rsidR="007F7CC7" w:rsidRPr="009B2F97" w:rsidRDefault="00F768B2" w:rsidP="006F37E3">
      <w:pPr>
        <w:spacing w:after="0" w:line="240" w:lineRule="auto"/>
        <w:ind w:firstLine="720"/>
        <w:jc w:val="both"/>
      </w:pPr>
      <w:r w:rsidRPr="009B2F97">
        <w:t xml:space="preserve">In addition to </w:t>
      </w:r>
      <w:r w:rsidR="00DF135E">
        <w:t xml:space="preserve">directly </w:t>
      </w:r>
      <w:r w:rsidRPr="009B2F97">
        <w:t xml:space="preserve">modeling </w:t>
      </w:r>
      <w:r w:rsidR="00DF135E">
        <w:t xml:space="preserve">the many </w:t>
      </w:r>
      <w:r w:rsidRPr="009B2F97">
        <w:t>housing choice</w:t>
      </w:r>
      <w:r w:rsidR="00DF135E">
        <w:t xml:space="preserve"> dimensions</w:t>
      </w:r>
      <w:r w:rsidRPr="009B2F97">
        <w:t xml:space="preserve">, we also explore the </w:t>
      </w:r>
      <w:r w:rsidR="007F7CC7" w:rsidRPr="009B2F97">
        <w:t>housing decision</w:t>
      </w:r>
      <w:r w:rsidR="00DF135E">
        <w:t>-</w:t>
      </w:r>
      <w:r w:rsidR="007F7CC7" w:rsidRPr="009B2F97">
        <w:t>making process</w:t>
      </w:r>
      <w:r w:rsidR="00097BC4" w:rsidRPr="009B2F97">
        <w:t xml:space="preserve"> </w:t>
      </w:r>
      <w:r w:rsidR="00DF135E">
        <w:t>with</w:t>
      </w:r>
      <w:r w:rsidR="0050080F" w:rsidRPr="009B2F97">
        <w:t xml:space="preserve">in a new pandemic-disrupted terrain, especially </w:t>
      </w:r>
      <w:r w:rsidR="00097BC4" w:rsidRPr="009B2F97">
        <w:t>due to the</w:t>
      </w:r>
      <w:r w:rsidR="0050080F" w:rsidRPr="009B2F97">
        <w:t xml:space="preserve"> increased </w:t>
      </w:r>
      <w:r w:rsidR="00097BC4" w:rsidRPr="009B2F97">
        <w:t xml:space="preserve">emergence </w:t>
      </w:r>
      <w:r w:rsidR="0050080F" w:rsidRPr="009B2F97">
        <w:t xml:space="preserve">and embrace </w:t>
      </w:r>
      <w:r w:rsidR="00097BC4" w:rsidRPr="009B2F97">
        <w:t>of remote work</w:t>
      </w:r>
      <w:r w:rsidR="007F7CC7" w:rsidRPr="009B2F97">
        <w:t xml:space="preserve">. </w:t>
      </w:r>
      <w:r w:rsidR="0015432D">
        <w:t xml:space="preserve">We do so using </w:t>
      </w:r>
      <w:r w:rsidR="007F7CC7" w:rsidRPr="009B2F97">
        <w:t xml:space="preserve">a Generalized Heterogenous Data Model (GHDM) framework </w:t>
      </w:r>
      <w:r w:rsidR="001656DE" w:rsidRPr="009B2F97">
        <w:fldChar w:fldCharType="begin"/>
      </w:r>
      <w:r w:rsidR="000C4AE3">
        <w:instrText xml:space="preserve"> ADDIN ZOTERO_ITEM CSL_CITATION {"citationID":"3KpFavUg","properties":{"formattedCitation":"(Bhat, 2015b)","plainCitation":"(Bhat, 2015b)","noteIndex":0},"citationItems":[{"id":675,"uris":["http://zotero.org/users/local/1ztI2Oc6/items/E2IK5TA3","http://zotero.org/users/12832277/items/E2IK5TA3"],"itemData":{"id":675,"type":"article-journal","abstract":"This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R."}],"issued":{"date-parts":[["2015",9,1]]}}}],"schema":"https://github.com/citation-style-language/schema/raw/master/csl-citation.json"} </w:instrText>
      </w:r>
      <w:r w:rsidR="001656DE" w:rsidRPr="009B2F97">
        <w:fldChar w:fldCharType="separate"/>
      </w:r>
      <w:r w:rsidR="00740933" w:rsidRPr="00740933">
        <w:t>(Bhat, 2015b)</w:t>
      </w:r>
      <w:r w:rsidR="001656DE" w:rsidRPr="009B2F97">
        <w:fldChar w:fldCharType="end"/>
      </w:r>
      <w:r w:rsidR="001656DE" w:rsidRPr="009B2F97">
        <w:t xml:space="preserve"> </w:t>
      </w:r>
      <w:r w:rsidR="0015432D">
        <w:t xml:space="preserve">and consider </w:t>
      </w:r>
      <w:r w:rsidR="007F7CC7" w:rsidRPr="009B2F97">
        <w:t xml:space="preserve">a variety of attitudes, lifestyle preferences, and household sociodemographic characteristics as </w:t>
      </w:r>
      <w:r w:rsidR="00A70BAC" w:rsidRPr="009B2F97">
        <w:t>explanatory variables</w:t>
      </w:r>
      <w:r w:rsidR="007F7CC7" w:rsidRPr="009B2F97">
        <w:t xml:space="preserve">. </w:t>
      </w:r>
      <w:r w:rsidR="00A70BAC" w:rsidRPr="009B2F97">
        <w:t>The d</w:t>
      </w:r>
      <w:r w:rsidR="007F7CC7" w:rsidRPr="009B2F97">
        <w:t xml:space="preserve">ata used for this study </w:t>
      </w:r>
      <w:r w:rsidR="00A70BAC" w:rsidRPr="009B2F97">
        <w:t>are</w:t>
      </w:r>
      <w:r w:rsidR="00C712FB" w:rsidRPr="009B2F97">
        <w:t xml:space="preserve"> drawn from multiple sources</w:t>
      </w:r>
      <w:r w:rsidR="00A70BAC" w:rsidRPr="009B2F97">
        <w:t>,</w:t>
      </w:r>
      <w:r w:rsidR="00C712FB" w:rsidRPr="009B2F97">
        <w:t xml:space="preserve"> </w:t>
      </w:r>
      <w:r w:rsidR="007F7CC7" w:rsidRPr="009B2F97">
        <w:t>includ</w:t>
      </w:r>
      <w:r w:rsidR="00C712FB" w:rsidRPr="009B2F97">
        <w:t>ing</w:t>
      </w:r>
      <w:r w:rsidR="007F7CC7" w:rsidRPr="009B2F97">
        <w:t xml:space="preserve"> the COVID Future Survey</w:t>
      </w:r>
      <w:r w:rsidR="009B16EC" w:rsidRPr="009B2F97">
        <w:t xml:space="preserve"> </w:t>
      </w:r>
      <w:r w:rsidR="00B851B2" w:rsidRPr="009B2F97">
        <w:t xml:space="preserve">Wave 3 </w:t>
      </w:r>
      <w:r w:rsidR="009B16EC" w:rsidRPr="009B2F97">
        <w:t>and</w:t>
      </w:r>
      <w:r w:rsidR="007F7CC7" w:rsidRPr="009B2F97">
        <w:t xml:space="preserve"> the American Community Survey 2021 five-year estimates.</w:t>
      </w:r>
    </w:p>
    <w:p w14:paraId="635FBABA" w14:textId="18A0D889" w:rsidR="00BE4206" w:rsidRPr="009B2F97" w:rsidRDefault="00BE4206" w:rsidP="006F37E3">
      <w:pPr>
        <w:spacing w:after="0" w:line="240" w:lineRule="auto"/>
        <w:ind w:firstLine="720"/>
        <w:jc w:val="both"/>
      </w:pPr>
      <w:r w:rsidRPr="009B2F97">
        <w:t xml:space="preserve">The following section </w:t>
      </w:r>
      <w:r w:rsidR="008F5220" w:rsidRPr="009B2F97">
        <w:t xml:space="preserve">provides an overview of </w:t>
      </w:r>
      <w:r w:rsidR="000449B4" w:rsidRPr="009B2F97">
        <w:t>the</w:t>
      </w:r>
      <w:r w:rsidR="009C0A60" w:rsidRPr="009B2F97">
        <w:t xml:space="preserve"> broad</w:t>
      </w:r>
      <w:r w:rsidR="000449B4" w:rsidRPr="009B2F97">
        <w:t xml:space="preserve"> </w:t>
      </w:r>
      <w:r w:rsidR="008F5220" w:rsidRPr="009B2F97">
        <w:t xml:space="preserve">literature on </w:t>
      </w:r>
      <w:r w:rsidR="0049206F" w:rsidRPr="009B2F97">
        <w:t>housing</w:t>
      </w:r>
      <w:r w:rsidR="008F5220" w:rsidRPr="009B2F97">
        <w:t xml:space="preserve"> choice modeling</w:t>
      </w:r>
      <w:r w:rsidR="0015432D">
        <w:t>,</w:t>
      </w:r>
      <w:r w:rsidR="004E553A" w:rsidRPr="009B2F97">
        <w:t xml:space="preserve"> </w:t>
      </w:r>
      <w:r w:rsidR="003010F1" w:rsidRPr="009B2F97">
        <w:t>with an emphasis on</w:t>
      </w:r>
      <w:r w:rsidR="004E553A" w:rsidRPr="009B2F97">
        <w:t xml:space="preserve"> </w:t>
      </w:r>
      <w:r w:rsidR="00D3578C" w:rsidRPr="009B2F97">
        <w:t>the development of joint models of housing outcomes</w:t>
      </w:r>
      <w:r w:rsidR="008F5220" w:rsidRPr="009B2F97">
        <w:t xml:space="preserve">. Section </w:t>
      </w:r>
      <w:r w:rsidR="006B0FDB" w:rsidRPr="009B2F97">
        <w:t xml:space="preserve">3 </w:t>
      </w:r>
      <w:r w:rsidR="002523BF" w:rsidRPr="009B2F97">
        <w:t xml:space="preserve">presents </w:t>
      </w:r>
      <w:r w:rsidR="00057DAC" w:rsidRPr="009B2F97">
        <w:t xml:space="preserve">the </w:t>
      </w:r>
      <w:r w:rsidR="00232EFA" w:rsidRPr="009B2F97">
        <w:t xml:space="preserve">modeling framework along with the </w:t>
      </w:r>
      <w:r w:rsidR="00057DAC" w:rsidRPr="009B2F97">
        <w:t>context and characteristics of the datasets used</w:t>
      </w:r>
      <w:r w:rsidR="00681473" w:rsidRPr="009B2F97">
        <w:t>. Section 4 includes the model estimation results and interpretations</w:t>
      </w:r>
      <w:r w:rsidR="00F560D5" w:rsidRPr="009B2F97">
        <w:t xml:space="preserve">. </w:t>
      </w:r>
      <w:r w:rsidR="00B851B2">
        <w:t>Section</w:t>
      </w:r>
      <w:r w:rsidR="00F560D5" w:rsidRPr="009B2F97">
        <w:t xml:space="preserve"> </w:t>
      </w:r>
      <w:r w:rsidR="00D6757C" w:rsidRPr="009B2F97">
        <w:t>5</w:t>
      </w:r>
      <w:r w:rsidR="00F560D5" w:rsidRPr="009B2F97">
        <w:t xml:space="preserve"> discusses </w:t>
      </w:r>
      <w:r w:rsidR="00B851B2">
        <w:t>several important</w:t>
      </w:r>
      <w:r w:rsidR="00F560D5" w:rsidRPr="009B2F97">
        <w:t xml:space="preserve"> implications of this research </w:t>
      </w:r>
      <w:r w:rsidR="00DB1AA1">
        <w:t xml:space="preserve">for land use planning, travel demand modeling, and equity considerations. Finally, </w:t>
      </w:r>
      <w:r w:rsidR="00BF6DC8">
        <w:t>S</w:t>
      </w:r>
      <w:r w:rsidR="00DB1AA1">
        <w:t xml:space="preserve">ection 6 concludes the paper with a brief summary of important findings </w:t>
      </w:r>
      <w:r w:rsidR="00F560D5" w:rsidRPr="009B2F97">
        <w:t>as well as</w:t>
      </w:r>
      <w:r w:rsidR="0091720C" w:rsidRPr="009B2F97">
        <w:t xml:space="preserve"> </w:t>
      </w:r>
      <w:r w:rsidR="007300BE">
        <w:t xml:space="preserve">identification of </w:t>
      </w:r>
      <w:r w:rsidR="0091720C" w:rsidRPr="009B2F97">
        <w:t xml:space="preserve">future research directions. </w:t>
      </w:r>
    </w:p>
    <w:p w14:paraId="3329B452" w14:textId="77777777" w:rsidR="009B2F97" w:rsidRDefault="009B2F97" w:rsidP="006F37E3">
      <w:pPr>
        <w:spacing w:after="0" w:line="240" w:lineRule="auto"/>
        <w:ind w:firstLine="720"/>
        <w:jc w:val="both"/>
      </w:pPr>
    </w:p>
    <w:p w14:paraId="39D13D6C" w14:textId="519E999B" w:rsidR="00040667" w:rsidRPr="009B2F97" w:rsidRDefault="00A82708" w:rsidP="006F37E3">
      <w:pPr>
        <w:spacing w:after="0" w:line="240" w:lineRule="auto"/>
        <w:jc w:val="both"/>
        <w:rPr>
          <w:b/>
          <w:bCs/>
        </w:rPr>
      </w:pPr>
      <w:r w:rsidRPr="009B2F97">
        <w:rPr>
          <w:b/>
          <w:bCs/>
        </w:rPr>
        <w:lastRenderedPageBreak/>
        <w:t xml:space="preserve">2. </w:t>
      </w:r>
      <w:r w:rsidR="007300BE">
        <w:rPr>
          <w:b/>
          <w:bCs/>
        </w:rPr>
        <w:t>LITERATURE OVERVIEW</w:t>
      </w:r>
    </w:p>
    <w:p w14:paraId="4D9AF903" w14:textId="3CBE4D2C" w:rsidR="00140FF8" w:rsidRPr="009B2F97" w:rsidRDefault="0015432D" w:rsidP="006F37E3">
      <w:pPr>
        <w:spacing w:after="0" w:line="240" w:lineRule="auto"/>
        <w:jc w:val="both"/>
      </w:pPr>
      <w:r>
        <w:t>As already discussed, t</w:t>
      </w:r>
      <w:r w:rsidR="00140FF8" w:rsidRPr="009B2F97">
        <w:t xml:space="preserve">he </w:t>
      </w:r>
      <w:r w:rsidR="00076E92" w:rsidRPr="009B2F97">
        <w:t xml:space="preserve">housing choice </w:t>
      </w:r>
      <w:r>
        <w:t xml:space="preserve">literature </w:t>
      </w:r>
      <w:r w:rsidR="00A656CE" w:rsidRPr="009B2F97">
        <w:t xml:space="preserve">has </w:t>
      </w:r>
      <w:r>
        <w:t xml:space="preserve">primarily investigated </w:t>
      </w:r>
      <w:r w:rsidR="00A656CE" w:rsidRPr="009B2F97">
        <w:t xml:space="preserve">housing location choice, with relatively few studies </w:t>
      </w:r>
      <w:r>
        <w:t>on</w:t>
      </w:r>
      <w:r w:rsidR="00A656CE" w:rsidRPr="009B2F97">
        <w:t xml:space="preserve"> non-location housing choices or housing location choice along with non-location housing choices. Accordingly, </w:t>
      </w:r>
      <w:r w:rsidR="002022CC" w:rsidRPr="009B2F97">
        <w:t xml:space="preserve">we </w:t>
      </w:r>
      <w:r>
        <w:t xml:space="preserve">first </w:t>
      </w:r>
      <w:r w:rsidR="00A656CE" w:rsidRPr="009B2F97">
        <w:t xml:space="preserve">provide a brief overview of </w:t>
      </w:r>
      <w:r w:rsidR="00DE5969" w:rsidRPr="009B2F97">
        <w:t xml:space="preserve">the methodologies used for </w:t>
      </w:r>
      <w:r w:rsidR="00A656CE" w:rsidRPr="009B2F97">
        <w:t xml:space="preserve">housing location choice models, followed by </w:t>
      </w:r>
      <w:r w:rsidR="00DE5969" w:rsidRPr="009B2F97">
        <w:t xml:space="preserve">the methodological challenges when considering </w:t>
      </w:r>
      <w:r w:rsidR="00A656CE" w:rsidRPr="009B2F97">
        <w:t xml:space="preserve">non-location </w:t>
      </w:r>
      <w:r w:rsidR="00DE5969" w:rsidRPr="009B2F97">
        <w:t xml:space="preserve">housing attributes along with location choice. </w:t>
      </w:r>
      <w:r>
        <w:t>We end the section by discussing empirical findings from earlier housing choice studies and the salient aspects of the current study</w:t>
      </w:r>
      <w:r w:rsidR="00A656CE" w:rsidRPr="009B2F97">
        <w:t xml:space="preserve">. </w:t>
      </w:r>
    </w:p>
    <w:p w14:paraId="6D4C5D7D" w14:textId="77777777" w:rsidR="009B2F97" w:rsidRPr="009B2F97" w:rsidRDefault="009B2F97" w:rsidP="006F37E3">
      <w:pPr>
        <w:spacing w:after="0" w:line="240" w:lineRule="auto"/>
        <w:jc w:val="both"/>
      </w:pPr>
    </w:p>
    <w:p w14:paraId="7FC83B5F" w14:textId="307C0FE3" w:rsidR="007F63C4" w:rsidRPr="009B2F97" w:rsidRDefault="007F63C4" w:rsidP="006F37E3">
      <w:pPr>
        <w:spacing w:after="0" w:line="240" w:lineRule="auto"/>
        <w:jc w:val="both"/>
        <w:rPr>
          <w:b/>
          <w:bCs/>
        </w:rPr>
      </w:pPr>
      <w:r w:rsidRPr="009B2F97">
        <w:rPr>
          <w:b/>
          <w:bCs/>
        </w:rPr>
        <w:t xml:space="preserve">2.1 </w:t>
      </w:r>
      <w:r w:rsidR="00A656CE" w:rsidRPr="009B2F97">
        <w:rPr>
          <w:b/>
          <w:bCs/>
        </w:rPr>
        <w:t>Housing Location Choice</w:t>
      </w:r>
    </w:p>
    <w:p w14:paraId="784B0EC4" w14:textId="6E591277" w:rsidR="002E2A42" w:rsidRPr="009B2F97" w:rsidRDefault="002E2A42" w:rsidP="006F37E3">
      <w:pPr>
        <w:spacing w:after="0" w:line="240" w:lineRule="auto"/>
        <w:jc w:val="both"/>
      </w:pPr>
      <w:r w:rsidRPr="009B2F97">
        <w:t xml:space="preserve">Traditional </w:t>
      </w:r>
      <w:r w:rsidR="00A656CE" w:rsidRPr="009B2F97">
        <w:t xml:space="preserve">approaches </w:t>
      </w:r>
      <w:r w:rsidRPr="009B2F97">
        <w:t xml:space="preserve">in the literature </w:t>
      </w:r>
      <w:r w:rsidR="004B4EFB" w:rsidRPr="009B2F97">
        <w:t xml:space="preserve">for modeling </w:t>
      </w:r>
      <w:r w:rsidR="00A656CE" w:rsidRPr="009B2F97">
        <w:t>housing</w:t>
      </w:r>
      <w:r w:rsidR="004B4EFB" w:rsidRPr="009B2F97">
        <w:t xml:space="preserve"> location choice</w:t>
      </w:r>
      <w:r w:rsidR="00B165D0" w:rsidRPr="009B2F97">
        <w:t xml:space="preserve"> </w:t>
      </w:r>
      <w:r w:rsidR="00A656CE" w:rsidRPr="009B2F97">
        <w:t xml:space="preserve">have focused on commute distance as </w:t>
      </w:r>
      <w:r w:rsidR="0015432D">
        <w:t>the</w:t>
      </w:r>
      <w:r w:rsidR="008F122D" w:rsidRPr="009B2F97">
        <w:t xml:space="preserve"> primary </w:t>
      </w:r>
      <w:r w:rsidR="00B24946" w:rsidRPr="009B2F97">
        <w:t>determinant</w:t>
      </w:r>
      <w:r w:rsidR="002022CC" w:rsidRPr="009B2F97">
        <w:t xml:space="preserve">, especially as exemplified in Alonso’s </w:t>
      </w:r>
      <w:r w:rsidR="008059A9">
        <w:fldChar w:fldCharType="begin"/>
      </w:r>
      <w:r w:rsidR="008912F0">
        <w:instrText xml:space="preserve"> ADDIN ZOTERO_ITEM CSL_CITATION {"citationID":"xhBzxcLf","properties":{"unsorted":true,"formattedCitation":"(1960, 1964)","plainCitation":"(1960, 1964)","noteIndex":0},"citationItems":[{"id":1,"uris":["http://zotero.org/users/local/1ztI2Oc6/items/7NQWTSWI","http://zotero.org/users/12832277/items/7NQWTSWI"],"itemData":{"id":1,"type":"article-journal","container-title":"Papers in Regional Science","issue":"1","page":"149-157","title":"A Theory of the Urban Land Market","volume":"6","author":[{"family":"Alonso","given":"William"}],"issued":{"date-parts":[["1960"]]}},"label":"page","suppress-author":true},{"id":24,"uris":["http://zotero.org/users/local/1ztI2Oc6/items/3BFP95NA","http://zotero.org/users/12832277/items/3BFP95NA"],"itemData":{"id":24,"type":"book","abstract":"Location and Land Use by William Alonso was published on October 1, 2013 by Harvard University Press.","ISBN":"978-0-674-73085-4","language":"en","note":"DOI: 10.4159/harvard.9780674730854\ncontainer-title: Location and Land Use","publisher":"Harvard University Press","source":"www.degruyter.com","title":"Location and Land Use: Toward a General Theory of Land Rent","title-short":"Location and Land Use","URL":"https://www.degruyter.com/document/doi/10.4159/harvard.9780674730854/html","author":[{"family":"Alonso","given":"William"}],"accessed":{"date-parts":[["2023",1,25]]},"issued":{"date-parts":[["1964"]]}},"label":"page","suppress-author":true}],"schema":"https://github.com/citation-style-language/schema/raw/master/csl-citation.json"} </w:instrText>
      </w:r>
      <w:r w:rsidR="008059A9">
        <w:fldChar w:fldCharType="separate"/>
      </w:r>
      <w:r w:rsidR="008059A9" w:rsidRPr="008059A9">
        <w:t>(1960, 1964)</w:t>
      </w:r>
      <w:r w:rsidR="008059A9">
        <w:fldChar w:fldCharType="end"/>
      </w:r>
      <w:r w:rsidR="003D7662">
        <w:t xml:space="preserve"> </w:t>
      </w:r>
      <w:r w:rsidR="002022CC" w:rsidRPr="009B2F97">
        <w:t xml:space="preserve">bid-rent model and the aggregate gravity model. </w:t>
      </w:r>
      <w:r w:rsidR="00937F2B" w:rsidRPr="009B2F97">
        <w:t xml:space="preserve">The </w:t>
      </w:r>
      <w:r w:rsidR="00E50F0B" w:rsidRPr="009B2F97">
        <w:t xml:space="preserve">bid-rent model </w:t>
      </w:r>
      <w:r w:rsidR="00937F2B" w:rsidRPr="009B2F97">
        <w:t xml:space="preserve">assumes that households compete for land closest to a monocentric employment center based on willingness-to-pay for location attributes, </w:t>
      </w:r>
      <w:r w:rsidR="003E16DD" w:rsidRPr="009B2F97">
        <w:t xml:space="preserve">leading to </w:t>
      </w:r>
      <w:r w:rsidR="00CE44C9" w:rsidRPr="009B2F97">
        <w:t>reduce</w:t>
      </w:r>
      <w:r w:rsidR="00937F2B" w:rsidRPr="009B2F97">
        <w:t>d</w:t>
      </w:r>
      <w:r w:rsidR="00CE44C9" w:rsidRPr="009B2F97">
        <w:t xml:space="preserve"> housing density </w:t>
      </w:r>
      <w:r w:rsidR="00937F2B" w:rsidRPr="009B2F97">
        <w:t>f</w:t>
      </w:r>
      <w:r w:rsidR="0015432D">
        <w:t>a</w:t>
      </w:r>
      <w:r w:rsidR="00937F2B" w:rsidRPr="009B2F97">
        <w:t xml:space="preserve">rther away </w:t>
      </w:r>
      <w:r w:rsidR="00CE44C9" w:rsidRPr="009B2F97">
        <w:t xml:space="preserve">from </w:t>
      </w:r>
      <w:r w:rsidR="00937F2B" w:rsidRPr="009B2F97">
        <w:t>the monocentric employment center</w:t>
      </w:r>
      <w:r w:rsidR="00CE44C9" w:rsidRPr="009B2F97">
        <w:t>. Th</w:t>
      </w:r>
      <w:r w:rsidR="004A43CF" w:rsidRPr="009B2F97">
        <w:t>is</w:t>
      </w:r>
      <w:r w:rsidR="00CE44C9" w:rsidRPr="009B2F97">
        <w:t xml:space="preserve"> approach </w:t>
      </w:r>
      <w:r w:rsidR="004A43CF" w:rsidRPr="009B2F97">
        <w:t>has been</w:t>
      </w:r>
      <w:r w:rsidR="00CE44C9" w:rsidRPr="009B2F97">
        <w:t xml:space="preserve"> extended to include an evaluation of</w:t>
      </w:r>
      <w:r w:rsidR="0042490A" w:rsidRPr="009B2F97">
        <w:t xml:space="preserve"> additional</w:t>
      </w:r>
      <w:r w:rsidR="00CE44C9" w:rsidRPr="009B2F97">
        <w:t xml:space="preserve"> </w:t>
      </w:r>
      <w:r w:rsidR="008103DE" w:rsidRPr="009B2F97">
        <w:t>dwelling location characteristics</w:t>
      </w:r>
      <w:r w:rsidR="00C337D9" w:rsidRPr="009B2F97">
        <w:t xml:space="preserve"> </w:t>
      </w:r>
      <w:r w:rsidR="00937F2B" w:rsidRPr="009B2F97">
        <w:t>(crime rates and location of good schools)</w:t>
      </w:r>
      <w:r w:rsidR="0015432D">
        <w:t xml:space="preserve"> and</w:t>
      </w:r>
      <w:r w:rsidR="00937F2B" w:rsidRPr="009B2F97">
        <w:t xml:space="preserve"> housing cost </w:t>
      </w:r>
      <w:r w:rsidR="00FB63DA" w:rsidRPr="009B2F97">
        <w:fldChar w:fldCharType="begin"/>
      </w:r>
      <w:r w:rsidR="000C4AE3">
        <w:instrText xml:space="preserve"> ADDIN ZOTERO_ITEM CSL_CITATION {"citationID":"nByW7fvE","properties":{"formattedCitation":"(Ellickson, 1981; Heldt et al., 2018)","plainCitation":"(Ellickson, 1981; Heldt et al., 2018)","noteIndex":0},"citationItems":[{"id":6,"uris":["http://zotero.org/users/local/1ztI2Oc6/items/PF38Z2DC","http://zotero.org/users/12832277/items/PF38Z2DC"],"itemData":{"id":6,"type":"article-journal","abstract":"In this paper the hedonic theory of housing markets is used to generate a multinomial logit model of household behavior in an urban housing market. Application of hedonic theory to housing markets is by now fairly familiar and a link to multinomial logit has also been established. However, by emphasizing more heavily the bid price interpretation of hedonic theory, this paper develops a new connection to econometric estimation that essentially involves running the usual logit equations in reverse. One advantage of this approach is that the link between the logit equations and hedonic theory involves bid price rather than utility functions, and this in turn permits the empirical results to be given an extremely clear interpretation. Furthermore, in contrast to the standard logit model, the extreme value distribution required to justify the estimation technique emerges endogenously as part of the analysis.","container-title":"Journal of Urban Economics","DOI":"10.1016/0094-1190(81)90048-6","ISSN":"0094-1190","issue":"1","language":"en","page":"56-79","source":"ScienceDirect","title":"An Alternative Test of the Hedonic Theory of Housing Markets","volume":"9","author":[{"family":"Ellickson","given":"Bryan"}],"issued":{"date-parts":[["1981",1,1]]}}},{"id":90,"uris":["http://zotero.org/users/local/1ztI2Oc6/items/QRP5AEFX","http://zotero.org/users/12832277/items/QRP5AEFX"],"itemData":{"id":90,"type":"article-journal","abstract":"Modeling residential location as a key component of the land-use system is essential to understanding the relationship between land use and transport. The increasing availability of censuses such as the German Zensus 2011 has enabled residential location to be modeled with a large number of observations, presenting both opportunities and challenges. Censuses are statistically highly representative; however, they often lack variables such as income or mobility-related attributes as in the case of Zensus 2011. This is particularly problematic if missing variables define utility or willingness-to-pay functions that characterize choice options in a location model. One example of this is household income, which is an indispensable variable in land-use models because it influences household location preferences and defines affordable location options. For estimating bid-auction location models for different income groups, we impute household income in census data applying an ordered regression model. We find that location models considering this imputation perform sufficiently well as they reveal reasonable and expected aspects of the location patterns. In general, imputing choice variables should thus be considered in the estimation of residential location models but is also promising for other decision problems. Comparing results for two imputation methods, we also show that while applying the deterministic first preference imputation could yield misleading results, the probabilistic Monte Carlo simulation is the correct imputation approach.","container-title":"Journal of Transport and Land Use","ISSN":"1938-7849","issue":"1","note":"publisher: Journal of Transport and Land Use","page":"1101-1123","source":"JSTOR","title":"Estimating Bid-Auction Models of Residential Location Using Census Data with Imputed Household Income","volume":"11","author":[{"family":"Heldt","given":"Benjamin"},{"family":"Donoso","given":"Pedro"},{"family":"Bahamonde-Birke","given":"Francisco"},{"family":"Heinrichs","given":"Dirk"}],"issued":{"date-parts":[["2018"]]}}}],"schema":"https://github.com/citation-style-language/schema/raw/master/csl-citation.json"} </w:instrText>
      </w:r>
      <w:r w:rsidR="00FB63DA" w:rsidRPr="009B2F97">
        <w:fldChar w:fldCharType="separate"/>
      </w:r>
      <w:r w:rsidR="00BA12C7" w:rsidRPr="009B2F97">
        <w:t>(Ellickson, 1981; Heldt et al., 2018)</w:t>
      </w:r>
      <w:r w:rsidR="00FB63DA" w:rsidRPr="009B2F97">
        <w:fldChar w:fldCharType="end"/>
      </w:r>
      <w:r w:rsidR="0015432D">
        <w:t>,</w:t>
      </w:r>
      <w:r w:rsidR="00FB63DA" w:rsidRPr="009B2F97">
        <w:t xml:space="preserve"> a</w:t>
      </w:r>
      <w:r w:rsidR="0015432D">
        <w:t>s well as</w:t>
      </w:r>
      <w:r w:rsidR="00FB63DA" w:rsidRPr="009B2F97">
        <w:t xml:space="preserve"> </w:t>
      </w:r>
      <w:r w:rsidR="00FB2A4C" w:rsidRPr="009B2F97">
        <w:t xml:space="preserve">to account for </w:t>
      </w:r>
      <w:r w:rsidR="00E86D6A" w:rsidRPr="00D21817">
        <w:t>spatial heterogeneity</w:t>
      </w:r>
      <w:r w:rsidR="005C068E">
        <w:t xml:space="preserve">, </w:t>
      </w:r>
      <w:bookmarkStart w:id="0" w:name="_Hlk149826542"/>
      <w:r w:rsidR="005C068E">
        <w:t>the varying attributes of different locations that impact individual preferences for housing in different areas</w:t>
      </w:r>
      <w:r w:rsidR="00E86D6A" w:rsidRPr="00D21817">
        <w:t xml:space="preserve"> </w:t>
      </w:r>
      <w:bookmarkEnd w:id="0"/>
      <w:r w:rsidR="00E86D6A" w:rsidRPr="009B2F97">
        <w:fldChar w:fldCharType="begin"/>
      </w:r>
      <w:r w:rsidR="000C4AE3">
        <w:instrText xml:space="preserve"> ADDIN ZOTERO_ITEM CSL_CITATION {"citationID":"SmF0UYb7","properties":{"formattedCitation":"(Cox and Hurtubia, 2021)","plainCitation":"(Cox and Hurtubia, 2021)","noteIndex":0},"citationItems":[{"id":9,"uris":["http://zotero.org/users/local/1ztI2Oc6/items/V65FY2VQ","http://zotero.org/users/12832277/items/V65FY2VQ"],"itemData":{"id":9,"type":"article-journal","abstract":"Understanding the preferences of households in their location decisions is key for residential demand forecast and urban policy making. Accounting for preference heterogeneity across agents is useful for the modelling process but not enough to completely describe location choice behavior. Due to place-specific conditions, the same agent may have different preferences depending on the sector of the city considered as potential location, a phenomena known as spatial heterogeneity. Segmenting the city by defining zones where agents are supposed to behave similarly has been a common modelling solution, assigning different zonal preference parameters in the estimation process. This has been usually done with two-step methods, where spatial segmentation is done independently of the location choice process, something that could bias estimation results. We propose and test a one-step model for simultaneous estimation of location preference parameters and spatial segmentation, therefore accounting for heterogeneity across agents and space. The model is based on Ellickson’s bid-auction approach for location choice and latent class models. We test our model with a case study in Santiago, Chile and compare it with other models for spatial segmentation. In terms of predictive power, our approach outperforms a model with no zones, a model with zones defined exogenously, and a clustering-based two-step model. This novel approach allows for a better conceptual ground for urban predictive models with spatial segmentation.","container-title":"Networks and Spatial Economics","DOI":"10.1007/s11067-021-09520-1","ISSN":"1572-9427","issue":"1","language":"en","page":"199-228","source":"Springer Link","title":"Latent Segmentation of Urban Space Through Residential Location Choice","volume":"21","author":[{"family":"Cox","given":"Tomás"},{"family":"Hurtubia","given":"Ricardo"}],"issued":{"date-parts":[["2021",3,1]]}}}],"schema":"https://github.com/citation-style-language/schema/raw/master/csl-citation.json"} </w:instrText>
      </w:r>
      <w:r w:rsidR="00E86D6A" w:rsidRPr="009B2F97">
        <w:fldChar w:fldCharType="separate"/>
      </w:r>
      <w:r w:rsidR="00BA12C7" w:rsidRPr="009B2F97">
        <w:t>(Cox and Hurtubia, 2021)</w:t>
      </w:r>
      <w:r w:rsidR="00E86D6A" w:rsidRPr="009B2F97">
        <w:fldChar w:fldCharType="end"/>
      </w:r>
      <w:r w:rsidR="00FD7C27" w:rsidRPr="009B2F97">
        <w:t xml:space="preserve">. </w:t>
      </w:r>
      <w:r w:rsidR="00B46FF8" w:rsidRPr="009B2F97">
        <w:t xml:space="preserve">Another approach </w:t>
      </w:r>
      <w:r w:rsidR="009F5F20" w:rsidRPr="00D21817">
        <w:t xml:space="preserve">is </w:t>
      </w:r>
      <w:r w:rsidR="00F71100" w:rsidRPr="00CB3EDA">
        <w:t>the</w:t>
      </w:r>
      <w:r w:rsidR="009F5F20" w:rsidRPr="00CB3EDA">
        <w:t xml:space="preserve"> </w:t>
      </w:r>
      <w:r w:rsidR="002C0EFE" w:rsidRPr="00CB3EDA">
        <w:t xml:space="preserve">aggregate </w:t>
      </w:r>
      <w:r w:rsidR="009F5F20" w:rsidRPr="00DD68D6">
        <w:t>gravity model</w:t>
      </w:r>
      <w:r w:rsidR="00F71100" w:rsidRPr="00DD68D6">
        <w:t>, which</w:t>
      </w:r>
      <w:r w:rsidR="009F5F20" w:rsidRPr="00DD68D6">
        <w:t xml:space="preserve"> uses a distance</w:t>
      </w:r>
      <w:r w:rsidR="00A1202F" w:rsidRPr="009434FD">
        <w:t xml:space="preserve">-decay function </w:t>
      </w:r>
      <w:r w:rsidR="00077ED2" w:rsidRPr="009434FD">
        <w:t>to describe the aggregate allocation of households around points of interest</w:t>
      </w:r>
      <w:r w:rsidR="007B5CF0" w:rsidRPr="009C5F54">
        <w:t>, generally employment centers</w:t>
      </w:r>
      <w:r w:rsidR="002C0EFE" w:rsidRPr="009179E5">
        <w:t xml:space="preserve">. The approach </w:t>
      </w:r>
      <w:r w:rsidR="002C0EFE" w:rsidRPr="0077513C">
        <w:t xml:space="preserve">has been used </w:t>
      </w:r>
      <w:r w:rsidR="002C0EFE" w:rsidRPr="00DF135E">
        <w:t>to</w:t>
      </w:r>
      <w:r w:rsidR="00A64098" w:rsidRPr="009B2F97">
        <w:t xml:space="preserve"> characterize </w:t>
      </w:r>
      <w:r w:rsidR="00D2384B" w:rsidRPr="009B2F97">
        <w:t>distributions of households around workplaces</w:t>
      </w:r>
      <w:r w:rsidR="002C0EFE" w:rsidRPr="009B2F97">
        <w:t xml:space="preserve"> </w:t>
      </w:r>
      <w:r w:rsidR="00AE1C15" w:rsidRPr="009B2F97">
        <w:fldChar w:fldCharType="begin"/>
      </w:r>
      <w:r w:rsidR="000C4AE3">
        <w:instrText xml:space="preserve"> ADDIN ZOTERO_ITEM CSL_CITATION {"citationID":"IKffpUw5","properties":{"formattedCitation":"(Wilson, 1970)","plainCitation":"(Wilson, 1970)","noteIndex":0},"citationItems":[{"id":16,"uris":["http://zotero.org/users/local/1ztI2Oc6/items/XXDDCKEP","http://zotero.org/users/12832277/items/XXDDCKEP"],"itemData":{"id":16,"type":"article-journal","container-title":"Papers of the Regional Science Association","DOI":"10.1007/BF01936877","ISSN":"1435-5957","issue":"1","language":"en","page":"103-125","source":"Springer Link","title":"Disaggregating Elementary Residential Location Models","volume":"24","author":[{"family":"Wilson","given":"Alan G."}],"issued":{"date-parts":[["1970",12,1]]}}}],"schema":"https://github.com/citation-style-language/schema/raw/master/csl-citation.json"} </w:instrText>
      </w:r>
      <w:r w:rsidR="00AE1C15" w:rsidRPr="009B2F97">
        <w:fldChar w:fldCharType="separate"/>
      </w:r>
      <w:r w:rsidR="00BA12C7" w:rsidRPr="009B2F97">
        <w:t>(</w:t>
      </w:r>
      <w:r w:rsidR="00BA12C7" w:rsidRPr="00D21817">
        <w:t>Wilson, 1970)</w:t>
      </w:r>
      <w:r w:rsidR="00AE1C15" w:rsidRPr="009B2F97">
        <w:fldChar w:fldCharType="end"/>
      </w:r>
      <w:r w:rsidR="00D2384B" w:rsidRPr="009B2F97">
        <w:t xml:space="preserve">, </w:t>
      </w:r>
      <w:r w:rsidR="005B2E76" w:rsidRPr="009B2F97">
        <w:t xml:space="preserve">describe relative distances of household </w:t>
      </w:r>
      <w:r w:rsidR="00E43B1E" w:rsidRPr="00D21817">
        <w:t>relocations</w:t>
      </w:r>
      <w:r w:rsidR="005B2E76" w:rsidRPr="00CB3EDA">
        <w:t xml:space="preserve"> </w:t>
      </w:r>
      <w:r w:rsidR="002C0EFE" w:rsidRPr="00CB3EDA">
        <w:t xml:space="preserve">based on </w:t>
      </w:r>
      <w:r w:rsidR="005B2E76" w:rsidRPr="009B2F97">
        <w:t xml:space="preserve">cost and </w:t>
      </w:r>
      <w:r w:rsidR="002C0EFE" w:rsidRPr="009B2F97">
        <w:t xml:space="preserve">area </w:t>
      </w:r>
      <w:r w:rsidR="005B2E76" w:rsidRPr="009B2F97">
        <w:t>familiarity</w:t>
      </w:r>
      <w:r w:rsidR="005D0683" w:rsidRPr="009B2F97">
        <w:t xml:space="preserve"> </w:t>
      </w:r>
      <w:r w:rsidR="005D0683" w:rsidRPr="009B2F97">
        <w:fldChar w:fldCharType="begin"/>
      </w:r>
      <w:r w:rsidR="008912F0">
        <w:instrText xml:space="preserve"> ADDIN ZOTERO_ITEM CSL_CITATION {"citationID":"Crgt436j","properties":{"formattedCitation":"(Hipp and Boessen, 2017)","plainCitation":"(Hipp and Boessen, 2017)","noteIndex":0},"citationItems":[{"id":14,"uris":["http://zotero.org/users/local/1ztI2Oc6/items/2B3F5YNZ","http://zotero.org/users/12832277/items/2B3F5YNZ"],"itemData":{"id":14,"type":"article-journal","abstract":"A well-known challenge to studies examining the distance of residential mobility patterns is that the estimates are often constrained to patterns only within a particular metro area or between metro areas. Thus, studies are unable to estimate the entire distance decay functional form. Using a unique data set on the distance of the most recent move for a large sample of households in twenty-three metropolitan areas in the United States over three waves, we flexibly estimate the distance decay function for the entire sample, as well as for a series of subpopulations based on key demographic information.","container-title":"The Professional Geographer","DOI":"10.1080/00330124.2016.1157495","ISSN":"0033-0124","issue":"1","note":"publisher: Routledge\n_eprint: https://doi.org/10.1080/00330124.2016.1157495","page":"32-44","source":"Taylor and Francis+NEJM","title":"The Shape of Mobility: Measuring the Distance Decay Function of Household Mobility","title-short":"The Shape of Mobility","volume":"69","author":[{"family":"Hipp","given":"John R."},{"family":"Boessen","given":"Adam"}],"issued":{"date-parts":[["2017",1,2]]}}}],"schema":"https://github.com/citation-style-language/schema/raw/master/csl-citation.json"} </w:instrText>
      </w:r>
      <w:r w:rsidR="005D0683" w:rsidRPr="009B2F97">
        <w:fldChar w:fldCharType="separate"/>
      </w:r>
      <w:r w:rsidR="00BA12C7" w:rsidRPr="009B2F97">
        <w:t>(Hipp and Boessen, 2017)</w:t>
      </w:r>
      <w:r w:rsidR="005D0683" w:rsidRPr="009B2F97">
        <w:fldChar w:fldCharType="end"/>
      </w:r>
      <w:r w:rsidR="005B2E76" w:rsidRPr="009B2F97">
        <w:t xml:space="preserve">, </w:t>
      </w:r>
      <w:r w:rsidR="0007472C" w:rsidRPr="009B2F97">
        <w:t xml:space="preserve">and </w:t>
      </w:r>
      <w:r w:rsidR="00AE1C15" w:rsidRPr="00D21817">
        <w:t>identify the effects of ethnic heterogeneity on neighborhood migration</w:t>
      </w:r>
      <w:r w:rsidR="005D0683" w:rsidRPr="00CB3EDA">
        <w:t xml:space="preserve"> </w:t>
      </w:r>
      <w:r w:rsidR="005D0683" w:rsidRPr="009B2F97">
        <w:fldChar w:fldCharType="begin"/>
      </w:r>
      <w:r w:rsidR="008912F0">
        <w:instrText xml:space="preserve"> ADDIN ZOTERO_ITEM CSL_CITATION {"citationID":"8mFmW71C","properties":{"formattedCitation":"(Bakens et al., 2018)","plainCitation":"(Bakens et al., 2018)","noteIndex":0},"citationItems":[{"id":11,"uris":["http://zotero.org/users/local/1ztI2Oc6/items/VEH74HCG","http://zotero.org/users/12832277/items/VEH74HCG"],"itemData":{"id":11,"type":"article-journal","abstract":"Most research on ethnic relocation at the neighborhood level focuses on either in-migration or out-migration, considering characteristics of either the origin or the destination neighborhood. Gravity models consider characteristics of both the origin and destination of movers, but are mostly used to explain international or interregional migrant flows. We estimate a gravity model at the neighborhood level to identify the role of ethnic heterogeneity across space in two Dutch cities, explaining both size and ethnic composition of mover flows within cities. Our findings suggest a preference for living with the own ethnic group in an otherwise diverse neighborhood.","container-title":"Journal of Regional Science","DOI":"10.1111/jors.12390","ISSN":"1467-9787","issue":"5","language":"en","note":"_eprint: https://onlinelibrary.wiley.com/doi/pdf/10.1111/jors.12390","page":"921-948","source":"Wiley Online Library","title":"Ethnic Drift and White Flight: A Gravity Model of Neighborhood Formation","title-short":"Ethnic Drift and White Flight","volume":"58","author":[{"family":"Bakens","given":"Jessie"},{"family":"Florax","given":"Raymond J.G.M."},{"family":"Mulder","given":"Peter"}],"issued":{"date-parts":[["2018"]]}}}],"schema":"https://github.com/citation-style-language/schema/raw/master/csl-citation.json"} </w:instrText>
      </w:r>
      <w:r w:rsidR="005D0683" w:rsidRPr="009B2F97">
        <w:fldChar w:fldCharType="separate"/>
      </w:r>
      <w:r w:rsidR="00BA12C7" w:rsidRPr="009B2F97">
        <w:t>(Bakens et al., 2018)</w:t>
      </w:r>
      <w:r w:rsidR="005D0683" w:rsidRPr="009B2F97">
        <w:fldChar w:fldCharType="end"/>
      </w:r>
      <w:r w:rsidR="00AE1C15" w:rsidRPr="009B2F97">
        <w:t xml:space="preserve">. </w:t>
      </w:r>
      <w:r w:rsidR="002C0EFE" w:rsidRPr="009434FD">
        <w:t xml:space="preserve">However, the predominant approach to </w:t>
      </w:r>
      <w:r w:rsidR="002C0EFE" w:rsidRPr="009C5F54">
        <w:t xml:space="preserve">housing location </w:t>
      </w:r>
      <w:r w:rsidR="002C0EFE" w:rsidRPr="009179E5">
        <w:t>choice</w:t>
      </w:r>
      <w:r w:rsidR="002C0EFE" w:rsidRPr="0077513C">
        <w:t xml:space="preserve"> </w:t>
      </w:r>
      <w:r w:rsidR="0015432D">
        <w:t xml:space="preserve">employs </w:t>
      </w:r>
      <w:r w:rsidR="00892A2B" w:rsidRPr="009B2F97">
        <w:t xml:space="preserve">McFadden's </w:t>
      </w:r>
      <w:r w:rsidR="00366EEB" w:rsidRPr="009B2F97">
        <w:t xml:space="preserve">microeconomic theory-based </w:t>
      </w:r>
      <w:r w:rsidR="00892A2B" w:rsidRPr="009B2F97">
        <w:t xml:space="preserve">discrete choice model </w:t>
      </w:r>
      <w:r w:rsidR="00892A2B" w:rsidRPr="009B2F97">
        <w:fldChar w:fldCharType="begin"/>
      </w:r>
      <w:r w:rsidR="000C4AE3">
        <w:instrText xml:space="preserve"> ADDIN ZOTERO_ITEM CSL_CITATION {"citationID":"jaSSaNwP","properties":{"unsorted":true,"formattedCitation":"(McFadden, 1978; Lerman, 1976)","plainCitation":"(McFadden, 1978; Lerman, 1976)","noteIndex":0},"citationItems":[{"id":22,"uris":["http://zotero.org/users/local/1ztI2Oc6/items/234Z6UHM","http://zotero.org/users/12832277/items/234Z6UHM"],"itemData":{"id":22,"type":"article-journal","container-title":"Institute of Transportation Studies, University of California","page":"72-77","source":"Google Scholar","title":"Modelling the Choice of Residential Location","author":[{"family":"McFadden","given":"Daniel"}],"issued":{"date-parts":[["1978"]]}},"label":"page"},{"id":29,"uris":["http://zotero.org/users/local/1ztI2Oc6/items/BU3TK25Y","http://zotero.org/users/12832277/items/BU3TK25Y"],"itemData":{"id":29,"type":"article-journal","abstract":"Household location decisions are closely related to other choices of housing, automobile ownership, and mode to work. This paper describes a model that considers these long-run decisions, termed the mobility bundle, as jointly determined, thus eliminating the need for an arbitary set of assumptions about a sequence of choices. The model developed is based on disaggregate choice theory. Each potential location-housing-automobile ownership-mode to work combination is a distinct alternative, of which only one is selected by each house-hold. The basic methodology used is the multinomial logit model. A sample of skilled, single worker households working and residing in the Washington, D.C., metropolitan area in 1968 was used to estimate the model. The variables used to describe each alternative included locational attributes, housing attributes, transportation level of service to work, spatial opportunities for shopping trips, automobile ownership attributes, and the socioeconomic characteristics of the household. Even with the relatively small sample used, a wide range of behavioral effects were measured. It is concluded that models such as the one described here could replace existing model systems used to forecast residential location patterns. The increase in behavioral content such models permit would allow credible work-trip forecasts to be made as a part of land use forecasting.&lt;p /&gt;","container-title":"Transportation Research Record","ISSN":"0361-1981","language":"en","license":"SAGE Publishing, Transportation Research Board, National Research Council, National Academy of Sciences USA","page":"6-11","source":"www.safetylit.org","title":"Location, Housing, Automobile Ownership, and Mode to Work: A Joint Choice Model","title-short":"Location, Housing, Automobile Ownership, and Mode to Work","volume":"610","author":[{"family":"Lerman","given":"Steven R."}],"issued":{"date-parts":[["1976"]]}}}],"schema":"https://github.com/citation-style-language/schema/raw/master/csl-citation.json"} </w:instrText>
      </w:r>
      <w:r w:rsidR="00892A2B" w:rsidRPr="009B2F97">
        <w:fldChar w:fldCharType="separate"/>
      </w:r>
      <w:r w:rsidR="00622946" w:rsidRPr="00622946">
        <w:t>(McFadden, 1978; Lerman, 1976)</w:t>
      </w:r>
      <w:r w:rsidR="00892A2B" w:rsidRPr="009B2F97">
        <w:fldChar w:fldCharType="end"/>
      </w:r>
      <w:r w:rsidR="002C0EFE" w:rsidRPr="009B2F97">
        <w:t>, which, unlike the bid-rent and aggregate gravity models,</w:t>
      </w:r>
      <w:r w:rsidR="002C0EFE" w:rsidRPr="009434FD">
        <w:t xml:space="preserve"> immediately</w:t>
      </w:r>
      <w:r w:rsidR="002C0EFE" w:rsidRPr="009C5F54">
        <w:t xml:space="preserve"> </w:t>
      </w:r>
      <w:r w:rsidR="00C33922" w:rsidRPr="009179E5">
        <w:t xml:space="preserve">and conveniently </w:t>
      </w:r>
      <w:r w:rsidR="002C0EFE" w:rsidRPr="0077513C">
        <w:t xml:space="preserve">facilitates the </w:t>
      </w:r>
      <w:bookmarkStart w:id="1" w:name="_Hlk149920093"/>
      <w:r w:rsidR="002C0EFE" w:rsidRPr="0077513C">
        <w:t xml:space="preserve">consideration of multiple attributes </w:t>
      </w:r>
      <w:r w:rsidR="002C0EFE" w:rsidRPr="009B2F97">
        <w:t>in analyzing the tradeoffs manifested in housing location choice</w:t>
      </w:r>
      <w:r w:rsidR="00064648" w:rsidRPr="009B2F97">
        <w:t xml:space="preserve"> </w:t>
      </w:r>
      <w:bookmarkEnd w:id="1"/>
      <w:r w:rsidR="00064648" w:rsidRPr="009B2F97">
        <w:fldChar w:fldCharType="begin"/>
      </w:r>
      <w:r w:rsidR="000C4AE3">
        <w:instrText xml:space="preserve"> ADDIN ZOTERO_ITEM CSL_CITATION {"citationID":"4pMMNzKM","properties":{"unsorted":true,"formattedCitation":"(Pagliara and Wilson, 2010; Fatmi et al., 2017; Acheampong, 2018)","plainCitation":"(Pagliara and Wilson, 2010; Fatmi et al., 2017; Acheampong, 2018)","dontUpdate":true,"noteIndex":0},"citationItems":[{"id":63,"uris":["http://zotero.org/users/local/1ztI2Oc6/items/UC8I4GZH","http://zotero.org/users/12832277/items/UC8I4GZH"],"itemData":{"id":63,"type":"chapter","abstract":"This chapter provides an overview of the history of modelling residential location choice. Models of residential mobility typically have developed for illuminating the nature of location choice at different territorial scales or as part of an integrated model of land-use and transport. The latter tend to be more comprehensive in nature, though certain other investigations do consider interactions of location choice with other key decisions, such as work location.","collection-title":"Advances in Spatial Science","container-title":"Residential Location Choice: Models and Applications","event-place":"Berlin, Heidelberg","ISBN":"978-3-642-12788-5","language":"en","note":"DOI: 10.1007/978-3-642-12788-5_1","page":"1-20","publisher":"Springer","publisher-place":"Berlin, Heidelberg","source":"Springer Link","title":"The State-of-the-Art in Building Residential Location Models","URL":"https://doi.org/10.1007/978-3-642-12788-5_1","author":[{"family":"Pagliara","given":"Francesca"},{"family":"Wilson","given":"Alan"}],"editor":[{"family":"Pagliara","given":"Francesca"},{"family":"Preston","given":"John"},{"family":"Simmonds","given":"David"}],"accessed":{"date-parts":[["2023",2,10]]},"issued":{"date-parts":[["2010"]]}}},{"id":96,"uris":["http://zotero.org/users/local/1ztI2Oc6/items/6Y98CZ7T","http://zotero.org/users/12832277/items/6Y98CZ7T"],"itemData":{"id":96,"type":"article-journal","abstract":"This paper presents a life history-oriented modeling framework to investigate residential location decisions as a two-tier process of location search and location choice. In the first tier, a stress-based location search model is developed by assuming that households search for a new location due to continual stress at different life-domains. The search model adopts a fuzzy logic-based modeling method that mimics the inter-dependencies between push and pull factors. In the second tier, a location choice model is developed that accommodates how location decisions interact with life-cycle events at different life-domains. The model utilizes a latent segmentation-based logit modeling technique to address the panel effect of the households’ housing career. The model results suggest that households in general show preference for larger lots, and locations closer to work place, transit stop, and health service. Location choice is found to be significantly influenced by the life-cycle events as well as the lead and lagged effects. For example, the birth of a child magnifies the need of larger lots. The life-history effects, however vary across two segments. Suburbanite households in segment two prefer larger lots following a job change; whereas, urbanite households in segment one show a negative relationship. The adjustment period for a job change is longer than that of addition of a new job. A longer adjustment time is also found in the case of the first time vehicle purchase than acquisition of a vehicle. Presence of children influences suburbanite households to reside closer to work place. Urbanite households with children prefer to live closer to school.","container-title":"Transportation Research Part A: Policy and Practice","DOI":"10.1016/j.tra.2017.06.006","ISSN":"0965-8564","language":"en","page":"293-307","source":"ScienceDirect","title":"Life History-Oriented Residential Location Choice Model: A Stress-Based Two-Tier Panel Modeling Approach","title-short":"Life History-Oriented Residential Location Choice Model","volume":"104","author":[{"family":"Fatmi","given":"Mahmudur Rahman"},{"family":"Chowdhury","given":"Subeh"},{"family":"Habib","given":"Muhammad Ahsanul"}],"issued":{"date-parts":[["2017",10,1]]}}},{"id":94,"uris":["http://zotero.org/users/local/1ztI2Oc6/items/8GAPFCR2","http://zotero.org/users/12832277/items/8GAPFCR2"],"itemData":{"id":94,"type":"article-journal","abstract":"Residential and job location decisions have lasting impacts on the emergent structure of cities, which in turn, determines travel patterns, energy use and travel-related greenhouse gas emissions. The ability to understand and predict these choice processes are therefore crucial to long-term sustainable urban land use and transport strategies. Understanding housing-job location choice processes requires unpacking the interplay among heterogeneous attributes of decision-makers on the one hand, and various location-defining attributes observable at multiple spatial scales on the other hand. Also, to better understand the interdependence between these location choice sets, empirical examination of how the home and work locations respond to each other over time is necessary. This study responds to these empirical imperatives by exploring residential-job location choice behaviour of households and individuals in a metropolitan context in Ghana, West Africa. The study utilizes data from a cross-sectional survey of 665 households and their 1158 individual workers in the Kumasi metropolis, Ghana’s second largest metropolis. Results show variations in preferences among households and individuals for macro-scale location-defining factors as well as discrete spatial choice alternatives specified as urban-zones, dwelling types and tenancy arrangements. Retrospective analysis of the residential-job choice interdependence shows that in most cases, residential location decisions are taken first, implying a sequential choice process where job location decisions are subsequently anchored on the initial home locations. Besides the in-depth empirical contributions, the paper outlines how the findings could ultimately inform the development of planning support systems to integrate location choice into sustainable urban development and transport management policies.","container-title":"Land Use Policy","DOI":"10.1016/j.landusepol.2018.07.007","ISSN":"0264-8377","language":"en","page":"397-409","source":"ScienceDirect","title":"Towards Incorporating Location Choice into Integrated Land Use and Transport Planning and Policy: A Multi-Scale Analysis of Residential and Job Location Choice Behaviour","title-short":"Towards Incorporating Location Choice into Integrated Land Use and Transport Planning and Policy","volume":"78","author":[{"family":"Acheampong","given":"Ransford A."}],"issued":{"date-parts":[["2018",11,1]]}}}],"schema":"https://github.com/citation-style-language/schema/raw/master/csl-citation.json"} </w:instrText>
      </w:r>
      <w:r w:rsidR="00064648" w:rsidRPr="009B2F97">
        <w:fldChar w:fldCharType="separate"/>
      </w:r>
      <w:r w:rsidR="004453A0" w:rsidRPr="004453A0">
        <w:t>(</w:t>
      </w:r>
      <w:r w:rsidR="004453A0">
        <w:t xml:space="preserve">see, for example, </w:t>
      </w:r>
      <w:r w:rsidR="004453A0" w:rsidRPr="004453A0">
        <w:t>Pagliara and Wilson, 2010; Fatmi et al., 2017; Acheampong, 2018)</w:t>
      </w:r>
      <w:r w:rsidR="00064648" w:rsidRPr="009B2F97">
        <w:fldChar w:fldCharType="end"/>
      </w:r>
      <w:r w:rsidR="0016164B" w:rsidRPr="009B2F97">
        <w:t xml:space="preserve">. </w:t>
      </w:r>
    </w:p>
    <w:p w14:paraId="5D463771" w14:textId="6E1D89E7" w:rsidR="00D93464" w:rsidRDefault="00C33922" w:rsidP="006F37E3">
      <w:pPr>
        <w:pStyle w:val="Default"/>
        <w:ind w:firstLine="720"/>
        <w:jc w:val="both"/>
        <w:rPr>
          <w:rFonts w:ascii="Times New Roman" w:hAnsi="Times New Roman" w:cs="Times New Roman"/>
        </w:rPr>
      </w:pPr>
      <w:r w:rsidRPr="00267585">
        <w:rPr>
          <w:rFonts w:ascii="Times New Roman" w:hAnsi="Times New Roman" w:cs="Times New Roman"/>
        </w:rPr>
        <w:t>T</w:t>
      </w:r>
      <w:r w:rsidR="00A30E3C" w:rsidRPr="00267585">
        <w:rPr>
          <w:rFonts w:ascii="Times New Roman" w:hAnsi="Times New Roman" w:cs="Times New Roman"/>
        </w:rPr>
        <w:t xml:space="preserve">he discrete choice </w:t>
      </w:r>
      <w:r w:rsidRPr="00267585">
        <w:rPr>
          <w:rFonts w:ascii="Times New Roman" w:hAnsi="Times New Roman" w:cs="Times New Roman"/>
        </w:rPr>
        <w:t xml:space="preserve">approach to housing location choice has typically used a zone-level spatial unit or a parcel-level spatial unit for the analysis. The </w:t>
      </w:r>
      <w:r w:rsidRPr="005C1EF8">
        <w:rPr>
          <w:rFonts w:ascii="Times New Roman" w:hAnsi="Times New Roman" w:cs="Times New Roman"/>
          <w:u w:val="single"/>
        </w:rPr>
        <w:t>zone-</w:t>
      </w:r>
      <w:r w:rsidR="00005B41" w:rsidRPr="005C1EF8">
        <w:rPr>
          <w:rFonts w:ascii="Times New Roman" w:hAnsi="Times New Roman" w:cs="Times New Roman"/>
          <w:u w:val="single"/>
        </w:rPr>
        <w:t>level</w:t>
      </w:r>
      <w:r w:rsidRPr="005C1EF8">
        <w:rPr>
          <w:rFonts w:ascii="Times New Roman" w:hAnsi="Times New Roman" w:cs="Times New Roman"/>
        </w:rPr>
        <w:t xml:space="preserve"> studies </w:t>
      </w:r>
      <w:r w:rsidRPr="009B2F97">
        <w:rPr>
          <w:rFonts w:ascii="Times New Roman" w:hAnsi="Times New Roman" w:cs="Times New Roman"/>
        </w:rPr>
        <w:t>focus on households’ choice of the spatial zone</w:t>
      </w:r>
      <w:r w:rsidRPr="009434FD">
        <w:rPr>
          <w:rFonts w:ascii="Times New Roman" w:hAnsi="Times New Roman" w:cs="Times New Roman"/>
        </w:rPr>
        <w:t xml:space="preserve"> as a function of zone characteristics (such as </w:t>
      </w:r>
      <w:r w:rsidRPr="009C5F54">
        <w:rPr>
          <w:rFonts w:ascii="Times New Roman" w:hAnsi="Times New Roman" w:cs="Times New Roman"/>
        </w:rPr>
        <w:t>zone-based accessibility measures to pursue out-of-home activities, crime rates, quality of s</w:t>
      </w:r>
      <w:r w:rsidRPr="009B2F97">
        <w:rPr>
          <w:rFonts w:ascii="Times New Roman" w:hAnsi="Times New Roman" w:cs="Times New Roman"/>
        </w:rPr>
        <w:t xml:space="preserve">chools in the zone, commute times of workers in the household, zonal race and income distributions relative to household’s race and income, respectively) and interactions of  household characteristics with the zonal  characteristics </w:t>
      </w:r>
      <w:r w:rsidR="007246B0">
        <w:fldChar w:fldCharType="begin"/>
      </w:r>
      <w:r w:rsidR="000C4AE3">
        <w:rPr>
          <w:rFonts w:ascii="Times New Roman" w:hAnsi="Times New Roman" w:cs="Times New Roman"/>
        </w:rPr>
        <w:instrText xml:space="preserve"> ADDIN ZOTERO_ITEM CSL_CITATION {"citationID":"rvuzoDBr","properties":{"unsorted":true,"formattedCitation":"(Bhat and Guo, 2007; Pinjari et al., 2011; Jin and Lee, 2018; Hu and Wang, 2019)","plainCitation":"(Bhat and Guo, 2007; Pinjari et al., 2011; Jin and Lee, 2018; Hu and Wang, 2019)","dontUpdate":true,"noteIndex":0},"citationItems":[{"id":44,"uris":["http://zotero.org/users/local/1ztI2Oc6/items/9DL3Y3QX","http://zotero.org/users/12832277/items/9DL3Y3QX"],"itemData":{"id":44,"type":"article-journal","abstract":"There has been an increasing interest in the land use-transportation connection in the past decade, motivated by the possibility that design policies associated with the built environment can be used to control, manage, and shape individual traveler behavior and aggregate travel demand. In this line of research and application pursuit, it is critical to understand whether the empirically observed association between the built environment and travel behavior-related variables is a true reflection of underlying causality or simply a spurious correlation attributable to the intervening relationship between the built environment and the characteristics of people who choose to live in particular built environments. In this research paper, we identify the research designs and methodologies that may be used to test the presence of “true” causality versus residential sorting-based “spurious” associations in the land-use transportation connection. The paper then develops a methodological formulation to control for residential sorting effects in the analysis of the effect of built environment attributes on travel behavior-related choices. The formulation is applied to comprehensively examine the impact of the built environment, transportation network attributes, and demographic characteristics on residential choice and car ownership decisions. The model formulation takes the form of a joint mixed multinomial logit-ordered response structure that (a) accommodates differential sensitivity to the built environment and transportation network variables due to both demographic and unobserved household attributes and (b) controls for the self-selection of individuals into neighborhoods based on car ownership preferences stemming from both demographic characteristics and unobserved household factors. The analysis in the paper represents, to our knowledge, the first instance of the formulation and application of a unified mixed multinomial logit-ordered response structure in the econometric literature. The empirical analysis in the paper is based on the residential choice and car ownership decisions of San Francisco Bay area residents.","container-title":"Transportation Research Part B: Methodological","DOI":"10.1016/j.trb.2005.12.005","ISSN":"0191-2615","language":"en","page":"506-526","source":"ScienceDirect","title":"A Comprehensive Analysis of Built Environment Characteristics on Household Residential Choice and Auto Ownership Levels","volume":"41","author":[{"family":"Bhat","given":"Chandra R."},{"family":"Guo","given":"Jessica Y."}],"issued":{"date-parts":[["2007",6,1]]}}},{"id":312,"uris":["http://zotero.org/users/local/1ztI2Oc6/items/BEJC5RSR","http://zotero.org/users/12832277/items/BEJC5RSR"],"itemData":{"id":312,"type":"article-journal","abstract":"The integrated modeling of land use and transportation choices involves analyzing a continuum of choices that characterize people’s lifestyles across temporal scales. This includes long-term choices such as residential and work location choices that affect land-use, medium-term choices such as vehicle ownership, and short-term choices such as travel mode choice that affect travel demand. Prior research in this area has been limited by the complexities associated with the development of integrated model systems that combine the long-, medium- and short-term choices into a unified analytical framework. This paper presents an integrated simultaneous multi-dimensional choice model of residential location, auto ownership, bicycle ownership, and commute tour mode choices using a mixed multidimensional choice modeling methodology. Model estimation results using the San Francisco Bay Area highlight a series of interdependencies among the multi-dimensional choice processes. The interdependencies include: (1) self-selection effects due to observed and unobserved factors, where households locate based on lifestyle and mobility preferences, (2) endogeneity effects, where any one choice dimension is not exogenous to another, but is endogenous to the system as a whole, (3) correlated error structures, where common unobserved factors significantly and simultaneously impact multiple choice dimensions, and (4) unobserved heterogeneity, where decision-makers show significant variation in sensitivity to explanatory variables due to unobserved factors. From a policy standpoint, to be able to forecast the “true” causal influence of activity-travel environment changes on residential location, auto/bicycle ownership, and commute mode choices, it is necessary to capture the above-identified interdependencies by jointly modeling the multiple choice dimensions in an integrated framework.","container-title":"Transportation","DOI":"10.1007/s11116-011-9360-y","ISSN":"1572-9435","issue":"6","language":"en","page":"933-958","source":"Springer Link","title":"Modeling the Choice Continuum: An Integrated Model of Residential Location, Auto Ownership, Bicycle Ownership, and Commute Tour Mode Choice Decisions","volume":"38","author":[{"family":"Pinjari","given":"Abdul Rawoof"},{"family":"Pendyala","given":"Ram M."},{"family":"Bhat","given":"Chandra R."},{"family":"Waddell","given":"Paul A."}],"issued":{"date-parts":[["2011",11,1]]}}},{"id":783,"uris":["http://zotero.org/users/local/1ztI2Oc6/items/CIH9HWCI","http://zotero.org/users/12832277/items/CIH9HWCI"],"itemData":{"id":783,"type":"article-journal","abstract":"The residential location choice model is an effective tool to analyze the actual household demand for housing and better living environments, and many researchers have developed various residential location choice models. In this study, a residential location choice model using a discrete choice modelling framework within UrbanSim is applied to Suwon, Korea with the following aims: (1) to investigate factors affecting residential location choice in Suwon, (2) to forecast changes in household residential locations, and (3) to derive policy implications for the local housing market. An extensive database of parcels, households, jobs, land prices, and transportation networks is geocoded on the basis of grid cells that measure 150 × 150 metres. The estimation results show that access to employment opportunities, the ratio of housing cost to income, mixed land use, and the year that housing was built are important factors in determining household residential locations in Suwon. In addition, different age and income groups have different residential location preferences. UrbanSim, a highly disaggregated microsimulation model, is employed to forecast changes in household residential locations using the estimation results of the residential location choice model. These suggest that different income groups show different migration patterns.","container-title":"International Journal of Urban Sciences","DOI":"10.1080/12265934.2017.1336469","ISSN":"1226-5934","issue":"2","note":"publisher: Routledge\n_eprint: https://doi.org/10.1080/12265934.2017.1336469","page":"216-235","source":"Taylor and Francis+NEJM","title":"Understanding Residential Location Choices: An Application of the UrbanSim Residential Location Model on Suwon, Korea","title-short":"Understanding Residential Location Choices","volume":"22","author":[{"family":"Jin","given":"Jangik"},{"family":"Lee","given":"Hee-Yeon"}],"issued":{"date-parts":[["2018",4,3]]}}},{"id":781,"uris":["http://zotero.org/users/local/1ztI2Oc6/items/3T6T9RVM","http://zotero.org/users/12832277/items/3T6T9RVM"],"itemData":{"id":781,"type":"article-journal","abstract":"This research investigates whether access to jobs affects poor households’ residential location choices using data from individual households in the Chicago Metropolitan Area. Our results, based on discrete choice models, show that the effects of job accessibility on household location choices are contingent upon households’ automobile ownership and employment status. Places with higher job accessibility by public transit mode are more likely to attract poor households that do not own cars but have at least one employed worker or one labour force participant, while job accessibility by automobile travel mode has no positive effect on the location choices of poor households who own automobiles. The results stress the importance of job accessibility for those poor households with limited transportation mobility but strong needs for access to jobs.","container-title":"Housing Studies","DOI":"10.1080/02673037.2017.1364354","ISSN":"0267-3037","issue":"10","note":"publisher: Routledge\n_eprint: https://doi.org/10.1080/02673037.2017.1364354","page":"1721-1745","source":"Taylor and Francis+NEJM","title":"Housing Location Choices of the Poor: Does Access to Jobs Matter?","title-short":"Housing Location Choices of the Poor","volume":"34","author":[{"family":"Hu","given":"Lingqian"},{"family":"Wang","given":"Liming"}],"issued":{"date-parts":[["2019",11,26]]}}}],"schema":"https://github.com/citation-style-language/schema/raw/master/csl-citation.json"} </w:instrText>
      </w:r>
      <w:r w:rsidR="007246B0">
        <w:fldChar w:fldCharType="separate"/>
      </w:r>
      <w:r w:rsidR="007246B0" w:rsidRPr="007246B0">
        <w:rPr>
          <w:rFonts w:ascii="Times New Roman" w:hAnsi="Times New Roman" w:cs="Times New Roman"/>
        </w:rPr>
        <w:t>(</w:t>
      </w:r>
      <w:r w:rsidR="007246B0">
        <w:rPr>
          <w:rFonts w:ascii="Times New Roman" w:hAnsi="Times New Roman" w:cs="Times New Roman"/>
        </w:rPr>
        <w:t xml:space="preserve">see, for example, </w:t>
      </w:r>
      <w:r w:rsidR="007246B0" w:rsidRPr="007246B0">
        <w:rPr>
          <w:rFonts w:ascii="Times New Roman" w:hAnsi="Times New Roman" w:cs="Times New Roman"/>
        </w:rPr>
        <w:t>Bhat and Guo, 2007; Pinjari et al., 2011; Jin and Lee, 2018; Hu and Wang, 2019)</w:t>
      </w:r>
      <w:r w:rsidR="007246B0">
        <w:fldChar w:fldCharType="end"/>
      </w:r>
      <w:r w:rsidRPr="009B2F97">
        <w:rPr>
          <w:rFonts w:ascii="Times New Roman" w:hAnsi="Times New Roman" w:cs="Times New Roman"/>
        </w:rPr>
        <w:t>.</w:t>
      </w:r>
      <w:r w:rsidR="00E1518A">
        <w:rPr>
          <w:rFonts w:ascii="Times New Roman" w:hAnsi="Times New Roman" w:cs="Times New Roman"/>
        </w:rPr>
        <w:t xml:space="preserve"> Unfortunately</w:t>
      </w:r>
      <w:r w:rsidRPr="009B2F97">
        <w:rPr>
          <w:rFonts w:ascii="Times New Roman" w:hAnsi="Times New Roman" w:cs="Times New Roman"/>
        </w:rPr>
        <w:t>, the zonal level of analysis is saddled with the Modifiable Areal Unit Problem (MAUP</w:t>
      </w:r>
      <w:r w:rsidR="007246B0" w:rsidRPr="009B2F97">
        <w:rPr>
          <w:rFonts w:ascii="Times New Roman" w:hAnsi="Times New Roman" w:cs="Times New Roman"/>
        </w:rPr>
        <w:t>) because</w:t>
      </w:r>
      <w:r w:rsidRPr="009B2F97">
        <w:rPr>
          <w:rFonts w:ascii="Times New Roman" w:hAnsi="Times New Roman" w:cs="Times New Roman"/>
        </w:rPr>
        <w:t xml:space="preserve"> the modeling results are a function of how space is partitioned into zones </w:t>
      </w:r>
      <w:r w:rsidR="007246B0">
        <w:fldChar w:fldCharType="begin"/>
      </w:r>
      <w:r w:rsidR="000C4AE3">
        <w:rPr>
          <w:rFonts w:ascii="Times New Roman" w:hAnsi="Times New Roman" w:cs="Times New Roman"/>
        </w:rPr>
        <w:instrText xml:space="preserve"> ADDIN ZOTERO_ITEM CSL_CITATION {"citationID":"Kuqo85X1","properties":{"unsorted":true,"formattedCitation":"(Openshaw, 1978; Bhat and Guo, 2004)","plainCitation":"(Openshaw, 1978; Bhat and Guo, 2004)","noteIndex":0},"citationItems":[{"id":785,"uris":["http://zotero.org/users/local/1ztI2Oc6/items/BD4PZAQZ","http://zotero.org/users/12832277/items/BD4PZAQZ"],"itemData":{"id":785,"type":"article-journal","container-title":"Environment and Planning A: Economy and Space","issue":"7","note":"publisher: SAGE Publications Sage UK: London, England","page":"781–794","source":"Google Scholar","title":"An Empirical Study of Some Zone-Design Criteria","volume":"10","author":[{"family":"Openshaw","given":"Stan"}],"issued":{"date-parts":[["1978"]]}}},{"id":787,"uris":["http://zotero.org/users/local/1ztI2Oc6/items/XQ6MMQQM","http://zotero.org/users/12832277/items/XQ6MMQQM"],"itemData":{"id":787,"type":"article-journal","abstract":"In recent years, there have been important developments in the simulation analysis of the mixed multinomial logit model as well as in the formulation of increasingly flexible closed-form models belonging to the generalized extreme value class. In this paper, we bring these developments together to propose a mixed spatially correlated logit (MSCL) model for location-related choices. The MSCL model represents a powerful approach to capture both random taste variations as well as spatial correlation in location choice analysis. The MSCL model is applied to an analysis of residential location choice using data drawn from the 1996 Dallas–Fort Worth household survey. The empirical results underscore the need to capture unobserved taste variations and spatial correlation, both for improved data fit and the realistic assessment of the effect of sociodemographic, transportation system, and land-use changes on residential location choice.","container-title":"Transportation Research Part B: Methodological","DOI":"10.1016/S0191-2615(03)00005-5","ISSN":"0191-2615","issue":"2","language":"en","page":"147-168","source":"ScienceDirect","title":"A Mixed Spatially Correlated Logit Model: Formulation and Application to Residential Choice Modeling","title-short":"A Mixed Spatially Correlated Logit Model","volume":"38","author":[{"family":"Bhat","given":"Chandra R."},{"family":"Guo","given":"Jessica"}],"issued":{"date-parts":[["2004",2,1]]}}}],"schema":"https://github.com/citation-style-language/schema/raw/master/csl-citation.json"} </w:instrText>
      </w:r>
      <w:r w:rsidR="007246B0">
        <w:fldChar w:fldCharType="separate"/>
      </w:r>
      <w:r w:rsidR="007246B0" w:rsidRPr="007246B0">
        <w:rPr>
          <w:rFonts w:ascii="Times New Roman" w:hAnsi="Times New Roman" w:cs="Times New Roman"/>
        </w:rPr>
        <w:t>(Openshaw, 1978; Bhat and Guo, 2004)</w:t>
      </w:r>
      <w:r w:rsidR="007246B0">
        <w:fldChar w:fldCharType="end"/>
      </w:r>
      <w:r w:rsidRPr="009B2F97">
        <w:rPr>
          <w:rFonts w:ascii="Times New Roman" w:hAnsi="Times New Roman" w:cs="Times New Roman"/>
        </w:rPr>
        <w:t xml:space="preserve">. </w:t>
      </w:r>
      <w:r w:rsidR="00005B41" w:rsidRPr="009B2F97">
        <w:rPr>
          <w:rFonts w:ascii="Times New Roman" w:hAnsi="Times New Roman" w:cs="Times New Roman"/>
        </w:rPr>
        <w:t xml:space="preserve">The </w:t>
      </w:r>
      <w:r w:rsidR="00005B41" w:rsidRPr="005C1EF8">
        <w:rPr>
          <w:rFonts w:ascii="Times New Roman" w:hAnsi="Times New Roman" w:cs="Times New Roman"/>
          <w:u w:val="single"/>
        </w:rPr>
        <w:t>parcel-level</w:t>
      </w:r>
      <w:r w:rsidR="00005B41" w:rsidRPr="009B2F97">
        <w:rPr>
          <w:rFonts w:ascii="Times New Roman" w:hAnsi="Times New Roman" w:cs="Times New Roman"/>
        </w:rPr>
        <w:t xml:space="preserve"> studies </w:t>
      </w:r>
      <w:r w:rsidR="008A0C7A" w:rsidRPr="009B2F97">
        <w:rPr>
          <w:rFonts w:ascii="Times New Roman" w:hAnsi="Times New Roman" w:cs="Times New Roman"/>
        </w:rPr>
        <w:t xml:space="preserve">use </w:t>
      </w:r>
      <w:r w:rsidR="00005B41" w:rsidRPr="009B2F97">
        <w:rPr>
          <w:rFonts w:ascii="Times New Roman" w:hAnsi="Times New Roman" w:cs="Times New Roman"/>
        </w:rPr>
        <w:t>a specific parcel of land or a building</w:t>
      </w:r>
      <w:r w:rsidR="008A0C7A" w:rsidRPr="009B2F97">
        <w:rPr>
          <w:rFonts w:ascii="Times New Roman" w:hAnsi="Times New Roman" w:cs="Times New Roman"/>
        </w:rPr>
        <w:t xml:space="preserve"> as the analysis unit</w:t>
      </w:r>
      <w:r w:rsidR="00005B41" w:rsidRPr="009B2F97">
        <w:rPr>
          <w:rFonts w:ascii="Times New Roman" w:hAnsi="Times New Roman" w:cs="Times New Roman"/>
        </w:rPr>
        <w:t xml:space="preserve">, thus </w:t>
      </w:r>
      <w:r w:rsidR="008A0C7A" w:rsidRPr="009B2F97">
        <w:rPr>
          <w:rFonts w:ascii="Times New Roman" w:hAnsi="Times New Roman" w:cs="Times New Roman"/>
        </w:rPr>
        <w:t>resolving</w:t>
      </w:r>
      <w:r w:rsidR="00005B41" w:rsidRPr="009B2F97">
        <w:rPr>
          <w:rFonts w:ascii="Times New Roman" w:hAnsi="Times New Roman" w:cs="Times New Roman"/>
        </w:rPr>
        <w:t xml:space="preserve"> the MAUP problem of the zone-level studies. Individual parcel-level characteristics (such as square footage of the parcel and topography of the parcel) can also be used along with broader zone-level (or other spatial-level) </w:t>
      </w:r>
      <w:r w:rsidR="00005B41" w:rsidRPr="007246B0">
        <w:rPr>
          <w:rFonts w:ascii="Times New Roman" w:hAnsi="Times New Roman" w:cs="Times New Roman"/>
        </w:rPr>
        <w:t>characteristics</w:t>
      </w:r>
      <w:r w:rsidR="007246B0" w:rsidRPr="007246B0">
        <w:rPr>
          <w:rFonts w:ascii="Times New Roman" w:hAnsi="Times New Roman" w:cs="Times New Roman"/>
        </w:rPr>
        <w:t xml:space="preserve"> </w:t>
      </w:r>
      <w:r w:rsidR="007246B0" w:rsidRPr="007246B0">
        <w:fldChar w:fldCharType="begin"/>
      </w:r>
      <w:r w:rsidR="000C4AE3">
        <w:rPr>
          <w:rFonts w:ascii="Times New Roman" w:hAnsi="Times New Roman" w:cs="Times New Roman"/>
        </w:rPr>
        <w:instrText xml:space="preserve"> ADDIN ZOTERO_ITEM CSL_CITATION {"citationID":"2U9IrIPh","properties":{"formattedCitation":"(Lee et al., 2010; Lee and Waddell, 2010; Marois et al., 2019)","plainCitation":"(Lee et al., 2010; Lee and Waddell, 2010; Marois et al., 2019)","dontUpdate":true,"noteIndex":0},"citationItems":[{"id":357,"uris":["http://zotero.org/users/local/1ztI2Oc6/items/N34VWRSN","http://zotero.org/users/12832277/items/N34VWRSN"],"itemData":{"id":357,"type":"article-journal","abstract":"The concept of accessibility has long been theorized as a principal determinant of residential choice behavior. Research on this influence is extensive but the empirical results have been mixed, with some research suggesting that accessibility is becoming a relatively insignificant influence on housing choices. Further, the measurement of accessibility must contend with complications arising from the increasing prevalence of trip chains, nonwork activities, and multiworker households, and also reconcile person-specific travel needs with household residential decisions. With this paper we contribute to the literature by addressing the gap framed by these issues and present a novel residential choice model with three main elements of innovation. First, we operationalize a time?space prism (TSP) accessibility measure, which we believe to be the first application of its kind in a residential choice model. Second, we represent the choice sets in a building-level framework?the lowest level of spatial disaggregation available for modeling residential choices. Third, we explicitly examine the influence of nonwork accessibility at both the local and the person level. This residential choice model is applied in the central Puget Sound region using a 2006 household activity survey. The model estimation results confirm that accessibility remains an important influence, with individual-specific work accessibility as the most critical consideration. By using the TSP approach we establish that nonwork accessibility in a trip-chaining context does contribute to the residential choice decision, even after accounting for work accessibility. Empirical tests also reveal a useful aggregation method to incorporate individual-specific accessibility measures into a household-level choice model.","container-title":"Environment and Planning A: Economy and Space","DOI":"10.1068/a4291","ISSN":"0308-518X","issue":"4","journalAbbreviation":"Environ Plan A","note":"publisher: SAGE Publications Ltd","page":"913-930","source":"SAGE Journals","title":"Reexamining the Influence of Work and Nonwork Accessibility on Residential Location Choices with a Microanalytic Framework","volume":"42","author":[{"family":"Lee","given":"Brian H Y"},{"family":"Waddell","given":"Paul"},{"family":"Wang","given":"Liming"},{"family":"Pendyala","given":"Ram M"}],"issued":{"date-parts":[["2010",4,1]]}}},{"id":51,"uris":["http://zotero.org/users/local/1ztI2Oc6/items/BN79DDKC","http://zotero.org/users/12832277/items/BN79DDKC"],"itemData":{"id":51,"type":"article-journal","abstract":"Residential mobility and relocation choice are essential parts of integrated transportation and land use models. These decision processes have been examined and modeled individually to a great extent but there remain gaps in the literature on the underlying behaviors that connect them. Households may partly base their decision to move from or stay at a current location on the price and quality of the available alternatives. Conversely, households that are on the market for a new location may evaluate housing choices relative to their previous residence. How and the degree to which these decisions relate to each other are, however, not completely understood. This research is intended to contribute to the body of empirical evidence that will help answer these questions. It is hypothesized that residential mobility and location choice are related household decisions that can be modeled together using a two-tier hierarchical structure. This paper presents a novel nested logit (NL) model with sampling of alternatives and a proposed procedure for sampling bias correction. The model was estimated using full-information maximum likelihood estimation methods. The results confirm the applicability of this NL model and support similar findings from other empirical studies in the residential mobility and location choice literature.","container-title":"Transportation","DOI":"10.1007/s11116-010-9270-4","ISSN":"1572-9435","issue":"4","language":"en","page":"587-601","source":"Springer Link","title":"Residential Mobility and Location Choice: A Nested Logit Model with Sampling of Alternatives","title-short":"Residential Mobility and Location Choice","volume":"37","author":[{"family":"Lee","given":"Brian H. Y."},{"family":"Waddell","given":"Paul"}],"issued":{"date-parts":[["2010",7,1]]}}},{"id":797,"uris":["http://zotero.org/users/local/1ztI2Oc6/items/2EM5XRS2","http://zotero.org/users/12832277/items/2EM5XRS2"],"itemData":{"id":797,"type":"article-journal","abstract":"The residential choices of seniors are an important issue to be considered in both social sciences and in urban planning. In this study, we aimed to analyze how the young-elderly in the Montreal metropolitan area deal with the duality opposing a dwelling's characteristics with those of the neighborhood in their residential choices. Therefore, those who move need to make choices within the constraints of both dwelling and neighborhood characteristics. We employed a statistical approach combining both dwelling and neighborhood characteristics from the 2011 National Household Survey (2011 NHS) and geospatial data, first in separate models and then in a joint model. Our results revealed that the general characteristics of an ideal home of retirees are 3 to 4 rooms, a high-rise building, and a low-density neighborhood. We noted that the geographical location of the previous dwelling is an important determinant of the geographical location of the new one, suggesting a strong territorial attachment among the young-elderly. By stratifying the model with the income quintile, we noted that choices varied widely according to the socioeconomic profile. Thus, for the lower-class of young-elderly, housing costs are a predominant factor, while condos are the preferred housing tenure of the upper class, who also sought to live in a wealthy neighborhood. This segregation dynamic may lead to territorial segmentation, where the upper class seeks to live apart from the rest of the population.","container-title":"Journal of Housing Economics","DOI":"10.1016/j.jhe.2018.08.004","ISSN":"1051-1377","language":"en","page":"141-149","source":"ScienceDirect","title":"A Mixed Logit Model Analysis of Residential Choices of the Young-Elderly in the Montreal Metropolitan Area","volume":"44","author":[{"family":"Marois","given":"Guillaume"},{"family":"Lord","given":"Sébastien"},{"family":"Morency","given":"Catherine"}],"issued":{"date-parts":[["2019",6,1]]}}}],"schema":"https://github.com/citation-style-language/schema/raw/master/csl-citation.json"} </w:instrText>
      </w:r>
      <w:r w:rsidR="007246B0" w:rsidRPr="007246B0">
        <w:fldChar w:fldCharType="separate"/>
      </w:r>
      <w:r w:rsidR="007246B0" w:rsidRPr="007246B0">
        <w:rPr>
          <w:rFonts w:ascii="Times New Roman" w:hAnsi="Times New Roman" w:cs="Times New Roman"/>
        </w:rPr>
        <w:t>(see, for example, Lee et al., 2010; Lee and Waddell, 2010; Marois et al., 2019)</w:t>
      </w:r>
      <w:r w:rsidR="007246B0" w:rsidRPr="007246B0">
        <w:fldChar w:fldCharType="end"/>
      </w:r>
      <w:r w:rsidR="00005B41" w:rsidRPr="007246B0">
        <w:rPr>
          <w:rFonts w:ascii="Times New Roman" w:hAnsi="Times New Roman" w:cs="Times New Roman"/>
        </w:rPr>
        <w:t>.  The problem with parcel-based models</w:t>
      </w:r>
      <w:r w:rsidR="008A0C7A" w:rsidRPr="007246B0">
        <w:rPr>
          <w:rFonts w:ascii="Times New Roman" w:hAnsi="Times New Roman" w:cs="Times New Roman"/>
        </w:rPr>
        <w:t>, however,</w:t>
      </w:r>
      <w:r w:rsidR="00005B41" w:rsidRPr="007246B0">
        <w:rPr>
          <w:rFonts w:ascii="Times New Roman" w:hAnsi="Times New Roman" w:cs="Times New Roman"/>
        </w:rPr>
        <w:t xml:space="preserve"> is that, </w:t>
      </w:r>
      <w:r w:rsidR="007300BE">
        <w:rPr>
          <w:rFonts w:ascii="Times New Roman" w:hAnsi="Times New Roman" w:cs="Times New Roman"/>
        </w:rPr>
        <w:t>similar to</w:t>
      </w:r>
      <w:r w:rsidR="00005B41" w:rsidRPr="007246B0">
        <w:rPr>
          <w:rFonts w:ascii="Times New Roman" w:hAnsi="Times New Roman" w:cs="Times New Roman"/>
        </w:rPr>
        <w:t xml:space="preserve"> the zone-based models, they </w:t>
      </w:r>
      <w:r w:rsidR="00005B41" w:rsidRPr="007246B0">
        <w:rPr>
          <w:rFonts w:ascii="Times New Roman" w:hAnsi="Times New Roman" w:cs="Times New Roman"/>
        </w:rPr>
        <w:lastRenderedPageBreak/>
        <w:t>do not</w:t>
      </w:r>
      <w:r w:rsidR="00005B41" w:rsidRPr="009B2F97">
        <w:rPr>
          <w:rFonts w:ascii="Times New Roman" w:hAnsi="Times New Roman" w:cs="Times New Roman"/>
        </w:rPr>
        <w:t xml:space="preserve"> consider dwelling unit attributes. Besides, parcel-based models share the same “high number of alternatives” problem as dwelling unit-level models, as discussed next.</w:t>
      </w:r>
    </w:p>
    <w:p w14:paraId="5D742832" w14:textId="77777777" w:rsidR="00753E6A" w:rsidRPr="009B2F97" w:rsidRDefault="00753E6A" w:rsidP="006F37E3">
      <w:pPr>
        <w:pStyle w:val="Default"/>
        <w:ind w:firstLine="720"/>
        <w:jc w:val="both"/>
        <w:rPr>
          <w:rFonts w:ascii="Times New Roman" w:hAnsi="Times New Roman" w:cs="Times New Roman"/>
        </w:rPr>
      </w:pPr>
    </w:p>
    <w:p w14:paraId="05015B71" w14:textId="0684CD76" w:rsidR="00005B41" w:rsidRPr="00975A78" w:rsidRDefault="00F86845" w:rsidP="006F37E3">
      <w:pPr>
        <w:pStyle w:val="Default"/>
        <w:jc w:val="both"/>
        <w:rPr>
          <w:rFonts w:ascii="Times New Roman" w:hAnsi="Times New Roman" w:cs="Times New Roman"/>
          <w:b/>
          <w:bCs/>
        </w:rPr>
      </w:pPr>
      <w:r w:rsidRPr="00975A78">
        <w:rPr>
          <w:rFonts w:ascii="Times New Roman" w:hAnsi="Times New Roman" w:cs="Times New Roman"/>
          <w:b/>
          <w:bCs/>
        </w:rPr>
        <w:t xml:space="preserve">2.2. </w:t>
      </w:r>
      <w:r w:rsidR="00DE5969" w:rsidRPr="00975A78">
        <w:rPr>
          <w:rFonts w:ascii="Times New Roman" w:hAnsi="Times New Roman" w:cs="Times New Roman"/>
          <w:b/>
          <w:bCs/>
        </w:rPr>
        <w:t xml:space="preserve">Methodological Challenges when considering </w:t>
      </w:r>
      <w:r w:rsidR="00D93464" w:rsidRPr="00975A78">
        <w:rPr>
          <w:rFonts w:ascii="Times New Roman" w:hAnsi="Times New Roman" w:cs="Times New Roman"/>
          <w:b/>
          <w:bCs/>
        </w:rPr>
        <w:t xml:space="preserve">Non-Location </w:t>
      </w:r>
      <w:r w:rsidR="00DE5969" w:rsidRPr="00975A78">
        <w:rPr>
          <w:rFonts w:ascii="Times New Roman" w:hAnsi="Times New Roman" w:cs="Times New Roman"/>
          <w:b/>
          <w:bCs/>
        </w:rPr>
        <w:t xml:space="preserve">and Location </w:t>
      </w:r>
      <w:r w:rsidR="00D93464" w:rsidRPr="00975A78">
        <w:rPr>
          <w:rFonts w:ascii="Times New Roman" w:hAnsi="Times New Roman" w:cs="Times New Roman"/>
          <w:b/>
          <w:bCs/>
        </w:rPr>
        <w:t>Attributes</w:t>
      </w:r>
    </w:p>
    <w:p w14:paraId="643DCE1F" w14:textId="3EBDB38C" w:rsidR="000C4B35" w:rsidRDefault="00366EEB" w:rsidP="006F37E3">
      <w:pPr>
        <w:autoSpaceDE w:val="0"/>
        <w:autoSpaceDN w:val="0"/>
        <w:adjustRightInd w:val="0"/>
        <w:spacing w:after="0" w:line="240" w:lineRule="auto"/>
        <w:jc w:val="both"/>
      </w:pPr>
      <w:r w:rsidRPr="009B2F97">
        <w:t xml:space="preserve">The </w:t>
      </w:r>
      <w:r w:rsidR="00595F21" w:rsidRPr="009B2F97">
        <w:t xml:space="preserve">consideration of </w:t>
      </w:r>
      <w:r w:rsidRPr="00D21817">
        <w:t xml:space="preserve">non-location </w:t>
      </w:r>
      <w:r w:rsidR="00595F21" w:rsidRPr="00CB3EDA">
        <w:t xml:space="preserve">housing </w:t>
      </w:r>
      <w:r w:rsidRPr="00CB3EDA">
        <w:t xml:space="preserve">characteristics </w:t>
      </w:r>
      <w:r w:rsidRPr="00DD68D6">
        <w:t xml:space="preserve">can be </w:t>
      </w:r>
      <w:r w:rsidR="00595F21" w:rsidRPr="00DD68D6">
        <w:t xml:space="preserve">accommodated </w:t>
      </w:r>
      <w:r w:rsidRPr="009434FD">
        <w:t>if the analyst uses the dwelling un</w:t>
      </w:r>
      <w:r w:rsidRPr="009C5F54">
        <w:t xml:space="preserve">it as the </w:t>
      </w:r>
      <w:r w:rsidRPr="009179E5">
        <w:t>basis</w:t>
      </w:r>
      <w:r w:rsidRPr="0077513C">
        <w:t xml:space="preserve"> for modeling</w:t>
      </w:r>
      <w:r w:rsidRPr="00DF135E">
        <w:t>.</w:t>
      </w:r>
      <w:r w:rsidR="00426E32">
        <w:t xml:space="preserve"> The </w:t>
      </w:r>
      <w:r w:rsidR="00595F21" w:rsidRPr="009B2F97">
        <w:t>challenge</w:t>
      </w:r>
      <w:r w:rsidR="00426E32">
        <w:t>, though,</w:t>
      </w:r>
      <w:r w:rsidR="008A0C7A" w:rsidRPr="009B2F97">
        <w:t xml:space="preserve"> in using the dwelling unit as the outcome variable is that the universal choice set explodes in size quickly. While some studies</w:t>
      </w:r>
      <w:r w:rsidR="007246B0">
        <w:t xml:space="preserve"> </w:t>
      </w:r>
      <w:r w:rsidR="007246B0">
        <w:fldChar w:fldCharType="begin"/>
      </w:r>
      <w:r w:rsidR="000C4AE3">
        <w:instrText xml:space="preserve"> ADDIN ZOTERO_ITEM CSL_CITATION {"citationID":"ZajpzhMa","properties":{"unsorted":true,"formattedCitation":"(Bhat and Guo, 2007; Habib and Miller, 2009; Eliasson, 2010; Vandeviver et al., 2015; Lopez and Greenlee, 2016)","plainCitation":"(Bhat and Guo, 2007; Habib and Miller, 2009; Eliasson, 2010; Vandeviver et al., 2015; Lopez and Greenlee, 2016)","dontUpdate":true,"noteIndex":0},"citationItems":[{"id":44,"uris":["http://zotero.org/users/local/1ztI2Oc6/items/9DL3Y3QX","http://zotero.org/users/12832277/items/9DL3Y3QX"],"itemData":{"id":44,"type":"article-journal","abstract":"There has been an increasing interest in the land use-transportation connection in the past decade, motivated by the possibility that design policies associated with the built environment can be used to control, manage, and shape individual traveler behavior and aggregate travel demand. In this line of research and application pursuit, it is critical to understand whether the empirically observed association between the built environment and travel behavior-related variables is a true reflection of underlying causality or simply a spurious correlation attributable to the intervening relationship between the built environment and the characteristics of people who choose to live in particular built environments. In this research paper, we identify the research designs and methodologies that may be used to test the presence of “true” causality versus residential sorting-based “spurious” associations in the land-use transportation connection. The paper then develops a methodological formulation to control for residential sorting effects in the analysis of the effect of built environment attributes on travel behavior-related choices. The formulation is applied to comprehensively examine the impact of the built environment, transportation network attributes, and demographic characteristics on residential choice and car ownership decisions. The model formulation takes the form of a joint mixed multinomial logit-ordered response structure that (a) accommodates differential sensitivity to the built environment and transportation network variables due to both demographic and unobserved household attributes and (b) controls for the self-selection of individuals into neighborhoods based on car ownership preferences stemming from both demographic characteristics and unobserved household factors. The analysis in the paper represents, to our knowledge, the first instance of the formulation and application of a unified mixed multinomial logit-ordered response structure in the econometric literature. The empirical analysis in the paper is based on the residential choice and car ownership decisions of San Francisco Bay area residents.","container-title":"Transportation Research Part B: Methodological","DOI":"10.1016/j.trb.2005.12.005","ISSN":"0191-2615","language":"en","page":"506-526","source":"ScienceDirect","title":"A Comprehensive Analysis of Built Environment Characteristics on Household Residential Choice and Auto Ownership Levels","volume":"41","author":[{"family":"Bhat","given":"Chandra R."},{"family":"Guo","given":"Jessica Y."}],"issued":{"date-parts":[["2007",6,1]]}}},{"id":49,"uris":["http://zotero.org/users/local/1ztI2Oc6/items/KLZQ7YY5","http://zotero.org/users/12832277/items/KLZQ7YY5"],"itemData":{"id":49,"type":"article-journal","abstract":"This paper presents a reference-dependent model for residential location choice. The key contribution of the model is its incorporation of reference dependence that explicitly recognizes the role of the status quo and captures asymmetric responses toward gains and losses in making location choice decisions. The study uses a retrospective residential search survey and a dwelling supply data set from the Toronto Real Estate Board in Ontario, Canada, to estimate the model at the elemental level of individual dwelling units. The study applies a mixed logit formulation that captures unobserved heterogeneity and avoids imposing independence of irrelevant alternatives restrictions on the choice probabilities. Several types of variables, including dwelling characteristics, land uses and other zonal attributes, accessibility measures, and household socio-demographics, are tested in the model. Although the current dwelling is assumed to be the reference point in framing evaluation of alternative dwellings, all gains and losses are measured by a comparison of current and prospective dwellings in the modeling framework. The results reveal that households prefer gains in the number of bedrooms, but they are more sensitive to the equal amounts of losses. A similar loss aversion attitude is observed for the percentage of open areas and unemployment rate. It is also found that decision makers are sensitive only to the losses for the level of service attributes. The reference-dependent model performs better than a conventional location choice model in terms of model fit and provides important behavioral insights.","container-title":"Transportation Research Record","DOI":"10.3141/2133-10","ISSN":"0361-1981","issue":"1","language":"en","note":"publisher: SAGE Publications Inc","page":"92-99","source":"SAGE Journals","title":"Reference-Dependent Residential Location Choice Model within a Relocation Context","volume":"2133","author":[{"family":"Habib","given":"Muhammad Ahsanul"},{"family":"Miller","given":"Eric J."}],"issued":{"date-parts":[["2009",1,1]]}}},{"id":324,"uris":["http://zotero.org/users/local/1ztI2Oc6/items/QTENH5X5","http://zotero.org/users/12832277/items/QTENH5X5"],"itemData":{"id":324,"type":"chapter","abstract":"The focus of this paper is on modeling the influence of accessibility on the household’s location decision. Our main theoretical contribution is an elaborate specification of what we should mean by “accessibility” in this context. This is done by assuming that households make a joint choice of location and activity pattern subject to income and time constraints. This activity pattern implies a stochastic travel pattern, the expected value of which is known at the time of location. The locational utility then consists of four parts: the indirect utility of income and time net of housing cost and expected total travel time and travel cost, the direct utility of the optimal activity pattern, the direct disutility of the expected travel pattern and the direct utility derived from location characteristics. The locational utility is then used in a discrete choice model for the choice of location.","collection-title":"Advances in Spatial Science","container-title":"Residential Location Choice: Models and Applications","event-place":"Berlin, Heidelberg","ISBN":"978-3-642-12788-5","language":"en","note":"DOI: 10.1007/978-3-642-12788-5_7","page":"137-164","publisher":"Springer","publisher-place":"Berlin, Heidelberg","source":"Springer Link","title":"The Influence of Accessibility on Residential Location","URL":"https://doi.org/10.1007/978-3-642-12788-5_7","author":[{"family":"Eliasson","given":"Jonas"}],"editor":[{"family":"Pagliara","given":"Francesca"},{"family":"Preston","given":"John"},{"family":"Simmonds","given":"David"}],"accessed":{"date-parts":[["2023",3,23]]},"issued":{"date-parts":[["2010"]]}}},{"id":761,"uris":["http://zotero.org/users/local/1ztI2Oc6/items/QPU4IUZL","http://zotero.org/users/12832277/items/QPU4IUZL"],"itemData":{"id":761,"type":"article-journal","abstract":"This article studies how burglars select a house to burglarize. We draw on the rational choice perspective to investigate how burglars select a target by relying on house-related attributes to optimize a combination of perceived rewards, efforts and risk. It extends current applications of the discrete spatial choice framework to burglary target selection by adopting the house as the spatial unit of analysis and studies burglars' target selection process in a larger and more diverse study area than that of earlier studies. Using data on 650 residential burglaries and on approximately 500,000 residential properties in the Belgian province East Flanders, we consider a discrete spatial choice model of burglary target selection to establish which house-related attributes influence burglars' target selection process. Our findings demonstrate that terraced houses, houses without a garage, houses that have not been outfitted with a central heating and/or air-conditioning system and houses nearby burglars' residences are more likely to be selected. Overall, our analysis suggests that burglars rely on effort-related attributes to distinguish between targets while higher perceived rewards actually decrease the odds of a house being burglarized. Risk-related attributes are unimportant for burglars' target choice.","container-title":"Applied Geography","DOI":"10.1016/j.apgeog.2015.08.004","ISSN":"0143-6228","language":"en","page":"24-34","source":"ScienceDirect","title":"A Discrete Spatial Choice Model of Burglary Target Selection at the House-Level","volume":"64","author":[{"family":"Vandeviver","given":"Christophe"},{"family":"Neutens","given":"Tijs"},{"family":"Daele","given":"Stijn","non-dropping-particle":"van"},{"family":"Geurts","given":"Dirk"},{"family":"Vander Beken","given":"Tom"}],"issued":{"date-parts":[["2015",10,1]]}}},{"id":764,"uris":["http://zotero.org/users/local/1ztI2Oc6/items/CRTWRWFJ","http://zotero.org/users/12832277/items/CRTWRWFJ"],"itemData":{"id":764,"type":"article-journal","abstract":"Urban renewal has been criticized for its unintended effects on the displacement of residents to housing situations where they are worse off. The literature concerned with housing displacement focuses on after the fact (ex post) analysis of mobility, hence providing only partial insights to prospective outcomes for residents. In this article, we develop a methodology for predicting before the fact (ex ante) spatial location outcomes for residents facing forced displacement. We ask where in the city will displaced residents locate and how do potential new locations compare to the current one? We apply this methodology to an ongoing urban renewal project in Illinois in order to predict spatial relocation patterns. Our findings show that residents facing forced displacement are likely to relocate to low-priced neighborhoods that are on average as bad or worse off in terms of housing adequacy, accessibility to labor, and shopping. These findings not only bear important implications for urban redevelopment policy, but also help to reveal spatially determined costs of moving which are not factored into current redevelopment impact evaluations.","container-title":"Applied Geography","DOI":"10.1016/j.apgeog.2016.08.013","ISSN":"0143-6228","language":"en","page":"156-175","source":"ScienceDirect","title":"An Ex-Ante Analysis of Housing Location Choices Due to Housing Displacement: The Case of Bristol Place","title-short":"An Ex-Ante Analysis of Housing Location Choices Due to Housing Displacement","volume":"75","author":[{"family":"Lopez","given":"Esteban"},{"family":"Greenlee","given":"Andrew"}],"issued":{"date-parts":[["2016",10,1]]}}}],"schema":"https://github.com/citation-style-language/schema/raw/master/csl-citation.json"} </w:instrText>
      </w:r>
      <w:r w:rsidR="007246B0">
        <w:fldChar w:fldCharType="separate"/>
      </w:r>
      <w:r w:rsidR="007246B0" w:rsidRPr="007246B0">
        <w:t>(</w:t>
      </w:r>
      <w:r w:rsidR="007246B0">
        <w:t xml:space="preserve">for example, see </w:t>
      </w:r>
      <w:r w:rsidR="007246B0" w:rsidRPr="007246B0">
        <w:t>Bhat and Guo, 2007; Habib and Miller, 2009; Eliasson, 2010; Vandeviver et al., 2015; Lopez and Greenlee, 2016)</w:t>
      </w:r>
      <w:r w:rsidR="007246B0">
        <w:fldChar w:fldCharType="end"/>
      </w:r>
      <w:r w:rsidR="008A0C7A" w:rsidRPr="009B2F97">
        <w:rPr>
          <w:color w:val="000000"/>
        </w:rPr>
        <w:t xml:space="preserve"> </w:t>
      </w:r>
      <w:r w:rsidR="008A0C7A" w:rsidRPr="009B2F97">
        <w:t xml:space="preserve">attempt to </w:t>
      </w:r>
      <w:r w:rsidR="00DE5969" w:rsidRPr="009B2F97">
        <w:t>“band-aid”</w:t>
      </w:r>
      <w:r w:rsidR="008A0C7A" w:rsidRPr="009B2F97">
        <w:t xml:space="preserve"> this </w:t>
      </w:r>
      <w:r w:rsidR="00DE5969" w:rsidRPr="009B2F97">
        <w:t xml:space="preserve">problem </w:t>
      </w:r>
      <w:r w:rsidR="008A0C7A" w:rsidRPr="009B2F97">
        <w:t>through a random sampling approach in estimation</w:t>
      </w:r>
      <w:r w:rsidR="00426E32">
        <w:t xml:space="preserve"> </w:t>
      </w:r>
      <w:r w:rsidR="007246B0">
        <w:rPr>
          <w:color w:val="000000"/>
        </w:rPr>
        <w:fldChar w:fldCharType="begin"/>
      </w:r>
      <w:r w:rsidR="000C4AE3">
        <w:rPr>
          <w:color w:val="000000"/>
        </w:rPr>
        <w:instrText xml:space="preserve"> ADDIN ZOTERO_ITEM CSL_CITATION {"citationID":"T1NvcDBj","properties":{"formattedCitation":"(Guevara and Ben-Akiva, 2013a, 2013b)","plainCitation":"(Guevara and Ben-Akiva, 2013a, 2013b)","dontUpdate":true,"noteIndex":0},"citationItems":[{"id":775,"uris":["http://zotero.org/users/local/1ztI2Oc6/items/GPN8FSYQ","http://zotero.org/users/12832277/items/GPN8FSYQ"],"itemData":{"id":775,"type":"article-journal","abstract":"We propose a methodology to achieve consistency, asymptotic normality and efficiency, while sampling alternatives in Multivariate Extreme Value (MEV) models, extending a previous result for Logit. We illustrate the methodology and study the finite sample properties of the estimators using Monte Carlo experimentation and real data on residential location choice from Lisbon, Portugal. Experiments show that the proposed methodology is practical, that it outperforms the uncorrected model, and that it yields acceptable results, even for relatively small samples of alternatives. The paper finishes with a synthesis and an analysis of the impact, limitations and potential extensions of this research.","container-title":"Transportation Research Part B: Methodological","DOI":"10.1016/j.trb.2012.11.001","ISSN":"0191-2615","language":"en","page":"31-52","source":"ScienceDirect","title":"Sampling of Alternatives in Multivariate Extreme Value (MEV) Models","volume":"48","author":[{"family":"Guevara","given":"C. Angelo"},{"family":"Ben-Akiva","given":"Moshe E."}],"issued":{"date-parts":[["2013",2,1]]}},"label":"page"},{"id":777,"uris":["http://zotero.org/users/local/1ztI2Oc6/items/GML6N9VP","http://zotero.org/users/12832277/items/GML6N9VP"],"itemData":{"id":777,"type":"article-journal","abstract":"Employing a strategy of sampling of alternatives is necessary for various transportation models that have to deal with large choice-sets. In this article, we propose a method to obtain consistent, asymptotically normal and relatively efficient estimators for Logit Mixture models while sampling alternatives. Our method is an extension of previous results for Logit and MEV models. We show that the practical application of the proposed method for Logit Mixture can result in a Naïve approach, in which the kernel is replaced by the usual sampling correction for Logit. We give theoretical support for previous applications of the Naïve approach, showing not only that it yields consistent estimators, but also providing its asymptotic distribution for proper hypothesis testing. We illustrate the proposed method using Monte Carlo experimentation and real data. Results provide further evidence that the Naïve approach is suitable and practical. The article concludes by summarizing the findings of this research, assessing their potential impact, and suggesting extensions of the research in this area.","container-title":"Transportation Research Part B: Methodological","DOI":"10.1016/j.trb.2013.08.011","ISSN":"0191-2615","language":"en","page":"185-198","source":"ScienceDirect","title":"Sampling of Alternatives in Logit Mixture Models","volume":"58","author":[{"family":"Guevara","given":"C. Angelo"},{"family":"Ben-Akiva","given":"Moshe E."}],"issued":{"date-parts":[["2013",12,1]]}},"label":"page"}],"schema":"https://github.com/citation-style-language/schema/raw/master/csl-citation.json"} </w:instrText>
      </w:r>
      <w:r w:rsidR="007246B0">
        <w:rPr>
          <w:color w:val="000000"/>
        </w:rPr>
        <w:fldChar w:fldCharType="separate"/>
      </w:r>
      <w:r w:rsidR="007246B0" w:rsidRPr="007246B0">
        <w:t>(</w:t>
      </w:r>
      <w:r w:rsidR="007246B0" w:rsidRPr="009B2F97">
        <w:t>combined with correction terms as needed</w:t>
      </w:r>
      <w:r w:rsidR="007246B0">
        <w:t>; see</w:t>
      </w:r>
      <w:r w:rsidR="007246B0" w:rsidRPr="007246B0">
        <w:t xml:space="preserve"> Guevara and Ben-Akiva, 2013a, 2013b)</w:t>
      </w:r>
      <w:r w:rsidR="007246B0">
        <w:rPr>
          <w:color w:val="000000"/>
        </w:rPr>
        <w:fldChar w:fldCharType="end"/>
      </w:r>
      <w:r w:rsidR="00DE5969" w:rsidRPr="009B2F97">
        <w:t xml:space="preserve">, the implicit assumption in </w:t>
      </w:r>
      <w:r w:rsidR="00426E32">
        <w:t xml:space="preserve">such studies </w:t>
      </w:r>
      <w:r w:rsidR="00DE5969" w:rsidRPr="009B2F97">
        <w:t xml:space="preserve">is that households consider all dwelling units in the universal choice set when making decisions </w:t>
      </w:r>
      <w:r w:rsidR="007246B0">
        <w:fldChar w:fldCharType="begin"/>
      </w:r>
      <w:r w:rsidR="000C4AE3">
        <w:instrText xml:space="preserve"> ADDIN ZOTERO_ITEM CSL_CITATION {"citationID":"Hk0eK2lS","properties":{"formattedCitation":"(Bhat, 2015a)","plainCitation":"(Bhat, 2015a)","dontUpdate":true,"noteIndex":0},"citationItems":[{"id":3,"uris":["http://zotero.org/users/local/1ztI2Oc6/items/8ZZCG8II","http://zotero.org/users/12832277/items/8ZZCG8II"],"itemData":{"id":3,"type":"article-journal","abstract":"This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R."}],"issued":{"date-parts":[["2015",9,1]]}}}],"schema":"https://github.com/citation-style-language/schema/raw/master/csl-citation.json"} </w:instrText>
      </w:r>
      <w:r w:rsidR="007246B0">
        <w:fldChar w:fldCharType="separate"/>
      </w:r>
      <w:r w:rsidR="007246B0" w:rsidRPr="007246B0">
        <w:t>(</w:t>
      </w:r>
      <w:r w:rsidR="007246B0">
        <w:t xml:space="preserve">see </w:t>
      </w:r>
      <w:r w:rsidR="007246B0" w:rsidRPr="007246B0">
        <w:t>Bhat, 2015a</w:t>
      </w:r>
      <w:r w:rsidR="007246B0">
        <w:t xml:space="preserve"> for an extended discussion of this point</w:t>
      </w:r>
      <w:r w:rsidR="007246B0" w:rsidRPr="007246B0">
        <w:t>)</w:t>
      </w:r>
      <w:r w:rsidR="007246B0">
        <w:fldChar w:fldCharType="end"/>
      </w:r>
      <w:r w:rsidR="00DE5969" w:rsidRPr="009B2F97">
        <w:t xml:space="preserve">. </w:t>
      </w:r>
      <w:r w:rsidR="00426E32">
        <w:t>In contrast</w:t>
      </w:r>
      <w:r w:rsidR="00595F21" w:rsidRPr="009B2F97">
        <w:t>, there is a relatively vast body of literature in the information search and social-behavioral science literature now clearly establishing that decision-makers, when confronted with a vast array of possible options, use heuristics and short-cuts to quickly circumscribe (whittle down) the set of possibilities to choose from</w:t>
      </w:r>
      <w:r w:rsidR="007246B0">
        <w:t xml:space="preserve"> </w:t>
      </w:r>
      <w:r w:rsidR="007246B0">
        <w:fldChar w:fldCharType="begin"/>
      </w:r>
      <w:r w:rsidR="008912F0">
        <w:instrText xml:space="preserve"> ADDIN ZOTERO_ITEM CSL_CITATION {"citationID":"QBFIYH9Z","properties":{"formattedCitation":"(Simon, 1986)","plainCitation":"(Simon, 1986)","noteIndex":0},"citationItems":[{"id":792,"uris":["http://zotero.org/users/local/1ztI2Oc6/items/6XXFEAWZ","http://zotero.org/users/12832277/items/6XXFEAWZ"],"itemData":{"id":792,"type":"article-journal","abstract":"The assumption that actors maximize subjective expected utility (economic rationality) supplies only a small part of the premises in economic reasoning, and that often not the essential part. The remainder of the premises are auxiliary empirical assumptions about actors' utilities, beliefs, expectations, and the like. Making these assumptions correctly requires an empirically founded theory of choice that specifies what information decision makers use and how they actually process it. This behavioral empirical base is largely lacking in contemporary economic analysis, and supplying it is essential for enhancing the explanatory and predictive power of economics.","container-title":"The Journal of Business","ISSN":"0021-9398","issue":"4","note":"publisher: University of Chicago Press","page":"S209-S224","source":"JSTOR","title":"Rationality in Psychology and Economics","volume":"59","author":[{"family":"Simon","given":"Herbert A."}],"issued":{"date-parts":[["1986"]]}}}],"schema":"https://github.com/citation-style-language/schema/raw/master/csl-citation.json"} </w:instrText>
      </w:r>
      <w:r w:rsidR="007246B0">
        <w:fldChar w:fldCharType="separate"/>
      </w:r>
      <w:r w:rsidR="007246B0" w:rsidRPr="007246B0">
        <w:t>(Simon, 1986)</w:t>
      </w:r>
      <w:r w:rsidR="007246B0">
        <w:fldChar w:fldCharType="end"/>
      </w:r>
      <w:r w:rsidR="00595F21" w:rsidRPr="009B2F97">
        <w:t>.</w:t>
      </w:r>
      <w:r w:rsidR="0061163F" w:rsidRPr="009B2F97">
        <w:t xml:space="preserve"> </w:t>
      </w:r>
      <w:r w:rsidR="00426E32">
        <w:t xml:space="preserve">That is, there is a </w:t>
      </w:r>
      <w:r w:rsidR="00F4430E" w:rsidRPr="009B2F97">
        <w:t xml:space="preserve">dynamic spatial choice process </w:t>
      </w:r>
      <w:r w:rsidR="00426E32">
        <w:t xml:space="preserve">at play </w:t>
      </w:r>
      <w:r w:rsidR="00F4430E" w:rsidRPr="009B2F97">
        <w:t xml:space="preserve">in which households continually search, construct, and update what they believe to be a set of credible and feasible alternatives in a first stage decision process, and then make a final choice at a specific time point from the alternatives remaining in the credible/feasible set </w:t>
      </w:r>
      <w:r w:rsidR="007246B0">
        <w:fldChar w:fldCharType="begin"/>
      </w:r>
      <w:r w:rsidR="008912F0">
        <w:instrText xml:space="preserve"> ADDIN ZOTERO_ITEM CSL_CITATION {"citationID":"JdIXn4ED","properties":{"formattedCitation":"(Habib and Miller, 2007)","plainCitation":"(Habib and Miller, 2007)","noteIndex":0},"citationItems":[{"id":48,"uris":["http://zotero.org/users/local/1ztI2Oc6/items/SBQYNS34","http://zotero.org/users/12832277/items/SBQYNS34"],"itemData":{"id":48,"type":"paper-conference","event-place":"Phuket Island, Thailand","event-title":"Sixth Triennial Symposium on Transportation Analysis","language":"en","publisher-place":"Phuket Island, Thailand","source":"Zotero","title":"Modeling Residential and Spatial Search Behaviour: Evidence from the Greater Toronto Area","author":[{"family":"Habib","given":"Muhammad Ahsanul"},{"family":"Miller","given":"Eric J"}],"issued":{"date-parts":[["2007",6,10]]}}}],"schema":"https://github.com/citation-style-language/schema/raw/master/csl-citation.json"} </w:instrText>
      </w:r>
      <w:r w:rsidR="007246B0">
        <w:fldChar w:fldCharType="separate"/>
      </w:r>
      <w:r w:rsidR="007246B0" w:rsidRPr="007246B0">
        <w:t>(Habib and Miller, 2007)</w:t>
      </w:r>
      <w:r w:rsidR="007246B0">
        <w:fldChar w:fldCharType="end"/>
      </w:r>
      <w:r w:rsidR="00F4430E" w:rsidRPr="009B2F97">
        <w:t>. But, of course, traditional outcome data does not provide information directly on the first stage search process, which has led analysts to develop ways to mimic this first stage process</w:t>
      </w:r>
      <w:r w:rsidR="00426E32">
        <w:t>.</w:t>
      </w:r>
      <w:r w:rsidR="00F4430E" w:rsidRPr="009B2F97">
        <w:t xml:space="preserve"> </w:t>
      </w:r>
      <w:r w:rsidR="00847CCA" w:rsidRPr="009B2F97">
        <w:t xml:space="preserve">To </w:t>
      </w:r>
      <w:r w:rsidR="000D2C80" w:rsidRPr="009B2F97">
        <w:t>conserve</w:t>
      </w:r>
      <w:r w:rsidR="00847CCA" w:rsidRPr="009B2F97">
        <w:t xml:space="preserve"> space, we do not provide a review of such methodologies. Interested readers will find an extensive review in </w:t>
      </w:r>
      <w:r w:rsidR="00DE4D30">
        <w:t>Zolfaghari</w:t>
      </w:r>
      <w:r w:rsidR="00DE4D30" w:rsidRPr="009B2F97">
        <w:t xml:space="preserve"> </w:t>
      </w:r>
      <w:r w:rsidR="00F4430E" w:rsidRPr="009B2F97">
        <w:t>et al.</w:t>
      </w:r>
      <w:r w:rsidR="007246B0">
        <w:t xml:space="preserve"> </w:t>
      </w:r>
      <w:r w:rsidR="007246B0">
        <w:fldChar w:fldCharType="begin"/>
      </w:r>
      <w:r w:rsidR="000C4AE3">
        <w:instrText xml:space="preserve"> ADDIN ZOTERO_ITEM CSL_CITATION {"citationID":"KwaLKG1o","properties":{"formattedCitation":"(2013)","plainCitation":"(2013)","noteIndex":0},"citationItems":[{"id":67,"uris":["http://zotero.org/users/local/1ztI2Oc6/items/YU2YTW9M","http://zotero.org/users/12832277/items/YU2YTW9M"],"itemData":{"id":67,"type":"article-journal","abstract":"The implementation of a theoretically sound, two-stage discrete-choice modelling paradigm incorporating probabilistic choice sets is impractical when the number of alternatives is large, which is a typical case in most spatial choice contexts. In the context of residential location choice, Kaplan et al., 2009, Kaplan et al., 2011, Kaplan et al., 2012 (KBS) developed a semi-compensatory choice model incorporating data of individuals searching for dwellings observed using a customised real estate agency website. This secondary data is used to compute the probability of considering a choice set that takes the form of an ordered probit model. In this paper, we illustrate that the simplicity of the KBS model arises because of an unrealistic assumption that individuals' choice sets only contain alternatives that derive from their observed combination of thresholds. Relaxing this assumption, we introduce a new probabilistic choice set formation model that allows the power set to include all potential choice sets derived from variations in thresholds' combinations. In addition to extending the KBS model, our proposed model asymptotically approaches the classical Manski model, if a suitable structure is used to categorise alternatives. In order to illustrate the biases inherent in the original KBS approach, we compare it with our proposed model and the MNL model using a Monte Carlo experiment. The results of this experiment show that the KBS model causes biases in predicted market share if individuals are free to choose from any potential choice sets derived from combinations of thresholds.","collection-title":"Issues in Choice Modelling: selected papers from the 13th International Conference on Travel Behaviour Research","container-title":"Journal of Choice Modelling","DOI":"10.1016/j.jocm.2013.12.004","ISSN":"1755-5345","language":"en","page":"3-13","source":"ScienceDirect","title":"Simplified Probabilistic Choice Set Formation Models in a Residential Location Choice Context","volume":"9","author":[{"family":"Zolfaghari","given":"Alireza"},{"family":"Sivakumar","given":"Aruna"},{"family":"Polak","given":"John"}],"issued":{"date-parts":[["2013",12,1]]}},"label":"page","suppress-author":true}],"schema":"https://github.com/citation-style-language/schema/raw/master/csl-citation.json"} </w:instrText>
      </w:r>
      <w:r w:rsidR="007246B0">
        <w:fldChar w:fldCharType="separate"/>
      </w:r>
      <w:r w:rsidR="007246B0" w:rsidRPr="007246B0">
        <w:t>(2013)</w:t>
      </w:r>
      <w:r w:rsidR="007246B0">
        <w:fldChar w:fldCharType="end"/>
      </w:r>
      <w:r w:rsidR="00F4430E" w:rsidRPr="009B2F97">
        <w:t xml:space="preserve"> and Bhat </w:t>
      </w:r>
      <w:r w:rsidR="007246B0">
        <w:fldChar w:fldCharType="begin"/>
      </w:r>
      <w:r w:rsidR="000C4AE3">
        <w:instrText xml:space="preserve"> ADDIN ZOTERO_ITEM CSL_CITATION {"citationID":"ysRkuank","properties":{"formattedCitation":"(2015a)","plainCitation":"(2015a)","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R."}],"issued":{"date-parts":[["2015",9,1]]}},"label":"page","suppress-author":true}],"schema":"https://github.com/citation-style-language/schema/raw/master/csl-citation.json"} </w:instrText>
      </w:r>
      <w:r w:rsidR="007246B0">
        <w:fldChar w:fldCharType="separate"/>
      </w:r>
      <w:r w:rsidR="006B0F6E" w:rsidRPr="006B0F6E">
        <w:t>(2015a)</w:t>
      </w:r>
      <w:r w:rsidR="007246B0">
        <w:fldChar w:fldCharType="end"/>
      </w:r>
      <w:r w:rsidR="00847CCA" w:rsidRPr="009B2F97">
        <w:t xml:space="preserve">. </w:t>
      </w:r>
      <w:r w:rsidR="00426E32">
        <w:t>A</w:t>
      </w:r>
      <w:r w:rsidR="00B157AE" w:rsidRPr="009B2F97">
        <w:t xml:space="preserve"> problem</w:t>
      </w:r>
      <w:r w:rsidR="00426E32">
        <w:t>, though,</w:t>
      </w:r>
      <w:r w:rsidR="00B157AE" w:rsidRPr="009B2F97">
        <w:t xml:space="preserve"> with </w:t>
      </w:r>
      <w:r w:rsidR="00EB503E" w:rsidRPr="009B2F97">
        <w:t xml:space="preserve">the implementation of such </w:t>
      </w:r>
      <w:r w:rsidR="00B157AE" w:rsidRPr="009B2F97">
        <w:t xml:space="preserve">methods </w:t>
      </w:r>
      <w:r w:rsidR="00EB503E" w:rsidRPr="009B2F97">
        <w:t xml:space="preserve">is that </w:t>
      </w:r>
      <w:r w:rsidR="00B157AE" w:rsidRPr="009B2F97">
        <w:t>the first stage process</w:t>
      </w:r>
      <w:r w:rsidR="003C06EE">
        <w:t xml:space="preserve"> </w:t>
      </w:r>
      <w:r w:rsidR="00EB503E" w:rsidRPr="009B2F97">
        <w:t>becomes cumbersome when a number of search criteria</w:t>
      </w:r>
      <w:r w:rsidR="003C06EE">
        <w:t xml:space="preserve"> are used to characterize it</w:t>
      </w:r>
      <w:r w:rsidR="00EB503E" w:rsidRPr="009B2F97">
        <w:t xml:space="preserve">. As a result, almost all </w:t>
      </w:r>
      <w:r w:rsidR="003C06EE">
        <w:t xml:space="preserve">earlier </w:t>
      </w:r>
      <w:r w:rsidR="00EB503E" w:rsidRPr="009B2F97">
        <w:t>studies use a single search dimension</w:t>
      </w:r>
      <w:r w:rsidR="003C06EE">
        <w:t>, typically using a maximum threshold</w:t>
      </w:r>
      <w:r w:rsidR="00EB503E" w:rsidRPr="009B2F97">
        <w:t xml:space="preserve"> of commute distance or commute time</w:t>
      </w:r>
      <w:r w:rsidR="003C06EE">
        <w:t>,</w:t>
      </w:r>
      <w:r w:rsidR="007348CA" w:rsidRPr="009B2F97">
        <w:t xml:space="preserve"> </w:t>
      </w:r>
      <w:r w:rsidR="00EB503E" w:rsidRPr="009B2F97">
        <w:t>for whittling down</w:t>
      </w:r>
      <w:r w:rsidR="003C06EE">
        <w:t xml:space="preserve"> the alternative set</w:t>
      </w:r>
      <w:r w:rsidR="00CB7BD5" w:rsidRPr="009B2F97">
        <w:t xml:space="preserve"> </w:t>
      </w:r>
      <w:r w:rsidR="003C06EE">
        <w:t xml:space="preserve">to the consideration set </w:t>
      </w:r>
      <w:r w:rsidR="007246B0">
        <w:fldChar w:fldCharType="begin"/>
      </w:r>
      <w:r w:rsidR="000C4AE3">
        <w:instrText xml:space="preserve"> ADDIN ZOTERO_ITEM CSL_CITATION {"citationID":"fCi0AYgO","properties":{"unsorted":true,"formattedCitation":"(Thill and Horowitz, 1997; Bhat and Zhao, 2002; Rashidi et al., 2012; Haque et al., 2019)","plainCitation":"(Thill and Horowitz, 1997; Bhat and Zhao, 2002; Rashidi et al., 2012; Haque et al., 2019)","dontUpdate":true,"noteIndex":0},"citationItems":[{"id":767,"uris":["http://zotero.org/users/local/1ztI2Oc6/items/BJNGQGQG","http://zotero.org/users/12832277/items/BJNGQGQG"],"itemData":{"id":767,"type":"chapter","abstract":"In the general theory of choice behaviour generally, a common modelling approach postulates that individuals follow a two-stage decision process leading to the choice of one alternative over all other alternatives that could be picked at the time of decision. The universe of alternatives is reduced in the first stage to a smaller set called the choice set or consideration set whose construction hinges upon one’s knowledge and awareness of choice alternatives, the feasibility and accessibility of alternatives as well as their perceived saliency at decision time (Shocker et al. 1991). In the second stage, only the choice set alternatives are analyzed and a final selection is operated.1","container-title":"Recent Developments in Spatial Analysis","event-place":"Berlin, Heidelberg","ISBN":"978-3-662-03499-6","language":"en","note":"DOI: 10.1007/978-3-662-03499-6_10","page":"186-208","publisher":"Springer","publisher-place":"Berlin, Heidelberg","source":"Springer Link","title":"Modelling Non-Work Destination Choices with Choice Sets Defined by Travel-Time Constraints","URL":"https://doi.org/10.1007/978-3-662-03499-6_10","author":[{"family":"Thill","given":"Jean-Claude"},{"family":"Horowitz","given":"Joel L."}],"editor":[{"family":"Fischer","given":"Manfred M."},{"family":"Getis","given":"Arthur"}],"accessed":{"date-parts":[["2023",6,12]]},"issued":{"date-parts":[["1997"]]}}},{"id":769,"uris":["http://zotero.org/users/local/1ztI2Oc6/items/K6PDM8ZD","http://zotero.org/users/12832277/items/K6PDM8ZD"],"itemData":{"id":769,"type":"article-journal","abstract":"Travel demand analysis is intrinsically spatial; yet spatial analysis considerations are seldom recognized and accommodated in travel modeling. The objective of this paper is to identify the spatial issues that need to be recognized in demand modeling, and to propose a multi-level, mixed logit, formulation to address these spatial issues in the context of activity stop generation. The multi-level model is estimated using the maximum simulated likelihood method. Empirical results obtained from applying the model to study shopping activity stop generation in the Boston Metropolitan area are presented and discussed.","container-title":"Transportation Research Part B: Methodological","DOI":"10.1016/S0191-2615(01)00019-4","ISSN":"0191-2615","issue":"6","language":"en","page":"557-575","source":"ScienceDirect","title":"The Spatial Analysis of Activity Stop Generation","volume":"36","author":[{"family":"Bhat","given":"Chandra R."},{"family":"Zhao","given":"Huimin"}],"issued":{"date-parts":[["2002",7,1]]}}},{"id":772,"uris":["http://zotero.org/users/local/1ztI2Oc6/items/5QPI3PWG","http://zotero.org/users/12832277/items/5QPI3PWG"],"itemData":{"id":772,"type":"article-journal","abstract":"Residential location search has become an important topic to both practitioners and researchers as more detailed and disaggregate land-use and transportation demand models are developed which require information on individual household location decisions. The housing search process starts with an alternative formation and screening stage. At this level households evaluate all potential alternatives based on their lifestyle, preferences, and utilities to form a manageable choice set with a limited number of plausible alternatives. Then the final residential location is selected among these alternatives. This two-stage decision making process can be used for both aggregate zone-level selection as well as searching disaggregate parcel or building-based housing markets for potential dwellings. In this paper a zonal level household housing search model is developed. Initially, a household specific choice set is drawn from the entire possible alternatives in the area based on the average household work distance to each alternative. Following the choice set formation step, a discrete choice model is utilized for modeling the final residential zone selection of the household. A hazard-based model is used for the choice set formation module while the final choice selection is modeled using a multinomial logit formulation with a deterministic sample correction factor. The approach presented in the paper provides a remedy for the large choice set problem typically faced in housing search models.","container-title":"Transportation Research Part A: Policy and Practice","DOI":"10.1016/j.tra.2012.01.007","ISSN":"0965-8564","issue":"7","language":"en","page":"1097-1107","source":"ScienceDirect","title":"A Behavioral Housing Search Model: Two-Stage Hazard-Based and Multinomial Logit Approach to Choice-Set Formation and Location Selection","title-short":"A Behavioral Housing Search Model","volume":"46","author":[{"family":"Rashidi","given":"Taha Hossein"},{"family":"Auld","given":"Joshua"},{"family":"Mohammadian","given":"Abolfazl (Kouros)"}],"issued":{"date-parts":[["2012",8,1]]}}},{"id":92,"uris":["http://zotero.org/users/local/1ztI2Oc6/items/NPD7SPX3","http://zotero.org/users/12832277/items/NPD7SPX3"],"itemData":{"id":92,"type":"article-journal","abstract":"Choice set generation is a challenging aspect of disaggregate level residential location choice modelling due to the large number of candidate alternatives in the universal choice set (hundreds to hundreds of thousands). The classical Manski method (Manski, 1977) is infeasible here because of the explosion of the number of possible choice sets with the increase in the number of alternatives. Several alternative approaches have been proposed in recent years to deal with this issue, but these have limitations alongside strengths. For example, the Constrained Multinomial Logit (CMNL) model (Martínez et al., 2009) offers gains in efficiency and improvements in model fit but has weaknesses in terms of replicating the Manski model parameters. The rth-order Constrained Multinomial Logit (rCMNL) model (Paleti, 2015) performs better than the CMNL model in producing results consistent with the Manski model, but the benefits disappear when the number of alternatives in the universal choice set increases. In this study, we propose an improved CMNL model (referred to as Improved Constrained Multinomial Logit Model, ICMNL) with a higher order formulation of the CMNL penalty term that does not depend on the number of alternatives in the choice set. Therefore, it is expected to result in better model fit compared to the CMNL and the rCMNL model in cases with large universal choice sets. The performance of the ICMNL model against the CMNL and the rCMNL model is evaluated in an empirical study of residential location choices of households living in the Greater London Area. Zone level models are estimated for residential ownership and renting decisions where the number of alternatives in the universal choice set is 498 in each case. The performance of the models is examined both on the estimation sample and the holdout sample used for validation. The results of both ownership and renting models indicate that the ICMNL model performs considerably better compared to the CMNL and the rCMNL model for both the estimation and validation samples. The ICMNL model can thus help transport and urban planners in developing better prediction tools.","container-title":"Journal of Transport and Land Use","ISSN":"1938-7849","issue":"1","note":"publisher: Journal of Transport and Land Use","page":"597-618","source":"JSTOR","title":"Modelling Residential Location Choices with Implicit Availability of Alternatives","volume":"12","author":[{"family":"Haque","given":"Md Bashirul"},{"family":"Choudhury","given":"Charisma"},{"family":"Hess","given":"Stephane"}],"issued":{"date-parts":[["2019"]]}}}],"schema":"https://github.com/citation-style-language/schema/raw/master/csl-citation.json"} </w:instrText>
      </w:r>
      <w:r w:rsidR="007246B0">
        <w:fldChar w:fldCharType="separate"/>
      </w:r>
      <w:r w:rsidR="007246B0" w:rsidRPr="007246B0">
        <w:t>(</w:t>
      </w:r>
      <w:r w:rsidR="007246B0">
        <w:t xml:space="preserve">see, for example, </w:t>
      </w:r>
      <w:r w:rsidR="007246B0" w:rsidRPr="007246B0">
        <w:t>Thill and Horowitz, 1997; Bhat and Zhao, 2002; Rashidi et al., 2012; Haque et al., 2019)</w:t>
      </w:r>
      <w:r w:rsidR="007246B0">
        <w:fldChar w:fldCharType="end"/>
      </w:r>
      <w:r w:rsidR="00EB503E" w:rsidRPr="009B2F97">
        <w:t xml:space="preserve">. </w:t>
      </w:r>
      <w:r w:rsidR="007348CA" w:rsidRPr="009B2F97">
        <w:t>While this threshold is allowed to be a function of household demographics, such as the number of vehicles and number of workers in the household, the net effect is that other housing dimensions, and the heterogeneity in the other dimensions, seldom feature in the housing choice set formation process.</w:t>
      </w:r>
      <w:r w:rsidR="003C06EE">
        <w:t xml:space="preserve"> I</w:t>
      </w:r>
      <w:r w:rsidR="007348CA" w:rsidRPr="009B2F97">
        <w:t xml:space="preserve">n reality, it is a combination of housing dimensions that jointly (and at once) play a role from the very start of </w:t>
      </w:r>
      <w:r w:rsidR="003C06EE">
        <w:t xml:space="preserve">the </w:t>
      </w:r>
      <w:r w:rsidR="007348CA" w:rsidRPr="009B2F97">
        <w:t xml:space="preserve">housing </w:t>
      </w:r>
      <w:r w:rsidR="00CB7BD5" w:rsidRPr="009B2F97">
        <w:t xml:space="preserve">search process. This is particularly so in a post-pandemic setting, </w:t>
      </w:r>
      <w:r w:rsidR="008757FC" w:rsidRPr="009B2F97">
        <w:t xml:space="preserve">as discussed </w:t>
      </w:r>
      <w:r w:rsidR="006B0F6E">
        <w:t>previously</w:t>
      </w:r>
      <w:r w:rsidR="008757FC" w:rsidRPr="009B2F97">
        <w:t xml:space="preserve">. </w:t>
      </w:r>
      <w:r w:rsidR="00B31DB1" w:rsidRPr="009B2F97">
        <w:t xml:space="preserve">The </w:t>
      </w:r>
      <w:r w:rsidR="006B0F6E">
        <w:t>solution</w:t>
      </w:r>
      <w:r w:rsidR="00B31DB1" w:rsidRPr="009B2F97">
        <w:t xml:space="preserve"> is to directly model the </w:t>
      </w:r>
      <w:r w:rsidR="000C4B35">
        <w:t xml:space="preserve">many housing </w:t>
      </w:r>
      <w:r w:rsidR="00B31DB1" w:rsidRPr="009B2F97">
        <w:t xml:space="preserve">dimensions as separate endogenous outcomes </w:t>
      </w:r>
      <w:r w:rsidR="007246B0">
        <w:fldChar w:fldCharType="begin"/>
      </w:r>
      <w:r w:rsidR="000C4AE3">
        <w:instrText xml:space="preserve"> ADDIN ZOTERO_ITEM CSL_CITATION {"citationID":"W72dEKHw","properties":{"formattedCitation":"(Bhat, 2015b; Frenkel and Kaplan, 2015)","plainCitation":"(Bhat, 2015b; Frenkel and Kaplan, 2015)","dontUpdate":true,"noteIndex":0},"citationItems":[{"id":675,"uris":["http://zotero.org/users/local/1ztI2Oc6/items/E2IK5TA3","http://zotero.org/users/12832277/items/E2IK5TA3"],"itemData":{"id":675,"type":"article-journal","abstract":"This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R."}],"issued":{"date-parts":[["2015",9,1]]}}},{"id":731,"uris":["http://zotero.org/users/local/1ztI2Oc6/items/F9A9J9DB","http://zotero.org/users/12832277/items/F9A9J9DB"],"itemData":{"id":731,"type":"article-journal","abstract":"This study investigates knowledge-workers’ housing preferences in terms of tenure, dwelling type, location and size. The analysis is conducted by applying a joint multinomial-logit ordered-response model to the housing choices of knowledgeworkers residing in the Tel-Aviv metropolitan region and working in the high-tech and finance sectors. The results confirm the following hypotheses: (i) controlling for socioeconomic characteristics and workplace, knowledge-workers’ housing choices relate to their lifestyle; (ii) knowledge-workers with a culture-oriented lifestyle prefer to rent small apartments in central locations; (iii) knowledge-workers with a home-oriented lifestyle prefer large dwelling units, mainly single-detached houses, in suburban locations.","container-title":"Letters in Spatial and Resource Sciences","DOI":"10.1007/s12076-014-0131-1","ISSN":"1864-404X","issue":"3","language":"en","page":"233-251","source":"Springer Link","title":"The Joint Choice of Tenure, Dwelling Type, Size and Location: The Effect of Home-Oriented Versus Culture-Oriented Lifestyle","volume":"8","author":[{"family":"Frenkel","given":"Amnon"},{"family":"Kaplan","given":"Sigal"}],"issued":{"date-parts":[["2015",11,1]]}}}],"schema":"https://github.com/citation-style-language/schema/raw/master/csl-citation.json"} </w:instrText>
      </w:r>
      <w:r w:rsidR="007246B0">
        <w:fldChar w:fldCharType="separate"/>
      </w:r>
      <w:r w:rsidR="007246B0" w:rsidRPr="007246B0">
        <w:t>(</w:t>
      </w:r>
      <w:r w:rsidR="007246B0">
        <w:t xml:space="preserve">see </w:t>
      </w:r>
      <w:r w:rsidR="007246B0" w:rsidRPr="007246B0">
        <w:t>Bhat, 2015b; Frenkel and Kaplan, 2015)</w:t>
      </w:r>
      <w:r w:rsidR="007246B0">
        <w:fldChar w:fldCharType="end"/>
      </w:r>
      <w:r w:rsidR="00B31DB1" w:rsidRPr="009B2F97">
        <w:t xml:space="preserve">. Doing so immediately offers the ability to extract the determinants of each </w:t>
      </w:r>
      <w:r w:rsidR="00F52B39" w:rsidRPr="009B2F97">
        <w:t>dimension and</w:t>
      </w:r>
      <w:r w:rsidR="00B31DB1" w:rsidRPr="009B2F97">
        <w:t xml:space="preserve"> accommodate heterogeneity across households in the preference for each dimension. Econometrically, by directly investigating preferences along each housing dimension, there is a substantial efficiency gain relative to attempting to </w:t>
      </w:r>
      <w:r w:rsidR="006B0F6E">
        <w:t>determine</w:t>
      </w:r>
      <w:r w:rsidR="00B31DB1" w:rsidRPr="009B2F97">
        <w:t xml:space="preserve"> preferences based on the single outcome of dwelling unit. </w:t>
      </w:r>
    </w:p>
    <w:p w14:paraId="16DA6832" w14:textId="1E4A36B0" w:rsidR="00C70A5B" w:rsidRPr="009B2F97" w:rsidRDefault="00C70A5B" w:rsidP="006F37E3">
      <w:pPr>
        <w:autoSpaceDE w:val="0"/>
        <w:autoSpaceDN w:val="0"/>
        <w:adjustRightInd w:val="0"/>
        <w:spacing w:after="0" w:line="240" w:lineRule="auto"/>
        <w:jc w:val="both"/>
      </w:pPr>
    </w:p>
    <w:p w14:paraId="19065A60" w14:textId="18EF1F26" w:rsidR="007F63C4" w:rsidRPr="009B2F97" w:rsidRDefault="007F63C4" w:rsidP="006F37E3">
      <w:pPr>
        <w:spacing w:after="0" w:line="240" w:lineRule="auto"/>
        <w:jc w:val="both"/>
        <w:rPr>
          <w:b/>
          <w:bCs/>
        </w:rPr>
      </w:pPr>
      <w:r w:rsidRPr="009B2F97">
        <w:rPr>
          <w:b/>
          <w:bCs/>
        </w:rPr>
        <w:t>2.</w:t>
      </w:r>
      <w:r w:rsidR="00F86845" w:rsidRPr="00D21817">
        <w:rPr>
          <w:b/>
          <w:bCs/>
        </w:rPr>
        <w:t>3</w:t>
      </w:r>
      <w:r w:rsidRPr="009B2F97">
        <w:rPr>
          <w:b/>
          <w:bCs/>
        </w:rPr>
        <w:t xml:space="preserve"> Empirical Findings</w:t>
      </w:r>
      <w:r w:rsidR="0032656D" w:rsidRPr="009B2F97">
        <w:rPr>
          <w:b/>
          <w:bCs/>
        </w:rPr>
        <w:t xml:space="preserve"> on the Determinants of </w:t>
      </w:r>
      <w:r w:rsidR="00F86845" w:rsidRPr="009B2F97">
        <w:rPr>
          <w:b/>
          <w:bCs/>
        </w:rPr>
        <w:t>Housing</w:t>
      </w:r>
      <w:r w:rsidR="0032656D" w:rsidRPr="009B2F97">
        <w:rPr>
          <w:b/>
          <w:bCs/>
        </w:rPr>
        <w:t xml:space="preserve"> Choices</w:t>
      </w:r>
      <w:r w:rsidR="00391C50" w:rsidRPr="009B2F97">
        <w:rPr>
          <w:b/>
          <w:bCs/>
        </w:rPr>
        <w:t xml:space="preserve"> </w:t>
      </w:r>
    </w:p>
    <w:p w14:paraId="202E6CAE" w14:textId="3EF17CF7" w:rsidR="000713A9" w:rsidRPr="009B2F97" w:rsidRDefault="00885E14" w:rsidP="006F37E3">
      <w:pPr>
        <w:autoSpaceDE w:val="0"/>
        <w:autoSpaceDN w:val="0"/>
        <w:adjustRightInd w:val="0"/>
        <w:spacing w:after="0" w:line="240" w:lineRule="auto"/>
        <w:jc w:val="both"/>
      </w:pPr>
      <w:r>
        <w:t xml:space="preserve">Most earlier </w:t>
      </w:r>
      <w:r w:rsidR="007702DE" w:rsidRPr="009B2F97">
        <w:t>residential location choice</w:t>
      </w:r>
      <w:r w:rsidR="00D62E8B">
        <w:t xml:space="preserve"> studies</w:t>
      </w:r>
      <w:r w:rsidR="007702DE" w:rsidRPr="009B2F97">
        <w:t xml:space="preserve"> </w:t>
      </w:r>
      <w:r w:rsidR="00DC5FED" w:rsidRPr="009B2F97">
        <w:t>us</w:t>
      </w:r>
      <w:r>
        <w:t>e</w:t>
      </w:r>
      <w:r w:rsidR="00DC5FED" w:rsidRPr="009B2F97">
        <w:t xml:space="preserve"> a zone-level or census tract-level analysis </w:t>
      </w:r>
      <w:r w:rsidR="007702DE" w:rsidRPr="009B2F97">
        <w:t>with</w:t>
      </w:r>
      <w:r w:rsidR="00F86845" w:rsidRPr="009B2F97">
        <w:t>in</w:t>
      </w:r>
      <w:r w:rsidR="007702DE" w:rsidRPr="009B2F97">
        <w:t xml:space="preserve"> a discrete choice framework</w:t>
      </w:r>
      <w:r w:rsidR="006E041B" w:rsidRPr="009B2F97">
        <w:t xml:space="preserve">, </w:t>
      </w:r>
      <w:r w:rsidR="00F86845" w:rsidRPr="009B2F97">
        <w:t xml:space="preserve">without considering dwelling unit characteristics </w:t>
      </w:r>
      <w:r w:rsidR="00732E27" w:rsidRPr="009B2F97">
        <w:rPr>
          <w:b/>
          <w:bCs/>
        </w:rPr>
        <w:fldChar w:fldCharType="begin"/>
      </w:r>
      <w:r w:rsidR="000C4AE3">
        <w:rPr>
          <w:b/>
          <w:bCs/>
        </w:rPr>
        <w:instrText xml:space="preserve"> ADDIN ZOTERO_ITEM CSL_CITATION {"citationID":"i0KJIfCT","properties":{"formattedCitation":"(Chen et al., 2008; de Palma et al., 2007; Pinjari et al., 2011; Yu et al., 2017)","plainCitation":"(Chen et al., 2008; de Palma et al., 2007; Pinjari et al., 2011; Yu et al., 2017)","dontUpdate":true,"noteIndex":0},"citationItems":[{"id":316,"uris":["http://zotero.org/users/local/1ztI2Oc6/items/UTUZ78LD","http://zotero.org/users/12832277/items/UTUZ78LD"],"itemData":{"id":316,"type":"article-journal","abstract":"The literature for residential location choice is deficient in two aspects. First, many studies model location choice as a static choice, with no memory of the past. Second, current understanding of household tradeoffs between attributes is limited. These two issues are addressed by developing and estimating a residential location model that accounts for prior locations by using the Puget Sound Panel (1989?2002) data set. Four types of accessibility attributes are examined: work, open space, retail opportunity, and recreation. A comparison between the proposed model and the existing literature model demonstrates the superiority of the former. Prior commute distance, open space, and recreation opportunity are all shown to influence current residential location choices.","container-title":"Transportation Research Record","DOI":"10.3141/2077-10","ISSN":"0361-1981","issue":"1","note":"publisher: SAGE Publications Inc","page":"71-79","source":"SAGE Journals","title":"Accessibility Trade-Offs in Household Residential Location Decisions","volume":"2077","author":[{"family":"Chen","given":"Jason"},{"family":"Chen","given":"Cynthia"},{"family":"Timmermans","given":"Harry J. P."}],"issued":{"date-parts":[["2008",1,1]]}}},{"id":156,"uris":["http://zotero.org/users/local/1ztI2Oc6/items/BZFK7IFK","http://zotero.org/users/12832277/items/BZFK7IFK"],"itemData":{"id":156,"type":"article-journal","abstract":"Discrete choice models are based on the idea that each user can choose both freely and independently from other users in a given set of alternatives. But this is not the case in several situations. In particular, limitations and interactions can occur when the number of available products of one type is smaller than the total demand for this type. As a consequence, some individuals can be denied their preferred choice. We develop a methodology to address those constraints and we apply it to residential location choice, where our empirical data suggest that availability constraints may bias actual choices. The analysis provides some theoretical developments and elaborates an iterative procedure for estimating demand in the presence of capacity constraints. The empirical application relies on the location choice model developed and estimated in [A. de Palma, K. Motamedi, N. Picard, P. Waddell, A model of residential location choice with endogenous housing prices and traffic for the Paris region, European Transport, 2006] for Ile-de-France (Paris region) and generalizes it to integrate capacity constraints.","container-title":"Journal of Urban Economics","DOI":"10.1016/j.jue.2007.02.007","ISSN":"0094-1190","issue":"2","language":"en","page":"204-230","source":"ScienceDirect","title":"Discrete Choice Models with Capacity Constraints: An Empirical Analysis of the Housing Market of the Greater Paris Region","title-short":"Discrete Choice Models with Capacity Constraints","volume":"62","author":[{"family":"Palma","given":"André","non-dropping-particle":"de"},{"family":"Picard","given":"Nathalie"},{"family":"Waddell","given":"Paul"}],"issued":{"date-parts":[["2007",9,1]]}}},{"id":312,"uris":["http://zotero.org/users/local/1ztI2Oc6/items/BEJC5RSR","http://zotero.org/users/12832277/items/BEJC5RSR"],"itemData":{"id":312,"type":"article-journal","abstract":"The integrated modeling of land use and transportation choices involves analyzing a continuum of choices that characterize people’s lifestyles across temporal scales. This includes long-term choices such as residential and work location choices that affect land-use, medium-term choices such as vehicle ownership, and short-term choices such as travel mode choice that affect travel demand. Prior research in this area has been limited by the complexities associated with the development of integrated model systems that combine the long-, medium- and short-term choices into a unified analytical framework. This paper presents an integrated simultaneous multi-dimensional choice model of residential location, auto ownership, bicycle ownership, and commute tour mode choices using a mixed multidimensional choice modeling methodology. Model estimation results using the San Francisco Bay Area highlight a series of interdependencies among the multi-dimensional choice processes. The interdependencies include: (1) self-selection effects due to observed and unobserved factors, where households locate based on lifestyle and mobility preferences, (2) endogeneity effects, where any one choice dimension is not exogenous to another, but is endogenous to the system as a whole, (3) correlated error structures, where common unobserved factors significantly and simultaneously impact multiple choice dimensions, and (4) unobserved heterogeneity, where decision-makers show significant variation in sensitivity to explanatory variables due to unobserved factors. From a policy standpoint, to be able to forecast the “true” causal influence of activity-travel environment changes on residential location, auto/bicycle ownership, and commute mode choices, it is necessary to capture the above-identified interdependencies by jointly modeling the multiple choice dimensions in an integrated framework.","container-title":"Transportation","DOI":"10.1007/s11116-011-9360-y","ISSN":"1572-9435","issue":"6","language":"en","page":"933-958","source":"Springer Link","title":"Modeling the Choice Continuum: An Integrated Model of Residential Location, Auto Ownership, Bicycle Ownership, and Commute Tour Mode Choice Decisions","volume":"38","author":[{"family":"Pinjari","given":"Abdul Rawoof"},{"family":"Pendyala","given":"Ram M."},{"family":"Bhat","given":"Chandra R."},{"family":"Waddell","given":"Paul A."}],"issued":{"date-parts":[["2011",11,1]]}}},{"id":100,"uris":["http://zotero.org/users/local/1ztI2Oc6/items/E53QJ5YU","http://zotero.org/users/12832277/items/E53QJ5YU"],"itemData":{"id":100,"type":"article-journal","abstract":"From a behavioral viewpoint, people choose where to live based on various factors, including their current situations, past experience, and plans for the future. Some aspects of residential preference might be constant over time, inherited from the initial stage of life, and other parts might be responses to residential biography or other biographical domains like household structure, employment/education, and travel. Capturing these intertemporal dependences needs a life course analysis of residential location choices. However, a serious methodological gap exists between the perceived importance of dynamic life course analyses and quantitative modeling approaches. This study developed a dynamic choice model with cross-sectional and longitudinal heterogeneities as well as discounted utility (called the DU-DCLH model) to describe the decision-making process for residential relocation by incorporating various intertemporal dependences over the life course. Model parameters were estimated using data collected from a life history survey conducted in Japan in 2010. The estimation results firstly confirm the effectiveness of the DU-DCLH model for portraying the dynamics of residential mobility over a life course. Next, it was found that previous experiences dominate decisions on residential location choice and can explain more than 75% of the total variations in choice. It was also revealed that as the mobility age increases, the influence of the past on their choices increases continuously. In contrast, the influence of the present situation is small and almost negligible. Furthermore, the study empirically confirmed not only the influence of time-constant and time-varying preference for residential neighborhoods but also the specific influence of household biography, employment/education biography, and travel biography. This study enriches the existing research by providing a systematic modeling framework incorporating broader behavioral mechanisms for residential location choice over the life course.","container-title":"Transportation Research Part A: Policy and Practice","DOI":"10.1016/j.tra.2017.01.009","ISSN":"0965-8564","language":"en","page":"281-292","source":"ScienceDirect","title":"Dynamic Life Course Analysis on Residential Location Choice","volume":"104","author":[{"family":"Yu","given":"Biying"},{"family":"Zhang","given":"Junyi"},{"family":"Li","given":"Xia"}],"issued":{"date-parts":[["2017",10,1]]}}}],"schema":"https://github.com/citation-style-language/schema/raw/master/csl-citation.json"} </w:instrText>
      </w:r>
      <w:r w:rsidR="00732E27" w:rsidRPr="009B2F97">
        <w:rPr>
          <w:b/>
          <w:bCs/>
        </w:rPr>
        <w:fldChar w:fldCharType="separate"/>
      </w:r>
      <w:r w:rsidR="00CF3C48" w:rsidRPr="00CF3C48">
        <w:t>(</w:t>
      </w:r>
      <w:r w:rsidR="00CF3C48" w:rsidRPr="009B2F97">
        <w:t>see, for ex</w:t>
      </w:r>
      <w:r w:rsidR="00CF3C48" w:rsidRPr="00D21817">
        <w:t>a</w:t>
      </w:r>
      <w:r w:rsidR="00CF3C48" w:rsidRPr="00CB3EDA">
        <w:t xml:space="preserve">mple, </w:t>
      </w:r>
      <w:r w:rsidR="00CF3C48" w:rsidRPr="00CF3C48">
        <w:t>Chen et al., 2008; de Palma et al., 2007; Pinjari et al., 2011; Yu et al., 2017)</w:t>
      </w:r>
      <w:r w:rsidR="00732E27" w:rsidRPr="009B2F97">
        <w:rPr>
          <w:b/>
          <w:bCs/>
        </w:rPr>
        <w:fldChar w:fldCharType="end"/>
      </w:r>
      <w:r w:rsidR="007702DE" w:rsidRPr="009B2F97">
        <w:t xml:space="preserve">. </w:t>
      </w:r>
      <w:r w:rsidR="00DC5FED" w:rsidRPr="009B2F97">
        <w:t xml:space="preserve">Some studies have focused on a single non-location </w:t>
      </w:r>
      <w:r w:rsidR="00DC5FED" w:rsidRPr="009434FD">
        <w:t xml:space="preserve">dimension of housing choice, primarily tenure type </w:t>
      </w:r>
      <w:r w:rsidR="00DC5FED" w:rsidRPr="009434FD">
        <w:lastRenderedPageBreak/>
        <w:t>(owning</w:t>
      </w:r>
      <w:r w:rsidR="00DC5FED" w:rsidRPr="009C5F54">
        <w:t xml:space="preserve"> </w:t>
      </w:r>
      <w:r w:rsidR="00DC5FED" w:rsidRPr="008253CB">
        <w:t>or renting the home). Examples include</w:t>
      </w:r>
      <w:r w:rsidR="00DC5FED" w:rsidRPr="009B2F97">
        <w:t xml:space="preserve"> Abramsson and Andersson</w:t>
      </w:r>
      <w:r w:rsidR="00EA01B9">
        <w:t xml:space="preserve"> </w:t>
      </w:r>
      <w:r w:rsidR="00EA01B9">
        <w:fldChar w:fldCharType="begin"/>
      </w:r>
      <w:r w:rsidR="008912F0">
        <w:instrText xml:space="preserve"> ADDIN ZOTERO_ITEM CSL_CITATION {"citationID":"V2zlb1OQ","properties":{"formattedCitation":"(2016)","plainCitation":"(2016)","noteIndex":0},"citationItems":[{"id":754,"uris":["http://zotero.org/users/local/1ztI2Oc6/items/BDP9858R","http://zotero.org/users/12832277/items/BDP9858R"],"itemData":{"id":754,"type":"article-journal","abstract":"Planning for the housing situation of an ageing population is one of the challenges of many countries. To increase our understanding of the needs of the ageing population, a nationwide survey stratified on age and municipality type was conducted. Research questions referred to the current housing situation and plans. The aim was to investigate how preferences, location, and/or the type of housing preferred changes with age and if they are housing market dependent. Results of 10-year cohorts show that the most marked change is between the cohort 75–84 years old and the oldest cohort 85+. There is a gradual change over time of moves from large to small housing, from owner-occupation to rented housing. Respondents in the major cities and in the rural or tourism-dependent municipalities are less inclined to move compared to those from other types of municipalities. The study predicts a shortage of rented apartments.","container-title":"Housing, Theory and Society","DOI":"10.1080/14036096.2015.1104385","ISSN":"1403-6096","issue":"2","note":"publisher: Routledge\n_eprint: https://doi.org/10.1080/14036096.2015.1104385","page":"217-241","source":"Taylor and Francis+NEJM","title":"Changing Preferences with Ageing – Housing Choices and Housing Plans of Older People","volume":"33","author":[{"family":"Abramsson","given":"Marianne"},{"family":"Andersson","given":"Eva"}],"issued":{"date-parts":[["2016",4,2]]}},"label":"page","suppress-author":true}],"schema":"https://github.com/citation-style-language/schema/raw/master/csl-citation.json"} </w:instrText>
      </w:r>
      <w:r w:rsidR="00EA01B9">
        <w:fldChar w:fldCharType="separate"/>
      </w:r>
      <w:r w:rsidR="00EA01B9" w:rsidRPr="00EA01B9">
        <w:t>(2016)</w:t>
      </w:r>
      <w:r w:rsidR="00EA01B9">
        <w:fldChar w:fldCharType="end"/>
      </w:r>
      <w:r w:rsidR="00DC5FED" w:rsidRPr="009B2F97">
        <w:t>, Carter</w:t>
      </w:r>
      <w:r w:rsidR="00EA01B9">
        <w:t xml:space="preserve"> </w:t>
      </w:r>
      <w:r w:rsidR="00EA01B9">
        <w:fldChar w:fldCharType="begin"/>
      </w:r>
      <w:r w:rsidR="000C4AE3">
        <w:instrText xml:space="preserve"> ADDIN ZOTERO_ITEM CSL_CITATION {"citationID":"KV2UpzXV","properties":{"formattedCitation":"(2011)","plainCitation":"(2011)","noteIndex":0},"citationItems":[{"id":690,"uris":["http://zotero.org/users/local/1ztI2Oc6/items/4V8DSZZX","http://zotero.org/users/12832277/items/4V8DSZZX"],"itemData":{"id":690,"type":"article-journal","abstract":"Housing tenure choice has been the subject of a very large literature. Many treatments have sought to estimate the effect of household income on the likelihood of home ownership. To date, no study has ever disaggregated the household income of married couples into the separate labor income components to see if one partner’s income has a different effect than the other. Using a derived likelihood function to control for censoring in the wife’s income, this paper estimates the effect of separate incomes on housing tenure choice, accounting for possible endogeneity of the wife’s income. To compare the results of this estimation method, the paper also estimates the standard IV models, 2SLS and IV probit. While the results show that there is no endogeneity of the wife’s income, ignoring the censoring of the endogenous variable (when a large fraction of observations are censored) can possibly lead to biased coefficient estimates. Also, this paper confirms the importance of total household income, which has a larger effect than the total disaggregated components.","container-title":"Journal of Housing Economics","DOI":"10.1016/j.jhe.2011.06.002","ISSN":"1051-1377","issue":"3","language":"en","page":"159-170","source":"ScienceDirect","title":"Housing Tenure Choice and the Dual Income Household","volume":"20","author":[{"family":"Carter","given":"Steven"}],"issued":{"date-parts":[["2011",9,1]]}},"label":"page","suppress-author":true}],"schema":"https://github.com/citation-style-language/schema/raw/master/csl-citation.json"} </w:instrText>
      </w:r>
      <w:r w:rsidR="00EA01B9">
        <w:fldChar w:fldCharType="separate"/>
      </w:r>
      <w:r w:rsidR="00F304D3" w:rsidRPr="00F304D3">
        <w:t>(2011)</w:t>
      </w:r>
      <w:r w:rsidR="00EA01B9">
        <w:fldChar w:fldCharType="end"/>
      </w:r>
      <w:r w:rsidR="00DC5FED" w:rsidRPr="009B2F97">
        <w:t xml:space="preserve">, Hartono et al. </w:t>
      </w:r>
      <w:r w:rsidR="00F304D3">
        <w:fldChar w:fldCharType="begin"/>
      </w:r>
      <w:r w:rsidR="008912F0">
        <w:instrText xml:space="preserve"> ADDIN ZOTERO_ITEM CSL_CITATION {"citationID":"STfMq68f","properties":{"formattedCitation":"(2020)","plainCitation":"(2020)","noteIndex":0},"citationItems":[{"id":756,"uris":["http://zotero.org/users/local/1ztI2Oc6/items/AJTDUZYJ","http://zotero.org/users/12832277/items/AJTDUZYJ"],"itemData":{"id":756,"type":"article-journal","abstract":"This study aims to identify the preferences of low-income people in making housing tenure choices within the next 5 years. Each person has the right to have a place to live in. However, the options available for low-income people to own a home are limited. Therefore, information on the preferences of low-income people in purchasing houses needs to be identified so that the government can formulate effective and efficient intervention policies. A sample of 1030 samples was obtained using the stratification sampling method, of which 638 are households had rental status (taking households with the lowest level of welfare between 10-40%) in the Regency and City. Discrete choice models were used to determine the preferences in owning a home. The study revealed that demographic variables and household characteristics variables (household size and length of stay) had consistent negative relationships with preferences for buying a house in the future. Also, the government needs to take action so that the socialization of housing policy becomes more optimal, effective and targeted. The goal of the policy socialization should be directed to newly married couples.","container-title":"Economics Development Analysis Journal","DOI":"10.15294/edaj.v9i1.37503","ISSN":"2252-6560","issue":"1","language":"en","license":"Copyright (c) 2020 Economics Development Analysis Journal","note":"number: 1","page":"76-86","source":"journal.unnes.ac.id","title":"Housing Tenure Choice of Low-Income Household in Jabodetabek","volume":"9","author":[{"family":"Hartono","given":"Djoni"},{"family":"Budiman","given":"Reza A."},{"family":"Hastuti","given":"Sasmita H."}],"issued":{"date-parts":[["2020",2,1]]}},"label":"page","suppress-author":true}],"schema":"https://github.com/citation-style-language/schema/raw/master/csl-citation.json"} </w:instrText>
      </w:r>
      <w:r w:rsidR="00F304D3">
        <w:fldChar w:fldCharType="separate"/>
      </w:r>
      <w:r w:rsidR="00F304D3" w:rsidRPr="00F304D3">
        <w:t>(2020)</w:t>
      </w:r>
      <w:r w:rsidR="00F304D3">
        <w:fldChar w:fldCharType="end"/>
      </w:r>
      <w:r w:rsidR="00DC5FED" w:rsidRPr="009B2F97">
        <w:t xml:space="preserve">, Manoj et al. </w:t>
      </w:r>
      <w:r w:rsidR="0029026E">
        <w:fldChar w:fldCharType="begin"/>
      </w:r>
      <w:r w:rsidR="000C4AE3">
        <w:instrText xml:space="preserve"> ADDIN ZOTERO_ITEM CSL_CITATION {"citationID":"zXTUmK84","properties":{"formattedCitation":"(2015)","plainCitation":"(2015)","noteIndex":0},"citationItems":[{"id":700,"uris":["http://zotero.org/users/local/1ztI2Oc6/items/FGLW5Y9J","http://zotero.org/users/12832277/items/FGLW5Y9J"],"itemData":{"id":700,"type":"article-journal","abstract":"This study attempts to identify various factors influencing individual’s choice of housing tenure with emphasis on the effect of commute trips on that choice. It also focuses on the sensitivity to various factors affecting the housing tenure choice between males and females of urban and rural areas. The study is based on both exploratory analysis and estimation of statistical models using a Household Travel Survey data collected for Bangalore Metropolitan Region in year 2010. The results indicate the role of both the land use attributes and commute travel characteristics on tenure choice and the behavioural difference between males and females. The sensitivity to various attributes is also observed to be varying between the individuals living in the urban and rural areas of the city. The finding that private mode use for commuting governs the housing tenure choice of individuals suggests that promotion of urban-transport policies such as Transit Oriented Development may be an effective strategy to curb the issues related to energy consumption and emission.","container-title":"Journal of Transport Geography","DOI":"10.1016/j.jtrangeo.2015.05.001","ISSN":"0966-6923","language":"en","page":"62-69","source":"ScienceDirect","title":"Commute Travel and Its Effect on Housing Tenure Choice of Males and Females Living in the Urban and Rural Areas of Bangalore City in India","volume":"45","author":[{"family":"Manoj","given":"M."},{"family":"Verma","given":"Ashish"},{"family":"Navyatha","given":"M."}],"issued":{"date-parts":[["2015",5,1]]}},"label":"page","suppress-author":true}],"schema":"https://github.com/citation-style-language/schema/raw/master/csl-citation.json"} </w:instrText>
      </w:r>
      <w:r w:rsidR="0029026E">
        <w:fldChar w:fldCharType="separate"/>
      </w:r>
      <w:r w:rsidR="0029026E" w:rsidRPr="0029026E">
        <w:t>(2015)</w:t>
      </w:r>
      <w:r w:rsidR="0029026E">
        <w:fldChar w:fldCharType="end"/>
      </w:r>
      <w:r w:rsidR="00DC5FED" w:rsidRPr="009B2F97">
        <w:t>, and Tang et al.</w:t>
      </w:r>
      <w:r w:rsidR="005C10C7" w:rsidRPr="009B2F97">
        <w:t xml:space="preserve"> </w:t>
      </w:r>
      <w:r w:rsidR="0029026E">
        <w:fldChar w:fldCharType="begin"/>
      </w:r>
      <w:r w:rsidR="000C4AE3">
        <w:instrText xml:space="preserve"> ADDIN ZOTERO_ITEM CSL_CITATION {"citationID":"0YLoiAtX","properties":{"formattedCitation":"(2017)","plainCitation":"(2017)","noteIndex":0},"citationItems":[{"id":752,"uris":["http://zotero.org/users/local/1ztI2Oc6/items/SYTQF6FH","http://zotero.org/users/12832277/items/SYTQF6FH"],"itemData":{"id":752,"type":"article-journal","abstract":"In China, rural migrants to urban destinations often experience poor living conditions and a low rate of homeownership, which are viewed as the results of urban institutional restrictions. Previous studies have primarily focused on rural migrants’ living conditions and comparisons of housing tenure between migrants and local citizens in large, high-level cities. However, the status and determinants of housing tenure choices of rural migrants in urban destinations other than large cities are generally overlooked. Moreover, several factors, such as rural landholding and migrants’ intention, are rarely studied. Using data from a 2010 survey conducted in Jiangsu Province, multinomial logistic regression models are adopted to explore the features and determinants of rural migrants’ tenure choices in urban destinations. In addition to the urban institutional scheme and housing market, rural land and migrants’ intention are found to play important roles in tenure choices of rural migrants in urban destinations.","container-title":"Housing Studies","DOI":"10.1080/02673037.2016.1210096","ISSN":"0267-3037","issue":"3","note":"publisher: Routledge\n_eprint: https://doi.org/10.1080/02673037.2016.1210096","page":"361-378","source":"Taylor and Francis+NEJM","title":"Housing Tenure Choices of Rural Migrants in Urban Destinations: A Case Study of Jiangsu Province, China","volume":"32","author":[{"family":"Tang","given":"Shuangshuang"},{"family":"Feng","given":"Jianxi"},{"family":"Li","given":"Mingye"}],"issued":{"date-parts":[["2017",4,3]]}},"label":"page","suppress-author":true}],"schema":"https://github.com/citation-style-language/schema/raw/master/csl-citation.json"} </w:instrText>
      </w:r>
      <w:r w:rsidR="0029026E">
        <w:fldChar w:fldCharType="separate"/>
      </w:r>
      <w:r w:rsidR="0029026E" w:rsidRPr="0029026E">
        <w:t>(2017)</w:t>
      </w:r>
      <w:r w:rsidR="0029026E">
        <w:fldChar w:fldCharType="end"/>
      </w:r>
      <w:r w:rsidR="005C10C7" w:rsidRPr="009B2F97">
        <w:t xml:space="preserve">. </w:t>
      </w:r>
      <w:r w:rsidR="00CC7285" w:rsidRPr="009B2F97">
        <w:t>In general, these studies</w:t>
      </w:r>
      <w:r w:rsidR="00B82529">
        <w:t xml:space="preserve">, some of which also control for the supply of rental and non-rental units available in the market </w:t>
      </w:r>
      <w:r w:rsidR="00B82529">
        <w:fldChar w:fldCharType="begin"/>
      </w:r>
      <w:r w:rsidR="000C4AE3">
        <w:instrText xml:space="preserve"> ADDIN ZOTERO_ITEM CSL_CITATION {"citationID":"yTTIJ7wu","properties":{"formattedCitation":"(Manoj et al., 2015)","plainCitation":"(Manoj et al., 2015)","dontUpdate":true,"noteIndex":0},"citationItems":[{"id":700,"uris":["http://zotero.org/users/local/1ztI2Oc6/items/FGLW5Y9J","http://zotero.org/users/12832277/items/FGLW5Y9J"],"itemData":{"id":700,"type":"article-journal","abstract":"This study attempts to identify various factors influencing individual’s choice of housing tenure with emphasis on the effect of commute trips on that choice. It also focuses on the sensitivity to various factors affecting the housing tenure choice between males and females of urban and rural areas. The study is based on both exploratory analysis and estimation of statistical models using a Household Travel Survey data collected for Bangalore Metropolitan Region in year 2010. The results indicate the role of both the land use attributes and commute travel characteristics on tenure choice and the behavioural difference between males and females. The sensitivity to various attributes is also observed to be varying between the individuals living in the urban and rural areas of the city. The finding that private mode use for commuting governs the housing tenure choice of individuals suggests that promotion of urban-transport policies such as Transit Oriented Development may be an effective strategy to curb the issues related to energy consumption and emission.","container-title":"Journal of Transport Geography","DOI":"10.1016/j.jtrangeo.2015.05.001","ISSN":"0966-6923","language":"en","page":"62-69","source":"ScienceDirect","title":"Commute Travel and Its Effect on Housing Tenure Choice of Males and Females Living in the Urban and Rural Areas of Bangalore City in India","volume":"45","author":[{"family":"Manoj","given":"M."},{"family":"Verma","given":"Ashish"},{"family":"Navyatha","given":"M."}],"issued":{"date-parts":[["2015",5,1]]}}}],"schema":"https://github.com/citation-style-language/schema/raw/master/csl-citation.json"} </w:instrText>
      </w:r>
      <w:r w:rsidR="00B82529">
        <w:fldChar w:fldCharType="separate"/>
      </w:r>
      <w:r w:rsidR="00B82529" w:rsidRPr="00B82529">
        <w:t>(</w:t>
      </w:r>
      <w:r w:rsidR="00B82529">
        <w:t xml:space="preserve">see, for example, </w:t>
      </w:r>
      <w:r w:rsidR="00B82529" w:rsidRPr="00B82529">
        <w:t>Manoj et al., 2015)</w:t>
      </w:r>
      <w:r w:rsidR="00B82529">
        <w:fldChar w:fldCharType="end"/>
      </w:r>
      <w:r w:rsidR="00B82529">
        <w:t xml:space="preserve">, </w:t>
      </w:r>
      <w:r w:rsidR="00CC7285" w:rsidRPr="009B2F97">
        <w:t>find that high income earning households</w:t>
      </w:r>
      <w:r>
        <w:t xml:space="preserve">, households with </w:t>
      </w:r>
      <w:r w:rsidR="00CC7285" w:rsidRPr="009B2F97">
        <w:t>middle age</w:t>
      </w:r>
      <w:r>
        <w:t>d and</w:t>
      </w:r>
      <w:r w:rsidR="00CC7285" w:rsidRPr="009B2F97">
        <w:t xml:space="preserve"> highly educated individuals, and those with children are particularly likely to own their homes, while urban households tend to be more likely than non-urban households to rent. </w:t>
      </w:r>
      <w:r>
        <w:t>Some o</w:t>
      </w:r>
      <w:r w:rsidR="005C10C7" w:rsidRPr="009B2F97">
        <w:t xml:space="preserve">ther studies examine </w:t>
      </w:r>
      <w:r w:rsidR="00507966" w:rsidRPr="009B2F97">
        <w:t xml:space="preserve">both </w:t>
      </w:r>
      <w:r w:rsidR="00EE72AD" w:rsidRPr="009B2F97">
        <w:t>dwelling unit characteristics a</w:t>
      </w:r>
      <w:r w:rsidR="005C10C7" w:rsidRPr="009B2F97">
        <w:t>long with</w:t>
      </w:r>
      <w:r w:rsidR="00EE72AD" w:rsidRPr="009B2F97">
        <w:t xml:space="preserve"> residential location</w:t>
      </w:r>
      <w:r w:rsidR="005C10C7" w:rsidRPr="009B2F97">
        <w:t>,</w:t>
      </w:r>
      <w:r w:rsidR="00EE72AD" w:rsidRPr="009B2F97">
        <w:t xml:space="preserve"> but </w:t>
      </w:r>
      <w:r w:rsidR="005C10C7" w:rsidRPr="009B2F97">
        <w:t xml:space="preserve">have </w:t>
      </w:r>
      <w:r w:rsidR="00EE72AD" w:rsidRPr="009B2F97">
        <w:t>considered the outcomes along each dimension to be independent</w:t>
      </w:r>
      <w:r w:rsidR="003D7D92" w:rsidRPr="009B2F97">
        <w:t xml:space="preserve"> </w:t>
      </w:r>
      <w:r w:rsidR="003D7D92" w:rsidRPr="009B2F97">
        <w:fldChar w:fldCharType="begin"/>
      </w:r>
      <w:r w:rsidR="000C4AE3">
        <w:instrText xml:space="preserve"> ADDIN ZOTERO_ITEM CSL_CITATION {"citationID":"Mkg9wG22","properties":{"formattedCitation":"(Acheampong, 2018; Jansen, 2012; Kaplan et al., 2011)","plainCitation":"(Acheampong, 2018; Jansen, 2012; Kaplan et al., 2011)","dontUpdate":true,"noteIndex":0},"citationItems":[{"id":94,"uris":["http://zotero.org/users/local/1ztI2Oc6/items/8GAPFCR2","http://zotero.org/users/12832277/items/8GAPFCR2"],"itemData":{"id":94,"type":"article-journal","abstract":"Residential and job location decisions have lasting impacts on the emergent structure of cities, which in turn, determines travel patterns, energy use and travel-related greenhouse gas emissions. The ability to understand and predict these choice processes are therefore crucial to long-term sustainable urban land use and transport strategies. Understanding housing-job location choice processes requires unpacking the interplay among heterogeneous attributes of decision-makers on the one hand, and various location-defining attributes observable at multiple spatial scales on the other hand. Also, to better understand the interdependence between these location choice sets, empirical examination of how the home and work locations respond to each other over time is necessary. This study responds to these empirical imperatives by exploring residential-job location choice behaviour of households and individuals in a metropolitan context in Ghana, West Africa. The study utilizes data from a cross-sectional survey of 665 households and their 1158 individual workers in the Kumasi metropolis, Ghana’s second largest metropolis. Results show variations in preferences among households and individuals for macro-scale location-defining factors as well as discrete spatial choice alternatives specified as urban-zones, dwelling types and tenancy arrangements. Retrospective analysis of the residential-job choice interdependence shows that in most cases, residential location decisions are taken first, implying a sequential choice process where job location decisions are subsequently anchored on the initial home locations. Besides the in-depth empirical contributions, the paper outlines how the findings could ultimately inform the development of planning support systems to integrate location choice into sustainable urban development and transport management policies.","container-title":"Land Use Policy","DOI":"10.1016/j.landusepol.2018.07.007","ISSN":"0264-8377","language":"en","page":"397-409","source":"ScienceDirect","title":"Towards Incorporating Location Choice into Integrated Land Use and Transport Planning and Policy: A Multi-Scale Analysis of Residential and Job Location Choice Behaviour","title-short":"Towards Incorporating Location Choice into Integrated Land Use and Transport Planning and Policy","volume":"78","author":[{"family":"Acheampong","given":"Ransford A."}],"issued":{"date-parts":[["2018",11,1]]}}},{"id":124,"uris":["http://zotero.org/users/local/1ztI2Oc6/items/WSEGWCNR","http://zotero.org/users/12832277/items/WSEGWCNR"],"itemData":{"id":124,"type":"article-journal","abstract":"The demographic, socio-economic and socio-cultural shifts that have taken place in Western economies in recent decades have generated a broader variety in housing behavior. For this reason, some researchers argue that socio-demographic characteristics alone no longer suffice to predict the housing demand. They should be supplemented with ‘lifestyle’ variables. However, the worth of lifestyle for the prediction of the housing demand is a highly debated topic. The purpose of the current study, therefore, is to explore the worth of lifestyle (operationalized as values) in the prediction of residential preferences and choices. Data were collected through telephone interviews in January and February 2010. Respondents were asked to indicate the importance of 29 values as a guiding principle in housing. Furthermore, respondents who had indicated that they were willing to move (n = 930) were asked about their preferences for a number of dwelling characteristics, such as tenure and dwelling type. Respondents who had indicated that they were not willing to move (n = 667) provided their residential choices. Hierarchical logistic regression analyses were used to explore the relationship between values and residential preferences and choices, after correction for socio-demographic characteristics. The results showed that values might have some additional worth for predicting residential preferences and choices, but the relationship seems to be rather limited.","container-title":"Journal of Housing and the Built Environment","DOI":"10.1007/s10901-012-9270-0","ISSN":"1573-7772","issue":"3","language":"en","page":"273-300","source":"Springer Link","title":"What Is the Worth of Values in Guiding Residential Preferences and Choices?","volume":"27","author":[{"family":"Jansen","given":"Sylvia J. T."}],"issued":{"date-parts":[["2012",9,1]]}}},{"id":72,"uris":["http://zotero.org/users/local/1ztI2Oc6/items/L5ESM2H8","http://zotero.org/users/12832277/items/L5ESM2H8"],"itemData":{"id":72,"type":"article-journal","abstract":"This paper presents the development and estimation of a novel semi-compensatory model for residential choice. The model assumes that apartment seekers engage in a two-stage process, consisting of a non-compensatory strategy to retain only alternatives that meet search-criteria thresholds, followed by a compensatory strategy to finalize the choice. The first stage is represented by hierarchically correlated ordered-response models and the second stage by a multinomial logit model. The model estimation on data retrieved from a real-estate website, designed to track two-stage choice protocols, reveals the determinants of threshold selection and apartment choice. Results show that (i) threshold selection depends on individual characteristics, (ii) the proposed model is applicable to choice contexts with many alternatives, making it unique in the literature of semi-compensatory models and especially suitable for modeling residential choice, and (iii) the proposed model outperforms the compensatory model and reveals an upward bias in the parameters of the latter.","container-title":"The Annals of Regional Science","DOI":"10.1007/s00168-009-0350-3","ISSN":"1432-0592","issue":"1","language":"en","page":"51-80","source":"Springer Link","title":"Development and Estimation of a Semi-Compensatory Residential Choice Model Based on Explicit Choice Protocols","volume":"47","author":[{"family":"Kaplan","given":"Sigal"},{"family":"Bekhor","given":"Shlomo"},{"family":"Shiftan","given":"Yoram"}],"issued":{"date-parts":[["2011",8,1]]}}}],"schema":"https://github.com/citation-style-language/schema/raw/master/csl-citation.json"} </w:instrText>
      </w:r>
      <w:r w:rsidR="003D7D92" w:rsidRPr="009B2F97">
        <w:fldChar w:fldCharType="separate"/>
      </w:r>
      <w:r w:rsidR="003D7D92" w:rsidRPr="009B2F97">
        <w:t>(</w:t>
      </w:r>
      <w:r w:rsidR="007D7416" w:rsidRPr="009B2F97">
        <w:t xml:space="preserve">see </w:t>
      </w:r>
      <w:r w:rsidR="003D7D92" w:rsidRPr="009B2F97">
        <w:t>Acheampong, 2018; Jansen, 2012; Kaplan et al., 2011)</w:t>
      </w:r>
      <w:r w:rsidR="003D7D92" w:rsidRPr="009B2F97">
        <w:fldChar w:fldCharType="end"/>
      </w:r>
      <w:r w:rsidR="00EE72AD" w:rsidRPr="009B2F97">
        <w:t xml:space="preserve">. </w:t>
      </w:r>
      <w:r w:rsidR="00715581" w:rsidRPr="009B2F97">
        <w:t xml:space="preserve">For example, Acheampong </w:t>
      </w:r>
      <w:r w:rsidR="007246B0">
        <w:fldChar w:fldCharType="begin"/>
      </w:r>
      <w:r w:rsidR="000C4AE3">
        <w:instrText xml:space="preserve"> ADDIN ZOTERO_ITEM CSL_CITATION {"citationID":"VMr7hYik","properties":{"formattedCitation":"(2018)","plainCitation":"(2018)","noteIndex":0},"citationItems":[{"id":94,"uris":["http://zotero.org/users/local/1ztI2Oc6/items/8GAPFCR2","http://zotero.org/users/12832277/items/8GAPFCR2"],"itemData":{"id":94,"type":"article-journal","abstract":"Residential and job location decisions have lasting impacts on the emergent structure of cities, which in turn, determines travel patterns, energy use and travel-related greenhouse gas emissions. The ability to understand and predict these choice processes are therefore crucial to long-term sustainable urban land use and transport strategies. Understanding housing-job location choice processes requires unpacking the interplay among heterogeneous attributes of decision-makers on the one hand, and various location-defining attributes observable at multiple spatial scales on the other hand. Also, to better understand the interdependence between these location choice sets, empirical examination of how the home and work locations respond to each other over time is necessary. This study responds to these empirical imperatives by exploring residential-job location choice behaviour of households and individuals in a metropolitan context in Ghana, West Africa. The study utilizes data from a cross-sectional survey of 665 households and their 1158 individual workers in the Kumasi metropolis, Ghana’s second largest metropolis. Results show variations in preferences among households and individuals for macro-scale location-defining factors as well as discrete spatial choice alternatives specified as urban-zones, dwelling types and tenancy arrangements. Retrospective analysis of the residential-job choice interdependence shows that in most cases, residential location decisions are taken first, implying a sequential choice process where job location decisions are subsequently anchored on the initial home locations. Besides the in-depth empirical contributions, the paper outlines how the findings could ultimately inform the development of planning support systems to integrate location choice into sustainable urban development and transport management policies.","container-title":"Land Use Policy","DOI":"10.1016/j.landusepol.2018.07.007","ISSN":"0264-8377","language":"en","page":"397-409","source":"ScienceDirect","title":"Towards Incorporating Location Choice into Integrated Land Use and Transport Planning and Policy: A Multi-Scale Analysis of Residential and Job Location Choice Behaviour","title-short":"Towards Incorporating Location Choice into Integrated Land Use and Transport Planning and Policy","volume":"78","author":[{"family":"Acheampong","given":"Ransford A."}],"issued":{"date-parts":[["2018",11,1]]}},"label":"page","suppress-author":true}],"schema":"https://github.com/citation-style-language/schema/raw/master/csl-citation.json"} </w:instrText>
      </w:r>
      <w:r w:rsidR="007246B0">
        <w:fldChar w:fldCharType="separate"/>
      </w:r>
      <w:r w:rsidR="007246B0" w:rsidRPr="007246B0">
        <w:t>(2018)</w:t>
      </w:r>
      <w:r w:rsidR="007246B0">
        <w:fldChar w:fldCharType="end"/>
      </w:r>
      <w:r w:rsidR="00715581" w:rsidRPr="009B2F97">
        <w:t xml:space="preserve"> obse</w:t>
      </w:r>
      <w:r w:rsidR="00715581" w:rsidRPr="009434FD">
        <w:t>rve</w:t>
      </w:r>
      <w:r w:rsidR="00FB1E9A">
        <w:t>s</w:t>
      </w:r>
      <w:r w:rsidR="00715581" w:rsidRPr="009434FD">
        <w:t xml:space="preserve"> that </w:t>
      </w:r>
      <w:r w:rsidR="00FB1E9A">
        <w:t xml:space="preserve">households with </w:t>
      </w:r>
      <w:r w:rsidR="00715581" w:rsidRPr="008253CB">
        <w:t>children</w:t>
      </w:r>
      <w:r w:rsidR="00F121A6" w:rsidRPr="009179E5">
        <w:t xml:space="preserve">, </w:t>
      </w:r>
      <w:r w:rsidR="00F121A6" w:rsidRPr="009B2F97">
        <w:t xml:space="preserve">high income households, and </w:t>
      </w:r>
      <w:r>
        <w:t xml:space="preserve">households </w:t>
      </w:r>
      <w:r w:rsidR="00F121A6" w:rsidRPr="009B2F97">
        <w:t xml:space="preserve">living in low density areas are more likely to live in detached housing </w:t>
      </w:r>
      <w:r w:rsidR="00FB1E9A">
        <w:t xml:space="preserve">units </w:t>
      </w:r>
      <w:r w:rsidR="00F121A6" w:rsidRPr="009B2F97">
        <w:t>than other households, similar to the results related to tenure type.</w:t>
      </w:r>
      <w:r w:rsidR="0058675B" w:rsidRPr="009B2F97">
        <w:t xml:space="preserve"> </w:t>
      </w:r>
      <w:r>
        <w:t>Only t</w:t>
      </w:r>
      <w:r w:rsidR="0058675B" w:rsidRPr="009B2F97">
        <w:t xml:space="preserve">wo </w:t>
      </w:r>
      <w:r w:rsidR="00CE47CD" w:rsidRPr="009B2F97">
        <w:t xml:space="preserve">published </w:t>
      </w:r>
      <w:r w:rsidR="0058675B" w:rsidRPr="009B2F97">
        <w:t xml:space="preserve">studies </w:t>
      </w:r>
      <w:r>
        <w:t xml:space="preserve">that we are aware of </w:t>
      </w:r>
      <w:r w:rsidR="0058675B" w:rsidRPr="009B2F97">
        <w:t xml:space="preserve">have used joint models </w:t>
      </w:r>
      <w:r w:rsidR="000713A9" w:rsidRPr="009B2F97">
        <w:t xml:space="preserve">that integrate both dwelling unit attributes and </w:t>
      </w:r>
      <w:r w:rsidR="0058675B" w:rsidRPr="009B2F97">
        <w:t>housing</w:t>
      </w:r>
      <w:r w:rsidR="000713A9" w:rsidRPr="009B2F97">
        <w:t xml:space="preserve"> location characteristics into a unified framework that recognizes the interdependence and interactions among </w:t>
      </w:r>
      <w:r w:rsidR="00CE47CD" w:rsidRPr="009B2F97">
        <w:t xml:space="preserve">the </w:t>
      </w:r>
      <w:r w:rsidR="000713A9" w:rsidRPr="009B2F97">
        <w:t>different dimensions</w:t>
      </w:r>
      <w:r w:rsidR="00CE47CD" w:rsidRPr="009B2F97">
        <w:t xml:space="preserve">: Frenkel and Kaplan </w:t>
      </w:r>
      <w:r w:rsidR="00BB445B">
        <w:fldChar w:fldCharType="begin"/>
      </w:r>
      <w:r w:rsidR="000C4AE3">
        <w:instrText xml:space="preserve"> ADDIN ZOTERO_ITEM CSL_CITATION {"citationID":"eLyk7Ejx","properties":{"formattedCitation":"(2015)","plainCitation":"(2015)","noteIndex":0},"citationItems":[{"id":731,"uris":["http://zotero.org/users/local/1ztI2Oc6/items/F9A9J9DB","http://zotero.org/users/12832277/items/F9A9J9DB"],"itemData":{"id":731,"type":"article-journal","abstract":"This study investigates knowledge-workers’ housing preferences in terms of tenure, dwelling type, location and size. The analysis is conducted by applying a joint multinomial-logit ordered-response model to the housing choices of knowledgeworkers residing in the Tel-Aviv metropolitan region and working in the high-tech and finance sectors. The results confirm the following hypotheses: (i) controlling for socioeconomic characteristics and workplace, knowledge-workers’ housing choices relate to their lifestyle; (ii) knowledge-workers with a culture-oriented lifestyle prefer to rent small apartments in central locations; (iii) knowledge-workers with a home-oriented lifestyle prefer large dwelling units, mainly single-detached houses, in suburban locations.","container-title":"Letters in Spatial and Resource Sciences","DOI":"10.1007/s12076-014-0131-1","ISSN":"1864-404X","issue":"3","language":"en","page":"233-251","source":"Springer Link","title":"The Joint Choice of Tenure, Dwelling Type, Size and Location: The Effect of Home-Oriented Versus Culture-Oriented Lifestyle","volume":"8","author":[{"family":"Frenkel","given":"Amnon"},{"family":"Kaplan","given":"Sigal"}],"issued":{"date-parts":[["2015",11,1]]}},"label":"page","suppress-author":true}],"schema":"https://github.com/citation-style-language/schema/raw/master/csl-citation.json"} </w:instrText>
      </w:r>
      <w:r w:rsidR="00BB445B">
        <w:fldChar w:fldCharType="separate"/>
      </w:r>
      <w:r w:rsidR="00BB445B" w:rsidRPr="00BB445B">
        <w:t>(2015)</w:t>
      </w:r>
      <w:r w:rsidR="00BB445B">
        <w:fldChar w:fldCharType="end"/>
      </w:r>
      <w:r w:rsidR="00CE47CD" w:rsidRPr="009B2F97">
        <w:t xml:space="preserve"> and Bhat </w:t>
      </w:r>
      <w:r w:rsidR="00BB445B">
        <w:fldChar w:fldCharType="begin"/>
      </w:r>
      <w:r w:rsidR="000C4AE3">
        <w:instrText xml:space="preserve"> ADDIN ZOTERO_ITEM CSL_CITATION {"citationID":"JgAjNTTn","properties":{"formattedCitation":"(2015a)","plainCitation":"(2015a)","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R."}],"issued":{"date-parts":[["2015",9,1]]}},"label":"page","suppress-author":true}],"schema":"https://github.com/citation-style-language/schema/raw/master/csl-citation.json"} </w:instrText>
      </w:r>
      <w:r w:rsidR="00BB445B">
        <w:fldChar w:fldCharType="separate"/>
      </w:r>
      <w:r w:rsidR="007246B0" w:rsidRPr="007246B0">
        <w:t>(2015a)</w:t>
      </w:r>
      <w:r w:rsidR="00BB445B">
        <w:fldChar w:fldCharType="end"/>
      </w:r>
      <w:r w:rsidR="000713A9" w:rsidRPr="009B2F97">
        <w:t>.</w:t>
      </w:r>
      <w:r w:rsidR="00CE47CD" w:rsidRPr="009B2F97">
        <w:t xml:space="preserve"> </w:t>
      </w:r>
    </w:p>
    <w:p w14:paraId="769066EE" w14:textId="763271F5" w:rsidR="0023723B" w:rsidRDefault="00E21817" w:rsidP="006F37E3">
      <w:pPr>
        <w:spacing w:after="0" w:line="240" w:lineRule="auto"/>
        <w:jc w:val="both"/>
      </w:pPr>
      <w:r w:rsidRPr="009B2F97">
        <w:tab/>
      </w:r>
      <w:r w:rsidR="0095109A" w:rsidRPr="009B2F97">
        <w:t xml:space="preserve">Frenkel and Kaplan </w:t>
      </w:r>
      <w:r w:rsidR="0095109A" w:rsidRPr="009B2F97">
        <w:fldChar w:fldCharType="begin"/>
      </w:r>
      <w:r w:rsidR="000C4AE3">
        <w:instrText xml:space="preserve"> ADDIN ZOTERO_ITEM CSL_CITATION {"citationID":"2V2giP57","properties":{"formattedCitation":"(2015)","plainCitation":"(2015)","noteIndex":0},"citationItems":[{"id":731,"uris":["http://zotero.org/users/local/1ztI2Oc6/items/F9A9J9DB","http://zotero.org/users/12832277/items/F9A9J9DB"],"itemData":{"id":731,"type":"article-journal","abstract":"This study investigates knowledge-workers’ housing preferences in terms of tenure, dwelling type, location and size. The analysis is conducted by applying a joint multinomial-logit ordered-response model to the housing choices of knowledgeworkers residing in the Tel-Aviv metropolitan region and working in the high-tech and finance sectors. The results confirm the following hypotheses: (i) controlling for socioeconomic characteristics and workplace, knowledge-workers’ housing choices relate to their lifestyle; (ii) knowledge-workers with a culture-oriented lifestyle prefer to rent small apartments in central locations; (iii) knowledge-workers with a home-oriented lifestyle prefer large dwelling units, mainly single-detached houses, in suburban locations.","container-title":"Letters in Spatial and Resource Sciences","DOI":"10.1007/s12076-014-0131-1","ISSN":"1864-404X","issue":"3","language":"en","page":"233-251","source":"Springer Link","title":"The Joint Choice of Tenure, Dwelling Type, Size and Location: The Effect of Home-Oriented Versus Culture-Oriented Lifestyle","volume":"8","author":[{"family":"Frenkel","given":"Amnon"},{"family":"Kaplan","given":"Sigal"}],"issued":{"date-parts":[["2015",11,1]]}},"label":"page","suppress-author":true}],"schema":"https://github.com/citation-style-language/schema/raw/master/csl-citation.json"} </w:instrText>
      </w:r>
      <w:r w:rsidR="0095109A" w:rsidRPr="009B2F97">
        <w:fldChar w:fldCharType="separate"/>
      </w:r>
      <w:r w:rsidR="0095109A" w:rsidRPr="009B2F97">
        <w:t>(2015)</w:t>
      </w:r>
      <w:r w:rsidR="0095109A" w:rsidRPr="009B2F97">
        <w:fldChar w:fldCharType="end"/>
      </w:r>
      <w:r w:rsidR="00797167" w:rsidRPr="009B2F97">
        <w:t xml:space="preserve"> </w:t>
      </w:r>
      <w:r w:rsidR="002C027C" w:rsidRPr="009434FD">
        <w:t>estimat</w:t>
      </w:r>
      <w:r w:rsidR="00B84EF4">
        <w:t>e</w:t>
      </w:r>
      <w:r w:rsidR="002C027C" w:rsidRPr="009B2F97">
        <w:t xml:space="preserve"> a joint model of </w:t>
      </w:r>
      <w:r w:rsidR="00EB61FA" w:rsidRPr="009B2F97">
        <w:t>housing type</w:t>
      </w:r>
      <w:r w:rsidR="002C027C" w:rsidRPr="009B2F97">
        <w:t xml:space="preserve">, tenure type, </w:t>
      </w:r>
      <w:r w:rsidR="008E3EBA" w:rsidRPr="009B2F97">
        <w:t xml:space="preserve">number of bedrooms, </w:t>
      </w:r>
      <w:r w:rsidR="002C027C" w:rsidRPr="009B2F97">
        <w:t xml:space="preserve">and </w:t>
      </w:r>
      <w:r w:rsidR="006F4F03" w:rsidRPr="009B2F97">
        <w:t>location choice.</w:t>
      </w:r>
      <w:r w:rsidR="00B84EF4">
        <w:t xml:space="preserve"> T</w:t>
      </w:r>
      <w:r w:rsidR="006F4F03" w:rsidRPr="009B2F97">
        <w:t xml:space="preserve">he location dimension </w:t>
      </w:r>
      <w:r w:rsidR="00CE7923" w:rsidRPr="009B2F97">
        <w:t>i</w:t>
      </w:r>
      <w:r w:rsidR="006F4F03" w:rsidRPr="009B2F97">
        <w:t xml:space="preserve">s limited to </w:t>
      </w:r>
      <w:r w:rsidR="00B84EF4">
        <w:t xml:space="preserve">a differentiation </w:t>
      </w:r>
      <w:r w:rsidR="006F4F03" w:rsidRPr="009B2F97">
        <w:t xml:space="preserve">between </w:t>
      </w:r>
      <w:r w:rsidR="00210EB1" w:rsidRPr="009B2F97">
        <w:t>central district</w:t>
      </w:r>
      <w:r w:rsidR="00B84EF4">
        <w:t>s</w:t>
      </w:r>
      <w:r w:rsidR="00210EB1" w:rsidRPr="009B2F97">
        <w:t xml:space="preserve"> and suburban </w:t>
      </w:r>
      <w:r w:rsidR="00B84EF4">
        <w:t>neighborhoods</w:t>
      </w:r>
      <w:r w:rsidR="00210EB1" w:rsidRPr="009B2F97">
        <w:t xml:space="preserve">. </w:t>
      </w:r>
      <w:r w:rsidR="007C6BD9" w:rsidRPr="009B2F97">
        <w:t xml:space="preserve">Using data </w:t>
      </w:r>
      <w:r w:rsidR="00426536" w:rsidRPr="009B2F97">
        <w:t>collected from a revealed</w:t>
      </w:r>
      <w:r w:rsidR="00B84EF4">
        <w:t xml:space="preserve"> </w:t>
      </w:r>
      <w:r w:rsidR="00426536" w:rsidRPr="009B2F97">
        <w:t xml:space="preserve">preference survey of knowledge workers in Tel Aviv, </w:t>
      </w:r>
      <w:r w:rsidR="0066163C" w:rsidRPr="009B2F97">
        <w:t xml:space="preserve">Frenkel and Kaplan employ a Multinomial Logit-Ordered Response </w:t>
      </w:r>
      <w:r w:rsidR="007035BA" w:rsidRPr="009B2F97">
        <w:t xml:space="preserve">(MNL-OR) </w:t>
      </w:r>
      <w:r w:rsidR="0066163C" w:rsidRPr="009B2F97">
        <w:t>mod</w:t>
      </w:r>
      <w:r w:rsidR="007035BA" w:rsidRPr="009B2F97">
        <w:t xml:space="preserve">el </w:t>
      </w:r>
      <w:r w:rsidR="00B84EF4">
        <w:t xml:space="preserve">with </w:t>
      </w:r>
      <w:r w:rsidR="007035BA" w:rsidRPr="009B2F97">
        <w:t xml:space="preserve">a single </w:t>
      </w:r>
      <w:r w:rsidR="007E0EF0" w:rsidRPr="009B2F97">
        <w:t xml:space="preserve">MNL choice </w:t>
      </w:r>
      <w:r w:rsidR="00F855AC" w:rsidRPr="009B2F97">
        <w:t xml:space="preserve">for the </w:t>
      </w:r>
      <w:r w:rsidR="004E2EA5" w:rsidRPr="009B2F97">
        <w:t xml:space="preserve">package decision of housing type, tenure type, and </w:t>
      </w:r>
      <w:r w:rsidR="001C0D67" w:rsidRPr="009B2F97">
        <w:t>location</w:t>
      </w:r>
      <w:r w:rsidR="00B84EF4">
        <w:t>,</w:t>
      </w:r>
      <w:r w:rsidR="001C0D67" w:rsidRPr="009B2F97">
        <w:t xml:space="preserve"> </w:t>
      </w:r>
      <w:r w:rsidR="00F855AC" w:rsidRPr="009B2F97">
        <w:t>along with an OR choice for</w:t>
      </w:r>
      <w:r w:rsidR="001C0D67" w:rsidRPr="009B2F97">
        <w:t xml:space="preserve"> the number of bedrooms. </w:t>
      </w:r>
      <w:r w:rsidR="00A9273B" w:rsidRPr="009B2F97">
        <w:t xml:space="preserve">By estimating correlations between </w:t>
      </w:r>
      <w:r w:rsidR="005768E1" w:rsidRPr="009B2F97">
        <w:t>the number of bedrooms</w:t>
      </w:r>
      <w:r w:rsidR="00A9273B" w:rsidRPr="009B2F97">
        <w:t xml:space="preserve"> and each combination of </w:t>
      </w:r>
      <w:r w:rsidR="004C7E8D" w:rsidRPr="009B2F97">
        <w:t>housing type, tenure type, and location</w:t>
      </w:r>
      <w:r w:rsidR="00A9273B" w:rsidRPr="009B2F97">
        <w:t>, the researchers</w:t>
      </w:r>
      <w:r w:rsidR="0023723B">
        <w:t xml:space="preserve"> observe </w:t>
      </w:r>
      <w:r w:rsidR="00A9273B" w:rsidRPr="009B2F97">
        <w:t xml:space="preserve">that home ownership in suburban areas </w:t>
      </w:r>
      <w:r w:rsidR="0023723B">
        <w:t>i</w:t>
      </w:r>
      <w:r w:rsidR="00A9273B" w:rsidRPr="009B2F97">
        <w:t>s positively associated with a preference for larger dwelling units</w:t>
      </w:r>
      <w:r w:rsidR="00C20C2F" w:rsidRPr="009B2F97">
        <w:t xml:space="preserve">. </w:t>
      </w:r>
      <w:r w:rsidR="0023723B">
        <w:t xml:space="preserve">A </w:t>
      </w:r>
      <w:r w:rsidR="00B33AB6" w:rsidRPr="009B2F97">
        <w:t xml:space="preserve">broad range of exogenous variables </w:t>
      </w:r>
      <w:r w:rsidR="0023723B">
        <w:t>a</w:t>
      </w:r>
      <w:r w:rsidR="00B33AB6" w:rsidRPr="009B2F97">
        <w:t>re considered</w:t>
      </w:r>
      <w:r w:rsidR="00CE7923" w:rsidRPr="009B2F97">
        <w:t>,</w:t>
      </w:r>
      <w:r w:rsidR="00B33AB6" w:rsidRPr="009B2F97">
        <w:t xml:space="preserve"> including </w:t>
      </w:r>
      <w:r w:rsidR="00F46007" w:rsidRPr="009B2F97">
        <w:t xml:space="preserve">household-level sociodemographic information, activity </w:t>
      </w:r>
      <w:r w:rsidR="00B54F6D" w:rsidRPr="009B2F97">
        <w:t>patterns (either culture and entertainment</w:t>
      </w:r>
      <w:r w:rsidR="00CE7923" w:rsidRPr="009B2F97">
        <w:t>-</w:t>
      </w:r>
      <w:r w:rsidR="00B54F6D" w:rsidRPr="009B2F97">
        <w:t xml:space="preserve">oriented or </w:t>
      </w:r>
      <w:r w:rsidR="00EC606E" w:rsidRPr="009B2F97">
        <w:t>home</w:t>
      </w:r>
      <w:r w:rsidR="00CE7923" w:rsidRPr="009B2F97">
        <w:t>-</w:t>
      </w:r>
      <w:r w:rsidR="00EC606E" w:rsidRPr="009B2F97">
        <w:t xml:space="preserve">oriented), and accessibility to the workplace. </w:t>
      </w:r>
      <w:r w:rsidR="007B5CD8" w:rsidRPr="009B2F97">
        <w:t xml:space="preserve">Notably, accessibility to the workplace </w:t>
      </w:r>
      <w:r w:rsidR="005E0DB5" w:rsidRPr="009B2F97">
        <w:t>was</w:t>
      </w:r>
      <w:r w:rsidR="007B5CD8" w:rsidRPr="009B2F97">
        <w:t xml:space="preserve"> exogenous in this model rather than </w:t>
      </w:r>
      <w:r w:rsidR="00CE7923" w:rsidRPr="009B2F97">
        <w:t xml:space="preserve">an endogenous </w:t>
      </w:r>
      <w:r w:rsidR="007B5CD8" w:rsidRPr="009B2F97">
        <w:t xml:space="preserve">outcome. </w:t>
      </w:r>
      <w:r w:rsidR="00024457" w:rsidRPr="009B2F97">
        <w:tab/>
      </w:r>
    </w:p>
    <w:p w14:paraId="34F85321" w14:textId="24F428B6" w:rsidR="001B369F" w:rsidRPr="009B2F97" w:rsidRDefault="0095109A" w:rsidP="006F37E3">
      <w:pPr>
        <w:spacing w:after="0" w:line="240" w:lineRule="auto"/>
        <w:ind w:firstLine="720"/>
        <w:jc w:val="both"/>
      </w:pPr>
      <w:r w:rsidRPr="009B2F97">
        <w:t xml:space="preserve">Bhat </w:t>
      </w:r>
      <w:r w:rsidR="004E414C" w:rsidRPr="009B2F97">
        <w:fldChar w:fldCharType="begin"/>
      </w:r>
      <w:r w:rsidR="000C4AE3">
        <w:instrText xml:space="preserve"> ADDIN ZOTERO_ITEM CSL_CITATION {"citationID":"6kjEasRT","properties":{"formattedCitation":"(2015a)","plainCitation":"(2015a)","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R."}],"issued":{"date-parts":[["2015",9,1]]}},"label":"page","suppress-author":true}],"schema":"https://github.com/citation-style-language/schema/raw/master/csl-citation.json"} </w:instrText>
      </w:r>
      <w:r w:rsidR="004E414C" w:rsidRPr="009B2F97">
        <w:fldChar w:fldCharType="separate"/>
      </w:r>
      <w:r w:rsidR="00740933" w:rsidRPr="00740933">
        <w:t>(2015a)</w:t>
      </w:r>
      <w:r w:rsidR="004E414C" w:rsidRPr="009B2F97">
        <w:fldChar w:fldCharType="end"/>
      </w:r>
      <w:r w:rsidR="00C20C2F" w:rsidRPr="009B2F97">
        <w:t xml:space="preserve"> </w:t>
      </w:r>
      <w:r w:rsidR="003F33D1" w:rsidRPr="009B2F97">
        <w:t xml:space="preserve">is the only earlier study of housing choice that </w:t>
      </w:r>
      <w:r w:rsidR="00024457" w:rsidRPr="00D21817">
        <w:t xml:space="preserve">we are aware of that </w:t>
      </w:r>
      <w:r w:rsidR="0023723B">
        <w:t xml:space="preserve">models </w:t>
      </w:r>
      <w:r w:rsidR="00984CD6" w:rsidRPr="009B2F97">
        <w:t>a comprehensive set of</w:t>
      </w:r>
      <w:r w:rsidR="003F33D1" w:rsidRPr="009B2F97">
        <w:t xml:space="preserve"> dwelling unit </w:t>
      </w:r>
      <w:r w:rsidR="00120F17" w:rsidRPr="009B2F97">
        <w:t>attributes</w:t>
      </w:r>
      <w:r w:rsidR="00984CD6" w:rsidRPr="009B2F97">
        <w:t xml:space="preserve"> and location characteristics, including commute distance</w:t>
      </w:r>
      <w:r w:rsidR="0023723B">
        <w:t>,</w:t>
      </w:r>
      <w:r w:rsidR="003F33D1" w:rsidRPr="009B2F97">
        <w:t xml:space="preserve"> housing type, tenure type, housing cost, square footage of the unit, number of bedrooms</w:t>
      </w:r>
      <w:r w:rsidR="00984CD6" w:rsidRPr="009B2F97">
        <w:t>, number of</w:t>
      </w:r>
      <w:r w:rsidR="003F33D1" w:rsidRPr="009B2F97">
        <w:t xml:space="preserve"> bathrooms, lot size, number of stories, and population density of the neighborhood. </w:t>
      </w:r>
      <w:r w:rsidR="004B12A3" w:rsidRPr="009B2F97">
        <w:t xml:space="preserve">Bhat </w:t>
      </w:r>
      <w:r w:rsidR="00027ABF" w:rsidRPr="009B2F97">
        <w:t>utilize</w:t>
      </w:r>
      <w:r w:rsidR="0023723B">
        <w:t>s</w:t>
      </w:r>
      <w:r w:rsidR="00027ABF" w:rsidRPr="009B2F97">
        <w:t xml:space="preserve"> a GHDM mode</w:t>
      </w:r>
      <w:r w:rsidR="0023723B">
        <w:t xml:space="preserve">l with the latent lifestyle constructs of green lifestyle propensity and luxury lifestyle propensity to </w:t>
      </w:r>
      <w:r w:rsidR="007E7F6A" w:rsidRPr="009B2F97">
        <w:t>explor</w:t>
      </w:r>
      <w:r w:rsidR="0023723B">
        <w:t>e</w:t>
      </w:r>
      <w:r w:rsidR="007E7F6A" w:rsidRPr="009B2F97">
        <w:t xml:space="preserve"> the relationships </w:t>
      </w:r>
      <w:r w:rsidR="0023723B">
        <w:t>among</w:t>
      </w:r>
      <w:r w:rsidR="007E7F6A" w:rsidRPr="009B2F97">
        <w:t xml:space="preserve"> the various</w:t>
      </w:r>
      <w:r w:rsidR="00650D2C" w:rsidRPr="009B2F97">
        <w:t xml:space="preserve"> outcome</w:t>
      </w:r>
      <w:r w:rsidR="007E7F6A" w:rsidRPr="009B2F97">
        <w:t xml:space="preserve"> dimensions </w:t>
      </w:r>
      <w:r w:rsidR="00024457" w:rsidRPr="009B2F97">
        <w:t>jointly</w:t>
      </w:r>
      <w:r w:rsidR="00EB708F" w:rsidRPr="009B2F97">
        <w:t>.</w:t>
      </w:r>
      <w:r w:rsidR="00A4604E" w:rsidRPr="009B2F97">
        <w:t xml:space="preserve"> </w:t>
      </w:r>
      <w:r w:rsidR="00B92BFF">
        <w:t xml:space="preserve">According to the study, </w:t>
      </w:r>
      <w:r w:rsidR="00916F65" w:rsidRPr="009B2F97">
        <w:t>housing type i</w:t>
      </w:r>
      <w:r w:rsidR="0023723B">
        <w:t xml:space="preserve">nfluences housing </w:t>
      </w:r>
      <w:r w:rsidR="00916F65" w:rsidRPr="009B2F97">
        <w:t xml:space="preserve">cost, and both housing type and cost impact tenure type and residential location. </w:t>
      </w:r>
      <w:r w:rsidR="00326DA7" w:rsidRPr="009B2F97">
        <w:t xml:space="preserve">Bhat’s study also </w:t>
      </w:r>
      <w:r w:rsidR="00B92BFF">
        <w:t xml:space="preserve">underscores the importance of considering </w:t>
      </w:r>
      <w:r w:rsidR="00326DA7" w:rsidRPr="009B2F97">
        <w:t xml:space="preserve">lifestyle preferences </w:t>
      </w:r>
      <w:r w:rsidR="00B92BFF">
        <w:t xml:space="preserve">in housing choice decisions. </w:t>
      </w:r>
    </w:p>
    <w:p w14:paraId="50873CE9" w14:textId="79EE814D" w:rsidR="003F33D1" w:rsidRDefault="001B369F" w:rsidP="006F37E3">
      <w:pPr>
        <w:spacing w:after="0" w:line="240" w:lineRule="auto"/>
        <w:ind w:firstLine="720"/>
        <w:jc w:val="both"/>
      </w:pPr>
      <w:r w:rsidRPr="009B2F97">
        <w:t xml:space="preserve">While contributing in important ways to the housing choice literature, </w:t>
      </w:r>
      <w:r w:rsidR="007246B0" w:rsidRPr="009B2F97">
        <w:t>Frenkel</w:t>
      </w:r>
      <w:r w:rsidRPr="009B2F97">
        <w:t xml:space="preserve"> and Kaplan (2015) and Bhat </w:t>
      </w:r>
      <w:r w:rsidR="001D2575">
        <w:fldChar w:fldCharType="begin"/>
      </w:r>
      <w:r w:rsidR="000C4AE3">
        <w:instrText xml:space="preserve"> ADDIN ZOTERO_ITEM CSL_CITATION {"citationID":"oXQ4K0xl","properties":{"formattedCitation":"(2015a)","plainCitation":"(2015a)","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R."}],"issued":{"date-parts":[["2015",9,1]]}},"label":"page","suppress-author":true}],"schema":"https://github.com/citation-style-language/schema/raw/master/csl-citation.json"} </w:instrText>
      </w:r>
      <w:r w:rsidR="001D2575">
        <w:fldChar w:fldCharType="separate"/>
      </w:r>
      <w:r w:rsidR="00195A35" w:rsidRPr="00195A35">
        <w:t>(2015a)</w:t>
      </w:r>
      <w:r w:rsidR="001D2575">
        <w:fldChar w:fldCharType="end"/>
      </w:r>
      <w:r w:rsidRPr="009B2F97">
        <w:t xml:space="preserve"> were conducted prior to the pandemic. The two studies also did not </w:t>
      </w:r>
      <w:r w:rsidR="00326DA7" w:rsidRPr="009B2F97">
        <w:t>consider neighborhood socioeconomic characteristics, such as school quality and crime rates, as part of the package decision.</w:t>
      </w:r>
      <w:r w:rsidR="00775000" w:rsidRPr="009B2F97">
        <w:t xml:space="preserve"> </w:t>
      </w:r>
    </w:p>
    <w:p w14:paraId="20DDF6B3" w14:textId="77777777" w:rsidR="009B2F97" w:rsidRPr="009B2F97" w:rsidRDefault="009B2F97" w:rsidP="006F37E3">
      <w:pPr>
        <w:spacing w:after="0" w:line="240" w:lineRule="auto"/>
        <w:ind w:firstLine="720"/>
        <w:jc w:val="both"/>
      </w:pPr>
    </w:p>
    <w:p w14:paraId="530095F0" w14:textId="4C9875D7" w:rsidR="009835CC" w:rsidRPr="009B2F97" w:rsidRDefault="007F63C4" w:rsidP="006F37E3">
      <w:pPr>
        <w:spacing w:after="0" w:line="240" w:lineRule="auto"/>
        <w:jc w:val="both"/>
        <w:rPr>
          <w:b/>
          <w:bCs/>
        </w:rPr>
      </w:pPr>
      <w:r w:rsidRPr="009B2F97">
        <w:rPr>
          <w:b/>
          <w:bCs/>
        </w:rPr>
        <w:t>2.</w:t>
      </w:r>
      <w:r w:rsidR="006435C1" w:rsidRPr="009B2F97">
        <w:rPr>
          <w:b/>
          <w:bCs/>
        </w:rPr>
        <w:t>4</w:t>
      </w:r>
      <w:r w:rsidRPr="009B2F97">
        <w:rPr>
          <w:b/>
          <w:bCs/>
        </w:rPr>
        <w:t xml:space="preserve"> </w:t>
      </w:r>
      <w:r w:rsidR="00985603" w:rsidRPr="009B2F97">
        <w:rPr>
          <w:b/>
          <w:bCs/>
        </w:rPr>
        <w:t xml:space="preserve">Study in </w:t>
      </w:r>
      <w:r w:rsidR="00245D75" w:rsidRPr="009B2F97">
        <w:rPr>
          <w:b/>
          <w:bCs/>
        </w:rPr>
        <w:t>C</w:t>
      </w:r>
      <w:r w:rsidR="00985603" w:rsidRPr="009B2F97">
        <w:rPr>
          <w:b/>
          <w:bCs/>
        </w:rPr>
        <w:t>ontext</w:t>
      </w:r>
    </w:p>
    <w:p w14:paraId="33BB93A7" w14:textId="7AB706F4" w:rsidR="002E39A2" w:rsidRPr="009B2F97" w:rsidRDefault="00AD7F12" w:rsidP="006F37E3">
      <w:pPr>
        <w:spacing w:after="0" w:line="240" w:lineRule="auto"/>
        <w:jc w:val="both"/>
      </w:pPr>
      <w:r w:rsidRPr="009B2F97">
        <w:t xml:space="preserve">The current study </w:t>
      </w:r>
      <w:r w:rsidR="00D234A6" w:rsidRPr="009B2F97">
        <w:t>examines</w:t>
      </w:r>
      <w:r w:rsidR="002E39A2" w:rsidRPr="009B2F97">
        <w:t xml:space="preserve"> the multitude of</w:t>
      </w:r>
      <w:r w:rsidR="00D234A6" w:rsidRPr="009B2F97">
        <w:t xml:space="preserve"> </w:t>
      </w:r>
      <w:r w:rsidR="004A542E" w:rsidRPr="009B2F97">
        <w:t xml:space="preserve">housing </w:t>
      </w:r>
      <w:r w:rsidR="002E39A2" w:rsidRPr="009B2F97">
        <w:t xml:space="preserve">dimension </w:t>
      </w:r>
      <w:r w:rsidR="004A542E" w:rsidRPr="009B2F97">
        <w:t>choice</w:t>
      </w:r>
      <w:r w:rsidR="0031010C" w:rsidRPr="009B2F97">
        <w:t xml:space="preserve">s </w:t>
      </w:r>
      <w:r w:rsidR="005E2E80" w:rsidRPr="009B2F97">
        <w:t xml:space="preserve">in the period </w:t>
      </w:r>
      <w:r w:rsidR="002E39A2" w:rsidRPr="009B2F97">
        <w:t xml:space="preserve">after the onset of the pandemic, employing a joint model incorporating both dwelling unit characteristics and housing location attributes. While many studies after the onset of the pandemic have pointed </w:t>
      </w:r>
      <w:r w:rsidR="002E39A2" w:rsidRPr="009B2F97">
        <w:lastRenderedPageBreak/>
        <w:t xml:space="preserve">out the changing preferences for dwelling unit attributes </w:t>
      </w:r>
      <w:r w:rsidR="002E39A2" w:rsidRPr="009B2F97">
        <w:fldChar w:fldCharType="begin"/>
      </w:r>
      <w:r w:rsidR="000C4AE3">
        <w:instrText xml:space="preserve"> ADDIN ZOTERO_ITEM CSL_CITATION {"citationID":"N8RxBuLT","properties":{"unsorted":true,"formattedCitation":"(Kocur-Bera, 2022; Navas-Mart\\uc0\\u237{}n et al., 2022; Salon and Conway, 2022; Li et al., 2021; Liu and Su, 2021)","plainCitation":"(Kocur-Bera, 2022; Navas-Martín et al., 2022; Salon and Conway, 2022; Li et al., 2021; Liu and Su, 2021)","noteIndex":0},"citationItems":[{"id":364,"uris":["http://zotero.org/users/local/1ztI2Oc6/items/IU6U7QZG","http://zotero.org/users/12832277/items/IU6U7QZG"],"itemData":{"id":364,"type":"article-journal","abstract":"Flats/houses in the COVID-19 pandemic era became the central place for living, working, learning, studying and entertainment. According to Maslow’s pyramid, all the basic needs had to be satisfied within a single space, which caused a change in the importance of certain locational and physical features of the flat/house. This study aimed to investigate how the COVID-19 pandemic changed the perception of the environmental features and the physical features of flats/houses. The research material was obtained from a questionnaire study disseminated through different online channels. The study was conducted in Poland, and citizens’ preferences are linked to the prevailing spatial and socio-economic determinants. A group of respondents were presented with 23 features describing the location and 17 features describing the physical features of flats/houses. They were also asked questions about the level of satisfaction with the current location and housing features. The results were analysed, and the statistical significance of the difference in the perception of the location features and the physical features of the flat/house was verified using a Chi-squared test. The results demonstrated a change in the importance of certain attributes concerning both external and internal factors. The physical features of the flat/house appeared to be more important (from the respondents’ perspective) than the features related to the location, as most changes occurred in that group. The respondents indicated that access to medical care facilities had gained importance (+8%), while good access to public transport had declined (−9%). For the physical features of flats/houses, respondents from other countries also indicated the importance of other attributes, i.e., the floor area (+12%), number of rooms (+14%), additional rooms (+14%), and access to broadband Internet and digital platforms (+28%). The study showed that over 30% of respondents would change their flats/houses if their financial means permitted.","container-title":"International Journal of Environmental Research and Public Health","DOI":"10.3390/ijerph19095665","ISSN":"1660-4601","issue":"9","language":"en","license":"http://creativecommons.org/licenses/by/3.0/","note":"number: 9\npublisher: Multidisciplinary Digital Publishing Institute","source":"www.mdpi.com","title":"Impact of the COVID-19 Pandemic Era on Residential Property Features: Pilot Studies in Poland","URL":"https://www.mdpi.com/1660-4601/19/9/5665","volume":"19","author":[{"family":"Kocur-Bera","given":"Katarzyna"}],"accessed":{"date-parts":[["2023",3,23]]},"issued":{"date-parts":[["2022",1]]}}},{"id":366,"uris":["http://zotero.org/users/local/1ztI2Oc6/items/P9VLK2MV","http://zotero.org/users/12832277/items/P9VLK2MV"],"itemData":{"id":366,"type":"article-journal","abstract":"In the wake of the SARS-CoV-2 pandemic, promoted by the World Health Organization (WHO), governments urged people to stay at home. For this reason, practically all human activity took place inside the houses. The research question established if housing quality responded to people’s needs in the context of confinement. Specifically, the purpose was to taxonomize the dwelling stock occupied by confined households during the first COVID-19 wave in Spain, as well as to deepen in features and subjective perceptions on Indoor Environmental Quality (IEQ). As an exploratory study, an online questionnaire was disseminated in the Spring of 2020, obtaining 1,673 valid responses. A descriptive statistical analysis included sociodemographic, territorial and housing variables, related to indoor environmental quality, the availability of outdoor spaces, and the prospects for changes in. Also, a logistic regression stablished multivariate relations for the dependent variable “general dwelling satisfaction”. The results associated urban habitat, tenancy regime, higher incomes, and fewer cohabitants, with worse perceived IEQ, and lack of own outdoor space. Same variables showed relations with people’s desire for domestic changes. In conclusion, it is remarkable the determining role of housing design for dwellers’ satisfaction, especially in uncertain times like COVID-19 pandemic. This not only conditioned the different ways of inhabiting and occupying dwellings, but also the people’s capacity to face lockdown. The built environment, the habitat, and households’ circumstances also influenced. The latter did on people's perception of their experience, and how they lived and expressed it. Additionally, resilient building design and renovation opportunities were identified.","container-title":"Journal of Building Engineering","DOI":"10.1016/j.jobe.2022.105012","ISSN":"2352-7102","language":"en","source":"ScienceDirect","title":"Dwelling in Times of COVID-19: An Analysis on Habitability and Environmental Factors of Spanish Housing","URL":"https://www.sciencedirect.com/science/article/pii/S2352710222010221","volume":"60","author":[{"family":"Navas-Martín","given":"Miguel Ángel"},{"family":"Oteiza","given":"Ignacio"},{"family":"Cuerdo-Vilches","given":"Teresa"}],"accessed":{"date-parts":[["2023",3,23]]},"issued":{"date-parts":[["2022",11,15]]}}},{"id":297,"uris":["http://zotero.org/users/local/1ztI2Oc6/items/FEIHFDKJ","http://zotero.org/users/12832277/items/FEIHFDKJ"],"itemData":{"id":297,"type":"report","abstract":"Human behavior is notoriously difficult to change, but a disruption of the magnitude of the COVID-19 pandemic has the potential to bring about long-term behavioral changes. During the pandemic, people have been forced to experience new ways of interacting, working, learning, shopping, traveling, and eating meals. A critical question going forward is how these experiences have actually changed preferences and habits in ways that might persist after the pandemic ends. Many observers have suggested theories about what the future will bring, but concrete evidence has been lacking. We present evidence on how much US adults expect their own postpandemic choices to differ from their prepandemic lifestyles in the areas of telecommuting, restaurant patronage, air travel, online shopping, transit use, car commuting, uptake of walking and biking, and home location. The analysis is based on a nationally representative survey dataset collected between July and October 2020. Key findings include that the “new normal” will feature a doubling of telecommuting, reduced air travel, and improved quality of life for some.","event-place":"Tempe, AZ","publisher":"Arizona State University","publisher-place":"Tempe, AZ","title":"Investigating Attitudinal and Behavioral Changes in U.S. Households Before, During, and After the COVID-19 Pandemic","author":[{"family":"Salon","given":"Deborah"},{"family":"Conway","given":"Matthew"}],"issued":{"date-parts":[["2022",6]]}}},{"id":362,"uris":["http://zotero.org/users/local/1ztI2Oc6/items/T7ZTW3K2","http://zotero.org/users/12832277/items/T7ZTW3K2"],"itemData":{"id":362,"type":"article-journal","abstract":"The ongoing COVID-19 pandemic has left a strong imprint on many aspects of urban life. Gated communities (GCs) in China are less commonly perceived as a negative and segregated urban form of community compared to other contexts, owing to their wide variety and relative openness. Yet, the enhanced security zone function and the popularity of GCs, along with the heightened segregation and exclusion effects, mean they are most likely to emerge in post-pandemic urban China because of the perceived effectiveness of GCs in preventing health risks by excluding outsiders during the pandemic. Drawing on empirical data from Beijing, this research presents strong evidence for a strengthened perceived ‘security zone’ effect of GCs during the pandemic. Given that rigid pandemic control measures were organized at the community level, a large-scale household survey in Beijing suggests that residents commonly recognise the effectiveness of GCs in security control and show a strong preference for GCs over open communities after the pandemic, even though there is a lack of direct evidence of reduced COVID-19 risk in GCs. The heightened perceived ‘security zone’ function of GCs has shown a significant impact on the housing market, evidenced by an increase of 2% in the housing prices for GCs, compared with those of open communities. The rising popularity of GCs is also evidenced by a significant increase in property viewings by potential homebuyers and smaller price discounts in actual transactions in gated communities vis-à-vis open communities. We argue that the rising risk-averse sentiment in the post-pandemic era has given rise to the popularity of GCs. This study provides timely and fresh insights into the changing meaning of GCs in post-pandemic China.","container-title":"Land","DOI":"10.3390/land10090983","ISSN":"2073-445X","issue":"983","language":"en","license":"http://creativecommons.org/licenses/by/3.0/","note":"number: 9\npublisher: Multidisciplinary Digital Publishing Institute","source":"www.mdpi.com","title":"The Heightened ‘Security Zone’ Function of Gated Communities during the COVID-19 Pandemic and the Changing Housing Market Dynamic: Evidence from Beijing, China","title-short":"The Heightened ‘Security Zone’ Function of Gated Communities during the COVID-19 Pandemic and the Changing Housing Market Dynamic","URL":"https://www.mdpi.com/2073-445X/10/9/983","volume":"10","author":[{"family":"Li","given":"Ling"},{"family":"Wan","given":"Wayne Xinwei"},{"family":"He","given":"Shenjing"}],"accessed":{"date-parts":[["2023",3,23]]},"issued":{"date-parts":[["2021",9]]}}},{"id":354,"uris":["http://zotero.org/users/local/1ztI2Oc6/items/79RWN7B5","http://zotero.org/users/12832277/items/79RWN7B5"],"itemData":{"id":354,"type":"article-journal","abstract":"We study the impact of the COVID-19 pandemic on the location demand for housing. We find that the pandemic has led to a shift in housing demand away from neighborhoods with high population density. The reduced demand for density is driven partially by the diminished need for living close to telework-compatible jobs and the declining value of access to consumption amenities. Neighborhoods with high pre-COVID-19 home values also see a greater drop in housing demand. Moreover, we find a significant shift in housing demand away from large cities, though the magnitude is smaller.","container-title":"Economics Letters","DOI":"10.1016/j.econlet.2021.110010","ISSN":"0165-1765","language":"en","source":"ScienceDirect","title":"The Impact of the COVID-19 Pandemic on the Demand for Density: Evidence from the U.S. Housing Market","URL":"https://www.sciencedirect.com/science/article/pii/S0165176521002871","volume":"207","author":[{"family":"Liu","given":"Sitian"},{"family":"Su","given":"Yichen"}],"accessed":{"date-parts":[["2023",3,23]]},"issued":{"date-parts":[["2021",10,1]]}}}],"schema":"https://github.com/citation-style-language/schema/raw/master/csl-citation.json"} </w:instrText>
      </w:r>
      <w:r w:rsidR="002E39A2" w:rsidRPr="009B2F97">
        <w:fldChar w:fldCharType="separate"/>
      </w:r>
      <w:r w:rsidR="00297814" w:rsidRPr="00297814">
        <w:t>(Kocur-Bera, 2022; Navas-Martín et al., 2022; Salon and Conway, 2022; Li et al., 2021; Liu and Su, 2021)</w:t>
      </w:r>
      <w:r w:rsidR="002E39A2" w:rsidRPr="009B2F97">
        <w:fldChar w:fldCharType="end"/>
      </w:r>
      <w:r w:rsidR="002E39A2" w:rsidRPr="009B2F97">
        <w:t xml:space="preserve"> and housing location (</w:t>
      </w:r>
      <w:r w:rsidR="002E39A2" w:rsidRPr="009B2F97">
        <w:fldChar w:fldCharType="begin"/>
      </w:r>
      <w:r w:rsidR="000C4AE3">
        <w:instrText xml:space="preserve"> ADDIN ZOTERO_ITEM CSL_CITATION {"citationID":"FZbICgdc","properties":{"formattedCitation":"(Gupta et al., 2022; Huang et al., 2023; Liu and Su, 2021; McCord et al., 2022; Yang et al., 2023)","plainCitation":"(Gupta et al., 2022; Huang et al., 2023; Liu and Su, 2021; McCord et al., 2022; Yang et al., 2023)","dontUpdate":true,"noteIndex":0},"citationItems":[{"id":359,"uris":["http://zotero.org/users/local/1ztI2Oc6/items/8GATZ84T","http://zotero.org/users/12832277/items/8GATZ84T"],"itemData":{"id":359,"type":"article-journal","abstract":"We show that the COVID-19 pandemic brought house price and rent declines in city centers, and price and rent increases away from the center, thereby flattening the bid-rent curve in most U.S. metropolitan areas. Across MSAs, the flattening of the bid-rent curve is larger when working from home is more prevalent, housing markets are more regulated, and supply is less elastic. Housing markets predict an urban revival with urban rent growth exceeding suburban rent growth for the foreseeable future, as working from home recedes.","container-title":"Journal of Financial Economics","DOI":"10.1016/j.jfineco.2021.10.008","ISSN":"0304-405X","issue":"2","language":"en","page":"594-636","source":"ScienceDirect","title":"Flattening the Curve: Pandemic-Induced Revaluation of Urban Real Estate","title-short":"Flattening the Curve","volume":"146","author":[{"family":"Gupta","given":"Arpit"},{"family":"Mittal","given":"Vrinda"},{"family":"Peeters","given":"Jonas"},{"family":"Van Nieuwerburgh","given":"Stijn"}],"issued":{"date-parts":[["2022",11,1]]}}},{"id":349,"uris":["http://zotero.org/users/local/1ztI2Oc6/items/X8EZN2AR","http://zotero.org/users/12832277/items/X8EZN2AR"],"itemData":{"id":349,"type":"article-journal","abstract":"This paper investigates the effect of COVID-19 on both housing prices and housing price gradients in China using transaction level data from 60 Chinese cities. After using a difference-in-differences (DID) specification to disentangle the confounding effects of China's annual Spring Festival, we find that housing prices decreased by two percent immediately after the COVID-19 outbreak but gradually recovered by September 2020. Moreover, our findings suggest that COVID-19 flattens the horizontal housing price gradient, reduces the price premium for living in tall buildings, and changes the vertical gradient within residential buildings. This is likely explained by the changing household preferences towards low-density areas associated with lower infection risk.","container-title":"Journal of Urban Economics","DOI":"10.1016/j.jue.2022.103487","ISSN":"0094-1190","language":"en","source":"ScienceDirect","title":"COVID-19 and Household Preference for Urban Density in China","URL":"https://www.sciencedirect.com/science/article/pii/S009411902200064X","volume":"133","author":[{"family":"Huang","given":"Naqun"},{"family":"Pang","given":"Jindong"},{"family":"Yang","given":"Yanmin"}],"accessed":{"date-parts":[["2023",3,23]]},"issued":{"date-parts":[["2023",1,1]]}}},{"id":354,"uris":["http://zotero.org/users/local/1ztI2Oc6/items/79RWN7B5","http://zotero.org/users/12832277/items/79RWN7B5"],"itemData":{"id":354,"type":"article-journal","abstract":"We study the impact of the COVID-19 pandemic on the location demand for housing. We find that the pandemic has led to a shift in housing demand away from neighborhoods with high population density. The reduced demand for density is driven partially by the diminished need for living close to telework-compatible jobs and the declining value of access to consumption amenities. Neighborhoods with high pre-COVID-19 home values also see a greater drop in housing demand. Moreover, we find a significant shift in housing demand away from large cities, though the magnitude is smaller.","container-title":"Economics Letters","DOI":"10.1016/j.econlet.2021.110010","ISSN":"0165-1765","language":"en","source":"ScienceDirect","title":"The Impact of the COVID-19 Pandemic on the Demand for Density: Evidence from the U.S. Housing Market","URL":"https://www.sciencedirect.com/science/article/pii/S0165176521002871","volume":"207","author":[{"family":"Liu","given":"Sitian"},{"family":"Su","given":"Yichen"}],"accessed":{"date-parts":[["2023",3,23]]},"issued":{"date-parts":[["2021",10,1]]}}},{"id":373,"uris":["http://zotero.org/users/local/1ztI2Oc6/items/G4XVPCXE","http://zotero.org/users/12832277/items/G4XVPCXE"],"itemData":{"id":373,"type":"article-journal","abstract":"The recent onset of the COVID-19 pandemic has had a pervasive impact on all economies and indeed housing markets. This research investigates the regional impact of the pandemic on the Northern Ireland housing market and provides a unique opportunity to measure short-term reactions to epidemic shocks. Applying a unique dataset, the research measures whether price switching effects are evident as a consequence of the epidemic, and to what extent. In order to achieve this, the research applies spatial lag models to account for the effect of COVID-19 on housing market pricing behaviour. The findings show that the autocorrelation of house prices increased after COVID-19, revealing price persistence driven by behavioural changes. The results further show that a price divergent effect is observable, with the detached sector ‘leading’ the price changes. This price divergence is also apparent for rural dwellings and for neighbourhoods with higher socio-economic standing making them more resistant to the outbreak of COVID-19. This is an important finding as it reveals that epidemics of this nature impact upon housing markets in a heterogeneous way in the short-term, with a clear premium observed for larger housing in healthier and wealthier areas, which may serve to reinforce housing market inequalities.","container-title":"Journal of Property Research","DOI":"10.1080/09599916.2021.2023610","ISSN":"0959-9916","issue":"3","note":"publisher: Routledge\n_eprint: https://doi.org/10.1080/09599916.2021.2023610","page":"237-267","source":"Taylor and Francis+NEJM","title":"The Impact of COVID-19 on House Prices in Northern Ireland: Price Persistence, yet Divergent?","volume":"39","author":[{"family":"McCord","given":"M"},{"family":"Lo","given":"D"},{"family":"McCord","given":"J"},{"family":"Davis","given":"P"},{"family":"Haran","given":"M"},{"family":"Turley","given":"P"}],"issued":{"date-parts":[["2022",7,3]]}}},{"id":339,"uris":["http://zotero.org/users/local/1ztI2Oc6/items/AWDXGHJ7","http://zotero.org/users/12832277/items/AWDXGHJ7"],"itemData":{"id":339,"type":"article-journal","abstract":"Previous studies extensively examined the role of accessibility to metro in shaping house prices but largely overlooked the contribution of accessibility by metro. In addition, limited studies examined the moderating effect of COVID-19 on the price effects of to-metro and by-metro accessibility. Based on multilevel hedonic price and quantile regression models, this study scrutinizes the association between to-metro accessibility, by-metro accessibility, and house prices in Chengdu, China, and examines the moderating role of COVID-19 in this association. We show that by-metro accessibility significantly influences house prices. COVID-19 significantly influences the value of to-metro accessibility but marginally affects that of by-metro accessibility. The value of to-metro accessibility is disproportionately affected by the pandemic. Specifically, small or low-priced houses are less affected than big or high-priced houses. In other words, the flattening of the to-metro price gradient is more discernible for big or high-priced houses. The changing preference of residents has also been verified by the decreases in house transaction volume in metro-adjacent areas.","container-title":"Transportation Research Part D: Transport and Environment","DOI":"10.1016/j.trd.2022.103571","ISSN":"1361-9209","language":"en","source":"ScienceDirect","title":"COVID-19 Moderates the Association Between to-Metro and by-Metro Accessibility and House Prices","URL":"https://www.sciencedirect.com/science/article/pii/S1361920922003972","volume":"114","author":[{"family":"Yang","given":"Linchuan"},{"family":"Liang","given":"Yuan"},{"family":"He","given":"Baojie"},{"family":"Yang","given":"Hongtai"},{"family":"Lin","given":"Dong"}],"accessed":{"date-parts":[["2023",3,23]]},"issued":{"date-parts":[["2023",1,1]]}}}],"schema":"https://github.com/citation-style-language/schema/raw/master/csl-citation.json"} </w:instrText>
      </w:r>
      <w:r w:rsidR="002E39A2" w:rsidRPr="009B2F97">
        <w:fldChar w:fldCharType="separate"/>
      </w:r>
      <w:r w:rsidR="002E39A2" w:rsidRPr="009B2F97">
        <w:t xml:space="preserve">Gupta et al., 2022; Huang et </w:t>
      </w:r>
      <w:r w:rsidR="002E39A2" w:rsidRPr="00D21817">
        <w:t>al., 2023; Liu and Su, 2021; McCord et al., 2022; Yang et al., 2023)</w:t>
      </w:r>
      <w:r w:rsidR="002E39A2" w:rsidRPr="009B2F97">
        <w:fldChar w:fldCharType="end"/>
      </w:r>
      <w:r w:rsidR="002E39A2" w:rsidRPr="009B2F97">
        <w:t xml:space="preserve">, these studies have either (a) used a </w:t>
      </w:r>
      <w:r w:rsidR="00737222" w:rsidRPr="009B2F97">
        <w:t>bid-rent/</w:t>
      </w:r>
      <w:r w:rsidR="002E39A2" w:rsidRPr="009B2F97">
        <w:t>hedonic pricing approa</w:t>
      </w:r>
      <w:r w:rsidR="002E39A2" w:rsidRPr="00A02F3F">
        <w:t xml:space="preserve">ch in which the changing demand for housing services is rather abstract and does not </w:t>
      </w:r>
      <w:r w:rsidR="00737222" w:rsidRPr="00A02F3F">
        <w:t xml:space="preserve">immediately </w:t>
      </w:r>
      <w:r w:rsidR="002E39A2" w:rsidRPr="00A02F3F">
        <w:t xml:space="preserve">correspond to individual dimensions of the dwelling unit, </w:t>
      </w:r>
      <w:r w:rsidR="002E39A2" w:rsidRPr="009B2F97">
        <w:t xml:space="preserve">or (b) employed descriptive </w:t>
      </w:r>
      <w:r w:rsidR="005E2E80" w:rsidRPr="009B2F97">
        <w:t>or</w:t>
      </w:r>
      <w:r w:rsidR="00737222" w:rsidRPr="009B2F97">
        <w:t xml:space="preserve"> exploratory analysis </w:t>
      </w:r>
      <w:r w:rsidR="002E39A2" w:rsidRPr="009B2F97">
        <w:t>methods to examine changing housing behaviors. A</w:t>
      </w:r>
      <w:r w:rsidR="00737222" w:rsidRPr="009B2F97">
        <w:t>t the same time</w:t>
      </w:r>
      <w:r w:rsidR="002E39A2" w:rsidRPr="009B2F97">
        <w:t xml:space="preserve">, many recent studies have </w:t>
      </w:r>
      <w:r w:rsidR="00737222" w:rsidRPr="009B2F97">
        <w:t>suggested tha</w:t>
      </w:r>
      <w:r w:rsidR="0045577D">
        <w:t>t</w:t>
      </w:r>
      <w:r w:rsidR="00737222" w:rsidRPr="009B2F97">
        <w:t xml:space="preserve"> </w:t>
      </w:r>
      <w:r w:rsidR="002E39A2" w:rsidRPr="009B2F97">
        <w:t xml:space="preserve">pandemic-induced </w:t>
      </w:r>
      <w:r w:rsidR="00737222" w:rsidRPr="009B2F97">
        <w:t xml:space="preserve">activity pattern </w:t>
      </w:r>
      <w:r w:rsidR="002E39A2" w:rsidRPr="009B2F97">
        <w:t xml:space="preserve">changes, </w:t>
      </w:r>
      <w:r w:rsidR="00737222" w:rsidRPr="009B2F97">
        <w:t>especially</w:t>
      </w:r>
      <w:r w:rsidR="002E39A2" w:rsidRPr="009B2F97">
        <w:t xml:space="preserve"> those related to remote working conditions, are likely to persist </w:t>
      </w:r>
      <w:r w:rsidR="002E39A2" w:rsidRPr="009B2F97">
        <w:fldChar w:fldCharType="begin"/>
      </w:r>
      <w:r w:rsidR="000C4AE3">
        <w:instrText xml:space="preserve"> ADDIN ZOTERO_ITEM CSL_CITATION {"citationID":"TF6Gjrv3","properties":{"formattedCitation":"(Florida et al., 2021; Mehta, 2020; Smite et al., 2023; Song et al., 2023)","plainCitation":"(Florida et al., 2021; Mehta, 2020; Smite et al., 2023; Song et al., 2023)","noteIndex":0},"citationItems":[{"id":627,"uris":["http://zotero.org/users/local/1ztI2Oc6/items/3BJF7QZR","http://zotero.org/users/12832277/items/3BJF7QZR"],"itemData":{"id":627,"type":"article-journal","abstract":"This paper examines the effect of the COVID-19 pandemic and its related economic, fiscal, social and political fallout on cities and metropolitan regions. We assess the effect of the pandemic on urban economic geography at the intra- and inter-regional geographic scales in the context of four main forces: the social scarring instilled by the pandemic; the lockdown as a forced experiment; the need to secure the urban built environment against future risks; and changes in the urban form and system. At the macrogeographic scale, we argue the pandemic is unlikely to significantly alter the winner-take-all economic geography and spatial inequality of the global city system. At the microgeographic scale, however, we suggest that it may bring about a series of short-term and some longer-running social changes in the structure and morphology of cities, suburbs and metropolitan regions. The durability and extent of these changes will depend on the timeline and length of the pandemic.","container-title":"Urban Studies","DOI":"10.1177/00420980211018072","ISSN":"0042-0980","language":"en","note":"publisher: SAGE Publications Ltd","page":"00420980211018072","source":"SAGE Journals","title":"Cities in a Post-COVID World","author":[{"family":"Florida","given":"Richard"},{"family":"Rodríguez-Pose","given":"Andrés"},{"family":"Storper","given":"Michael"}],"issued":{"date-parts":[["2021",6,27]]}}},{"id":634,"uris":["http://zotero.org/users/local/1ztI2Oc6/items/AV4S9WYR","http://zotero.org/users/12832277/items/AV4S9WYR"],"itemData":{"id":634,"type":"article-journal","abstract":"Social distancing measures during COVID-19 have altered the use of space. With the closure of places of work, learning, leisure, consumption, and more, the pandemic has limited our territories and public life. Yet, residents living in mid- to low-density places are experiencing their neighbourhoods differently. They are repurposing residential streets, sidewalks, parking lots, and other spaces and transforming neighbourhood space for active living, play, and sociability. In many neighbourhoods, social distancing is generating a new sociable space. Can we build on our ingenuity to reclaim neighbourhood spaces for public life, and the physical and psychological health of our communities?","container-title":"Journal of Urban Design","DOI":"10.1080/13574809.2020.1785283","ISSN":"1357-4809","issue":"6","note":"publisher: Routledge\n_eprint: https://doi.org/10.1080/13574809.2020.1785283","page":"669-674","source":"Taylor and Francis+NEJM","title":"The New Proxemics: COVID-19, Social Distancing, and Sociable Space","title-short":"The New Proxemics","volume":"25","author":[{"family":"Mehta","given":"Vikas"}],"issued":{"date-parts":[["2020",11,1]]}}},{"id":629,"uris":["http://zotero.org/users/local/1ztI2Oc6/items/HS8NFJSN","http://zotero.org/users/12832277/items/HS8NFJSN"],"itemData":{"id":629,"type":"article-journal","abstract":"In early 2020, the Covid-19 pandemic forced employees in tech companies worldwide to abruptly transition from working in offices to working from their homes. During two years of predominantly working from home, employees and managers alike formed expectations about what post-pandemic working life should look like. Many companies are experimenting with new work policies that balance employee- and manager expectations regarding where, when and how work should be done in the future. In this article, we gather experiences of the new trend of remote working based on the synthesis of 22 company-internal surveys of employee preferences for WFH, and 26 post-pandemic work policies from 17 companies and their sites, covering 12 countries in total. Our results are threefold. First, through the new work policies, all companies formally give employees more flexibility regarding working time and location. Second, there is a great variation in how much flexibility the companies are willing to yield to the employees. The paper details the different formulations that companies adopted to document the extent of permitted WFH, exceptions, relocation permits and the authorisation procedures. Third, we document a change in the psychological contract between employees and managers, where the option of working from home is converted from an exclusive perk that managers could choose to give to the few, to a core privilege that all employees feel they are entitled to. Finally, there are indications that as the companies learn and solicit feedback regarding the efficiency of the chosen strategies, we will see further developments and changes in the work policies concerning how much flexibility to work whenever and from wherever they grant. Through these findings, the paper contributes to a growing literature about the new trends emerging from the pandemic in tech companies and spells out practical implications onwards.","container-title":"Journal of Systems and Software","DOI":"10.1016/j.jss.2022.111552","ISSN":"0164-1212","language":"en","source":"ScienceDirect","title":"Work-from-Home Is Here to Stay: Call for Flexibility in Post-Pandemic Work Policies","title-short":"Work-from-Home Is Here to Stay","URL":"https://www.sciencedirect.com/science/article/pii/S016412122200228X","volume":"195","author":[{"family":"Smite","given":"Darja"},{"family":"Moe","given":"Nils Brede"},{"family":"Hildrum","given":"Jarle"},{"family":"Gonzalez-Huerta","given":"Javier"},{"family":"Mendez","given":"Daniel"}],"accessed":{"date-parts":[["2023",5,5]]},"issued":{"date-parts":[["2023",1,1]]}}},{"id":637,"uris":["http://zotero.org/users/local/1ztI2Oc6/items/MZC3CT2W","http://zotero.org/users/12832277/items/MZC3CT2W"],"itemData":{"id":637,"type":"article-journal","abstract":"The formation of urban districts and the appeal of densely populated areas reflect a spatial equilibrium in which workers migrate to locations with greater urban vitality but diminished environmental qualities. However, the pandemic and associated health concerns have accelerated remote and hybrid work modes, altered people's sense of place and appreciation of urban density, and transformed perceptions of desirable places to live and work. This study presents a systematic method for evaluating the trade-offs between perceived urban environmental qualities and urban amenities by analysing post-pandemic urban residence preferences. By evaluating neighbourhood Street View Imagery (SVI) and urban amenity data, such as park sizes, the study collects subjective opinions from surveys on two working conditions (work-from-office or from-home). On this basis, several Machine Learning (ML) models were trained to predict the preference scores for both work modes. In light of the complexity of work-from-home preferences, the results demonstrate that the method predicts work-from-office scores with greater precision. In the post-pandemic era, the research aims to shed light on the development of a valuable instrument for driving and evaluating urban design strategies based on the potential self-organisation of work-life patterns and social profiles in designated neighbourhoods.","container-title":"Architectural Intelligence","DOI":"10.1007/s44223-022-00020-x","ISSN":"2731-6726","issue":"1","journalAbbreviation":"ARIN","language":"en","source":"Springer Link","title":"The Evaluation of Urban Spatial Quality and Utility Trade-Offs for Post-COVID Working Preferences: A Case Study of Hong Kong","title-short":"The Evaluation of Urban Spatial Quality and Utility Trade-Offs for Post-Covid Working Preferences","URL":"https://doi.org/10.1007/s44223-022-00020-x","volume":"2","author":[{"family":"Song","given":"Qiwei"},{"family":"Dou","given":"Zhiyi"},{"family":"Qiu","given":"Waishan"},{"family":"Li","given":"Wenjing"},{"family":"Wang","given":"Jingsong"},{"family":"Ameijde","given":"Jeroen","non-dropping-particle":"van"},{"family":"Luo","given":"Dan"}],"accessed":{"date-parts":[["2023",5,5]]},"issued":{"date-parts":[["2023",1,27]]}}}],"schema":"https://github.com/citation-style-language/schema/raw/master/csl-citation.json"} </w:instrText>
      </w:r>
      <w:r w:rsidR="002E39A2" w:rsidRPr="009B2F97">
        <w:fldChar w:fldCharType="separate"/>
      </w:r>
      <w:r w:rsidR="002E39A2" w:rsidRPr="009B2F97">
        <w:t>(Florida et al., 2021; Mehta, 2020; Smite et al., 2023; Song et al., 2023)</w:t>
      </w:r>
      <w:r w:rsidR="002E39A2" w:rsidRPr="009B2F97">
        <w:fldChar w:fldCharType="end"/>
      </w:r>
      <w:r w:rsidR="002E39A2" w:rsidRPr="009B2F97">
        <w:t xml:space="preserve">. </w:t>
      </w:r>
      <w:r w:rsidR="002E39A2" w:rsidRPr="00D21817">
        <w:t>These</w:t>
      </w:r>
      <w:r w:rsidR="002E39A2" w:rsidRPr="00CB3EDA">
        <w:t xml:space="preserve"> persisting and </w:t>
      </w:r>
      <w:r w:rsidR="002E39A2" w:rsidRPr="009434FD">
        <w:t>widespread changes</w:t>
      </w:r>
      <w:r w:rsidR="002E39A2" w:rsidRPr="009C5F54">
        <w:t>,</w:t>
      </w:r>
      <w:r w:rsidR="002E39A2" w:rsidRPr="008253CB">
        <w:t xml:space="preserve"> induced </w:t>
      </w:r>
      <w:r w:rsidR="002E39A2" w:rsidRPr="009179E5">
        <w:t>by the</w:t>
      </w:r>
      <w:r w:rsidR="002E39A2" w:rsidRPr="00AD7085">
        <w:t xml:space="preserve"> pandemic and the</w:t>
      </w:r>
      <w:r w:rsidR="002E39A2" w:rsidRPr="0077513C">
        <w:t xml:space="preserve"> growth of remote work,</w:t>
      </w:r>
      <w:r w:rsidR="002E39A2" w:rsidRPr="00DF135E">
        <w:t xml:space="preserve"> </w:t>
      </w:r>
      <w:r w:rsidR="002E39A2" w:rsidRPr="009B2F97">
        <w:t xml:space="preserve">have led to a growing need to reevaluate housing choices and the long-term implications of evolving housing preferences across the domains of real estate, urban development, and transportation planning. </w:t>
      </w:r>
    </w:p>
    <w:p w14:paraId="6AC1D3EA" w14:textId="61FFA71B" w:rsidR="00150EC3" w:rsidRPr="009B2F97" w:rsidRDefault="00195FB8" w:rsidP="006F37E3">
      <w:pPr>
        <w:spacing w:after="0" w:line="240" w:lineRule="auto"/>
        <w:ind w:firstLine="720"/>
        <w:jc w:val="both"/>
      </w:pPr>
      <w:r w:rsidRPr="009B2F97">
        <w:t xml:space="preserve">In the above context, the current paper </w:t>
      </w:r>
      <w:r w:rsidR="00FE30DD" w:rsidRPr="009B2F97">
        <w:t>contribut</w:t>
      </w:r>
      <w:r w:rsidRPr="009B2F97">
        <w:t>es</w:t>
      </w:r>
      <w:r w:rsidR="00120B9E" w:rsidRPr="009B2F97">
        <w:t xml:space="preserve"> to</w:t>
      </w:r>
      <w:r w:rsidR="00335249" w:rsidRPr="009B2F97">
        <w:t xml:space="preserve"> the methodological and empirical</w:t>
      </w:r>
      <w:r w:rsidR="009A6237" w:rsidRPr="009B2F97">
        <w:t xml:space="preserve"> </w:t>
      </w:r>
      <w:r w:rsidRPr="009B2F97">
        <w:t xml:space="preserve">housing </w:t>
      </w:r>
      <w:r w:rsidR="009A6237" w:rsidRPr="009B2F97">
        <w:t xml:space="preserve">literature in several ways. </w:t>
      </w:r>
      <w:r w:rsidR="00150EC3" w:rsidRPr="009B2F97">
        <w:rPr>
          <w:u w:val="single"/>
        </w:rPr>
        <w:t>First</w:t>
      </w:r>
      <w:r w:rsidR="00150EC3" w:rsidRPr="009B2F97">
        <w:t xml:space="preserve">, our analysis includes a comprehensive set of outcome variables that are important factors in housing choices, including both dwelling unit attributes and neighborhood socioeconomic characteristics. Only one previous study </w:t>
      </w:r>
      <w:r w:rsidR="00150EC3" w:rsidRPr="009B2F97">
        <w:fldChar w:fldCharType="begin"/>
      </w:r>
      <w:r w:rsidR="000C4AE3">
        <w:instrText xml:space="preserve"> ADDIN ZOTERO_ITEM CSL_CITATION {"citationID":"qhQ8wgkp","properties":{"formattedCitation":"(Bhat, 2015a)","plainCitation":"(Bhat, 2015a)","noteIndex":0},"citationItems":[{"id":3,"uris":["http://zotero.org/users/local/1ztI2Oc6/items/8ZZCG8II","http://zotero.org/users/12832277/items/8ZZCG8II"],"itemData":{"id":3,"type":"article-journal","abstract":"This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R."}],"issued":{"date-parts":[["2015",9,1]]}}}],"schema":"https://github.com/citation-style-language/schema/raw/master/csl-citation.json"} </w:instrText>
      </w:r>
      <w:r w:rsidR="00150EC3" w:rsidRPr="009B2F97">
        <w:fldChar w:fldCharType="separate"/>
      </w:r>
      <w:r w:rsidR="00740933" w:rsidRPr="00740933">
        <w:t>(Bhat, 2015a)</w:t>
      </w:r>
      <w:r w:rsidR="00150EC3" w:rsidRPr="009B2F97">
        <w:fldChar w:fldCharType="end"/>
      </w:r>
      <w:r w:rsidR="00150EC3" w:rsidRPr="009B2F97">
        <w:t xml:space="preserve"> has considered commute distance in a joint model with dwelling unit attributes, and our model is the first </w:t>
      </w:r>
      <w:r w:rsidR="009B2F97" w:rsidRPr="009434FD">
        <w:t xml:space="preserve">such model that we are aware of </w:t>
      </w:r>
      <w:r w:rsidR="00150EC3" w:rsidRPr="009434FD">
        <w:t>using data</w:t>
      </w:r>
      <w:r w:rsidR="006B0F6E">
        <w:t xml:space="preserve"> collected</w:t>
      </w:r>
      <w:r w:rsidR="00150EC3" w:rsidRPr="009434FD">
        <w:t xml:space="preserve"> since the pandemic. We also go beyond the variables included </w:t>
      </w:r>
      <w:r w:rsidR="00A92547" w:rsidRPr="009C5F54">
        <w:t>in any previous joint model</w:t>
      </w:r>
      <w:r w:rsidR="00150EC3" w:rsidRPr="008253CB">
        <w:t xml:space="preserve"> by incorporating crime rates, accessibility of amenities, and sc</w:t>
      </w:r>
      <w:r w:rsidR="00150EC3" w:rsidRPr="009B2F97">
        <w:t>hool quality in a joint model with commute distance and dwelling unit attributes.</w:t>
      </w:r>
      <w:r w:rsidR="009B2F97" w:rsidRPr="009B2F97">
        <w:rPr>
          <w:u w:val="single"/>
        </w:rPr>
        <w:t xml:space="preserve"> </w:t>
      </w:r>
      <w:r w:rsidR="009654DB" w:rsidRPr="009B2F97">
        <w:rPr>
          <w:u w:val="single"/>
        </w:rPr>
        <w:t>Second</w:t>
      </w:r>
      <w:r w:rsidR="009654DB" w:rsidRPr="009B2F97">
        <w:t xml:space="preserve">, we incorporate three latent </w:t>
      </w:r>
      <w:r w:rsidR="00F721B2">
        <w:t xml:space="preserve">lifestyle-related </w:t>
      </w:r>
      <w:r w:rsidR="009654DB" w:rsidRPr="009B2F97">
        <w:t xml:space="preserve">constructs </w:t>
      </w:r>
      <w:r w:rsidR="00D21817">
        <w:t xml:space="preserve">to recognize the important role played by </w:t>
      </w:r>
      <w:r w:rsidR="009654DB" w:rsidRPr="009B2F97">
        <w:t xml:space="preserve">lifestyle preferences </w:t>
      </w:r>
      <w:r w:rsidR="009B2F97">
        <w:t xml:space="preserve">on </w:t>
      </w:r>
      <w:r w:rsidR="00D21817">
        <w:t>choice of living spaces</w:t>
      </w:r>
      <w:r w:rsidR="007246B0">
        <w:t xml:space="preserve"> </w:t>
      </w:r>
      <w:r w:rsidR="007246B0">
        <w:fldChar w:fldCharType="begin"/>
      </w:r>
      <w:r w:rsidR="00C516A0">
        <w:instrText xml:space="preserve"> ADDIN ZOTERO_ITEM CSL_CITATION {"citationID":"Pabc5nRy","properties":{"unsorted":true,"formattedCitation":"(van Wee, 2009; Van Acker et al., 2014; Fatmi et al., 2017; Guan and Wang, 2020; Maslova and King, 2020)","plainCitation":"(van Wee, 2009; Van Acker et al., 2014; Fatmi et al., 2017; Guan and Wang, 2020; Maslova and King, 2020)","noteIndex":0},"citationItems":[{"id":128,"uris":["http://zotero.org/users/local/1ztI2Oc6/items/EJ8LUE84","http://zotero.org/users/12832277/items/EJ8LUE84"],"itemData":{"id":128,"type":"article-journal","abstract":"In the last decade the importance of attitude‐related residential self‐selection has frequently been recognized. In addition people can theoretically self‐select them with respect to other location choices, such as job locations, with respect to travel behaviour, or with respect to the exposure to transport externalities such as noise and congestion. In this paper, we argue that insights into self‐selection processes might significantly improve our knowledge on location choices, travel behaviour and transport externalities. We elaborate on options for self‐selection and briefly formulate methodologies for research into self‐selection.","container-title":"Transport Reviews","DOI":"10.1080/01441640902752961","ISSN":"0144-1647","issue":"3","note":"publisher: Routledge\n_eprint: https://doi.org/10.1080/01441640902752961","page":"279-292","source":"Taylor and Francis+NEJM","title":"Self‐Selection: A Key to a Better Understanding of Location Choices, Travel Behaviour and Transport Externalities?","title-short":"Self‐Selection","volume":"29","author":[{"family":"Wee","given":"Bert","non-dropping-particle":"van"}],"issued":{"date-parts":[["2009",5,1]]}}},{"id":3071,"uris":["http://zotero.org/users/12832277/items/GHQGFMRG"],"itemData":{"id":3071,"type":"article-journal","abstract":"The majority of land use-travel behaviour studies only considers the direct influence of spatial characteristics on daily travel behaviour. However, this framework should be expanded. A first step is to explore the complex interdependencies of long-term lifestyle decisions, medium-term decisions about residential location and car ownership, and the underlying residential and travel attitudes. Travel behaviour should be considered within a hierarchy of decisions while considering the motivational background of these decisions. Using data from an Internet survey completed by +1800 respondents in Flanders, Belgium, this paper defines car ownership somewhat more broadly as car availability. Results of a structural equation model indicate a significant direct effect of the residential neighbourhood on car availability. However, effects are small compared to the influence of other variables such as stage of life and travel (mode) attitude, the latter referring to travel-related selfselection. Moreover, one should keep in mind that residential attitudes remain important in the initial selection of the residential neighbourhood and its spatial characteristics, indicating the need to control for residential self-selection.","container-title":"Transport Policy","DOI":"10.1016/j.tranpol.2014.05.006","ISSN":"0967-070X","page":"88-99","source":"ScienceDirect","title":"Car Availability Explained by the Structural Relationships Between Lifestyles, Residential Location, and Underlying Residential and Travel Attitudes","volume":"35","author":[{"family":"Van Acker","given":"Veronique"},{"family":"Mokhtarian","given":"Patricia L."},{"family":"Witlox","given":"Frank"}],"issued":{"date-parts":[["2014",9,1]]}}},{"id":96,"uris":["http://zotero.org/users/local/1ztI2Oc6/items/6Y98CZ7T","http://zotero.org/users/12832277/items/6Y98CZ7T"],"itemData":{"id":96,"type":"article-journal","abstract":"This paper presents a life history-oriented modeling framework to investigate residential location decisions as a two-tier process of location search and location choice. In the first tier, a stress-based location search model is developed by assuming that households search for a new location due to continual stress at different life-domains. The search model adopts a fuzzy logic-based modeling method that mimics the inter-dependencies between push and pull factors. In the second tier, a location choice model is developed that accommodates how location decisions interact with life-cycle events at different life-domains. The model utilizes a latent segmentation-based logit modeling technique to address the panel effect of the households’ housing career. The model results suggest that households in general show preference for larger lots, and locations closer to work place, transit stop, and health service. Location choice is found to be significantly influenced by the life-cycle events as well as the lead and lagged effects. For example, the birth of a child magnifies the need of larger lots. The life-history effects, however vary across two segments. Suburbanite households in segment two prefer larger lots following a job change; whereas, urbanite households in segment one show a negative relationship. The adjustment period for a job change is longer than that of addition of a new job. A longer adjustment time is also found in the case of the first time vehicle purchase than acquisition of a vehicle. Presence of children influences suburbanite households to reside closer to work place. Urbanite households with children prefer to live closer to school.","container-title":"Transportation Research Part A: Policy and Practice","DOI":"10.1016/j.tra.2017.06.006","ISSN":"0965-8564","language":"en","page":"293-307","source":"ScienceDirect","title":"Life History-Oriented Residential Location Choice Model: A Stress-Based Two-Tier Panel Modeling Approach","title-short":"Life History-Oriented Residential Location Choice Model","volume":"104","author":[{"family":"Fatmi","given":"Mahmudur Rahman"},{"family":"Chowdhury","given":"Subeh"},{"family":"Habib","given":"Muhammad Ahsanul"}],"issued":{"date-parts":[["2017",10,1]]}}},{"id":105,"uris":["http://zotero.org/users/local/1ztI2Oc6/items/9IDLWC4X","http://zotero.org/users/12832277/items/9IDLWC4X"],"itemData":{"id":105,"type":"article-journal","abstract":"Residential self-selection has been widely considered as an important issue in quantifying the impacts of the residential built environment on travel behavior and much empirical evidence regarding the nature and magnitude of the self-selection effect has been reported. Nevertheless, people may be based on travel attitudes/needs to self-select not only residential location, but also work place, car ownership, etc. In other words, the impacts of long-term decisions other than residential location choices (e.g., decisions on work place, car ownership, etc.) on travel behavior may also be biased by the self-selection effect. However, self-selection concerning these long-term decisions has not been explored much in the travel behavior literature. The role of residential self-selection would not be properly evaluated if self-selections concerning other long-term decisions were not considered because they are often related. This paper addresses this research gap in the travel behavior literature by exploring the multiplicity of travel-based self-selection. We jointly examine the possible self-selections concerning residential location, workplace, commuting distance and car ownership in an integrated framework, taking into consideration the interrelationships among these decisions. Data are derived from an activity-travel diary survey conducted in 2016 in Beijing, China. We classify the respondents into two groups based on the choice order of their current residential and work locations and conduct a comparative analysis using structural equation models. It is found that self-selection exists in all long-term choices examined in the study. The choices of residential location and work place are found to be mutually dependent. Consequently, both choices have indirect impacts on travel behavior through the other choice.","container-title":"Journal of Transport Geography","DOI":"10.1016/j.jtrangeo.2020.102809","ISSN":"0966-6923","language":"en","source":"ScienceDirect","title":"The Multiplicity of Self-Selection: What Do Travel Attitudes Influence First, Residential Location or Work Place?","title-short":"The Multiplicity of Self-Selection","URL":"https://www.sciencedirect.com/science/article/pii/S096669232030154X","volume":"87","author":[{"family":"Guan","given":"Xiaodong"},{"family":"Wang","given":"Donggen"}],"accessed":{"date-parts":[["2023",2,10]]},"issued":{"date-parts":[["2020",7,1]]}}},{"id":594,"uris":["http://zotero.org/users/local/1ztI2Oc6/items/87MB6JAB","http://zotero.org/users/12832277/items/87MB6JAB"],"itemData":{"id":594,"type":"article-journal","abstract":"This paper explores the residential trajectories of highly skilled transnational migrants in London. It analyses this under-researched topic by drawing on interview data with 32 mostly Italian and Russian migrants. The paper unveils the motivations of migrant housing preferences and residential behaviour across three interlinked stages: (i) housing expectations and initial housing choices, (ii) residential mobility over the migration period, (iii) future residential and migration plans. Two exogenous factors are brought into the analysis: the high prices in the London housing market, and the potential impact of Brexit on future residential plans. Findings suggest that Italians build multi-stage housing careers with many moves during their stay, yet geared to an upward housing trajectory, whilst the Russians demand high-quality housing from the start, are less inclined to multi-occupancy, and move less often. Part of the explanation for the difference lies in different ‘housing cultures’ brought from the country of origin.","container-title":"Cities","DOI":"10.1016/j.cities.2019.102421","ISSN":"0264-2751","language":"en","source":"ScienceDirect","title":"Residential Trajectories of High-Skilled Transnational Migrants in a Global City: Exploring the Housing Choices of Russian and Italian Professionals in London","title-short":"Residential Trajectories of High-Skilled Transnational Migrants in a Global City","URL":"https://www.sciencedirect.com/science/article/pii/S0264275118317943","volume":"96","author":[{"family":"Maslova","given":"Sabina"},{"family":"King","given":"Russell"}],"accessed":{"date-parts":[["2023",5,3]]},"issued":{"date-parts":[["2020",1,1]]}}}],"schema":"https://github.com/citation-style-language/schema/raw/master/csl-citation.json"} </w:instrText>
      </w:r>
      <w:r w:rsidR="007246B0">
        <w:fldChar w:fldCharType="separate"/>
      </w:r>
      <w:r w:rsidR="00C516A0" w:rsidRPr="00C516A0">
        <w:t>(</w:t>
      </w:r>
      <w:r w:rsidR="00C516A0">
        <w:t xml:space="preserve">see </w:t>
      </w:r>
      <w:r w:rsidR="00C516A0" w:rsidRPr="00C516A0">
        <w:t>van Wee, 2009; Van Acker et al., 2014; Fatmi et al., 2017; Guan and Wang, 2020; Maslova and King, 2020)</w:t>
      </w:r>
      <w:r w:rsidR="007246B0">
        <w:fldChar w:fldCharType="end"/>
      </w:r>
      <w:r w:rsidR="00D21817">
        <w:t xml:space="preserve">. </w:t>
      </w:r>
      <w:r w:rsidR="00F721B2">
        <w:t xml:space="preserve">These are </w:t>
      </w:r>
      <w:r w:rsidR="009654DB" w:rsidRPr="009B2F97">
        <w:t>green lifestyle propensity</w:t>
      </w:r>
      <w:r w:rsidR="00F721B2">
        <w:t xml:space="preserve"> (GLP)</w:t>
      </w:r>
      <w:r w:rsidR="009654DB" w:rsidRPr="009B2F97">
        <w:t>, luxury lifestyle propensity</w:t>
      </w:r>
      <w:r w:rsidR="00F721B2">
        <w:t xml:space="preserve"> (LLP)</w:t>
      </w:r>
      <w:r w:rsidR="009654DB" w:rsidRPr="009B2F97">
        <w:t xml:space="preserve">, and </w:t>
      </w:r>
      <w:r w:rsidR="00D21817">
        <w:t>telework lifestyle propensity</w:t>
      </w:r>
      <w:r w:rsidR="00F721B2">
        <w:t xml:space="preserve"> (TLP), which are modeled </w:t>
      </w:r>
      <w:r w:rsidR="00D21817">
        <w:t>as</w:t>
      </w:r>
      <w:r w:rsidR="009654DB" w:rsidRPr="009B2F97">
        <w:t xml:space="preserve"> </w:t>
      </w:r>
      <w:r w:rsidR="00562541" w:rsidRPr="009B2F97">
        <w:t xml:space="preserve">psycho-social constructs </w:t>
      </w:r>
      <w:r w:rsidR="00366908" w:rsidRPr="009B2F97">
        <w:t>using eleven indicators</w:t>
      </w:r>
      <w:r w:rsidR="00D21817">
        <w:t>. The inclusion of a telework lifestyle propensity</w:t>
      </w:r>
      <w:r w:rsidR="001E78C1">
        <w:t xml:space="preserve">, along with green lifestyle propensity and luxury lifestyle propensity, </w:t>
      </w:r>
      <w:r w:rsidR="00D21817">
        <w:t>is, to our knowledge, the first in the literature</w:t>
      </w:r>
      <w:r w:rsidR="009654DB" w:rsidRPr="009B2F97">
        <w:t xml:space="preserve">. </w:t>
      </w:r>
      <w:r w:rsidR="008C4F9D" w:rsidRPr="00CB3EDA">
        <w:rPr>
          <w:u w:val="single"/>
        </w:rPr>
        <w:t>T</w:t>
      </w:r>
      <w:r w:rsidR="008C4F9D" w:rsidRPr="004736A5">
        <w:rPr>
          <w:u w:val="single"/>
        </w:rPr>
        <w:t>hird</w:t>
      </w:r>
      <w:r w:rsidR="00570BE1" w:rsidRPr="00DD68D6">
        <w:t xml:space="preserve">, </w:t>
      </w:r>
      <w:r w:rsidR="00104D4A" w:rsidRPr="00DD68D6">
        <w:t xml:space="preserve">we </w:t>
      </w:r>
      <w:r w:rsidR="008C4F9D" w:rsidRPr="009434FD">
        <w:t xml:space="preserve">employ Bhat’s </w:t>
      </w:r>
      <w:r w:rsidR="008C4F9D" w:rsidRPr="009B2F97">
        <w:fldChar w:fldCharType="begin"/>
      </w:r>
      <w:r w:rsidR="000C4AE3">
        <w:instrText xml:space="preserve"> ADDIN ZOTERO_ITEM CSL_CITATION {"citationID":"vaUIWyTs","properties":{"formattedCitation":"(2015b)","plainCitation":"(2015b)","noteIndex":0},"citationItems":[{"id":675,"uris":["http://zotero.org/users/local/1ztI2Oc6/items/E2IK5TA3","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R."}],"issued":{"date-parts":[["2015",9,1]]}},"label":"page","suppress-author":true}],"schema":"https://github.com/citation-style-language/schema/raw/master/csl-citation.json"} </w:instrText>
      </w:r>
      <w:r w:rsidR="008C4F9D" w:rsidRPr="009B2F97">
        <w:fldChar w:fldCharType="separate"/>
      </w:r>
      <w:r w:rsidR="00740933" w:rsidRPr="00740933">
        <w:t>(2015b)</w:t>
      </w:r>
      <w:r w:rsidR="008C4F9D" w:rsidRPr="009B2F97">
        <w:fldChar w:fldCharType="end"/>
      </w:r>
      <w:r w:rsidR="00A44670" w:rsidRPr="009B2F97">
        <w:t xml:space="preserve"> G</w:t>
      </w:r>
      <w:r w:rsidR="007F79D3" w:rsidRPr="009B2F97">
        <w:t xml:space="preserve">eneralized </w:t>
      </w:r>
      <w:r w:rsidR="00A44670" w:rsidRPr="00D21817">
        <w:t>H</w:t>
      </w:r>
      <w:r w:rsidR="007F79D3" w:rsidRPr="00D21817">
        <w:t xml:space="preserve">eterogeneous </w:t>
      </w:r>
      <w:r w:rsidR="00A44670" w:rsidRPr="00CB3EDA">
        <w:t>D</w:t>
      </w:r>
      <w:r w:rsidR="007F79D3" w:rsidRPr="004736A5">
        <w:t xml:space="preserve">ata </w:t>
      </w:r>
      <w:r w:rsidR="00A44670" w:rsidRPr="00DD68D6">
        <w:t>M</w:t>
      </w:r>
      <w:r w:rsidR="007F79D3" w:rsidRPr="00DD68D6">
        <w:t>odel</w:t>
      </w:r>
      <w:r w:rsidR="00A44670" w:rsidRPr="00DD68D6">
        <w:t xml:space="preserve"> </w:t>
      </w:r>
      <w:r w:rsidR="005B18E9">
        <w:t xml:space="preserve">(GHDM) </w:t>
      </w:r>
      <w:r w:rsidR="00A44670" w:rsidRPr="00DD68D6">
        <w:t xml:space="preserve">framework to </w:t>
      </w:r>
      <w:r w:rsidR="00104D4A" w:rsidRPr="009434FD">
        <w:t>estimate a joint model of</w:t>
      </w:r>
      <w:r w:rsidR="002C56FF" w:rsidRPr="009434FD">
        <w:t xml:space="preserve"> </w:t>
      </w:r>
      <w:r w:rsidR="00104D4A" w:rsidRPr="009434FD">
        <w:t>housing outcomes</w:t>
      </w:r>
      <w:r w:rsidR="00E56EB6" w:rsidRPr="009434FD">
        <w:t xml:space="preserve">. </w:t>
      </w:r>
      <w:r w:rsidR="00FE2780" w:rsidRPr="009434FD">
        <w:t>The</w:t>
      </w:r>
      <w:r w:rsidR="00780442" w:rsidRPr="009C5F54">
        <w:t xml:space="preserve"> </w:t>
      </w:r>
      <w:r w:rsidR="00E07300" w:rsidRPr="008253CB">
        <w:t>three stochastic latent constructs</w:t>
      </w:r>
      <w:r w:rsidR="003B70F6">
        <w:t xml:space="preserve">, through their </w:t>
      </w:r>
      <w:r w:rsidR="007246B0">
        <w:t xml:space="preserve">effects </w:t>
      </w:r>
      <w:r w:rsidR="007246B0" w:rsidRPr="00CB3EDA">
        <w:t>on</w:t>
      </w:r>
      <w:r w:rsidR="003B70F6">
        <w:t xml:space="preserve"> different housing outcomes, </w:t>
      </w:r>
      <w:r w:rsidR="003119D0" w:rsidRPr="009B2F97">
        <w:t xml:space="preserve">accommodate </w:t>
      </w:r>
      <w:r w:rsidR="006F3461" w:rsidRPr="009B2F97">
        <w:t xml:space="preserve">unobserved covariance effects </w:t>
      </w:r>
      <w:r w:rsidR="003B70F6">
        <w:t xml:space="preserve">among the many outcomes in a parsimonious fashion. After accommodating such unobserved associations, we are able to </w:t>
      </w:r>
      <w:r w:rsidR="00E864B3">
        <w:t>track</w:t>
      </w:r>
      <w:r w:rsidR="003B70F6">
        <w:t xml:space="preserve"> the pathway of “true” </w:t>
      </w:r>
      <w:r w:rsidR="003A72AD" w:rsidRPr="009B2F97">
        <w:t xml:space="preserve">causal effects </w:t>
      </w:r>
      <w:r w:rsidR="003B70F6">
        <w:t>among the</w:t>
      </w:r>
      <w:r w:rsidR="00B92BFF">
        <w:t xml:space="preserve"> </w:t>
      </w:r>
      <w:r w:rsidR="00E864B3">
        <w:t xml:space="preserve">housing </w:t>
      </w:r>
      <w:r w:rsidR="003A72AD" w:rsidRPr="009B2F97">
        <w:t>outcome variables.</w:t>
      </w:r>
      <w:r w:rsidR="00B8783A" w:rsidRPr="009B2F97">
        <w:t xml:space="preserve"> </w:t>
      </w:r>
      <w:r w:rsidR="0026468B" w:rsidRPr="009B2F97">
        <w:rPr>
          <w:u w:val="single"/>
        </w:rPr>
        <w:t>Finally</w:t>
      </w:r>
      <w:r w:rsidR="00570BE1" w:rsidRPr="009B2F97">
        <w:t xml:space="preserve">, </w:t>
      </w:r>
      <w:r w:rsidR="002C56FF" w:rsidRPr="009B2F97">
        <w:t xml:space="preserve">we </w:t>
      </w:r>
      <w:r w:rsidR="00B92BFF">
        <w:t xml:space="preserve">develop </w:t>
      </w:r>
      <w:r w:rsidR="00E864B3">
        <w:t>an approach to impute the importance ascribed to different housing dimensions</w:t>
      </w:r>
      <w:r w:rsidR="001F1CE9">
        <w:t xml:space="preserve"> that reveal tradeoffs between </w:t>
      </w:r>
      <w:r w:rsidR="00774816">
        <w:t xml:space="preserve">the prioritization of different dimensions. </w:t>
      </w:r>
      <w:r w:rsidR="00E864B3">
        <w:t xml:space="preserve">We are not aware of any earlier effort in the econometric literature to extract such insights from joint models of multiple dimensions. </w:t>
      </w:r>
    </w:p>
    <w:p w14:paraId="0F8F80D8" w14:textId="77777777" w:rsidR="00CB3EDA" w:rsidRPr="004736A5" w:rsidRDefault="00CB3EDA" w:rsidP="006F37E3">
      <w:pPr>
        <w:spacing w:after="0" w:line="240" w:lineRule="auto"/>
        <w:jc w:val="both"/>
      </w:pPr>
    </w:p>
    <w:p w14:paraId="7F1BCA60" w14:textId="068FC016" w:rsidR="0071511B" w:rsidRPr="009434FD" w:rsidRDefault="00A82708" w:rsidP="006F37E3">
      <w:pPr>
        <w:spacing w:after="0" w:line="240" w:lineRule="auto"/>
        <w:jc w:val="both"/>
        <w:rPr>
          <w:b/>
          <w:bCs/>
        </w:rPr>
      </w:pPr>
      <w:r w:rsidRPr="00DD68D6">
        <w:rPr>
          <w:b/>
          <w:bCs/>
        </w:rPr>
        <w:t xml:space="preserve">3. </w:t>
      </w:r>
      <w:r w:rsidR="00D71EBC">
        <w:rPr>
          <w:b/>
          <w:bCs/>
        </w:rPr>
        <w:t>METHODOLOGY</w:t>
      </w:r>
    </w:p>
    <w:p w14:paraId="7641BC15" w14:textId="6468A662" w:rsidR="00292809" w:rsidRPr="009C5F54" w:rsidRDefault="00292809" w:rsidP="006F37E3">
      <w:pPr>
        <w:spacing w:after="0" w:line="240" w:lineRule="auto"/>
        <w:jc w:val="both"/>
        <w:rPr>
          <w:b/>
          <w:bCs/>
        </w:rPr>
      </w:pPr>
      <w:r w:rsidRPr="009434FD">
        <w:rPr>
          <w:b/>
          <w:bCs/>
        </w:rPr>
        <w:t>3.1 An</w:t>
      </w:r>
      <w:r w:rsidR="004F7869" w:rsidRPr="009434FD">
        <w:rPr>
          <w:b/>
          <w:bCs/>
        </w:rPr>
        <w:t xml:space="preserve">alytic Framework </w:t>
      </w:r>
    </w:p>
    <w:p w14:paraId="7C2BA27A" w14:textId="62422CC9" w:rsidR="0045577D" w:rsidRPr="009B2F97" w:rsidRDefault="00331593" w:rsidP="006F37E3">
      <w:pPr>
        <w:spacing w:after="0" w:line="240" w:lineRule="auto"/>
        <w:jc w:val="both"/>
      </w:pPr>
      <w:r w:rsidRPr="008253CB">
        <w:t xml:space="preserve">The GHDM framework developed by Bhat </w:t>
      </w:r>
      <w:r w:rsidRPr="009B2F97">
        <w:fldChar w:fldCharType="begin"/>
      </w:r>
      <w:r w:rsidR="000C4AE3">
        <w:instrText xml:space="preserve"> ADDIN ZOTERO_ITEM CSL_CITATION {"citationID":"g6zFNTxr","properties":{"formattedCitation":"(2015b)","plainCitation":"(2015b)","noteIndex":0},"citationItems":[{"id":675,"uris":["http://zotero.org/users/local/1ztI2Oc6/items/E2IK5TA3","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R."}],"issued":{"date-parts":[["2015",9,1]]}},"label":"page","suppress-author":true}],"schema":"https://github.com/citation-style-language/schema/raw/master/csl-citation.json"} </w:instrText>
      </w:r>
      <w:r w:rsidRPr="009B2F97">
        <w:fldChar w:fldCharType="separate"/>
      </w:r>
      <w:r w:rsidR="00740933" w:rsidRPr="00740933">
        <w:t>(2015b)</w:t>
      </w:r>
      <w:r w:rsidRPr="009B2F97">
        <w:fldChar w:fldCharType="end"/>
      </w:r>
      <w:r w:rsidRPr="009B2F97">
        <w:t xml:space="preserve"> is used for this analysis. Figure </w:t>
      </w:r>
      <w:r w:rsidR="00414EBE" w:rsidRPr="009B2F97">
        <w:t>1</w:t>
      </w:r>
      <w:r w:rsidRPr="00D21817">
        <w:t xml:space="preserve"> provides a visual representation of this framework. The model is adapted to include </w:t>
      </w:r>
      <w:r w:rsidR="00D71EBC" w:rsidRPr="009434FD">
        <w:t xml:space="preserve">three </w:t>
      </w:r>
      <w:r w:rsidR="00D71EBC">
        <w:t xml:space="preserve">endogenous </w:t>
      </w:r>
      <w:r w:rsidR="00D71EBC" w:rsidRPr="009434FD">
        <w:t xml:space="preserve">binary choice </w:t>
      </w:r>
      <w:r w:rsidR="00D71EBC">
        <w:t xml:space="preserve">outcomes </w:t>
      </w:r>
      <w:r w:rsidR="00D71EBC" w:rsidRPr="009434FD">
        <w:t>(for the housing type, tenure type, and presence of a patio or yard),</w:t>
      </w:r>
      <w:r w:rsidR="00D71EBC">
        <w:t xml:space="preserve"> </w:t>
      </w:r>
      <w:r w:rsidRPr="00D21817">
        <w:t xml:space="preserve">six </w:t>
      </w:r>
      <w:r w:rsidR="005B18E9">
        <w:t xml:space="preserve">endogenous </w:t>
      </w:r>
      <w:r w:rsidRPr="00D21817">
        <w:t xml:space="preserve">ordinal choice </w:t>
      </w:r>
      <w:r w:rsidR="005E0019">
        <w:t xml:space="preserve">outcomes </w:t>
      </w:r>
      <w:r w:rsidR="005E0019" w:rsidRPr="00D21817">
        <w:t>(</w:t>
      </w:r>
      <w:r w:rsidRPr="00D21817">
        <w:t>for the number of bedrooms, population density, median housing cost, accessibility of amenities, school q</w:t>
      </w:r>
      <w:r w:rsidRPr="009434FD">
        <w:t xml:space="preserve">uality, and crime rate), and one </w:t>
      </w:r>
      <w:r w:rsidR="004C3B26">
        <w:t xml:space="preserve">endogenous </w:t>
      </w:r>
      <w:r w:rsidRPr="009434FD">
        <w:t xml:space="preserve">continuous </w:t>
      </w:r>
      <w:r w:rsidR="004C3B26">
        <w:t>outcome</w:t>
      </w:r>
      <w:r w:rsidRPr="009434FD">
        <w:t xml:space="preserve"> (for the logarithm of commute distance). These ten </w:t>
      </w:r>
      <w:r w:rsidR="004C3B26">
        <w:t xml:space="preserve">endogenous housing-related </w:t>
      </w:r>
      <w:r w:rsidRPr="009434FD">
        <w:t>outcome</w:t>
      </w:r>
      <w:r w:rsidR="004C3B26">
        <w:t>s</w:t>
      </w:r>
      <w:r w:rsidRPr="009434FD">
        <w:t xml:space="preserve"> are shown on the right side of Figure </w:t>
      </w:r>
      <w:r w:rsidR="00414EBE" w:rsidRPr="009434FD">
        <w:t>1</w:t>
      </w:r>
      <w:r w:rsidRPr="009C5F54">
        <w:t xml:space="preserve">. A set of </w:t>
      </w:r>
      <w:r w:rsidR="005B18E9">
        <w:t>individual/</w:t>
      </w:r>
      <w:r w:rsidRPr="009C5F54">
        <w:t>household</w:t>
      </w:r>
      <w:r w:rsidR="005B18E9">
        <w:t xml:space="preserve"> demographics (see left side of figure) affect the ten outcomes </w:t>
      </w:r>
      <w:r w:rsidR="004C3B26">
        <w:t xml:space="preserve">in two different ways: (1) </w:t>
      </w:r>
      <w:r w:rsidR="005B18E9">
        <w:t xml:space="preserve">directly </w:t>
      </w:r>
      <w:r w:rsidR="005B18E9">
        <w:lastRenderedPageBreak/>
        <w:t>through the arrow indicated at the bottom of the figure (labeled as “MEM” for the measurement equation model component of the GHDM)</w:t>
      </w:r>
      <w:r w:rsidR="004C3B26">
        <w:t>,</w:t>
      </w:r>
      <w:r w:rsidR="005B18E9">
        <w:t xml:space="preserve"> as well as </w:t>
      </w:r>
      <w:r w:rsidR="004C3B26">
        <w:t xml:space="preserve">(2) </w:t>
      </w:r>
      <w:r w:rsidR="005B18E9">
        <w:t>indirectly through their effects on a set of latent lifestyle constructs</w:t>
      </w:r>
      <w:r w:rsidR="00F721B2">
        <w:t xml:space="preserve"> (GLP, LLP, and TLP). T</w:t>
      </w:r>
      <w:r w:rsidR="00B61A36">
        <w:t xml:space="preserve">hese </w:t>
      </w:r>
      <w:r w:rsidR="00F721B2">
        <w:t>lifestyle</w:t>
      </w:r>
      <w:r w:rsidR="00B61A36">
        <w:t xml:space="preserve"> constructs have been established in the earlier literature as important lifestyle considerations in housing choices</w:t>
      </w:r>
      <w:r w:rsidR="00F721B2">
        <w:t xml:space="preserve">, and </w:t>
      </w:r>
      <w:r w:rsidR="005B18E9">
        <w:t>are positioned in the middle of Figure 1</w:t>
      </w:r>
      <w:r w:rsidR="00F721B2">
        <w:t>. T</w:t>
      </w:r>
      <w:r w:rsidR="005B18E9">
        <w:t>he arrow from the individual/household demographics to the latent constructs is labeled as “SEM” for the structural equation model component of the GHDM</w:t>
      </w:r>
      <w:r w:rsidR="00B0253B">
        <w:t xml:space="preserve">. The error vector </w:t>
      </w:r>
      <w:r w:rsidR="00286EE0" w:rsidRPr="00471D4A">
        <w:rPr>
          <w:position w:val="-10"/>
        </w:rPr>
        <w:object w:dxaOrig="200" w:dyaOrig="260" w14:anchorId="514DF27E">
          <v:shape id="_x0000_i1026" type="#_x0000_t75" style="width:12pt;height:14.15pt" o:ole="">
            <v:imagedata r:id="rId8" o:title=""/>
          </v:shape>
          <o:OLEObject Type="Embed" ProgID="Equation.DSMT4" ShapeID="_x0000_i1026" DrawAspect="Content" ObjectID="_1776695022" r:id="rId9"/>
        </w:object>
      </w:r>
      <w:r w:rsidR="00B0253B">
        <w:t xml:space="preserve"> captures the effects of unobserved idiosyncratic individual factors that affect the set of </w:t>
      </w:r>
      <w:r w:rsidR="003E6274">
        <w:t xml:space="preserve">continuous </w:t>
      </w:r>
      <w:r w:rsidR="00B0253B">
        <w:t>latent constructs for a given individual</w:t>
      </w:r>
      <w:r w:rsidR="003E6274">
        <w:t xml:space="preserve"> (all three latent constructs are considered for each individual)</w:t>
      </w:r>
      <w:r w:rsidR="00B0253B">
        <w:t>, after controlling for observed individual/household demographics. As a result, the latent constructs are stochastic, not deterministic</w:t>
      </w:r>
      <w:r w:rsidR="005B18E9">
        <w:t>. Th</w:t>
      </w:r>
      <w:r w:rsidR="00B0253B">
        <w:t>e</w:t>
      </w:r>
      <w:r w:rsidR="005B18E9">
        <w:t xml:space="preserve"> SEM component is estimated (imputed) based on the loading of the </w:t>
      </w:r>
      <w:r w:rsidR="00B0253B">
        <w:t xml:space="preserve">stochastic </w:t>
      </w:r>
      <w:r w:rsidR="005B18E9">
        <w:t>latent constructs on a set of observed indicator variables for the latent constructs (these indicator variables are positioned at the center top of the figure) as well as the effects of the latent constructs on the set of endoge</w:t>
      </w:r>
      <w:r w:rsidR="004C3B26">
        <w:t>nous outcomes. These loadings and effects are identified by arrows originating from the latent constructs in the figure</w:t>
      </w:r>
      <w:r w:rsidR="005B18E9">
        <w:t xml:space="preserve">, </w:t>
      </w:r>
      <w:r w:rsidR="004C3B26">
        <w:t xml:space="preserve">which are labeled as “MEM” to indicate that these relationships are estimated as part of the MEM component of the GHDM. Finally, a set of regional exogenous variables </w:t>
      </w:r>
      <w:r w:rsidR="00B0253B">
        <w:t xml:space="preserve">(positioned at the top right of the figure) </w:t>
      </w:r>
      <w:r w:rsidR="004C3B26">
        <w:t xml:space="preserve">are also included </w:t>
      </w:r>
      <w:r w:rsidR="00B0253B">
        <w:t xml:space="preserve">as part of the MEM component </w:t>
      </w:r>
      <w:r w:rsidR="004C3B26">
        <w:t xml:space="preserve">to capture </w:t>
      </w:r>
      <w:r w:rsidR="0045577D">
        <w:t xml:space="preserve">the effect on the endogenous housing outcomes of </w:t>
      </w:r>
      <w:r w:rsidR="00B0253B">
        <w:t xml:space="preserve">(1) </w:t>
      </w:r>
      <w:r w:rsidR="004C3B26">
        <w:t xml:space="preserve">generic variations in housing </w:t>
      </w:r>
      <w:r w:rsidR="0045577D">
        <w:t>preferences</w:t>
      </w:r>
      <w:r w:rsidR="004C3B26">
        <w:t xml:space="preserve"> across different regions of the U.S. and </w:t>
      </w:r>
      <w:r w:rsidR="00B0253B">
        <w:t xml:space="preserve">(2) </w:t>
      </w:r>
      <w:r w:rsidR="004C3B26">
        <w:t xml:space="preserve">potential geographic heterogeneity in the effects of the individual/demographic variables (as discussed in the next section, the sample used for our analysis includes housing choices of individuals/households from across the U.S.). </w:t>
      </w:r>
    </w:p>
    <w:p w14:paraId="66802D05" w14:textId="67B36C17" w:rsidR="00331593" w:rsidRDefault="00331593" w:rsidP="006F37E3">
      <w:pPr>
        <w:spacing w:after="0" w:line="240" w:lineRule="auto"/>
        <w:ind w:firstLine="720"/>
        <w:jc w:val="both"/>
      </w:pPr>
      <w:r w:rsidRPr="008253CB">
        <w:t xml:space="preserve">In addition to capturing lifestyle preferences that influence housing choice, the inclusion of stochastic latent constructs also facilitates a parsimonious correlation structure </w:t>
      </w:r>
      <w:r w:rsidR="00F721B2">
        <w:t>among</w:t>
      </w:r>
      <w:r w:rsidRPr="008253CB">
        <w:t xml:space="preserve"> the outcome variables. </w:t>
      </w:r>
      <w:r w:rsidRPr="009B2F97">
        <w:t>For ex</w:t>
      </w:r>
      <w:r w:rsidRPr="009434FD">
        <w:t xml:space="preserve">ample, if </w:t>
      </w:r>
      <w:r w:rsidR="00B61A36">
        <w:t xml:space="preserve">the green lifestyle propensity construct positively affects </w:t>
      </w:r>
      <w:r w:rsidR="00D71EBC">
        <w:t xml:space="preserve">the </w:t>
      </w:r>
      <w:r w:rsidR="00B61A36">
        <w:t xml:space="preserve">population density of the residential </w:t>
      </w:r>
      <w:r w:rsidR="00D71EBC">
        <w:t>location</w:t>
      </w:r>
      <w:r w:rsidR="00B61A36">
        <w:t xml:space="preserve"> and negatively affects</w:t>
      </w:r>
      <w:r w:rsidR="00642107">
        <w:t xml:space="preserve"> the</w:t>
      </w:r>
      <w:r w:rsidR="00B61A36">
        <w:t xml:space="preserve"> commute distance, the immediate implication because of the stochastic nature of the construct is a negative correlation between the residential location population density and commute distance dimensions of housing choice; that is, unobserved individual factors that favor a high density of living also lead to a reduction in commute distance. In addition to these unobserved associations created by the stochastic latent constructs, </w:t>
      </w:r>
      <w:r w:rsidRPr="009434FD">
        <w:t>the inter-relation</w:t>
      </w:r>
      <w:r w:rsidRPr="009C5F54">
        <w:t xml:space="preserve">ships </w:t>
      </w:r>
      <w:r w:rsidR="00B61A36">
        <w:t>among</w:t>
      </w:r>
      <w:r w:rsidRPr="009C5F54">
        <w:t xml:space="preserve"> outcome variables </w:t>
      </w:r>
      <w:r w:rsidR="009C2604">
        <w:t>are</w:t>
      </w:r>
      <w:r w:rsidR="00B61A36">
        <w:t xml:space="preserve"> captured in our model system through recursive causal effects of </w:t>
      </w:r>
      <w:r w:rsidRPr="009C5F54">
        <w:t xml:space="preserve">some </w:t>
      </w:r>
      <w:r w:rsidR="00B61A36">
        <w:t xml:space="preserve">endogenous housing </w:t>
      </w:r>
      <w:r w:rsidRPr="009C5F54">
        <w:t xml:space="preserve">outcome variables </w:t>
      </w:r>
      <w:r w:rsidR="00B61A36">
        <w:t xml:space="preserve">on other endogenous housing </w:t>
      </w:r>
      <w:r w:rsidRPr="009C5F54">
        <w:t>outcome variables</w:t>
      </w:r>
      <w:r w:rsidR="00B61A36">
        <w:t>, as discussed further in Section 3.2.4.</w:t>
      </w:r>
    </w:p>
    <w:p w14:paraId="60F7E7D5" w14:textId="77777777" w:rsidR="00CB3EDA" w:rsidRPr="004736A5" w:rsidRDefault="00CB3EDA" w:rsidP="006F37E3">
      <w:pPr>
        <w:spacing w:after="0" w:line="240" w:lineRule="auto"/>
        <w:ind w:firstLine="720"/>
        <w:jc w:val="both"/>
      </w:pPr>
    </w:p>
    <w:p w14:paraId="5E4C095B" w14:textId="45E25D6D" w:rsidR="00331593" w:rsidRPr="009434FD" w:rsidRDefault="00331593" w:rsidP="006F37E3">
      <w:pPr>
        <w:spacing w:after="0" w:line="240" w:lineRule="auto"/>
        <w:jc w:val="both"/>
        <w:rPr>
          <w:b/>
          <w:bCs/>
          <w:i/>
          <w:iCs/>
        </w:rPr>
      </w:pPr>
      <w:r w:rsidRPr="009434FD">
        <w:rPr>
          <w:b/>
          <w:bCs/>
          <w:i/>
          <w:iCs/>
        </w:rPr>
        <w:t>3.</w:t>
      </w:r>
      <w:r w:rsidR="00AA28FD" w:rsidRPr="009434FD">
        <w:rPr>
          <w:b/>
          <w:bCs/>
          <w:i/>
          <w:iCs/>
        </w:rPr>
        <w:t>1</w:t>
      </w:r>
      <w:r w:rsidRPr="009434FD">
        <w:rPr>
          <w:b/>
          <w:bCs/>
          <w:i/>
          <w:iCs/>
        </w:rPr>
        <w:t>.1 Mathematical Formulation of the GHDM for the Current Study</w:t>
      </w:r>
    </w:p>
    <w:p w14:paraId="1EAAE2D8" w14:textId="5A69E1E9" w:rsidR="004F4CF2" w:rsidRPr="00882FD5" w:rsidRDefault="00331593" w:rsidP="006F37E3">
      <w:pPr>
        <w:spacing w:after="120" w:line="240" w:lineRule="auto"/>
        <w:jc w:val="both"/>
        <w:rPr>
          <w:noProof/>
        </w:rPr>
      </w:pPr>
      <w:bookmarkStart w:id="2" w:name="_Hlk148690953"/>
      <w:r w:rsidRPr="009C5F54">
        <w:t>As mentioned previously, the main outcomes considered in this study consist of three binary,</w:t>
      </w:r>
      <w:r w:rsidR="00642107" w:rsidRPr="00642107">
        <w:t xml:space="preserve"> </w:t>
      </w:r>
      <w:r w:rsidR="00642107" w:rsidRPr="009C5F54">
        <w:t>six ordinal</w:t>
      </w:r>
      <w:r w:rsidR="00642107">
        <w:t>,</w:t>
      </w:r>
      <w:r w:rsidRPr="009C5F54">
        <w:t xml:space="preserve"> and one continuous outcome.</w:t>
      </w:r>
      <w:r w:rsidR="004F4CF2">
        <w:t xml:space="preserve"> </w:t>
      </w:r>
      <w:r w:rsidR="00FA6D92">
        <w:t>T</w:t>
      </w:r>
      <w:r w:rsidRPr="009C5F54">
        <w:t xml:space="preserve">he binary outcomes </w:t>
      </w:r>
      <w:r w:rsidR="00FA6D92">
        <w:t xml:space="preserve">are specific instances of ordinal outcomes (with only two ordinal categories), and so </w:t>
      </w:r>
      <w:r w:rsidRPr="008253CB">
        <w:t>the overall GHDM framework for this study is formulated with ordinal and continuous outcome variables</w:t>
      </w:r>
      <w:r w:rsidR="00307E18">
        <w:t xml:space="preserve"> (shown on the right side of Figure 1)</w:t>
      </w:r>
      <w:r w:rsidR="004F4CF2">
        <w:t xml:space="preserve">. </w:t>
      </w:r>
      <w:r w:rsidR="00B82529">
        <w:t>F</w:t>
      </w:r>
      <w:r w:rsidR="00307E18">
        <w:t>or</w:t>
      </w:r>
      <w:r w:rsidR="004F4CF2" w:rsidRPr="00882FD5">
        <w:t xml:space="preserve"> ease </w:t>
      </w:r>
      <w:r w:rsidR="004F4CF2">
        <w:t>in</w:t>
      </w:r>
      <w:r w:rsidR="004F4CF2" w:rsidRPr="00882FD5">
        <w:t xml:space="preserve"> presentation, we will suppress </w:t>
      </w:r>
      <w:r w:rsidR="004F4CF2" w:rsidRPr="00882FD5">
        <w:rPr>
          <w:noProof/>
        </w:rPr>
        <w:t xml:space="preserve">the index for decision-makers in our exposition below and assume that all error terms are independent and identically distributed across decision-makers. </w:t>
      </w:r>
      <w:r w:rsidR="004F4CF2">
        <w:t>F</w:t>
      </w:r>
      <w:r w:rsidRPr="008253CB">
        <w:t>ollowing Bhat</w:t>
      </w:r>
      <w:r w:rsidR="004F4CF2">
        <w:t>’s</w:t>
      </w:r>
      <w:r w:rsidRPr="008253CB">
        <w:t xml:space="preserve"> </w:t>
      </w:r>
      <w:r w:rsidR="007719C4" w:rsidRPr="00D21817">
        <w:fldChar w:fldCharType="begin"/>
      </w:r>
      <w:r w:rsidR="000C4AE3">
        <w:instrText xml:space="preserve"> ADDIN ZOTERO_ITEM CSL_CITATION {"citationID":"lrSRj5ij","properties":{"formattedCitation":"(2015b)","plainCitation":"(2015b)","noteIndex":0},"citationItems":[{"id":675,"uris":["http://zotero.org/users/local/1ztI2Oc6/items/E2IK5TA3","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R."}],"issued":{"date-parts":[["2015",9,1]]}},"label":"page","suppress-author":true}],"schema":"https://github.com/citation-style-language/schema/raw/master/csl-citation.json"} </w:instrText>
      </w:r>
      <w:r w:rsidR="007719C4" w:rsidRPr="00D21817">
        <w:fldChar w:fldCharType="separate"/>
      </w:r>
      <w:r w:rsidR="00740933" w:rsidRPr="00740933">
        <w:t>(2015b)</w:t>
      </w:r>
      <w:r w:rsidR="007719C4" w:rsidRPr="00D21817">
        <w:fldChar w:fldCharType="end"/>
      </w:r>
      <w:r w:rsidR="004F4CF2">
        <w:t xml:space="preserve"> notations,</w:t>
      </w:r>
      <w:r w:rsidRPr="009B2F97">
        <w:t xml:space="preserve"> </w:t>
      </w:r>
      <w:r w:rsidR="004F4CF2" w:rsidRPr="00882FD5">
        <w:rPr>
          <w:noProof/>
        </w:rPr>
        <w:t xml:space="preserve">let </w:t>
      </w:r>
      <w:r w:rsidR="004F4CF2" w:rsidRPr="00882FD5">
        <w:rPr>
          <w:i/>
          <w:noProof/>
        </w:rPr>
        <w:t>l</w:t>
      </w:r>
      <w:r w:rsidR="004F4CF2" w:rsidRPr="00882FD5">
        <w:rPr>
          <w:noProof/>
        </w:rPr>
        <w:t xml:space="preserve"> be an index for latent variables (</w:t>
      </w:r>
      <w:r w:rsidR="004F4CF2" w:rsidRPr="00882FD5">
        <w:rPr>
          <w:i/>
          <w:noProof/>
        </w:rPr>
        <w:t>l</w:t>
      </w:r>
      <w:r w:rsidR="004F4CF2" w:rsidRPr="00882FD5">
        <w:rPr>
          <w:noProof/>
        </w:rPr>
        <w:t xml:space="preserve">=1, 2,…, </w:t>
      </w:r>
      <w:r w:rsidR="004F4CF2" w:rsidRPr="00882FD5">
        <w:rPr>
          <w:i/>
          <w:noProof/>
        </w:rPr>
        <w:t>L</w:t>
      </w:r>
      <w:r w:rsidR="004F4CF2" w:rsidRPr="00882FD5">
        <w:rPr>
          <w:noProof/>
        </w:rPr>
        <w:t xml:space="preserve">). </w:t>
      </w:r>
      <w:r w:rsidR="005C7AA6" w:rsidRPr="00882FD5">
        <w:rPr>
          <w:noProof/>
        </w:rPr>
        <w:t xml:space="preserve">In our case, </w:t>
      </w:r>
      <w:r w:rsidR="005C7AA6" w:rsidRPr="00882FD5">
        <w:rPr>
          <w:i/>
          <w:noProof/>
        </w:rPr>
        <w:t>L=</w:t>
      </w:r>
      <w:r w:rsidR="004F4CF2">
        <w:rPr>
          <w:noProof/>
        </w:rPr>
        <w:t>3</w:t>
      </w:r>
      <w:r w:rsidR="005C7AA6" w:rsidRPr="00882FD5">
        <w:rPr>
          <w:noProof/>
        </w:rPr>
        <w:t xml:space="preserve">, corresponding to the </w:t>
      </w:r>
      <w:r w:rsidR="004F4CF2">
        <w:rPr>
          <w:noProof/>
        </w:rPr>
        <w:t>three</w:t>
      </w:r>
      <w:r w:rsidR="005C7AA6" w:rsidRPr="00882FD5">
        <w:rPr>
          <w:noProof/>
        </w:rPr>
        <w:t xml:space="preserve"> latent constructs</w:t>
      </w:r>
      <w:r w:rsidR="00307E18">
        <w:rPr>
          <w:noProof/>
        </w:rPr>
        <w:t xml:space="preserve"> (GLP, LLP, and TLP)</w:t>
      </w:r>
      <w:r w:rsidR="005C7AA6" w:rsidRPr="00882FD5">
        <w:rPr>
          <w:noProof/>
        </w:rPr>
        <w:t>. Consider the latent construct</w:t>
      </w:r>
      <w:r w:rsidR="004B0C12">
        <w:rPr>
          <w:noProof/>
        </w:rPr>
        <w:t xml:space="preserve"> </w:t>
      </w:r>
      <w:r w:rsidR="004B0C12" w:rsidRPr="00912BAA">
        <w:rPr>
          <w:noProof/>
          <w:position w:val="-12"/>
        </w:rPr>
        <w:object w:dxaOrig="260" w:dyaOrig="380" w14:anchorId="434C0503">
          <v:shape id="_x0000_i1027" type="#_x0000_t75" style="width:12.85pt;height:18.85pt" o:ole="" o:preferrelative="f">
            <v:imagedata r:id="rId10" o:title=""/>
            <o:lock v:ext="edit" aspectratio="f"/>
          </v:shape>
          <o:OLEObject Type="Embed" ProgID="Equation.DSMT4" ShapeID="_x0000_i1027" DrawAspect="Content" ObjectID="_1776695023" r:id="rId11"/>
        </w:object>
      </w:r>
      <w:r w:rsidR="005C7AA6" w:rsidRPr="00882FD5">
        <w:rPr>
          <w:noProof/>
        </w:rPr>
        <w:t xml:space="preserve"> and write it as a linear function of covariates</w:t>
      </w:r>
      <w:r w:rsidR="00CB5334">
        <w:rPr>
          <w:noProof/>
        </w:rPr>
        <w:t xml:space="preserve"> in the SEM component</w:t>
      </w:r>
      <w:r w:rsidR="005C7AA6" w:rsidRPr="00882FD5">
        <w:rPr>
          <w:noProof/>
        </w:rPr>
        <w:t>:</w:t>
      </w:r>
      <w:r w:rsidR="00F721B2">
        <w:rPr>
          <w:noProof/>
        </w:rPr>
        <w:t xml:space="preserve"> </w:t>
      </w:r>
    </w:p>
    <w:bookmarkStart w:id="3" w:name="_Hlk148690936"/>
    <w:p w14:paraId="7991B61D" w14:textId="74295D3C" w:rsidR="005C7AA6" w:rsidRPr="00882FD5" w:rsidRDefault="004B0C12" w:rsidP="006F37E3">
      <w:pPr>
        <w:tabs>
          <w:tab w:val="right" w:pos="9360"/>
        </w:tabs>
        <w:spacing w:after="120" w:line="240" w:lineRule="auto"/>
        <w:jc w:val="both"/>
        <w:rPr>
          <w:noProof/>
        </w:rPr>
      </w:pPr>
      <w:r w:rsidRPr="0050410C">
        <w:rPr>
          <w:noProof/>
          <w:position w:val="-12"/>
        </w:rPr>
        <w:object w:dxaOrig="1260" w:dyaOrig="380" w14:anchorId="51AE8384">
          <v:shape id="_x0000_i1028" type="#_x0000_t75" style="width:63.85pt;height:19.3pt" o:ole="">
            <v:imagedata r:id="rId12" o:title=""/>
          </v:shape>
          <o:OLEObject Type="Embed" ProgID="Equation.DSMT4" ShapeID="_x0000_i1028" DrawAspect="Content" ObjectID="_1776695024" r:id="rId13"/>
        </w:object>
      </w:r>
      <w:bookmarkEnd w:id="3"/>
      <w:r w:rsidR="00F15507">
        <w:rPr>
          <w:noProof/>
        </w:rPr>
        <w:t>,</w:t>
      </w:r>
      <w:r w:rsidR="005C7AA6" w:rsidRPr="00882FD5">
        <w:rPr>
          <w:noProof/>
        </w:rPr>
        <w:t xml:space="preserve">                                        </w:t>
      </w:r>
      <w:r w:rsidR="005C7AA6" w:rsidRPr="00882FD5">
        <w:rPr>
          <w:noProof/>
          <w:lang w:eastAsia="zh-CN"/>
        </w:rPr>
        <w:t xml:space="preserve">              </w:t>
      </w:r>
      <w:r w:rsidR="005C7AA6" w:rsidRPr="00882FD5">
        <w:rPr>
          <w:noProof/>
        </w:rPr>
        <w:t xml:space="preserve">            </w:t>
      </w:r>
      <w:r w:rsidR="005C7AA6" w:rsidRPr="00882FD5">
        <w:rPr>
          <w:noProof/>
        </w:rPr>
        <w:tab/>
        <w:t>(1)</w:t>
      </w:r>
    </w:p>
    <w:p w14:paraId="66046474" w14:textId="6A8CADC5" w:rsidR="005C7AA6" w:rsidRPr="00882FD5" w:rsidRDefault="005C7AA6" w:rsidP="006F37E3">
      <w:pPr>
        <w:spacing w:after="120" w:line="240" w:lineRule="auto"/>
        <w:jc w:val="both"/>
        <w:rPr>
          <w:noProof/>
        </w:rPr>
      </w:pPr>
      <w:r w:rsidRPr="00882FD5">
        <w:rPr>
          <w:noProof/>
        </w:rPr>
        <w:lastRenderedPageBreak/>
        <w:t xml:space="preserve">where </w:t>
      </w:r>
      <w:r w:rsidRPr="00882FD5">
        <w:rPr>
          <w:b/>
          <w:i/>
          <w:noProof/>
        </w:rPr>
        <w:t>w</w:t>
      </w:r>
      <w:r w:rsidRPr="00882FD5">
        <w:rPr>
          <w:noProof/>
        </w:rPr>
        <w:t xml:space="preserve"> is a </w:t>
      </w:r>
      <w:r w:rsidR="004B0C12" w:rsidRPr="0050410C">
        <w:rPr>
          <w:noProof/>
          <w:position w:val="-10"/>
        </w:rPr>
        <w:object w:dxaOrig="680" w:dyaOrig="320" w14:anchorId="59A746FB">
          <v:shape id="_x0000_i1029" type="#_x0000_t75" style="width:33.85pt;height:15.85pt" o:ole="" o:preferrelative="f">
            <v:imagedata r:id="rId14" o:title=""/>
            <o:lock v:ext="edit" aspectratio="f"/>
          </v:shape>
          <o:OLEObject Type="Embed" ProgID="Equation.DSMT4" ShapeID="_x0000_i1029" DrawAspect="Content" ObjectID="_1776695025" r:id="rId15"/>
        </w:object>
      </w:r>
      <w:r w:rsidRPr="00882FD5">
        <w:rPr>
          <w:noProof/>
        </w:rPr>
        <w:t xml:space="preserve"> vector of observed covariates (excluding a constant), </w:t>
      </w:r>
      <w:r w:rsidR="004B0C12" w:rsidRPr="0050410C">
        <w:rPr>
          <w:position w:val="-12"/>
        </w:rPr>
        <w:object w:dxaOrig="260" w:dyaOrig="360" w14:anchorId="53AACEF3">
          <v:shape id="_x0000_i1030" type="#_x0000_t75" style="width:12.85pt;height:18pt" o:ole="" o:preferrelative="f">
            <v:imagedata r:id="rId16" o:title=""/>
            <o:lock v:ext="edit" aspectratio="f"/>
          </v:shape>
          <o:OLEObject Type="Embed" ProgID="Equation.DSMT4" ShapeID="_x0000_i1030" DrawAspect="Content" ObjectID="_1776695026" r:id="rId17"/>
        </w:object>
      </w:r>
      <w:r w:rsidR="0050410C">
        <w:t xml:space="preserve"> </w:t>
      </w:r>
      <w:r w:rsidRPr="00882FD5">
        <w:rPr>
          <w:noProof/>
        </w:rPr>
        <w:t xml:space="preserve">is a corresponding </w:t>
      </w:r>
      <w:r w:rsidR="004B0C12" w:rsidRPr="0050410C">
        <w:rPr>
          <w:noProof/>
          <w:position w:val="-10"/>
        </w:rPr>
        <w:object w:dxaOrig="680" w:dyaOrig="320" w14:anchorId="75F10699">
          <v:shape id="_x0000_i1031" type="#_x0000_t75" style="width:33.85pt;height:15.85pt" o:ole="" o:preferrelative="f">
            <v:imagedata r:id="rId14" o:title=""/>
            <o:lock v:ext="edit" aspectratio="f"/>
          </v:shape>
          <o:OLEObject Type="Embed" ProgID="Equation.DSMT4" ShapeID="_x0000_i1031" DrawAspect="Content" ObjectID="_1776695027" r:id="rId18"/>
        </w:object>
      </w:r>
      <w:r w:rsidRPr="00882FD5">
        <w:rPr>
          <w:noProof/>
        </w:rPr>
        <w:t xml:space="preserve"> vector of coefficients, and </w:t>
      </w:r>
      <w:r w:rsidR="004B0C12" w:rsidRPr="0050410C">
        <w:rPr>
          <w:noProof/>
          <w:position w:val="-12"/>
        </w:rPr>
        <w:object w:dxaOrig="240" w:dyaOrig="360" w14:anchorId="5862495A">
          <v:shape id="_x0000_i1032" type="#_x0000_t75" style="width:12pt;height:18pt" o:ole="" o:preferrelative="f">
            <v:imagedata r:id="rId19" o:title=""/>
            <o:lock v:ext="edit" aspectratio="f"/>
          </v:shape>
          <o:OLEObject Type="Embed" ProgID="Equation.DSMT4" ShapeID="_x0000_i1032" DrawAspect="Content" ObjectID="_1776695028" r:id="rId20"/>
        </w:object>
      </w:r>
      <w:r w:rsidRPr="00882FD5">
        <w:rPr>
          <w:noProof/>
        </w:rPr>
        <w:t xml:space="preserve"> is a random error term assumed to be standard normally distributed for identification purposes</w:t>
      </w:r>
      <w:r w:rsidR="004F4CF2">
        <w:rPr>
          <w:noProof/>
        </w:rPr>
        <w:t xml:space="preserve"> (</w:t>
      </w:r>
      <w:r w:rsidR="004B0C12" w:rsidRPr="0050410C">
        <w:rPr>
          <w:position w:val="-12"/>
        </w:rPr>
        <w:object w:dxaOrig="260" w:dyaOrig="360" w14:anchorId="68585869">
          <v:shape id="_x0000_i1033" type="#_x0000_t75" style="width:12.85pt;height:18pt" o:ole="" o:preferrelative="f">
            <v:imagedata r:id="rId16" o:title=""/>
            <o:lock v:ext="edit" aspectratio="f"/>
          </v:shape>
          <o:OLEObject Type="Embed" ProgID="Equation.DSMT4" ShapeID="_x0000_i1033" DrawAspect="Content" ObjectID="_1776695029" r:id="rId21"/>
        </w:object>
      </w:r>
      <w:r w:rsidR="004F4CF2">
        <w:t xml:space="preserve"> in Equation (1) represents the transpose of the vector </w:t>
      </w:r>
      <w:r w:rsidR="004B0C12" w:rsidRPr="00912BAA">
        <w:rPr>
          <w:position w:val="-12"/>
        </w:rPr>
        <w:object w:dxaOrig="279" w:dyaOrig="360" w14:anchorId="2750515B">
          <v:shape id="_x0000_i1034" type="#_x0000_t75" style="width:13.7pt;height:18pt" o:ole="" o:preferrelative="f">
            <v:imagedata r:id="rId22" o:title=""/>
            <o:lock v:ext="edit" aspectratio="f"/>
          </v:shape>
          <o:OLEObject Type="Embed" ProgID="Equation.DSMT4" ShapeID="_x0000_i1034" DrawAspect="Content" ObjectID="_1776695030" r:id="rId23"/>
        </w:object>
      </w:r>
      <w:r w:rsidR="004B0C12">
        <w:t>).</w:t>
      </w:r>
      <w:r w:rsidR="00454DF0">
        <w:rPr>
          <w:noProof/>
        </w:rPr>
        <w:t xml:space="preserve"> </w:t>
      </w:r>
      <w:r w:rsidR="00307E18" w:rsidRPr="00307E18">
        <w:rPr>
          <w:noProof/>
        </w:rPr>
        <w:t xml:space="preserve">The error vector </w:t>
      </w:r>
      <w:r w:rsidR="004B0C12" w:rsidRPr="0050410C">
        <w:rPr>
          <w:noProof/>
          <w:position w:val="-12"/>
        </w:rPr>
        <w:object w:dxaOrig="240" w:dyaOrig="360" w14:anchorId="392263C6">
          <v:shape id="_x0000_i1035" type="#_x0000_t75" style="width:12pt;height:18pt" o:ole="" o:preferrelative="f">
            <v:imagedata r:id="rId19" o:title=""/>
            <o:lock v:ext="edit" aspectratio="f"/>
          </v:shape>
          <o:OLEObject Type="Embed" ProgID="Equation.DSMT4" ShapeID="_x0000_i1035" DrawAspect="Content" ObjectID="_1776695031" r:id="rId24"/>
        </w:object>
      </w:r>
      <w:r w:rsidR="00307E18" w:rsidRPr="00307E18">
        <w:rPr>
          <w:noProof/>
        </w:rPr>
        <w:t xml:space="preserve"> captures the effects of unobserved factors that affect the latent constructs</w:t>
      </w:r>
      <w:r w:rsidR="00307E18">
        <w:rPr>
          <w:noProof/>
        </w:rPr>
        <w:t>,</w:t>
      </w:r>
      <w:r w:rsidR="00307E18" w:rsidRPr="00307E18">
        <w:rPr>
          <w:noProof/>
        </w:rPr>
        <w:t xml:space="preserve"> after controlling for observed demographics.</w:t>
      </w:r>
      <w:r w:rsidRPr="00882FD5">
        <w:rPr>
          <w:noProof/>
        </w:rPr>
        <w:t xml:space="preserve">Next, define the </w:t>
      </w:r>
      <w:r w:rsidR="0050410C" w:rsidRPr="0050410C">
        <w:rPr>
          <w:noProof/>
          <w:position w:val="-10"/>
        </w:rPr>
        <w:object w:dxaOrig="760" w:dyaOrig="320" w14:anchorId="32AC1680">
          <v:shape id="_x0000_i1036" type="#_x0000_t75" style="width:37.7pt;height:15.85pt" o:ole="">
            <v:imagedata r:id="rId25" o:title=""/>
          </v:shape>
          <o:OLEObject Type="Embed" ProgID="Equation.DSMT4" ShapeID="_x0000_i1036" DrawAspect="Content" ObjectID="_1776695032" r:id="rId26"/>
        </w:object>
      </w:r>
      <w:r w:rsidR="0050410C">
        <w:rPr>
          <w:noProof/>
        </w:rPr>
        <w:t xml:space="preserve"> </w:t>
      </w:r>
      <w:r w:rsidRPr="00882FD5">
        <w:rPr>
          <w:noProof/>
        </w:rPr>
        <w:t xml:space="preserve">matrix </w:t>
      </w:r>
      <w:r w:rsidR="004B0C12" w:rsidRPr="0050410C">
        <w:rPr>
          <w:noProof/>
          <w:position w:val="-12"/>
        </w:rPr>
        <w:object w:dxaOrig="1740" w:dyaOrig="360" w14:anchorId="301E9137">
          <v:shape id="_x0000_i1037" type="#_x0000_t75" style="width:87pt;height:18pt" o:ole="" o:preferrelative="f">
            <v:imagedata r:id="rId27" o:title=""/>
            <o:lock v:ext="edit" aspectratio="f"/>
          </v:shape>
          <o:OLEObject Type="Embed" ProgID="Equation.DSMT4" ShapeID="_x0000_i1037" DrawAspect="Content" ObjectID="_1776695033" r:id="rId28"/>
        </w:object>
      </w:r>
      <w:r w:rsidRPr="00882FD5">
        <w:rPr>
          <w:noProof/>
        </w:rPr>
        <w:t xml:space="preserve">, and the </w:t>
      </w:r>
      <w:r w:rsidR="004B0C12" w:rsidRPr="0050410C">
        <w:rPr>
          <w:noProof/>
          <w:position w:val="-10"/>
        </w:rPr>
        <w:object w:dxaOrig="639" w:dyaOrig="320" w14:anchorId="7907A16C">
          <v:shape id="_x0000_i1038" type="#_x0000_t75" style="width:32.15pt;height:15.85pt" o:ole="">
            <v:imagedata r:id="rId29" o:title=""/>
          </v:shape>
          <o:OLEObject Type="Embed" ProgID="Equation.DSMT4" ShapeID="_x0000_i1038" DrawAspect="Content" ObjectID="_1776695034" r:id="rId30"/>
        </w:object>
      </w:r>
      <w:r w:rsidR="0050410C">
        <w:rPr>
          <w:noProof/>
        </w:rPr>
        <w:t xml:space="preserve"> </w:t>
      </w:r>
      <w:r w:rsidRPr="00882FD5">
        <w:rPr>
          <w:noProof/>
        </w:rPr>
        <w:t>vectors</w:t>
      </w:r>
      <w:r w:rsidR="0050410C">
        <w:rPr>
          <w:noProof/>
        </w:rPr>
        <w:t xml:space="preserve"> </w:t>
      </w:r>
      <w:r w:rsidR="00F15507" w:rsidRPr="0050410C">
        <w:rPr>
          <w:noProof/>
          <w:position w:val="-12"/>
        </w:rPr>
        <w:object w:dxaOrig="1780" w:dyaOrig="380" w14:anchorId="44A7A138">
          <v:shape id="_x0000_i1039" type="#_x0000_t75" style="width:88.7pt;height:18.85pt" o:ole="" o:preferrelative="f">
            <v:imagedata r:id="rId31" o:title=""/>
            <o:lock v:ext="edit" aspectratio="f"/>
          </v:shape>
          <o:OLEObject Type="Embed" ProgID="Equation.DSMT4" ShapeID="_x0000_i1039" DrawAspect="Content" ObjectID="_1776695035" r:id="rId32"/>
        </w:object>
      </w:r>
      <w:r w:rsidRPr="00882FD5">
        <w:rPr>
          <w:noProof/>
        </w:rPr>
        <w:t xml:space="preserve"> and</w:t>
      </w:r>
      <w:r w:rsidR="0050410C">
        <w:rPr>
          <w:noProof/>
        </w:rPr>
        <w:t xml:space="preserve"> </w:t>
      </w:r>
      <w:r w:rsidR="00F15507" w:rsidRPr="0050410C">
        <w:rPr>
          <w:noProof/>
          <w:position w:val="-12"/>
        </w:rPr>
        <w:object w:dxaOrig="2079" w:dyaOrig="360" w14:anchorId="4BB6894D">
          <v:shape id="_x0000_i1040" type="#_x0000_t75" style="width:103.7pt;height:18pt" o:ole="" o:preferrelative="f">
            <v:imagedata r:id="rId33" o:title=""/>
            <o:lock v:ext="edit" aspectratio="f"/>
          </v:shape>
          <o:OLEObject Type="Embed" ProgID="Equation.DSMT4" ShapeID="_x0000_i1040" DrawAspect="Content" ObjectID="_1776695036" r:id="rId34"/>
        </w:object>
      </w:r>
      <w:r w:rsidRPr="00882FD5">
        <w:rPr>
          <w:noProof/>
        </w:rPr>
        <w:t xml:space="preserve"> We allow a multivariate normal (MVN) correlation structure for</w:t>
      </w:r>
      <w:r w:rsidR="0050410C">
        <w:rPr>
          <w:noProof/>
        </w:rPr>
        <w:t xml:space="preserve"> </w:t>
      </w:r>
      <w:r w:rsidR="0050410C" w:rsidRPr="0050410C">
        <w:rPr>
          <w:position w:val="-10"/>
        </w:rPr>
        <w:object w:dxaOrig="200" w:dyaOrig="260" w14:anchorId="78409400">
          <v:shape id="_x0000_i1041" type="#_x0000_t75" style="width:10.7pt;height:12.85pt" o:ole="">
            <v:imagedata r:id="rId35" o:title=""/>
          </v:shape>
          <o:OLEObject Type="Embed" ProgID="Equation.DSMT4" ShapeID="_x0000_i1041" DrawAspect="Content" ObjectID="_1776695037" r:id="rId36"/>
        </w:object>
      </w:r>
      <w:r>
        <w:rPr>
          <w:noProof/>
        </w:rPr>
        <w:t xml:space="preserve"> </w:t>
      </w:r>
      <w:r w:rsidRPr="00882FD5">
        <w:rPr>
          <w:noProof/>
        </w:rPr>
        <w:t xml:space="preserve">to accommodate interactions among the unobserved latent variables. </w:t>
      </w:r>
      <w:r w:rsidR="004B0C12" w:rsidRPr="0050410C">
        <w:rPr>
          <w:noProof/>
          <w:position w:val="-12"/>
        </w:rPr>
        <w:object w:dxaOrig="1680" w:dyaOrig="360" w14:anchorId="50CC81D2">
          <v:shape id="_x0000_i1042" type="#_x0000_t75" style="width:84pt;height:18pt" o:ole="" o:preferrelative="f">
            <v:imagedata r:id="rId37" o:title=""/>
            <o:lock v:ext="edit" aspectratio="f"/>
          </v:shape>
          <o:OLEObject Type="Embed" ProgID="Equation.DSMT4" ShapeID="_x0000_i1042" DrawAspect="Content" ObjectID="_1776695038" r:id="rId38"/>
        </w:object>
      </w:r>
      <w:r w:rsidRPr="00882FD5">
        <w:rPr>
          <w:noProof/>
        </w:rPr>
        <w:t xml:space="preserve">, where </w:t>
      </w:r>
      <w:r w:rsidR="004B0C12" w:rsidRPr="0050410C">
        <w:rPr>
          <w:noProof/>
          <w:position w:val="-12"/>
        </w:rPr>
        <w:object w:dxaOrig="279" w:dyaOrig="360" w14:anchorId="6BCE6F8D">
          <v:shape id="_x0000_i1043" type="#_x0000_t75" style="width:13.7pt;height:18pt" o:ole="" o:preferrelative="f">
            <v:imagedata r:id="rId39" o:title=""/>
            <o:lock v:ext="edit" aspectratio="f"/>
          </v:shape>
          <o:OLEObject Type="Embed" ProgID="Equation.DSMT4" ShapeID="_x0000_i1043" DrawAspect="Content" ObjectID="_1776695039" r:id="rId40"/>
        </w:object>
      </w:r>
      <w:r w:rsidRPr="00882FD5">
        <w:rPr>
          <w:noProof/>
        </w:rPr>
        <w:t xml:space="preserve"> is an</w:t>
      </w:r>
      <w:r w:rsidR="0050410C">
        <w:rPr>
          <w:noProof/>
        </w:rPr>
        <w:t xml:space="preserve"> </w:t>
      </w:r>
      <w:r w:rsidR="004B0C12" w:rsidRPr="0050410C">
        <w:rPr>
          <w:noProof/>
          <w:position w:val="-10"/>
        </w:rPr>
        <w:object w:dxaOrig="639" w:dyaOrig="320" w14:anchorId="06286AFA">
          <v:shape id="_x0000_i1044" type="#_x0000_t75" style="width:31.7pt;height:15.85pt" o:ole="">
            <v:imagedata r:id="rId41" o:title=""/>
          </v:shape>
          <o:OLEObject Type="Embed" ProgID="Equation.DSMT4" ShapeID="_x0000_i1044" DrawAspect="Content" ObjectID="_1776695040" r:id="rId42"/>
        </w:object>
      </w:r>
      <w:r w:rsidR="004B0C12">
        <w:rPr>
          <w:noProof/>
        </w:rPr>
        <w:t xml:space="preserve"> </w:t>
      </w:r>
      <w:r w:rsidRPr="00882FD5">
        <w:rPr>
          <w:noProof/>
        </w:rPr>
        <w:t xml:space="preserve">column vector of zeros, and </w:t>
      </w:r>
      <w:r w:rsidR="004B0C12" w:rsidRPr="0050410C">
        <w:rPr>
          <w:noProof/>
          <w:position w:val="-4"/>
        </w:rPr>
        <w:object w:dxaOrig="240" w:dyaOrig="260" w14:anchorId="66ADD912">
          <v:shape id="_x0000_i1045" type="#_x0000_t75" style="width:12pt;height:12.85pt" o:ole="" o:preferrelative="f">
            <v:imagedata r:id="rId43" o:title=""/>
            <o:lock v:ext="edit" aspectratio="f"/>
          </v:shape>
          <o:OLEObject Type="Embed" ProgID="Equation.DSMT4" ShapeID="_x0000_i1045" DrawAspect="Content" ObjectID="_1776695041" r:id="rId44"/>
        </w:object>
      </w:r>
      <w:r w:rsidRPr="00882FD5">
        <w:rPr>
          <w:noProof/>
        </w:rPr>
        <w:t xml:space="preserve">is an </w:t>
      </w:r>
      <w:r w:rsidR="0050410C" w:rsidRPr="0050410C">
        <w:rPr>
          <w:noProof/>
          <w:position w:val="-10"/>
        </w:rPr>
        <w:object w:dxaOrig="720" w:dyaOrig="320" w14:anchorId="4AFE4486">
          <v:shape id="_x0000_i1046" type="#_x0000_t75" style="width:36pt;height:15.85pt" o:ole="">
            <v:imagedata r:id="rId45" o:title=""/>
          </v:shape>
          <o:OLEObject Type="Embed" ProgID="Equation.DSMT4" ShapeID="_x0000_i1046" DrawAspect="Content" ObjectID="_1776695042" r:id="rId46"/>
        </w:object>
      </w:r>
      <w:r w:rsidRPr="00882FD5">
        <w:rPr>
          <w:noProof/>
        </w:rPr>
        <w:t>correlation matrix. In matrix form, we may write Equation (1) as:</w:t>
      </w:r>
    </w:p>
    <w:p w14:paraId="518EA1F6" w14:textId="60A9FBAF" w:rsidR="005C7AA6" w:rsidRPr="00882FD5" w:rsidRDefault="004B0C12" w:rsidP="006F37E3">
      <w:pPr>
        <w:spacing w:after="120" w:line="240" w:lineRule="auto"/>
        <w:jc w:val="both"/>
        <w:rPr>
          <w:iCs/>
        </w:rPr>
      </w:pPr>
      <w:r w:rsidRPr="0050410C">
        <w:rPr>
          <w:noProof/>
          <w:position w:val="-10"/>
        </w:rPr>
        <w:object w:dxaOrig="1160" w:dyaOrig="360" w14:anchorId="292C3B80">
          <v:shape id="_x0000_i1047" type="#_x0000_t75" style="width:58.7pt;height:18pt" o:ole="" o:preferrelative="f">
            <v:imagedata r:id="rId47" o:title=""/>
            <o:lock v:ext="edit" aspectratio="f"/>
          </v:shape>
          <o:OLEObject Type="Embed" ProgID="Equation.DSMT4" ShapeID="_x0000_i1047" DrawAspect="Content" ObjectID="_1776695043" r:id="rId48"/>
        </w:object>
      </w:r>
      <w:r w:rsidR="00F15507">
        <w:rPr>
          <w:noProof/>
        </w:rPr>
        <w:t>.</w:t>
      </w:r>
      <w:r w:rsidR="005C7AA6" w:rsidRPr="00882FD5">
        <w:rPr>
          <w:noProof/>
        </w:rPr>
        <w:t xml:space="preserve">                                                                                                                              </w:t>
      </w:r>
      <w:r w:rsidR="0050410C">
        <w:rPr>
          <w:noProof/>
        </w:rPr>
        <w:t xml:space="preserve">      </w:t>
      </w:r>
      <w:r w:rsidR="005C7AA6" w:rsidRPr="00882FD5">
        <w:rPr>
          <w:noProof/>
        </w:rPr>
        <w:t xml:space="preserve">   (2) </w:t>
      </w:r>
      <w:r w:rsidR="005C7AA6" w:rsidRPr="00882FD5">
        <w:rPr>
          <w:noProof/>
          <w:lang w:eastAsia="zh-CN"/>
        </w:rPr>
        <w:t xml:space="preserve">                                                              </w:t>
      </w:r>
      <w:r w:rsidR="005C7AA6" w:rsidRPr="00882FD5">
        <w:rPr>
          <w:noProof/>
        </w:rPr>
        <w:t xml:space="preserve">                        </w:t>
      </w:r>
    </w:p>
    <w:p w14:paraId="48C39776" w14:textId="51A44E43" w:rsidR="0050410C" w:rsidRDefault="005C7AA6" w:rsidP="006F37E3">
      <w:pPr>
        <w:spacing w:after="120" w:line="240" w:lineRule="auto"/>
        <w:ind w:firstLine="720"/>
        <w:jc w:val="both"/>
        <w:rPr>
          <w:noProof/>
        </w:rPr>
      </w:pPr>
      <w:r w:rsidRPr="00882FD5">
        <w:rPr>
          <w:noProof/>
        </w:rPr>
        <w:t>N</w:t>
      </w:r>
      <w:r w:rsidR="004F4CF2">
        <w:rPr>
          <w:noProof/>
        </w:rPr>
        <w:t>ext</w:t>
      </w:r>
      <w:r w:rsidRPr="00882FD5">
        <w:rPr>
          <w:noProof/>
        </w:rPr>
        <w:t xml:space="preserve"> consider </w:t>
      </w:r>
      <w:r w:rsidRPr="00882FD5">
        <w:rPr>
          <w:i/>
          <w:noProof/>
        </w:rPr>
        <w:t>N</w:t>
      </w:r>
      <w:r w:rsidRPr="00882FD5">
        <w:rPr>
          <w:noProof/>
        </w:rPr>
        <w:t xml:space="preserve"> ordinal outcomes (indicator variables for the latent constructs</w:t>
      </w:r>
      <w:r w:rsidR="00307E18">
        <w:rPr>
          <w:noProof/>
        </w:rPr>
        <w:t xml:space="preserve"> presented at the center top of Figure 1</w:t>
      </w:r>
      <w:r w:rsidRPr="00882FD5">
        <w:rPr>
          <w:noProof/>
        </w:rPr>
        <w:t xml:space="preserve"> as well as main outcomes) and let </w:t>
      </w:r>
      <w:r w:rsidRPr="00882FD5">
        <w:rPr>
          <w:i/>
          <w:noProof/>
        </w:rPr>
        <w:t>n</w:t>
      </w:r>
      <w:r w:rsidRPr="00882FD5">
        <w:rPr>
          <w:noProof/>
        </w:rPr>
        <w:t xml:space="preserve"> be the index for the ordinal outcomes </w:t>
      </w:r>
      <w:r w:rsidR="004B0C12" w:rsidRPr="007419C3">
        <w:rPr>
          <w:noProof/>
          <w:position w:val="-10"/>
        </w:rPr>
        <w:object w:dxaOrig="1560" w:dyaOrig="320" w14:anchorId="53155F84">
          <v:shape id="_x0000_i1048" type="#_x0000_t75" style="width:78pt;height:15.85pt" o:ole="" o:preferrelative="f">
            <v:imagedata r:id="rId49" o:title=""/>
            <o:lock v:ext="edit" aspectratio="f"/>
          </v:shape>
          <o:OLEObject Type="Embed" ProgID="Equation.DSMT4" ShapeID="_x0000_i1048" DrawAspect="Content" ObjectID="_1776695044" r:id="rId50"/>
        </w:object>
      </w:r>
      <w:r w:rsidRPr="00882FD5">
        <w:rPr>
          <w:noProof/>
        </w:rPr>
        <w:t xml:space="preserve">. In our empirical context, </w:t>
      </w:r>
      <w:r w:rsidRPr="00882FD5">
        <w:rPr>
          <w:i/>
          <w:noProof/>
        </w:rPr>
        <w:t>N=</w:t>
      </w:r>
      <w:r w:rsidR="004F4CF2">
        <w:rPr>
          <w:noProof/>
        </w:rPr>
        <w:t>20</w:t>
      </w:r>
      <w:r w:rsidRPr="00882FD5">
        <w:rPr>
          <w:noProof/>
        </w:rPr>
        <w:t>, corresponding to a total of</w:t>
      </w:r>
      <w:r w:rsidR="004F4CF2">
        <w:rPr>
          <w:noProof/>
        </w:rPr>
        <w:t xml:space="preserve"> eleven</w:t>
      </w:r>
      <w:r w:rsidRPr="00882FD5">
        <w:rPr>
          <w:noProof/>
        </w:rPr>
        <w:t xml:space="preserve"> indicators of the t</w:t>
      </w:r>
      <w:r w:rsidR="004F4CF2">
        <w:rPr>
          <w:noProof/>
        </w:rPr>
        <w:t>hree</w:t>
      </w:r>
      <w:r w:rsidRPr="00882FD5">
        <w:rPr>
          <w:noProof/>
        </w:rPr>
        <w:t xml:space="preserve"> latent constructs and the </w:t>
      </w:r>
      <w:r w:rsidR="004F4CF2">
        <w:rPr>
          <w:noProof/>
        </w:rPr>
        <w:t xml:space="preserve">nine </w:t>
      </w:r>
      <w:r w:rsidRPr="00882FD5">
        <w:rPr>
          <w:noProof/>
        </w:rPr>
        <w:t xml:space="preserve">ordinal </w:t>
      </w:r>
      <w:r>
        <w:rPr>
          <w:noProof/>
        </w:rPr>
        <w:t xml:space="preserve">main </w:t>
      </w:r>
      <w:r w:rsidRPr="00882FD5">
        <w:rPr>
          <w:noProof/>
        </w:rPr>
        <w:t>outcomes</w:t>
      </w:r>
      <w:r w:rsidR="00307E18">
        <w:rPr>
          <w:noProof/>
        </w:rPr>
        <w:t xml:space="preserve"> (all outcomes except commute distance)</w:t>
      </w:r>
      <w:r w:rsidRPr="00882FD5">
        <w:rPr>
          <w:noProof/>
        </w:rPr>
        <w:t>. Also, let</w:t>
      </w:r>
      <w:r w:rsidR="004B0C12">
        <w:rPr>
          <w:noProof/>
        </w:rPr>
        <w:t xml:space="preserve"> </w:t>
      </w:r>
      <w:r w:rsidR="004B0C12" w:rsidRPr="0050410C">
        <w:rPr>
          <w:noProof/>
          <w:position w:val="-12"/>
        </w:rPr>
        <w:object w:dxaOrig="279" w:dyaOrig="360" w14:anchorId="635CE9AB">
          <v:shape id="_x0000_i1049" type="#_x0000_t75" style="width:14.15pt;height:18pt" o:ole="" o:preferrelative="f">
            <v:imagedata r:id="rId51" o:title=""/>
            <o:lock v:ext="edit" aspectratio="f"/>
          </v:shape>
          <o:OLEObject Type="Embed" ProgID="Equation.DSMT4" ShapeID="_x0000_i1049" DrawAspect="Content" ObjectID="_1776695045" r:id="rId52"/>
        </w:object>
      </w:r>
      <w:r w:rsidRPr="00882FD5">
        <w:rPr>
          <w:noProof/>
        </w:rPr>
        <w:t xml:space="preserve"> </w:t>
      </w:r>
      <w:r w:rsidR="00687942">
        <w:rPr>
          <w:noProof/>
        </w:rPr>
        <w:t>b</w:t>
      </w:r>
      <w:r w:rsidRPr="00882FD5">
        <w:rPr>
          <w:noProof/>
        </w:rPr>
        <w:t xml:space="preserve">e the number of categories for the </w:t>
      </w:r>
      <w:r w:rsidRPr="00882FD5">
        <w:rPr>
          <w:i/>
          <w:noProof/>
        </w:rPr>
        <w:t>n</w:t>
      </w:r>
      <w:r w:rsidRPr="00882FD5">
        <w:rPr>
          <w:i/>
          <w:noProof/>
          <w:vertAlign w:val="superscript"/>
        </w:rPr>
        <w:t>th</w:t>
      </w:r>
      <w:r w:rsidRPr="00882FD5">
        <w:rPr>
          <w:noProof/>
        </w:rPr>
        <w:t xml:space="preserve"> ordinal outcome </w:t>
      </w:r>
      <w:r w:rsidR="004B0C12" w:rsidRPr="0050410C">
        <w:rPr>
          <w:noProof/>
          <w:position w:val="-12"/>
        </w:rPr>
        <w:object w:dxaOrig="820" w:dyaOrig="360" w14:anchorId="135A40EE">
          <v:shape id="_x0000_i1050" type="#_x0000_t75" style="width:41.15pt;height:18pt" o:ole="" o:preferrelative="f">
            <v:imagedata r:id="rId53" o:title=""/>
            <o:lock v:ext="edit" aspectratio="f"/>
          </v:shape>
          <o:OLEObject Type="Embed" ProgID="Equation.DSMT4" ShapeID="_x0000_i1050" DrawAspect="Content" ObjectID="_1776695046" r:id="rId54"/>
        </w:object>
      </w:r>
      <w:r w:rsidRPr="00882FD5">
        <w:rPr>
          <w:noProof/>
          <w:position w:val="-12"/>
        </w:rPr>
        <w:t xml:space="preserve"> </w:t>
      </w:r>
      <w:r w:rsidRPr="00882FD5">
        <w:rPr>
          <w:noProof/>
        </w:rPr>
        <w:t>and let the corresponding index be</w:t>
      </w:r>
      <w:r w:rsidR="0050410C">
        <w:rPr>
          <w:noProof/>
        </w:rPr>
        <w:t xml:space="preserve"> </w:t>
      </w:r>
      <w:r w:rsidR="004B0C12" w:rsidRPr="0082409F">
        <w:rPr>
          <w:position w:val="-12"/>
        </w:rPr>
        <w:object w:dxaOrig="260" w:dyaOrig="360" w14:anchorId="146392F2">
          <v:shape id="_x0000_i1051" type="#_x0000_t75" style="width:12.85pt;height:18pt" o:ole="" o:preferrelative="f">
            <v:imagedata r:id="rId55" o:title=""/>
            <o:lock v:ext="edit" aspectratio="f"/>
          </v:shape>
          <o:OLEObject Type="Embed" ProgID="Equation.DSMT4" ShapeID="_x0000_i1051" DrawAspect="Content" ObjectID="_1776695047" r:id="rId56"/>
        </w:object>
      </w:r>
      <w:r w:rsidR="00DC7046" w:rsidRPr="0050410C">
        <w:rPr>
          <w:noProof/>
          <w:position w:val="-12"/>
        </w:rPr>
        <w:object w:dxaOrig="1719" w:dyaOrig="360" w14:anchorId="307D4A9E">
          <v:shape id="_x0000_i1052" type="#_x0000_t75" style="width:85.7pt;height:18pt" o:ole="" o:preferrelative="f">
            <v:imagedata r:id="rId57" o:title=""/>
            <o:lock v:ext="edit" aspectratio="f"/>
          </v:shape>
          <o:OLEObject Type="Embed" ProgID="Equation.DSMT4" ShapeID="_x0000_i1052" DrawAspect="Content" ObjectID="_1776695048" r:id="rId58"/>
        </w:object>
      </w:r>
      <w:r w:rsidRPr="00882FD5">
        <w:rPr>
          <w:noProof/>
        </w:rPr>
        <w:t xml:space="preserve"> Let</w:t>
      </w:r>
      <w:r>
        <w:rPr>
          <w:noProof/>
        </w:rPr>
        <w:t xml:space="preserve"> </w:t>
      </w:r>
      <w:r w:rsidR="004B0C12" w:rsidRPr="0050410C">
        <w:rPr>
          <w:noProof/>
          <w:position w:val="-12"/>
        </w:rPr>
        <w:object w:dxaOrig="279" w:dyaOrig="380" w14:anchorId="6590E13A">
          <v:shape id="_x0000_i1053" type="#_x0000_t75" style="width:13.7pt;height:18.85pt" o:ole="" o:preferrelative="f">
            <v:imagedata r:id="rId59" o:title=""/>
            <o:lock v:ext="edit" aspectratio="f"/>
          </v:shape>
          <o:OLEObject Type="Embed" ProgID="Equation.DSMT4" ShapeID="_x0000_i1053" DrawAspect="Content" ObjectID="_1776695049" r:id="rId60"/>
        </w:object>
      </w:r>
      <w:r w:rsidRPr="00882FD5">
        <w:rPr>
          <w:noProof/>
        </w:rPr>
        <w:t xml:space="preserve"> be the latent underlying variable whose horizontal partitioning leads to the observed outcome for the </w:t>
      </w:r>
      <w:r w:rsidRPr="00882FD5">
        <w:rPr>
          <w:i/>
          <w:noProof/>
        </w:rPr>
        <w:t>n</w:t>
      </w:r>
      <w:r w:rsidRPr="00882FD5">
        <w:rPr>
          <w:i/>
          <w:noProof/>
          <w:vertAlign w:val="superscript"/>
        </w:rPr>
        <w:t>th</w:t>
      </w:r>
      <w:r w:rsidRPr="00882FD5">
        <w:rPr>
          <w:noProof/>
        </w:rPr>
        <w:t xml:space="preserve"> ordinal variable. Assume that the individual under consideration chooses the </w:t>
      </w:r>
      <w:r w:rsidR="004B0C12" w:rsidRPr="0050410C">
        <w:rPr>
          <w:noProof/>
          <w:position w:val="-12"/>
        </w:rPr>
        <w:object w:dxaOrig="320" w:dyaOrig="380" w14:anchorId="17E83110">
          <v:shape id="_x0000_i1054" type="#_x0000_t75" style="width:15.85pt;height:18.85pt" o:ole="" o:preferrelative="f">
            <v:imagedata r:id="rId61" o:title=""/>
            <o:lock v:ext="edit" aspectratio="f"/>
          </v:shape>
          <o:OLEObject Type="Embed" ProgID="Equation.DSMT4" ShapeID="_x0000_i1054" DrawAspect="Content" ObjectID="_1776695050" r:id="rId62"/>
        </w:object>
      </w:r>
      <w:r w:rsidRPr="00882FD5">
        <w:rPr>
          <w:noProof/>
        </w:rPr>
        <w:t xml:space="preserve"> ordinal category. Then, in the usual ordered response formulation, for the individual, we may write:      </w:t>
      </w:r>
    </w:p>
    <w:p w14:paraId="54582DB5" w14:textId="31F35FAB" w:rsidR="005C7AA6" w:rsidRPr="00882FD5" w:rsidRDefault="004B0C12" w:rsidP="006F37E3">
      <w:pPr>
        <w:spacing w:after="120" w:line="240" w:lineRule="auto"/>
        <w:jc w:val="both"/>
        <w:rPr>
          <w:noProof/>
        </w:rPr>
      </w:pPr>
      <w:r w:rsidRPr="0050410C">
        <w:rPr>
          <w:noProof/>
          <w:position w:val="-14"/>
        </w:rPr>
        <w:object w:dxaOrig="4200" w:dyaOrig="420" w14:anchorId="3969D668">
          <v:shape id="_x0000_i1055" type="#_x0000_t75" style="width:210pt;height:21pt" o:ole="" o:preferrelative="f">
            <v:imagedata r:id="rId63" o:title=""/>
            <o:lock v:ext="edit" aspectratio="f"/>
          </v:shape>
          <o:OLEObject Type="Embed" ProgID="Equation.DSMT4" ShapeID="_x0000_i1055" DrawAspect="Content" ObjectID="_1776695051" r:id="rId64"/>
        </w:object>
      </w:r>
      <w:r w:rsidR="00F15507">
        <w:rPr>
          <w:noProof/>
        </w:rPr>
        <w:t>,</w:t>
      </w:r>
      <w:r w:rsidR="0050410C">
        <w:rPr>
          <w:noProof/>
        </w:rPr>
        <w:t xml:space="preserve">              </w:t>
      </w:r>
      <w:r w:rsidR="005C7AA6" w:rsidRPr="00882FD5">
        <w:rPr>
          <w:noProof/>
        </w:rPr>
        <w:t xml:space="preserve">                  </w:t>
      </w:r>
      <w:r w:rsidR="005C7AA6" w:rsidRPr="00882FD5">
        <w:rPr>
          <w:noProof/>
          <w:lang w:eastAsia="zh-CN"/>
        </w:rPr>
        <w:t xml:space="preserve">                                     </w:t>
      </w:r>
      <w:r w:rsidR="005C7AA6" w:rsidRPr="00882FD5">
        <w:rPr>
          <w:noProof/>
        </w:rPr>
        <w:t xml:space="preserve">          </w:t>
      </w:r>
      <w:r w:rsidR="005C7AA6">
        <w:rPr>
          <w:noProof/>
        </w:rPr>
        <w:t xml:space="preserve">    </w:t>
      </w:r>
      <w:r w:rsidR="005C7AA6" w:rsidRPr="00882FD5">
        <w:rPr>
          <w:noProof/>
        </w:rPr>
        <w:t xml:space="preserve"> (3)</w:t>
      </w:r>
    </w:p>
    <w:p w14:paraId="55DE542A" w14:textId="23B695E2" w:rsidR="005C7AA6" w:rsidRPr="00882FD5" w:rsidRDefault="005C7AA6" w:rsidP="006F37E3">
      <w:pPr>
        <w:spacing w:after="120" w:line="240" w:lineRule="auto"/>
        <w:jc w:val="both"/>
        <w:rPr>
          <w:noProof/>
        </w:rPr>
      </w:pPr>
      <w:r w:rsidRPr="00882FD5">
        <w:rPr>
          <w:noProof/>
        </w:rPr>
        <w:t xml:space="preserve">where </w:t>
      </w:r>
      <w:r w:rsidR="004B0C12" w:rsidRPr="0050410C">
        <w:rPr>
          <w:noProof/>
          <w:position w:val="-6"/>
        </w:rPr>
        <w:object w:dxaOrig="220" w:dyaOrig="220" w14:anchorId="04812F50">
          <v:shape id="_x0000_i1056" type="#_x0000_t75" style="width:10.7pt;height:10.7pt" o:ole="" o:preferrelative="f">
            <v:imagedata r:id="rId65" o:title=""/>
            <o:lock v:ext="edit" aspectratio="f"/>
          </v:shape>
          <o:OLEObject Type="Embed" ProgID="Equation.DSMT4" ShapeID="_x0000_i1056" DrawAspect="Content" ObjectID="_1776695052" r:id="rId66"/>
        </w:object>
      </w:r>
      <w:r w:rsidRPr="00882FD5">
        <w:rPr>
          <w:noProof/>
        </w:rPr>
        <w:t xml:space="preserve"> is an</w:t>
      </w:r>
      <w:r w:rsidR="004B0C12">
        <w:rPr>
          <w:noProof/>
        </w:rPr>
        <w:t xml:space="preserve"> </w:t>
      </w:r>
      <w:r w:rsidR="004B0C12" w:rsidRPr="0050410C">
        <w:rPr>
          <w:noProof/>
          <w:position w:val="-10"/>
        </w:rPr>
        <w:object w:dxaOrig="660" w:dyaOrig="320" w14:anchorId="5D61278F">
          <v:shape id="_x0000_i1057" type="#_x0000_t75" style="width:33pt;height:15.85pt" o:ole="" o:preferrelative="f">
            <v:imagedata r:id="rId67" o:title=""/>
            <o:lock v:ext="edit" aspectratio="f"/>
          </v:shape>
          <o:OLEObject Type="Embed" ProgID="Equation.DSMT4" ShapeID="_x0000_i1057" DrawAspect="Content" ObjectID="_1776695053" r:id="rId68"/>
        </w:object>
      </w:r>
      <w:r w:rsidR="004B0C12">
        <w:rPr>
          <w:noProof/>
        </w:rPr>
        <w:t xml:space="preserve"> </w:t>
      </w:r>
      <w:r w:rsidRPr="00882FD5">
        <w:rPr>
          <w:noProof/>
        </w:rPr>
        <w:t xml:space="preserve">vector of exogenous variables (including a constant) </w:t>
      </w:r>
      <w:r w:rsidRPr="00882FD5">
        <w:t>as well as possibly the observed values of other endogenous variables</w:t>
      </w:r>
      <w:r w:rsidRPr="00882FD5">
        <w:rPr>
          <w:noProof/>
        </w:rPr>
        <w:t xml:space="preserve">, </w:t>
      </w:r>
      <w:r w:rsidR="00DC7046" w:rsidRPr="0082409F">
        <w:rPr>
          <w:position w:val="-12"/>
        </w:rPr>
        <w:object w:dxaOrig="260" w:dyaOrig="360" w14:anchorId="3F58DC75">
          <v:shape id="_x0000_i1058" type="#_x0000_t75" style="width:12.85pt;height:18pt" o:ole="" o:preferrelative="f">
            <v:imagedata r:id="rId69" o:title=""/>
            <o:lock v:ext="edit" aspectratio="f"/>
          </v:shape>
          <o:OLEObject Type="Embed" ProgID="Equation.DSMT4" ShapeID="_x0000_i1058" DrawAspect="Content" ObjectID="_1776695054" r:id="rId70"/>
        </w:object>
      </w:r>
      <w:r w:rsidRPr="00882FD5">
        <w:rPr>
          <w:noProof/>
          <w:position w:val="-12"/>
        </w:rPr>
        <w:t xml:space="preserve"> </w:t>
      </w:r>
      <w:r w:rsidRPr="00882FD5">
        <w:rPr>
          <w:noProof/>
        </w:rPr>
        <w:t>is a corresponding vector of coefficients to be estimated,</w:t>
      </w:r>
      <w:r w:rsidR="0050410C">
        <w:rPr>
          <w:noProof/>
        </w:rPr>
        <w:t xml:space="preserve"> </w:t>
      </w:r>
      <w:r w:rsidR="00DC7046" w:rsidRPr="0082409F">
        <w:rPr>
          <w:position w:val="-12"/>
        </w:rPr>
        <w:object w:dxaOrig="279" w:dyaOrig="400" w14:anchorId="6A95736D">
          <v:shape id="_x0000_i1059" type="#_x0000_t75" style="width:13.7pt;height:20.15pt" o:ole="" o:preferrelative="f">
            <v:imagedata r:id="rId71" o:title=""/>
            <o:lock v:ext="edit" aspectratio="f"/>
          </v:shape>
          <o:OLEObject Type="Embed" ProgID="Equation.DSMT4" ShapeID="_x0000_i1059" DrawAspect="Content" ObjectID="_1776695055" r:id="rId72"/>
        </w:object>
      </w:r>
      <w:r w:rsidRPr="00882FD5">
        <w:rPr>
          <w:noProof/>
        </w:rPr>
        <w:t xml:space="preserve"> is an</w:t>
      </w:r>
      <w:r w:rsidR="00DC7046">
        <w:rPr>
          <w:noProof/>
        </w:rPr>
        <w:t xml:space="preserve"> </w:t>
      </w:r>
      <w:r w:rsidR="00DC7046" w:rsidRPr="0050410C">
        <w:rPr>
          <w:noProof/>
          <w:position w:val="-10"/>
        </w:rPr>
        <w:object w:dxaOrig="639" w:dyaOrig="320" w14:anchorId="554B9030">
          <v:shape id="_x0000_i1060" type="#_x0000_t75" style="width:31.7pt;height:15.85pt" o:ole="" o:preferrelative="f">
            <v:imagedata r:id="rId29" o:title=""/>
            <o:lock v:ext="edit" aspectratio="f"/>
          </v:shape>
          <o:OLEObject Type="Embed" ProgID="Equation.DSMT4" ShapeID="_x0000_i1060" DrawAspect="Content" ObjectID="_1776695056" r:id="rId73"/>
        </w:object>
      </w:r>
      <w:r w:rsidR="00DC7046">
        <w:rPr>
          <w:noProof/>
        </w:rPr>
        <w:t xml:space="preserve"> </w:t>
      </w:r>
      <w:r w:rsidRPr="00882FD5">
        <w:rPr>
          <w:noProof/>
        </w:rPr>
        <w:t xml:space="preserve">vector of latent variable loadings on the </w:t>
      </w:r>
      <w:r w:rsidRPr="00882FD5">
        <w:rPr>
          <w:i/>
          <w:noProof/>
        </w:rPr>
        <w:t>n</w:t>
      </w:r>
      <w:r w:rsidRPr="00882FD5">
        <w:rPr>
          <w:i/>
          <w:noProof/>
          <w:vertAlign w:val="superscript"/>
        </w:rPr>
        <w:t>th</w:t>
      </w:r>
      <w:r w:rsidRPr="00882FD5">
        <w:rPr>
          <w:noProof/>
        </w:rPr>
        <w:t xml:space="preserve"> ordinal outcome, the </w:t>
      </w:r>
      <w:r w:rsidR="00DC7046" w:rsidRPr="0082409F">
        <w:rPr>
          <w:position w:val="-10"/>
        </w:rPr>
        <w:object w:dxaOrig="240" w:dyaOrig="320" w14:anchorId="517AE159">
          <v:shape id="_x0000_i1061" type="#_x0000_t75" style="width:12pt;height:15.85pt" o:ole="" o:preferrelative="f">
            <v:imagedata r:id="rId74" o:title=""/>
            <o:lock v:ext="edit" aspectratio="f"/>
          </v:shape>
          <o:OLEObject Type="Embed" ProgID="Equation.DSMT4" ShapeID="_x0000_i1061" DrawAspect="Content" ObjectID="_1776695057" r:id="rId75"/>
        </w:object>
      </w:r>
      <w:r w:rsidRPr="00882FD5">
        <w:rPr>
          <w:noProof/>
        </w:rPr>
        <w:t xml:space="preserve"> terms represent thresholds, and </w:t>
      </w:r>
      <w:r w:rsidR="00DC7046" w:rsidRPr="0082409F">
        <w:rPr>
          <w:position w:val="-12"/>
        </w:rPr>
        <w:object w:dxaOrig="260" w:dyaOrig="360" w14:anchorId="70E3C6D1">
          <v:shape id="_x0000_i1062" type="#_x0000_t75" style="width:12.85pt;height:18pt" o:ole="" o:preferrelative="f">
            <v:imagedata r:id="rId76" o:title=""/>
            <o:lock v:ext="edit" aspectratio="f"/>
          </v:shape>
          <o:OLEObject Type="Embed" ProgID="Equation.DSMT4" ShapeID="_x0000_i1062" DrawAspect="Content" ObjectID="_1776695058" r:id="rId77"/>
        </w:object>
      </w:r>
      <w:r w:rsidRPr="00882FD5">
        <w:rPr>
          <w:noProof/>
        </w:rPr>
        <w:t xml:space="preserve"> is the standard normal random error for the </w:t>
      </w:r>
      <w:r w:rsidRPr="00882FD5">
        <w:rPr>
          <w:i/>
          <w:noProof/>
        </w:rPr>
        <w:t>n</w:t>
      </w:r>
      <w:r w:rsidRPr="00882FD5">
        <w:rPr>
          <w:i/>
          <w:noProof/>
          <w:vertAlign w:val="superscript"/>
        </w:rPr>
        <w:t>th</w:t>
      </w:r>
      <w:r w:rsidRPr="00882FD5">
        <w:rPr>
          <w:i/>
          <w:noProof/>
        </w:rPr>
        <w:t xml:space="preserve"> </w:t>
      </w:r>
      <w:r w:rsidRPr="00882FD5">
        <w:rPr>
          <w:noProof/>
        </w:rPr>
        <w:t>ordinal outcome (note, however, that for the indicators (but not the main outcomes), the</w:t>
      </w:r>
      <w:r w:rsidR="00DC7046" w:rsidRPr="0082409F">
        <w:rPr>
          <w:position w:val="-6"/>
        </w:rPr>
        <w:object w:dxaOrig="220" w:dyaOrig="220" w14:anchorId="32F8A589">
          <v:shape id="_x0000_i1063" type="#_x0000_t75" style="width:10.7pt;height:10.7pt" o:ole="" o:preferrelative="f">
            <v:imagedata r:id="rId78" o:title=""/>
            <o:lock v:ext="edit" aspectratio="f"/>
          </v:shape>
          <o:OLEObject Type="Embed" ProgID="Equation.DSMT4" ShapeID="_x0000_i1063" DrawAspect="Content" ObjectID="_1776695059" r:id="rId79"/>
        </w:object>
      </w:r>
      <w:r>
        <w:rPr>
          <w:noProof/>
        </w:rPr>
        <w:t xml:space="preserve"> </w:t>
      </w:r>
      <w:r w:rsidRPr="00882FD5">
        <w:rPr>
          <w:noProof/>
        </w:rPr>
        <w:t xml:space="preserve">vector will not appear on the right side of Equation (3); also, there are specific identification conditions for the number of non-zero elements of </w:t>
      </w:r>
      <w:r w:rsidR="00DC7046" w:rsidRPr="0082409F">
        <w:rPr>
          <w:position w:val="-12"/>
        </w:rPr>
        <w:object w:dxaOrig="279" w:dyaOrig="400" w14:anchorId="5C878C32">
          <v:shape id="_x0000_i1064" type="#_x0000_t75" style="width:13.7pt;height:20.15pt" o:ole="" o:preferrelative="f">
            <v:imagedata r:id="rId80" o:title=""/>
            <o:lock v:ext="edit" aspectratio="f"/>
          </v:shape>
          <o:OLEObject Type="Embed" ProgID="Equation.DSMT4" ShapeID="_x0000_i1064" DrawAspect="Content" ObjectID="_1776695060" r:id="rId81"/>
        </w:object>
      </w:r>
      <w:r>
        <w:t xml:space="preserve"> </w:t>
      </w:r>
      <w:r w:rsidRPr="00882FD5">
        <w:rPr>
          <w:noProof/>
        </w:rPr>
        <w:t>that can be present in each indicator equation and across all indicator equations; please see Bhat (</w:t>
      </w:r>
      <w:r w:rsidRPr="00882FD5">
        <w:t>2015a</w:t>
      </w:r>
      <w:r w:rsidRPr="00882FD5">
        <w:rPr>
          <w:noProof/>
        </w:rPr>
        <w:t xml:space="preserve">) for additional details). For each ordinal outcome, </w:t>
      </w:r>
      <w:r w:rsidR="00DC7046" w:rsidRPr="0082409F">
        <w:rPr>
          <w:position w:val="-14"/>
        </w:rPr>
        <w:object w:dxaOrig="3240" w:dyaOrig="380" w14:anchorId="070D18E2">
          <v:shape id="_x0000_i1065" type="#_x0000_t75" style="width:162pt;height:18.85pt" o:ole="" o:preferrelative="f">
            <v:imagedata r:id="rId82" o:title=""/>
            <o:lock v:ext="edit" aspectratio="f"/>
          </v:shape>
          <o:OLEObject Type="Embed" ProgID="Equation.DSMT4" ShapeID="_x0000_i1065" DrawAspect="Content" ObjectID="_1776695061" r:id="rId83"/>
        </w:object>
      </w:r>
      <w:r w:rsidRPr="00882FD5">
        <w:rPr>
          <w:noProof/>
        </w:rPr>
        <w:t>;</w:t>
      </w:r>
      <w:r>
        <w:rPr>
          <w:noProof/>
        </w:rPr>
        <w:t xml:space="preserve"> </w:t>
      </w:r>
      <w:r w:rsidR="00DC7046" w:rsidRPr="0082409F">
        <w:rPr>
          <w:position w:val="-14"/>
        </w:rPr>
        <w:object w:dxaOrig="980" w:dyaOrig="380" w14:anchorId="248782E3">
          <v:shape id="_x0000_i1066" type="#_x0000_t75" style="width:48.85pt;height:18.85pt" o:ole="" o:preferrelative="f">
            <v:imagedata r:id="rId84" o:title=""/>
            <o:lock v:ext="edit" aspectratio="f"/>
          </v:shape>
          <o:OLEObject Type="Embed" ProgID="Equation.DSMT4" ShapeID="_x0000_i1066" DrawAspect="Content" ObjectID="_1776695062" r:id="rId85"/>
        </w:object>
      </w:r>
      <w:r w:rsidRPr="00882FD5">
        <w:rPr>
          <w:noProof/>
        </w:rPr>
        <w:t xml:space="preserve">, </w:t>
      </w:r>
      <w:r w:rsidR="00DC7046" w:rsidRPr="0082409F">
        <w:rPr>
          <w:position w:val="-14"/>
        </w:rPr>
        <w:object w:dxaOrig="780" w:dyaOrig="380" w14:anchorId="19912D6A">
          <v:shape id="_x0000_i1067" type="#_x0000_t75" style="width:39pt;height:18.85pt" o:ole="" o:preferrelative="f">
            <v:imagedata r:id="rId86" o:title=""/>
            <o:lock v:ext="edit" aspectratio="f"/>
          </v:shape>
          <o:OLEObject Type="Embed" ProgID="Equation.DSMT4" ShapeID="_x0000_i1067" DrawAspect="Content" ObjectID="_1776695063" r:id="rId87"/>
        </w:object>
      </w:r>
      <w:r w:rsidRPr="00882FD5">
        <w:rPr>
          <w:noProof/>
        </w:rPr>
        <w:t>, and</w:t>
      </w:r>
      <w:r>
        <w:rPr>
          <w:noProof/>
        </w:rPr>
        <w:t xml:space="preserve"> </w:t>
      </w:r>
      <w:r w:rsidR="00DC7046" w:rsidRPr="0082409F">
        <w:rPr>
          <w:position w:val="-14"/>
        </w:rPr>
        <w:object w:dxaOrig="1060" w:dyaOrig="380" w14:anchorId="7779B807">
          <v:shape id="_x0000_i1068" type="#_x0000_t75" style="width:53.15pt;height:18.85pt" o:ole="" o:preferrelative="f">
            <v:imagedata r:id="rId88" o:title=""/>
            <o:lock v:ext="edit" aspectratio="f"/>
          </v:shape>
          <o:OLEObject Type="Embed" ProgID="Equation.DSMT4" ShapeID="_x0000_i1068" DrawAspect="Content" ObjectID="_1776695064" r:id="rId89"/>
        </w:object>
      </w:r>
      <w:r w:rsidRPr="00882FD5">
        <w:rPr>
          <w:noProof/>
        </w:rPr>
        <w:t xml:space="preserve">. For later use, let </w:t>
      </w:r>
      <w:r w:rsidR="00DC7046" w:rsidRPr="0082409F">
        <w:rPr>
          <w:position w:val="-14"/>
        </w:rPr>
        <w:object w:dxaOrig="2480" w:dyaOrig="380" w14:anchorId="7ABBF0D0">
          <v:shape id="_x0000_i1069" type="#_x0000_t75" style="width:123.85pt;height:18.85pt" o:ole="" o:preferrelative="f">
            <v:imagedata r:id="rId90" o:title=""/>
            <o:lock v:ext="edit" aspectratio="f"/>
          </v:shape>
          <o:OLEObject Type="Embed" ProgID="Equation.DSMT4" ShapeID="_x0000_i1069" DrawAspect="Content" ObjectID="_1776695065" r:id="rId91"/>
        </w:object>
      </w:r>
      <w:r w:rsidRPr="00882FD5">
        <w:rPr>
          <w:noProof/>
        </w:rPr>
        <w:t xml:space="preserve"> and </w:t>
      </w:r>
      <w:r w:rsidR="00DC7046" w:rsidRPr="0082409F">
        <w:rPr>
          <w:position w:val="-12"/>
        </w:rPr>
        <w:object w:dxaOrig="1960" w:dyaOrig="360" w14:anchorId="3EB6046A">
          <v:shape id="_x0000_i1070" type="#_x0000_t75" style="width:98.15pt;height:18pt" o:ole="" o:preferrelative="f">
            <v:imagedata r:id="rId92" o:title=""/>
            <o:lock v:ext="edit" aspectratio="f"/>
          </v:shape>
          <o:OLEObject Type="Embed" ProgID="Equation.DSMT4" ShapeID="_x0000_i1070" DrawAspect="Content" ObjectID="_1776695066" r:id="rId93"/>
        </w:object>
      </w:r>
      <w:r w:rsidRPr="00882FD5">
        <w:rPr>
          <w:noProof/>
        </w:rPr>
        <w:t xml:space="preserve"> Stack the </w:t>
      </w:r>
      <w:r w:rsidRPr="00882FD5">
        <w:rPr>
          <w:i/>
          <w:noProof/>
        </w:rPr>
        <w:t xml:space="preserve">N </w:t>
      </w:r>
      <w:r w:rsidRPr="00882FD5">
        <w:rPr>
          <w:noProof/>
        </w:rPr>
        <w:t>underlying continuous</w:t>
      </w:r>
      <w:r w:rsidRPr="00882FD5">
        <w:rPr>
          <w:i/>
          <w:noProof/>
        </w:rPr>
        <w:t xml:space="preserve"> </w:t>
      </w:r>
      <w:r w:rsidRPr="00882FD5">
        <w:rPr>
          <w:noProof/>
        </w:rPr>
        <w:t xml:space="preserve">variables </w:t>
      </w:r>
      <w:r w:rsidR="00DC7046" w:rsidRPr="0082409F">
        <w:rPr>
          <w:position w:val="-12"/>
        </w:rPr>
        <w:object w:dxaOrig="279" w:dyaOrig="380" w14:anchorId="44623A61">
          <v:shape id="_x0000_i1071" type="#_x0000_t75" style="width:13.7pt;height:18.85pt" o:ole="" o:preferrelative="f">
            <v:imagedata r:id="rId94" o:title=""/>
            <o:lock v:ext="edit" aspectratio="f"/>
          </v:shape>
          <o:OLEObject Type="Embed" ProgID="Equation.DSMT4" ShapeID="_x0000_i1071" DrawAspect="Content" ObjectID="_1776695067" r:id="rId95"/>
        </w:object>
      </w:r>
      <w:r>
        <w:t xml:space="preserve"> </w:t>
      </w:r>
      <w:r w:rsidRPr="00882FD5">
        <w:rPr>
          <w:noProof/>
        </w:rPr>
        <w:t>into an</w:t>
      </w:r>
      <w:r>
        <w:rPr>
          <w:noProof/>
        </w:rPr>
        <w:t xml:space="preserve"> </w:t>
      </w:r>
      <w:r w:rsidR="00DC7046" w:rsidRPr="0082409F">
        <w:rPr>
          <w:position w:val="-10"/>
        </w:rPr>
        <w:object w:dxaOrig="700" w:dyaOrig="320" w14:anchorId="45F904F3">
          <v:shape id="_x0000_i1072" type="#_x0000_t75" style="width:35.15pt;height:15.85pt" o:ole="" o:preferrelative="f">
            <v:imagedata r:id="rId96" o:title=""/>
            <o:lock v:ext="edit" aspectratio="f"/>
          </v:shape>
          <o:OLEObject Type="Embed" ProgID="Equation.DSMT4" ShapeID="_x0000_i1072" DrawAspect="Content" ObjectID="_1776695068" r:id="rId97"/>
        </w:object>
      </w:r>
      <w:r>
        <w:t xml:space="preserve"> </w:t>
      </w:r>
      <w:r w:rsidRPr="00882FD5">
        <w:rPr>
          <w:noProof/>
        </w:rPr>
        <w:t xml:space="preserve">vector </w:t>
      </w:r>
      <w:r w:rsidR="00DC7046" w:rsidRPr="0082409F">
        <w:rPr>
          <w:position w:val="-10"/>
        </w:rPr>
        <w:object w:dxaOrig="300" w:dyaOrig="360" w14:anchorId="64A82069">
          <v:shape id="_x0000_i1073" type="#_x0000_t75" style="width:15pt;height:18pt" o:ole="" o:preferrelative="f">
            <v:imagedata r:id="rId98" o:title=""/>
            <o:lock v:ext="edit" aspectratio="f"/>
          </v:shape>
          <o:OLEObject Type="Embed" ProgID="Equation.DSMT4" ShapeID="_x0000_i1073" DrawAspect="Content" ObjectID="_1776695069" r:id="rId99"/>
        </w:object>
      </w:r>
      <w:r w:rsidRPr="00882FD5">
        <w:rPr>
          <w:noProof/>
        </w:rPr>
        <w:t xml:space="preserve">, and the </w:t>
      </w:r>
      <w:r w:rsidRPr="00882FD5">
        <w:rPr>
          <w:i/>
          <w:noProof/>
        </w:rPr>
        <w:t>N</w:t>
      </w:r>
      <w:r w:rsidRPr="00882FD5">
        <w:rPr>
          <w:noProof/>
        </w:rPr>
        <w:t xml:space="preserve"> error terms </w:t>
      </w:r>
      <w:r w:rsidR="00DC7046" w:rsidRPr="0082409F">
        <w:rPr>
          <w:position w:val="-12"/>
        </w:rPr>
        <w:object w:dxaOrig="260" w:dyaOrig="360" w14:anchorId="4F4B7F2C">
          <v:shape id="_x0000_i1074" type="#_x0000_t75" style="width:12.85pt;height:18pt" o:ole="" o:preferrelative="f">
            <v:imagedata r:id="rId76" o:title=""/>
            <o:lock v:ext="edit" aspectratio="f"/>
          </v:shape>
          <o:OLEObject Type="Embed" ProgID="Equation.DSMT4" ShapeID="_x0000_i1074" DrawAspect="Content" ObjectID="_1776695070" r:id="rId100"/>
        </w:object>
      </w:r>
      <w:r w:rsidRPr="00882FD5">
        <w:rPr>
          <w:noProof/>
        </w:rPr>
        <w:t xml:space="preserve"> into another</w:t>
      </w:r>
      <w:r>
        <w:rPr>
          <w:noProof/>
        </w:rPr>
        <w:t xml:space="preserve"> </w:t>
      </w:r>
      <w:r w:rsidR="00DC7046" w:rsidRPr="0082409F">
        <w:rPr>
          <w:position w:val="-10"/>
        </w:rPr>
        <w:object w:dxaOrig="700" w:dyaOrig="320" w14:anchorId="10C8FB8E">
          <v:shape id="_x0000_i1075" type="#_x0000_t75" style="width:35.15pt;height:15.85pt" o:ole="" o:preferrelative="f">
            <v:imagedata r:id="rId96" o:title=""/>
            <o:lock v:ext="edit" aspectratio="f"/>
          </v:shape>
          <o:OLEObject Type="Embed" ProgID="Equation.DSMT4" ShapeID="_x0000_i1075" DrawAspect="Content" ObjectID="_1776695071" r:id="rId101"/>
        </w:object>
      </w:r>
      <w:r>
        <w:t xml:space="preserve"> </w:t>
      </w:r>
      <w:r w:rsidRPr="00882FD5">
        <w:rPr>
          <w:noProof/>
        </w:rPr>
        <w:t>vector</w:t>
      </w:r>
      <w:r>
        <w:rPr>
          <w:noProof/>
        </w:rPr>
        <w:t xml:space="preserve"> </w:t>
      </w:r>
      <w:r w:rsidR="00DC7046" w:rsidRPr="0082409F">
        <w:rPr>
          <w:position w:val="-6"/>
        </w:rPr>
        <w:object w:dxaOrig="200" w:dyaOrig="279" w14:anchorId="52AEA4C7">
          <v:shape id="_x0000_i1076" type="#_x0000_t75" style="width:10.7pt;height:13.7pt" o:ole="" o:preferrelative="f">
            <v:imagedata r:id="rId102" o:title=""/>
            <o:lock v:ext="edit" aspectratio="f"/>
          </v:shape>
          <o:OLEObject Type="Embed" ProgID="Equation.DSMT4" ShapeID="_x0000_i1076" DrawAspect="Content" ObjectID="_1776695072" r:id="rId103"/>
        </w:object>
      </w:r>
      <w:r>
        <w:t>.</w:t>
      </w:r>
      <w:r>
        <w:rPr>
          <w:noProof/>
        </w:rPr>
        <w:t xml:space="preserve"> </w:t>
      </w:r>
      <w:r w:rsidRPr="00882FD5">
        <w:rPr>
          <w:noProof/>
        </w:rPr>
        <w:t xml:space="preserve">Define </w:t>
      </w:r>
      <w:r w:rsidR="00DC7046" w:rsidRPr="00DC3013">
        <w:rPr>
          <w:noProof/>
          <w:position w:val="-12"/>
        </w:rPr>
        <w:object w:dxaOrig="1680" w:dyaOrig="360" w14:anchorId="4F041AE6">
          <v:shape id="_x0000_i1077" type="#_x0000_t75" style="width:84pt;height:18pt" o:ole="" o:preferrelative="f">
            <v:imagedata r:id="rId104" o:title=""/>
            <o:lock v:ext="edit" aspectratio="f"/>
          </v:shape>
          <o:OLEObject Type="Embed" ProgID="Equation.DSMT4" ShapeID="_x0000_i1077" DrawAspect="Content" ObjectID="_1776695073" r:id="rId105"/>
        </w:object>
      </w:r>
      <w:r>
        <w:rPr>
          <w:noProof/>
        </w:rPr>
        <w:t xml:space="preserve"> </w:t>
      </w:r>
      <w:r w:rsidRPr="00882FD5">
        <w:rPr>
          <w:noProof/>
        </w:rPr>
        <w:t>[</w:t>
      </w:r>
      <w:r w:rsidR="00DC7046" w:rsidRPr="0082409F">
        <w:rPr>
          <w:position w:val="-10"/>
        </w:rPr>
        <w:object w:dxaOrig="780" w:dyaOrig="320" w14:anchorId="4B584ADF">
          <v:shape id="_x0000_i1078" type="#_x0000_t75" style="width:39pt;height:15.85pt" o:ole="" o:preferrelative="f">
            <v:imagedata r:id="rId106" o:title=""/>
            <o:lock v:ext="edit" aspectratio="f"/>
          </v:shape>
          <o:OLEObject Type="Embed" ProgID="Equation.DSMT4" ShapeID="_x0000_i1078" DrawAspect="Content" ObjectID="_1776695074" r:id="rId107"/>
        </w:object>
      </w:r>
      <w:r w:rsidR="00DC3013">
        <w:t xml:space="preserve"> </w:t>
      </w:r>
      <w:r w:rsidRPr="00882FD5">
        <w:rPr>
          <w:noProof/>
        </w:rPr>
        <w:t xml:space="preserve">matrix] and </w:t>
      </w:r>
      <w:r w:rsidR="00DC7046" w:rsidRPr="00DC3013">
        <w:rPr>
          <w:noProof/>
          <w:position w:val="-18"/>
        </w:rPr>
        <w:object w:dxaOrig="1740" w:dyaOrig="480" w14:anchorId="01C7170B">
          <v:shape id="_x0000_i1079" type="#_x0000_t75" style="width:87pt;height:24pt" o:ole="" o:preferrelative="f">
            <v:imagedata r:id="rId108" o:title=""/>
            <o:lock v:ext="edit" aspectratio="f"/>
          </v:shape>
          <o:OLEObject Type="Embed" ProgID="Equation.DSMT4" ShapeID="_x0000_i1079" DrawAspect="Content" ObjectID="_1776695075" r:id="rId109"/>
        </w:object>
      </w:r>
      <w:r w:rsidRPr="00882FD5">
        <w:rPr>
          <w:noProof/>
          <w:position w:val="-12"/>
        </w:rPr>
        <w:t xml:space="preserve"> </w:t>
      </w:r>
      <w:r w:rsidRPr="00882FD5">
        <w:rPr>
          <w:noProof/>
        </w:rPr>
        <w:t>[</w:t>
      </w:r>
      <w:r w:rsidR="00DC7046" w:rsidRPr="0082409F">
        <w:rPr>
          <w:position w:val="-10"/>
        </w:rPr>
        <w:object w:dxaOrig="780" w:dyaOrig="320" w14:anchorId="53422DCF">
          <v:shape id="_x0000_i1080" type="#_x0000_t75" style="width:39pt;height:15.85pt" o:ole="" o:preferrelative="f">
            <v:imagedata r:id="rId110" o:title=""/>
            <o:lock v:ext="edit" aspectratio="f"/>
          </v:shape>
          <o:OLEObject Type="Embed" ProgID="Equation.DSMT4" ShapeID="_x0000_i1080" DrawAspect="Content" ObjectID="_1776695076" r:id="rId111"/>
        </w:object>
      </w:r>
      <w:r>
        <w:t xml:space="preserve"> </w:t>
      </w:r>
      <w:r w:rsidRPr="00882FD5">
        <w:rPr>
          <w:noProof/>
        </w:rPr>
        <w:t xml:space="preserve">matrix], and let </w:t>
      </w:r>
      <w:r w:rsidR="00BF6DC8" w:rsidRPr="00DC3013">
        <w:rPr>
          <w:noProof/>
          <w:position w:val="-12"/>
        </w:rPr>
        <w:object w:dxaOrig="800" w:dyaOrig="360" w14:anchorId="78464401">
          <v:shape id="_x0000_i1081" type="#_x0000_t75" style="width:40.3pt;height:18pt" o:ole="" o:preferrelative="f">
            <v:imagedata r:id="rId112" o:title=""/>
            <o:lock v:ext="edit" aspectratio="f"/>
          </v:shape>
          <o:OLEObject Type="Embed" ProgID="Equation.DSMT4" ShapeID="_x0000_i1081" DrawAspect="Content" ObjectID="_1776695077" r:id="rId113"/>
        </w:object>
      </w:r>
      <w:r w:rsidRPr="00882FD5">
        <w:rPr>
          <w:noProof/>
        </w:rPr>
        <w:t xml:space="preserve"> be the identity matrix of dimension </w:t>
      </w:r>
      <w:r w:rsidRPr="00882FD5">
        <w:rPr>
          <w:i/>
          <w:noProof/>
        </w:rPr>
        <w:t>N</w:t>
      </w:r>
      <w:r w:rsidRPr="00882FD5">
        <w:rPr>
          <w:noProof/>
        </w:rPr>
        <w:t xml:space="preserve"> representing the correlation matrix of</w:t>
      </w:r>
      <w:r>
        <w:rPr>
          <w:noProof/>
        </w:rPr>
        <w:t xml:space="preserve"> </w:t>
      </w:r>
      <w:r w:rsidR="00DC7046" w:rsidRPr="008D772B">
        <w:rPr>
          <w:position w:val="-6"/>
        </w:rPr>
        <w:object w:dxaOrig="200" w:dyaOrig="279" w14:anchorId="6B678F4E">
          <v:shape id="_x0000_i1082" type="#_x0000_t75" style="width:9.85pt;height:13.7pt" o:ole="" o:preferrelative="f">
            <v:imagedata r:id="rId114" o:title=""/>
            <o:lock v:ext="edit" aspectratio="f"/>
          </v:shape>
          <o:OLEObject Type="Embed" ProgID="Equation.DSMT4" ShapeID="_x0000_i1082" DrawAspect="Content" ObjectID="_1776695078" r:id="rId115"/>
        </w:object>
      </w:r>
      <w:r w:rsidRPr="00882FD5">
        <w:rPr>
          <w:noProof/>
        </w:rPr>
        <w:t>. Finally, stack the lower thresholds for the decision-maker</w:t>
      </w:r>
      <w:r>
        <w:rPr>
          <w:noProof/>
        </w:rPr>
        <w:t xml:space="preserve"> </w:t>
      </w:r>
      <w:r w:rsidR="00DC7046" w:rsidRPr="00DC3013">
        <w:rPr>
          <w:noProof/>
          <w:position w:val="-14"/>
        </w:rPr>
        <w:object w:dxaOrig="2060" w:dyaOrig="400" w14:anchorId="6FBFFD7F">
          <v:shape id="_x0000_i1083" type="#_x0000_t75" style="width:102.85pt;height:20.15pt" o:ole="" o:preferrelative="f">
            <v:imagedata r:id="rId116" o:title=""/>
            <o:lock v:ext="edit" aspectratio="f"/>
          </v:shape>
          <o:OLEObject Type="Embed" ProgID="Equation.DSMT4" ShapeID="_x0000_i1083" DrawAspect="Content" ObjectID="_1776695079" r:id="rId117"/>
        </w:object>
      </w:r>
      <w:r>
        <w:rPr>
          <w:noProof/>
          <w:position w:val="-14"/>
        </w:rPr>
        <w:t xml:space="preserve"> </w:t>
      </w:r>
      <w:r w:rsidRPr="00882FD5">
        <w:rPr>
          <w:noProof/>
        </w:rPr>
        <w:t>into an</w:t>
      </w:r>
      <w:r>
        <w:rPr>
          <w:noProof/>
        </w:rPr>
        <w:t xml:space="preserve"> </w:t>
      </w:r>
      <w:r w:rsidR="00DC7046" w:rsidRPr="0082409F">
        <w:rPr>
          <w:position w:val="-10"/>
        </w:rPr>
        <w:object w:dxaOrig="700" w:dyaOrig="320" w14:anchorId="0DA2C7EB">
          <v:shape id="_x0000_i1084" type="#_x0000_t75" style="width:35.15pt;height:15.85pt" o:ole="">
            <v:imagedata r:id="rId96" o:title=""/>
          </v:shape>
          <o:OLEObject Type="Embed" ProgID="Equation.DSMT4" ShapeID="_x0000_i1084" DrawAspect="Content" ObjectID="_1776695080" r:id="rId118"/>
        </w:object>
      </w:r>
      <w:r w:rsidRPr="00882FD5">
        <w:rPr>
          <w:noProof/>
          <w:position w:val="-10"/>
        </w:rPr>
        <w:t xml:space="preserve"> </w:t>
      </w:r>
      <w:r w:rsidRPr="00882FD5">
        <w:rPr>
          <w:noProof/>
        </w:rPr>
        <w:t xml:space="preserve">vector </w:t>
      </w:r>
      <w:r w:rsidR="00DC7046" w:rsidRPr="0082409F">
        <w:rPr>
          <w:position w:val="-12"/>
        </w:rPr>
        <w:object w:dxaOrig="440" w:dyaOrig="360" w14:anchorId="4282A896">
          <v:shape id="_x0000_i1085" type="#_x0000_t75" style="width:22.7pt;height:18pt" o:ole="" o:preferrelative="f">
            <v:imagedata r:id="rId119" o:title=""/>
            <o:lock v:ext="edit" aspectratio="f"/>
          </v:shape>
          <o:OLEObject Type="Embed" ProgID="Equation.DSMT4" ShapeID="_x0000_i1085" DrawAspect="Content" ObjectID="_1776695081" r:id="rId120"/>
        </w:object>
      </w:r>
      <w:r w:rsidRPr="00882FD5">
        <w:rPr>
          <w:noProof/>
          <w:position w:val="-12"/>
        </w:rPr>
        <w:t xml:space="preserve"> </w:t>
      </w:r>
      <w:r w:rsidRPr="00882FD5">
        <w:rPr>
          <w:noProof/>
        </w:rPr>
        <w:t>and the upper thresholds</w:t>
      </w:r>
      <w:r>
        <w:rPr>
          <w:noProof/>
        </w:rPr>
        <w:t xml:space="preserve"> </w:t>
      </w:r>
      <w:r w:rsidR="00DC7046" w:rsidRPr="00DC3013">
        <w:rPr>
          <w:noProof/>
          <w:position w:val="-14"/>
        </w:rPr>
        <w:object w:dxaOrig="1920" w:dyaOrig="400" w14:anchorId="1C5FDFE2">
          <v:shape id="_x0000_i1086" type="#_x0000_t75" style="width:96.85pt;height:20.15pt" o:ole="">
            <v:imagedata r:id="rId121" o:title=""/>
          </v:shape>
          <o:OLEObject Type="Embed" ProgID="Equation.DSMT4" ShapeID="_x0000_i1086" DrawAspect="Content" ObjectID="_1776695082" r:id="rId122"/>
        </w:object>
      </w:r>
      <w:r>
        <w:t xml:space="preserve"> </w:t>
      </w:r>
      <w:r w:rsidRPr="00882FD5">
        <w:rPr>
          <w:noProof/>
        </w:rPr>
        <w:t>into another vector</w:t>
      </w:r>
      <w:r w:rsidR="00DC3013">
        <w:rPr>
          <w:noProof/>
        </w:rPr>
        <w:t xml:space="preserve"> </w:t>
      </w:r>
      <w:r w:rsidR="00DC7046" w:rsidRPr="0082409F">
        <w:rPr>
          <w:position w:val="-14"/>
        </w:rPr>
        <w:object w:dxaOrig="380" w:dyaOrig="380" w14:anchorId="28AF37F1">
          <v:shape id="_x0000_i1087" type="#_x0000_t75" style="width:18.85pt;height:18.85pt" o:ole="" o:preferrelative="f">
            <v:imagedata r:id="rId123" o:title=""/>
            <o:lock v:ext="edit" aspectratio="f"/>
          </v:shape>
          <o:OLEObject Type="Embed" ProgID="Equation.DSMT4" ShapeID="_x0000_i1087" DrawAspect="Content" ObjectID="_1776695083" r:id="rId124"/>
        </w:object>
      </w:r>
      <w:r>
        <w:t>.</w:t>
      </w:r>
      <w:r w:rsidRPr="00882FD5">
        <w:rPr>
          <w:noProof/>
        </w:rPr>
        <w:t xml:space="preserve"> Then, in matrix form, the measurement equation for the ordinal outcomes for the decision-maker may be written as:</w:t>
      </w:r>
    </w:p>
    <w:p w14:paraId="01D1A178" w14:textId="71EABFE1" w:rsidR="004F4CF2" w:rsidRPr="00D21817" w:rsidRDefault="00957650" w:rsidP="006F37E3">
      <w:pPr>
        <w:spacing w:after="120" w:line="240" w:lineRule="auto"/>
        <w:jc w:val="both"/>
        <w:rPr>
          <w:noProof/>
        </w:rPr>
      </w:pPr>
      <w:r w:rsidRPr="0082409F">
        <w:rPr>
          <w:position w:val="-14"/>
        </w:rPr>
        <w:object w:dxaOrig="3260" w:dyaOrig="420" w14:anchorId="782704EB">
          <v:shape id="_x0000_i1088" type="#_x0000_t75" style="width:162.85pt;height:21pt" o:ole="" o:preferrelative="f">
            <v:imagedata r:id="rId125" o:title=""/>
            <o:lock v:ext="edit" aspectratio="f"/>
          </v:shape>
          <o:OLEObject Type="Embed" ProgID="Equation.DSMT4" ShapeID="_x0000_i1088" DrawAspect="Content" ObjectID="_1776695084" r:id="rId126"/>
        </w:object>
      </w:r>
      <w:r w:rsidR="00F15507">
        <w:t>.</w:t>
      </w:r>
      <w:r w:rsidR="005C7AA6">
        <w:rPr>
          <w:noProof/>
        </w:rPr>
        <w:t xml:space="preserve"> </w:t>
      </w:r>
      <w:r w:rsidR="005C7AA6" w:rsidRPr="00882FD5">
        <w:rPr>
          <w:noProof/>
        </w:rPr>
        <w:t xml:space="preserve">            </w:t>
      </w:r>
      <w:r w:rsidR="005C7AA6" w:rsidRPr="00882FD5">
        <w:rPr>
          <w:noProof/>
        </w:rPr>
        <w:tab/>
      </w:r>
      <w:r w:rsidR="005C7AA6" w:rsidRPr="00882FD5">
        <w:rPr>
          <w:noProof/>
        </w:rPr>
        <w:tab/>
      </w:r>
      <w:r w:rsidR="005C7AA6" w:rsidRPr="00882FD5">
        <w:rPr>
          <w:noProof/>
        </w:rPr>
        <w:tab/>
      </w:r>
      <w:r w:rsidR="005C7AA6" w:rsidRPr="00882FD5">
        <w:rPr>
          <w:noProof/>
        </w:rPr>
        <w:tab/>
      </w:r>
      <w:r w:rsidR="005C7AA6" w:rsidRPr="00882FD5">
        <w:rPr>
          <w:noProof/>
        </w:rPr>
        <w:tab/>
      </w:r>
      <w:r w:rsidR="005C7AA6" w:rsidRPr="00882FD5">
        <w:rPr>
          <w:noProof/>
        </w:rPr>
        <w:tab/>
      </w:r>
      <w:r w:rsidR="005C7AA6" w:rsidRPr="00882FD5">
        <w:rPr>
          <w:noProof/>
        </w:rPr>
        <w:tab/>
        <w:t xml:space="preserve">       (4)</w:t>
      </w:r>
      <w:r w:rsidR="00331593" w:rsidRPr="009B2F97">
        <w:rPr>
          <w:noProof/>
        </w:rPr>
        <w:t xml:space="preserve"> </w:t>
      </w:r>
    </w:p>
    <w:p w14:paraId="2E013DEB" w14:textId="54D01C90" w:rsidR="00CB5334" w:rsidRPr="00D21817" w:rsidRDefault="00331593" w:rsidP="006F37E3">
      <w:pPr>
        <w:spacing w:after="120" w:line="240" w:lineRule="auto"/>
        <w:jc w:val="both"/>
        <w:rPr>
          <w:noProof/>
        </w:rPr>
      </w:pPr>
      <w:r w:rsidRPr="009434FD">
        <w:rPr>
          <w:noProof/>
        </w:rPr>
        <w:t xml:space="preserve">Next, </w:t>
      </w:r>
      <w:r w:rsidR="00BC5994">
        <w:rPr>
          <w:noProof/>
        </w:rPr>
        <w:t xml:space="preserve">consider </w:t>
      </w:r>
      <w:r w:rsidR="00BC5994" w:rsidRPr="00ED35A2">
        <w:rPr>
          <w:i/>
          <w:iCs/>
          <w:noProof/>
        </w:rPr>
        <w:t>H</w:t>
      </w:r>
      <w:r w:rsidR="00BC5994">
        <w:rPr>
          <w:noProof/>
        </w:rPr>
        <w:t xml:space="preserve"> continuous variables </w:t>
      </w:r>
      <w:r w:rsidR="00DC7046" w:rsidRPr="0082409F">
        <w:rPr>
          <w:position w:val="-12"/>
        </w:rPr>
        <w:object w:dxaOrig="1380" w:dyaOrig="360" w14:anchorId="2369B899">
          <v:shape id="_x0000_i1089" type="#_x0000_t75" style="width:69.85pt;height:18pt" o:ole="" o:preferrelative="f">
            <v:imagedata r:id="rId127" o:title=""/>
            <o:lock v:ext="edit" aspectratio="f"/>
          </v:shape>
          <o:OLEObject Type="Embed" ProgID="Equation.DSMT4" ShapeID="_x0000_i1089" DrawAspect="Content" ObjectID="_1776695085" r:id="rId128"/>
        </w:object>
      </w:r>
      <w:r w:rsidRPr="009B2F97">
        <w:rPr>
          <w:noProof/>
          <w:position w:val="-10"/>
        </w:rPr>
        <w:t xml:space="preserve"> </w:t>
      </w:r>
      <w:r w:rsidRPr="009B2F97">
        <w:rPr>
          <w:noProof/>
        </w:rPr>
        <w:t xml:space="preserve">with an associated index </w:t>
      </w:r>
      <w:r w:rsidRPr="00D21817">
        <w:rPr>
          <w:i/>
          <w:noProof/>
        </w:rPr>
        <w:t>h</w:t>
      </w:r>
      <w:r w:rsidRPr="00D21817">
        <w:rPr>
          <w:noProof/>
        </w:rPr>
        <w:t xml:space="preserve"> </w:t>
      </w:r>
      <w:r w:rsidR="00DC7046" w:rsidRPr="0082409F">
        <w:rPr>
          <w:position w:val="-10"/>
        </w:rPr>
        <w:object w:dxaOrig="1240" w:dyaOrig="320" w14:anchorId="24022184">
          <v:shape id="_x0000_i1090" type="#_x0000_t75" style="width:61.7pt;height:15.85pt" o:ole="" o:preferrelative="f">
            <v:imagedata r:id="rId129" o:title=""/>
            <o:lock v:ext="edit" aspectratio="f"/>
          </v:shape>
          <o:OLEObject Type="Embed" ProgID="Equation.DSMT4" ShapeID="_x0000_i1090" DrawAspect="Content" ObjectID="_1776695086" r:id="rId130"/>
        </w:object>
      </w:r>
      <w:r w:rsidRPr="009B2F97">
        <w:rPr>
          <w:noProof/>
        </w:rPr>
        <w:t>.</w:t>
      </w:r>
      <w:r w:rsidR="00BC5994">
        <w:rPr>
          <w:noProof/>
        </w:rPr>
        <w:t xml:space="preserve"> In our case, </w:t>
      </w:r>
      <w:r w:rsidR="00BC5994" w:rsidRPr="00ED35A2">
        <w:rPr>
          <w:i/>
          <w:iCs/>
          <w:noProof/>
        </w:rPr>
        <w:t>H</w:t>
      </w:r>
      <w:r w:rsidR="00BC5994">
        <w:rPr>
          <w:noProof/>
        </w:rPr>
        <w:t>=1</w:t>
      </w:r>
      <w:r w:rsidR="00307E18">
        <w:rPr>
          <w:noProof/>
        </w:rPr>
        <w:t xml:space="preserve"> for the logarithm of commute distance</w:t>
      </w:r>
      <w:r w:rsidR="00BC5994">
        <w:rPr>
          <w:noProof/>
        </w:rPr>
        <w:t>, but we present the</w:t>
      </w:r>
      <w:r w:rsidR="00CB5334">
        <w:rPr>
          <w:noProof/>
        </w:rPr>
        <w:t xml:space="preserve"> </w:t>
      </w:r>
      <w:r w:rsidR="00BC5994">
        <w:rPr>
          <w:noProof/>
        </w:rPr>
        <w:t xml:space="preserve">model formulation for a general </w:t>
      </w:r>
      <w:r w:rsidR="00BC5994" w:rsidRPr="00415CE3">
        <w:rPr>
          <w:i/>
          <w:iCs/>
          <w:noProof/>
        </w:rPr>
        <w:t>H</w:t>
      </w:r>
      <w:r w:rsidR="00BC5994">
        <w:rPr>
          <w:noProof/>
        </w:rPr>
        <w:t xml:space="preserve">, because the presentation </w:t>
      </w:r>
      <w:r w:rsidR="00CB5334">
        <w:rPr>
          <w:noProof/>
        </w:rPr>
        <w:t xml:space="preserve">simplicity is not affected by using a general formulation. In </w:t>
      </w:r>
      <w:r w:rsidRPr="009B2F97">
        <w:rPr>
          <w:noProof/>
        </w:rPr>
        <w:t xml:space="preserve">the usual linear regression form, we </w:t>
      </w:r>
      <w:r w:rsidR="00CB5334">
        <w:rPr>
          <w:noProof/>
        </w:rPr>
        <w:t>may write</w:t>
      </w:r>
      <w:r w:rsidRPr="009B2F97">
        <w:rPr>
          <w:noProof/>
        </w:rPr>
        <w:t xml:space="preserve">: </w:t>
      </w:r>
    </w:p>
    <w:p w14:paraId="2AA87491" w14:textId="097723DD" w:rsidR="00CB5334" w:rsidRDefault="00DC7046" w:rsidP="006F37E3">
      <w:pPr>
        <w:spacing w:after="120" w:line="240" w:lineRule="auto"/>
        <w:jc w:val="both"/>
        <w:rPr>
          <w:noProof/>
        </w:rPr>
      </w:pPr>
      <w:r w:rsidRPr="0082409F">
        <w:rPr>
          <w:position w:val="-12"/>
        </w:rPr>
        <w:object w:dxaOrig="2000" w:dyaOrig="380" w14:anchorId="62C3F65D">
          <v:shape id="_x0000_i1091" type="#_x0000_t75" style="width:100.7pt;height:18.85pt" o:ole="" o:preferrelative="f">
            <v:imagedata r:id="rId131" o:title=""/>
            <o:lock v:ext="edit" aspectratio="f"/>
          </v:shape>
          <o:OLEObject Type="Embed" ProgID="Equation.DSMT4" ShapeID="_x0000_i1091" DrawAspect="Content" ObjectID="_1776695087" r:id="rId132"/>
        </w:object>
      </w:r>
      <w:r w:rsidR="00331593" w:rsidRPr="009B2F97">
        <w:rPr>
          <w:noProof/>
        </w:rPr>
        <w:t xml:space="preserve">             </w:t>
      </w:r>
      <w:r w:rsidR="00331593" w:rsidRPr="009B2F97">
        <w:rPr>
          <w:noProof/>
        </w:rPr>
        <w:tab/>
      </w:r>
      <w:r w:rsidR="00331593" w:rsidRPr="009B2F97">
        <w:rPr>
          <w:noProof/>
        </w:rPr>
        <w:tab/>
      </w:r>
      <w:r w:rsidR="00331593" w:rsidRPr="009B2F97">
        <w:rPr>
          <w:noProof/>
        </w:rPr>
        <w:tab/>
      </w:r>
      <w:r w:rsidR="00331593" w:rsidRPr="009B2F97">
        <w:rPr>
          <w:noProof/>
        </w:rPr>
        <w:tab/>
      </w:r>
      <w:r w:rsidR="00331593" w:rsidRPr="009B2F97">
        <w:rPr>
          <w:noProof/>
        </w:rPr>
        <w:tab/>
      </w:r>
      <w:r w:rsidR="00331593" w:rsidRPr="009B2F97">
        <w:rPr>
          <w:noProof/>
        </w:rPr>
        <w:tab/>
      </w:r>
      <w:r w:rsidR="00331593" w:rsidRPr="00D21817">
        <w:rPr>
          <w:noProof/>
        </w:rPr>
        <w:tab/>
      </w:r>
      <w:r w:rsidR="00331593" w:rsidRPr="00D21817">
        <w:rPr>
          <w:noProof/>
        </w:rPr>
        <w:tab/>
      </w:r>
      <w:r w:rsidR="00331593" w:rsidRPr="00D21817">
        <w:rPr>
          <w:noProof/>
        </w:rPr>
        <w:tab/>
        <w:t xml:space="preserve">       (</w:t>
      </w:r>
      <w:r w:rsidR="00331593" w:rsidRPr="00CB3EDA">
        <w:rPr>
          <w:noProof/>
        </w:rPr>
        <w:t>5</w:t>
      </w:r>
      <w:r w:rsidR="00331593" w:rsidRPr="004736A5">
        <w:rPr>
          <w:noProof/>
        </w:rPr>
        <w:t>)</w:t>
      </w:r>
    </w:p>
    <w:p w14:paraId="7501729D" w14:textId="70281DE8" w:rsidR="0045577D" w:rsidRPr="00D21817" w:rsidRDefault="00331593" w:rsidP="006F37E3">
      <w:pPr>
        <w:spacing w:after="120" w:line="240" w:lineRule="auto"/>
        <w:jc w:val="both"/>
        <w:rPr>
          <w:noProof/>
        </w:rPr>
      </w:pPr>
      <w:r w:rsidRPr="00DD68D6">
        <w:rPr>
          <w:noProof/>
        </w:rPr>
        <w:t xml:space="preserve">where </w:t>
      </w:r>
      <w:r w:rsidR="00DC7046" w:rsidRPr="0082409F">
        <w:rPr>
          <w:position w:val="-6"/>
        </w:rPr>
        <w:object w:dxaOrig="220" w:dyaOrig="220" w14:anchorId="3894DB32">
          <v:shape id="_x0000_i1092" type="#_x0000_t75" style="width:10.7pt;height:10.7pt" o:ole="" o:preferrelative="f">
            <v:imagedata r:id="rId133" o:title=""/>
            <o:lock v:ext="edit" aspectratio="f"/>
          </v:shape>
          <o:OLEObject Type="Embed" ProgID="Equation.DSMT4" ShapeID="_x0000_i1092" DrawAspect="Content" ObjectID="_1776695088" r:id="rId134"/>
        </w:object>
      </w:r>
      <w:r w:rsidRPr="009B2F97">
        <w:rPr>
          <w:noProof/>
        </w:rPr>
        <w:t xml:space="preserve"> is an </w:t>
      </w:r>
      <w:r w:rsidR="00DC7046" w:rsidRPr="0082409F">
        <w:rPr>
          <w:position w:val="-10"/>
        </w:rPr>
        <w:object w:dxaOrig="660" w:dyaOrig="320" w14:anchorId="62708679">
          <v:shape id="_x0000_i1093" type="#_x0000_t75" style="width:33pt;height:15.85pt" o:ole="" o:preferrelative="f">
            <v:imagedata r:id="rId135" o:title=""/>
            <o:lock v:ext="edit" aspectratio="f"/>
          </v:shape>
          <o:OLEObject Type="Embed" ProgID="Equation.DSMT4" ShapeID="_x0000_i1093" DrawAspect="Content" ObjectID="_1776695089" r:id="rId136"/>
        </w:object>
      </w:r>
      <w:r w:rsidRPr="009B2F97">
        <w:rPr>
          <w:noProof/>
        </w:rPr>
        <w:t xml:space="preserve"> vector of exogenous variables</w:t>
      </w:r>
      <w:r w:rsidR="00CB5334">
        <w:rPr>
          <w:noProof/>
        </w:rPr>
        <w:t xml:space="preserve"> (includi</w:t>
      </w:r>
      <w:r w:rsidR="00307E18">
        <w:rPr>
          <w:noProof/>
        </w:rPr>
        <w:t>ng</w:t>
      </w:r>
      <w:r w:rsidR="00CB5334">
        <w:rPr>
          <w:noProof/>
        </w:rPr>
        <w:t xml:space="preserve"> a constant), as well as potentially the observed values of other endogenous variables.</w:t>
      </w:r>
      <w:r w:rsidR="00DC3013">
        <w:rPr>
          <w:noProof/>
        </w:rPr>
        <w:t xml:space="preserve"> </w:t>
      </w:r>
      <w:r w:rsidR="00DC7046" w:rsidRPr="0082409F">
        <w:rPr>
          <w:position w:val="-12"/>
        </w:rPr>
        <w:object w:dxaOrig="260" w:dyaOrig="360" w14:anchorId="1836E639">
          <v:shape id="_x0000_i1094" type="#_x0000_t75" style="width:12.85pt;height:18pt" o:ole="" o:preferrelative="f">
            <v:imagedata r:id="rId137" o:title=""/>
            <o:lock v:ext="edit" aspectratio="f"/>
          </v:shape>
          <o:OLEObject Type="Embed" ProgID="Equation.DSMT4" ShapeID="_x0000_i1094" DrawAspect="Content" ObjectID="_1776695090" r:id="rId138"/>
        </w:object>
      </w:r>
      <w:r w:rsidRPr="009B2F97">
        <w:rPr>
          <w:noProof/>
        </w:rPr>
        <w:t xml:space="preserve"> is a</w:t>
      </w:r>
      <w:r w:rsidR="00CB5334">
        <w:rPr>
          <w:noProof/>
        </w:rPr>
        <w:t>n</w:t>
      </w:r>
      <w:r w:rsidRPr="00D21817">
        <w:rPr>
          <w:noProof/>
        </w:rPr>
        <w:t xml:space="preserve"> </w:t>
      </w:r>
      <w:r w:rsidR="00DC7046" w:rsidRPr="0082409F">
        <w:rPr>
          <w:position w:val="-10"/>
        </w:rPr>
        <w:object w:dxaOrig="660" w:dyaOrig="320" w14:anchorId="67061295">
          <v:shape id="_x0000_i1095" type="#_x0000_t75" style="width:33pt;height:15.85pt" o:ole="" o:preferrelative="f">
            <v:imagedata r:id="rId135" o:title=""/>
            <o:lock v:ext="edit" aspectratio="f"/>
          </v:shape>
          <o:OLEObject Type="Embed" ProgID="Equation.DSMT4" ShapeID="_x0000_i1095" DrawAspect="Content" ObjectID="_1776695091" r:id="rId139"/>
        </w:object>
      </w:r>
      <w:r w:rsidRPr="009B2F97">
        <w:t xml:space="preserve"> column vector of the coefficients associated with</w:t>
      </w:r>
      <w:r w:rsidRPr="009B2F97">
        <w:rPr>
          <w:noProof/>
        </w:rPr>
        <w:t xml:space="preserve"> </w:t>
      </w:r>
      <w:r w:rsidR="00DC7046" w:rsidRPr="0082409F">
        <w:rPr>
          <w:position w:val="-6"/>
        </w:rPr>
        <w:object w:dxaOrig="220" w:dyaOrig="220" w14:anchorId="05666850">
          <v:shape id="_x0000_i1096" type="#_x0000_t75" style="width:10.7pt;height:10.7pt" o:ole="">
            <v:imagedata r:id="rId133" o:title=""/>
          </v:shape>
          <o:OLEObject Type="Embed" ProgID="Equation.DSMT4" ShapeID="_x0000_i1096" DrawAspect="Content" ObjectID="_1776695092" r:id="rId140"/>
        </w:object>
      </w:r>
      <w:r w:rsidRPr="009B2F97">
        <w:rPr>
          <w:noProof/>
        </w:rPr>
        <w:t>, and</w:t>
      </w:r>
      <w:r w:rsidRPr="00D21817">
        <w:rPr>
          <w:noProof/>
        </w:rPr>
        <w:t xml:space="preserve"> </w:t>
      </w:r>
      <w:r w:rsidR="00BF6DC8" w:rsidRPr="0082409F">
        <w:rPr>
          <w:position w:val="-12"/>
        </w:rPr>
        <w:object w:dxaOrig="900" w:dyaOrig="360" w14:anchorId="1158B69E">
          <v:shape id="_x0000_i1097" type="#_x0000_t75" style="width:45pt;height:18pt" o:ole="" o:preferrelative="f">
            <v:imagedata r:id="rId141" o:title=""/>
            <o:lock v:ext="edit" aspectratio="f"/>
          </v:shape>
          <o:OLEObject Type="Embed" ProgID="Equation.DSMT4" ShapeID="_x0000_i1097" DrawAspect="Content" ObjectID="_1776695093" r:id="rId142"/>
        </w:object>
      </w:r>
      <w:r w:rsidRPr="009B2F97">
        <w:rPr>
          <w:noProof/>
        </w:rPr>
        <w:t xml:space="preserve"> is the vector of coefficients of the latent variables for continuous </w:t>
      </w:r>
      <w:r w:rsidRPr="00D21817">
        <w:rPr>
          <w:noProof/>
        </w:rPr>
        <w:t xml:space="preserve">outcome </w:t>
      </w:r>
      <w:r w:rsidRPr="00D21817">
        <w:rPr>
          <w:i/>
          <w:noProof/>
        </w:rPr>
        <w:t>h</w:t>
      </w:r>
      <w:r w:rsidRPr="00CB3EDA">
        <w:rPr>
          <w:noProof/>
        </w:rPr>
        <w:t>.</w:t>
      </w:r>
      <w:r w:rsidR="00DC3013">
        <w:rPr>
          <w:noProof/>
        </w:rPr>
        <w:t xml:space="preserve"> </w:t>
      </w:r>
      <w:r w:rsidR="00DC7046" w:rsidRPr="0082409F">
        <w:rPr>
          <w:position w:val="-12"/>
        </w:rPr>
        <w:object w:dxaOrig="260" w:dyaOrig="360" w14:anchorId="2993FFAE">
          <v:shape id="_x0000_i1098" type="#_x0000_t75" style="width:12.85pt;height:18pt" o:ole="" o:preferrelative="f">
            <v:imagedata r:id="rId143" o:title=""/>
            <o:lock v:ext="edit" aspectratio="f"/>
          </v:shape>
          <o:OLEObject Type="Embed" ProgID="Equation.DSMT4" ShapeID="_x0000_i1098" DrawAspect="Content" ObjectID="_1776695094" r:id="rId144"/>
        </w:object>
      </w:r>
      <w:r w:rsidRPr="009B2F97">
        <w:rPr>
          <w:noProof/>
        </w:rPr>
        <w:t xml:space="preserve"> is a normally distributed error term  corresponding to the </w:t>
      </w:r>
      <w:r w:rsidRPr="00D21817">
        <w:rPr>
          <w:i/>
          <w:noProof/>
        </w:rPr>
        <w:t>h</w:t>
      </w:r>
      <w:r w:rsidRPr="00D21817">
        <w:rPr>
          <w:i/>
          <w:noProof/>
          <w:vertAlign w:val="superscript"/>
        </w:rPr>
        <w:t>th</w:t>
      </w:r>
      <w:r w:rsidRPr="00CB3EDA">
        <w:rPr>
          <w:noProof/>
        </w:rPr>
        <w:t xml:space="preserve"> continuous variable. By vertically stacking the </w:t>
      </w:r>
      <w:r w:rsidR="00DC7046" w:rsidRPr="009B2F97">
        <w:rPr>
          <w:noProof/>
          <w:position w:val="-12"/>
        </w:rPr>
        <w:object w:dxaOrig="279" w:dyaOrig="360" w14:anchorId="6723AD03">
          <v:shape id="_x0000_i1099" type="#_x0000_t75" style="width:13.7pt;height:18pt" o:ole="" o:preferrelative="f">
            <v:imagedata r:id="rId145" o:title=""/>
            <o:lock v:ext="edit" aspectratio="f"/>
          </v:shape>
          <o:OLEObject Type="Embed" ProgID="Equation.3" ShapeID="_x0000_i1099" DrawAspect="Content" ObjectID="_1776695095" r:id="rId146"/>
        </w:object>
      </w:r>
      <w:r w:rsidRPr="009B2F97">
        <w:rPr>
          <w:noProof/>
        </w:rPr>
        <w:t xml:space="preserve"> elements, we obtain</w:t>
      </w:r>
      <w:r w:rsidR="00DC3013">
        <w:rPr>
          <w:noProof/>
        </w:rPr>
        <w:t xml:space="preserve"> </w:t>
      </w:r>
      <w:r w:rsidR="00DC7046" w:rsidRPr="0082409F">
        <w:rPr>
          <w:position w:val="-12"/>
        </w:rPr>
        <w:object w:dxaOrig="1480" w:dyaOrig="360" w14:anchorId="186E561A">
          <v:shape id="_x0000_i1100" type="#_x0000_t75" style="width:74.15pt;height:18pt" o:ole="" o:preferrelative="f">
            <v:imagedata r:id="rId147" o:title=""/>
            <o:lock v:ext="edit" aspectratio="f"/>
          </v:shape>
          <o:OLEObject Type="Embed" ProgID="Equation.DSMT4" ShapeID="_x0000_i1100" DrawAspect="Content" ObjectID="_1776695096" r:id="rId148"/>
        </w:object>
      </w:r>
      <w:r w:rsidRPr="009B2F97">
        <w:rPr>
          <w:noProof/>
        </w:rPr>
        <w:t xml:space="preserve">. </w:t>
      </w:r>
      <w:r w:rsidR="00DC7046" w:rsidRPr="0082409F">
        <w:rPr>
          <w:position w:val="-6"/>
        </w:rPr>
        <w:object w:dxaOrig="180" w:dyaOrig="220" w14:anchorId="4CD61D68">
          <v:shape id="_x0000_i1101" type="#_x0000_t75" style="width:9pt;height:10.7pt" o:ole="" o:preferrelative="f">
            <v:imagedata r:id="rId149" o:title=""/>
            <o:lock v:ext="edit" aspectratio="f"/>
          </v:shape>
          <o:OLEObject Type="Embed" ProgID="Equation.DSMT4" ShapeID="_x0000_i1101" DrawAspect="Content" ObjectID="_1776695097" r:id="rId150"/>
        </w:object>
      </w:r>
      <w:r w:rsidRPr="009B2F97">
        <w:rPr>
          <w:noProof/>
        </w:rPr>
        <w:t xml:space="preserve"> </w:t>
      </w:r>
      <w:r w:rsidRPr="009B2F97">
        <w:t xml:space="preserve">follows a multivariate normal distribution centered at zero with covariance </w:t>
      </w:r>
      <w:r w:rsidR="00DC7046" w:rsidRPr="0082409F">
        <w:rPr>
          <w:position w:val="-4"/>
        </w:rPr>
        <w:object w:dxaOrig="240" w:dyaOrig="260" w14:anchorId="1D002376">
          <v:shape id="_x0000_i1102" type="#_x0000_t75" style="width:12pt;height:12.85pt" o:ole="" o:preferrelative="f">
            <v:imagedata r:id="rId151" o:title=""/>
            <o:lock v:ext="edit" aspectratio="f"/>
          </v:shape>
          <o:OLEObject Type="Embed" ProgID="Equation.DSMT4" ShapeID="_x0000_i1102" DrawAspect="Content" ObjectID="_1776695098" r:id="rId152"/>
        </w:object>
      </w:r>
      <w:r w:rsidRPr="009B2F97">
        <w:rPr>
          <w:noProof/>
        </w:rPr>
        <w:t>, which is is restricted to be diagonal</w:t>
      </w:r>
      <w:r w:rsidRPr="00D21817">
        <w:rPr>
          <w:noProof/>
        </w:rPr>
        <w:t xml:space="preserve">. Next, stack the </w:t>
      </w:r>
      <w:r w:rsidRPr="00CB3EDA">
        <w:rPr>
          <w:i/>
          <w:noProof/>
        </w:rPr>
        <w:t>H</w:t>
      </w:r>
      <w:r w:rsidRPr="004736A5">
        <w:rPr>
          <w:noProof/>
        </w:rPr>
        <w:t xml:space="preserve"> continuous outcomes into an</w:t>
      </w:r>
      <w:r w:rsidRPr="00DD68D6">
        <w:rPr>
          <w:noProof/>
        </w:rPr>
        <w:t xml:space="preserve"> </w:t>
      </w:r>
      <w:r w:rsidR="00DC7046" w:rsidRPr="0082409F">
        <w:rPr>
          <w:position w:val="-10"/>
        </w:rPr>
        <w:object w:dxaOrig="720" w:dyaOrig="320" w14:anchorId="4D7C8E91">
          <v:shape id="_x0000_i1103" type="#_x0000_t75" style="width:36pt;height:15.85pt" o:ole="" o:preferrelative="f">
            <v:imagedata r:id="rId153" o:title=""/>
            <o:lock v:ext="edit" aspectratio="f"/>
          </v:shape>
          <o:OLEObject Type="Embed" ProgID="Equation.DSMT4" ShapeID="_x0000_i1103" DrawAspect="Content" ObjectID="_1776695099" r:id="rId154"/>
        </w:object>
      </w:r>
      <w:r w:rsidRPr="009B2F97">
        <w:rPr>
          <w:noProof/>
        </w:rPr>
        <w:t xml:space="preserve">vector </w:t>
      </w:r>
      <w:r w:rsidRPr="009B2F97">
        <w:rPr>
          <w:b/>
          <w:i/>
          <w:noProof/>
        </w:rPr>
        <w:t>y</w:t>
      </w:r>
      <w:r w:rsidRPr="00D21817">
        <w:rPr>
          <w:noProof/>
        </w:rPr>
        <w:t xml:space="preserve">, and the </w:t>
      </w:r>
      <w:r w:rsidRPr="00D21817">
        <w:rPr>
          <w:i/>
          <w:noProof/>
        </w:rPr>
        <w:t>H</w:t>
      </w:r>
      <w:r w:rsidRPr="00CB3EDA">
        <w:rPr>
          <w:noProof/>
        </w:rPr>
        <w:t xml:space="preserve"> error terms into another </w:t>
      </w:r>
      <w:r w:rsidR="00DC3013" w:rsidRPr="0082409F">
        <w:rPr>
          <w:position w:val="-10"/>
        </w:rPr>
        <w:object w:dxaOrig="720" w:dyaOrig="320" w14:anchorId="2179B3EB">
          <v:shape id="_x0000_i1104" type="#_x0000_t75" style="width:36pt;height:15.85pt" o:ole="">
            <v:imagedata r:id="rId155" o:title=""/>
          </v:shape>
          <o:OLEObject Type="Embed" ProgID="Equation.DSMT4" ShapeID="_x0000_i1104" DrawAspect="Content" ObjectID="_1776695100" r:id="rId156"/>
        </w:object>
      </w:r>
      <w:r w:rsidRPr="009B2F97">
        <w:rPr>
          <w:noProof/>
          <w:position w:val="-10"/>
        </w:rPr>
        <w:t xml:space="preserve"> </w:t>
      </w:r>
      <w:r w:rsidRPr="009B2F97">
        <w:rPr>
          <w:noProof/>
        </w:rPr>
        <w:t>vector</w:t>
      </w:r>
      <w:r w:rsidRPr="00D21817">
        <w:rPr>
          <w:noProof/>
          <w:position w:val="-10"/>
        </w:rPr>
        <w:t xml:space="preserve"> </w:t>
      </w:r>
      <w:r w:rsidR="00DC7046" w:rsidRPr="0082409F">
        <w:rPr>
          <w:position w:val="-12"/>
        </w:rPr>
        <w:object w:dxaOrig="1780" w:dyaOrig="360" w14:anchorId="621ABDB1">
          <v:shape id="_x0000_i1105" type="#_x0000_t75" style="width:88.3pt;height:18pt" o:ole="" o:preferrelative="f">
            <v:imagedata r:id="rId157" o:title=""/>
            <o:lock v:ext="edit" aspectratio="f"/>
          </v:shape>
          <o:OLEObject Type="Embed" ProgID="Equation.DSMT4" ShapeID="_x0000_i1105" DrawAspect="Content" ObjectID="_1776695101" r:id="rId158"/>
        </w:object>
      </w:r>
      <w:r w:rsidR="00DC3013">
        <w:rPr>
          <w:noProof/>
        </w:rPr>
        <w:t xml:space="preserve"> </w:t>
      </w:r>
      <w:r w:rsidRPr="009B2F97">
        <w:rPr>
          <w:noProof/>
        </w:rPr>
        <w:t>Also, d</w:t>
      </w:r>
      <w:r w:rsidRPr="00D21817">
        <w:rPr>
          <w:noProof/>
        </w:rPr>
        <w:t xml:space="preserve">efine the </w:t>
      </w:r>
      <w:r w:rsidR="00DC7046" w:rsidRPr="0082409F">
        <w:rPr>
          <w:position w:val="-10"/>
        </w:rPr>
        <w:object w:dxaOrig="800" w:dyaOrig="320" w14:anchorId="7B959369">
          <v:shape id="_x0000_i1106" type="#_x0000_t75" style="width:41.15pt;height:15.85pt" o:ole="">
            <v:imagedata r:id="rId159" o:title=""/>
          </v:shape>
          <o:OLEObject Type="Embed" ProgID="Equation.DSMT4" ShapeID="_x0000_i1106" DrawAspect="Content" ObjectID="_1776695102" r:id="rId160"/>
        </w:object>
      </w:r>
      <w:r w:rsidR="00DC3013">
        <w:rPr>
          <w:noProof/>
          <w:position w:val="-10"/>
        </w:rPr>
        <w:t xml:space="preserve"> </w:t>
      </w:r>
      <w:r w:rsidRPr="009B2F97">
        <w:rPr>
          <w:noProof/>
        </w:rPr>
        <w:t>matrix</w:t>
      </w:r>
      <w:r w:rsidRPr="00D21817">
        <w:rPr>
          <w:noProof/>
        </w:rPr>
        <w:t xml:space="preserve"> </w:t>
      </w:r>
      <w:r w:rsidR="00DC7046" w:rsidRPr="0082409F">
        <w:rPr>
          <w:position w:val="-12"/>
        </w:rPr>
        <w:object w:dxaOrig="1620" w:dyaOrig="360" w14:anchorId="5E2C53E0">
          <v:shape id="_x0000_i1107" type="#_x0000_t75" style="width:81pt;height:18pt" o:ole="" o:preferrelative="f">
            <v:imagedata r:id="rId161" o:title=""/>
            <o:lock v:ext="edit" aspectratio="f"/>
          </v:shape>
          <o:OLEObject Type="Embed" ProgID="Equation.DSMT4" ShapeID="_x0000_i1107" DrawAspect="Content" ObjectID="_1776695103" r:id="rId162"/>
        </w:object>
      </w:r>
      <w:r w:rsidRPr="009B2F97">
        <w:rPr>
          <w:noProof/>
        </w:rPr>
        <w:t xml:space="preserve"> and the </w:t>
      </w:r>
      <w:r w:rsidR="00DC7046" w:rsidRPr="0082409F">
        <w:rPr>
          <w:position w:val="-10"/>
        </w:rPr>
        <w:object w:dxaOrig="780" w:dyaOrig="320" w14:anchorId="4A0983A1">
          <v:shape id="_x0000_i1108" type="#_x0000_t75" style="width:39.85pt;height:15.85pt" o:ole="">
            <v:imagedata r:id="rId163" o:title=""/>
          </v:shape>
          <o:OLEObject Type="Embed" ProgID="Equation.DSMT4" ShapeID="_x0000_i1108" DrawAspect="Content" ObjectID="_1776695104" r:id="rId164"/>
        </w:object>
      </w:r>
      <w:r w:rsidRPr="009B2F97">
        <w:rPr>
          <w:noProof/>
          <w:position w:val="-10"/>
        </w:rPr>
        <w:t xml:space="preserve"> </w:t>
      </w:r>
      <w:r w:rsidRPr="009B2F97">
        <w:rPr>
          <w:noProof/>
        </w:rPr>
        <w:t xml:space="preserve">matrix of latent variable loadings </w:t>
      </w:r>
      <w:r w:rsidR="00C43289" w:rsidRPr="00DB4035">
        <w:rPr>
          <w:position w:val="-12"/>
        </w:rPr>
        <w:object w:dxaOrig="1860" w:dyaOrig="440" w14:anchorId="5E9C4A73">
          <v:shape id="_x0000_i1109" type="#_x0000_t75" style="width:93pt;height:22.7pt" o:ole="" o:preferrelative="f">
            <v:imagedata r:id="rId165" o:title=""/>
            <o:lock v:ext="edit" aspectratio="f"/>
          </v:shape>
          <o:OLEObject Type="Embed" ProgID="Equation.DSMT4" ShapeID="_x0000_i1109" DrawAspect="Content" ObjectID="_1776695105" r:id="rId166"/>
        </w:object>
      </w:r>
      <w:r w:rsidR="00DC3013">
        <w:t xml:space="preserve"> </w:t>
      </w:r>
      <w:r w:rsidRPr="009B2F97">
        <w:rPr>
          <w:noProof/>
        </w:rPr>
        <w:t>Then, one may write, in matrix form, the following measurement equation for the continuous outcomes:</w:t>
      </w:r>
    </w:p>
    <w:p w14:paraId="498CC919" w14:textId="6190C095" w:rsidR="00331593" w:rsidRPr="009434FD" w:rsidRDefault="00C43289" w:rsidP="006F37E3">
      <w:pPr>
        <w:tabs>
          <w:tab w:val="right" w:pos="9360"/>
        </w:tabs>
        <w:spacing w:after="0" w:line="240" w:lineRule="auto"/>
        <w:jc w:val="both"/>
        <w:rPr>
          <w:noProof/>
        </w:rPr>
      </w:pPr>
      <w:r w:rsidRPr="0082409F">
        <w:rPr>
          <w:position w:val="-10"/>
        </w:rPr>
        <w:object w:dxaOrig="1540" w:dyaOrig="360" w14:anchorId="05B6744E">
          <v:shape id="_x0000_i1110" type="#_x0000_t75" style="width:77.15pt;height:18pt" o:ole="" o:preferrelative="f">
            <v:imagedata r:id="rId167" o:title=""/>
            <o:lock v:ext="edit" aspectratio="f"/>
          </v:shape>
          <o:OLEObject Type="Embed" ProgID="Equation.DSMT4" ShapeID="_x0000_i1110" DrawAspect="Content" ObjectID="_1776695106" r:id="rId168"/>
        </w:object>
      </w:r>
      <w:r w:rsidR="00331593" w:rsidRPr="009B2F97">
        <w:rPr>
          <w:noProof/>
        </w:rPr>
        <w:t xml:space="preserve">.                                  </w:t>
      </w:r>
      <w:r w:rsidR="00331593" w:rsidRPr="009B2F97">
        <w:rPr>
          <w:noProof/>
          <w:lang w:eastAsia="zh-CN"/>
        </w:rPr>
        <w:t xml:space="preserve">                   </w:t>
      </w:r>
      <w:r w:rsidR="00331593" w:rsidRPr="00D21817">
        <w:rPr>
          <w:noProof/>
          <w:lang w:eastAsia="zh-CN"/>
        </w:rPr>
        <w:t xml:space="preserve">                                        </w:t>
      </w:r>
      <w:r w:rsidR="00331593" w:rsidRPr="00D21817">
        <w:rPr>
          <w:noProof/>
        </w:rPr>
        <w:t xml:space="preserve">    </w:t>
      </w:r>
      <w:r w:rsidR="00331593" w:rsidRPr="00CB3EDA">
        <w:rPr>
          <w:noProof/>
        </w:rPr>
        <w:t xml:space="preserve">                  </w:t>
      </w:r>
      <w:r w:rsidR="00331593" w:rsidRPr="004736A5">
        <w:rPr>
          <w:noProof/>
        </w:rPr>
        <w:t xml:space="preserve"> </w:t>
      </w:r>
      <w:r w:rsidR="00331593" w:rsidRPr="004736A5">
        <w:rPr>
          <w:noProof/>
        </w:rPr>
        <w:tab/>
      </w:r>
      <w:r w:rsidR="00331593" w:rsidRPr="00DD68D6">
        <w:rPr>
          <w:noProof/>
        </w:rPr>
        <w:t>(</w:t>
      </w:r>
      <w:r w:rsidR="00331593" w:rsidRPr="009434FD">
        <w:rPr>
          <w:noProof/>
        </w:rPr>
        <w:t>6)</w:t>
      </w:r>
    </w:p>
    <w:p w14:paraId="390BA497" w14:textId="359BB0B8" w:rsidR="00331593" w:rsidRPr="009434FD" w:rsidRDefault="00331593" w:rsidP="006F37E3">
      <w:pPr>
        <w:spacing w:after="120" w:line="240" w:lineRule="auto"/>
        <w:ind w:firstLine="720"/>
        <w:jc w:val="both"/>
        <w:rPr>
          <w:noProof/>
        </w:rPr>
      </w:pPr>
      <w:r w:rsidRPr="009434FD">
        <w:rPr>
          <w:noProof/>
        </w:rPr>
        <w:t xml:space="preserve">To develop the reduced form equations, </w:t>
      </w:r>
      <w:r w:rsidRPr="009C5F54">
        <w:rPr>
          <w:noProof/>
        </w:rPr>
        <w:t xml:space="preserve">we start by defining </w:t>
      </w:r>
      <w:r w:rsidR="00C43289" w:rsidRPr="0082409F">
        <w:rPr>
          <w:position w:val="-28"/>
        </w:rPr>
        <w:object w:dxaOrig="1560" w:dyaOrig="780" w14:anchorId="36452225">
          <v:shape id="_x0000_i1111" type="#_x0000_t75" style="width:78pt;height:39pt" o:ole="" o:preferrelative="f">
            <v:imagedata r:id="rId169" o:title=""/>
            <o:lock v:ext="edit" aspectratio="f"/>
          </v:shape>
          <o:OLEObject Type="Embed" ProgID="Equation.DSMT4" ShapeID="_x0000_i1111" DrawAspect="Content" ObjectID="_1776695107" r:id="rId170"/>
        </w:object>
      </w:r>
      <w:r w:rsidRPr="009B2F97">
        <w:rPr>
          <w:noProof/>
        </w:rPr>
        <w:t xml:space="preserve">, which is an </w:t>
      </w:r>
      <w:r w:rsidR="00C43289" w:rsidRPr="0082409F">
        <w:rPr>
          <w:position w:val="-10"/>
        </w:rPr>
        <w:object w:dxaOrig="660" w:dyaOrig="320" w14:anchorId="0626DE1B">
          <v:shape id="_x0000_i1112" type="#_x0000_t75" style="width:33pt;height:15.85pt" o:ole="" o:preferrelative="f">
            <v:imagedata r:id="rId171" o:title=""/>
            <o:lock v:ext="edit" aspectratio="f"/>
          </v:shape>
          <o:OLEObject Type="Embed" ProgID="Equation.DSMT4" ShapeID="_x0000_i1112" DrawAspect="Content" ObjectID="_1776695108" r:id="rId172"/>
        </w:object>
      </w:r>
      <w:r w:rsidRPr="009B2F97">
        <w:t xml:space="preserve"> vector that holds the </w:t>
      </w:r>
      <w:r w:rsidRPr="009B2F97">
        <w:rPr>
          <w:i/>
        </w:rPr>
        <w:t>N+H</w:t>
      </w:r>
      <w:r w:rsidRPr="00D21817">
        <w:t xml:space="preserve"> </w:t>
      </w:r>
      <w:r w:rsidR="00CB5334">
        <w:t xml:space="preserve">set of indicator and </w:t>
      </w:r>
      <w:r w:rsidRPr="00D21817">
        <w:t>outcome variables (</w:t>
      </w:r>
      <w:r w:rsidRPr="00D21817">
        <w:rPr>
          <w:i/>
        </w:rPr>
        <w:t>E</w:t>
      </w:r>
      <w:r w:rsidRPr="00CB3EDA">
        <w:t xml:space="preserve">=21, in our case). Similarly, define </w:t>
      </w:r>
      <w:r w:rsidR="00F15507" w:rsidRPr="0082409F">
        <w:rPr>
          <w:position w:val="-10"/>
        </w:rPr>
        <w:object w:dxaOrig="1080" w:dyaOrig="320" w14:anchorId="5D10F29A">
          <v:shape id="_x0000_i1113" type="#_x0000_t75" style="width:54pt;height:15.85pt" o:ole="" o:preferrelative="f">
            <v:imagedata r:id="rId173" o:title=""/>
            <o:lock v:ext="edit" aspectratio="f"/>
          </v:shape>
          <o:OLEObject Type="Embed" ProgID="Equation.DSMT4" ShapeID="_x0000_i1113" DrawAspect="Content" ObjectID="_1776695109" r:id="rId174"/>
        </w:object>
      </w:r>
      <w:r w:rsidR="00DC3013" w:rsidRPr="009B2F97">
        <w:rPr>
          <w:noProof/>
        </w:rPr>
        <w:t xml:space="preserve"> </w:t>
      </w:r>
      <w:r w:rsidRPr="009B2F97">
        <w:rPr>
          <w:noProof/>
        </w:rPr>
        <w:t>[</w:t>
      </w:r>
      <w:r w:rsidRPr="009B2F97">
        <w:rPr>
          <w:i/>
          <w:noProof/>
        </w:rPr>
        <w:t xml:space="preserve">E </w:t>
      </w:r>
      <w:r w:rsidRPr="00D21817">
        <w:rPr>
          <w:noProof/>
        </w:rPr>
        <w:t xml:space="preserve">× </w:t>
      </w:r>
      <w:r w:rsidRPr="00D21817">
        <w:rPr>
          <w:i/>
          <w:noProof/>
        </w:rPr>
        <w:t>A</w:t>
      </w:r>
      <w:r w:rsidRPr="00CB3EDA">
        <w:rPr>
          <w:noProof/>
        </w:rPr>
        <w:t xml:space="preserve"> matrix],  </w:t>
      </w:r>
      <w:r w:rsidR="00F15507" w:rsidRPr="0082409F">
        <w:rPr>
          <w:position w:val="-10"/>
        </w:rPr>
        <w:object w:dxaOrig="2659" w:dyaOrig="380" w14:anchorId="45396E21">
          <v:shape id="_x0000_i1114" type="#_x0000_t75" style="width:133.7pt;height:18.85pt" o:ole="" o:preferrelative="f">
            <v:imagedata r:id="rId175" o:title=""/>
            <o:lock v:ext="edit" aspectratio="f"/>
          </v:shape>
          <o:OLEObject Type="Embed" ProgID="Equation.DSMT4" ShapeID="_x0000_i1114" DrawAspect="Content" ObjectID="_1776695110" r:id="rId176"/>
        </w:object>
      </w:r>
      <w:r w:rsidRPr="009B2F97">
        <w:rPr>
          <w:noProof/>
        </w:rPr>
        <w:t>and</w:t>
      </w:r>
      <w:r w:rsidR="00DC3013">
        <w:rPr>
          <w:noProof/>
        </w:rPr>
        <w:t xml:space="preserve"> </w:t>
      </w:r>
      <w:r w:rsidR="00F15507" w:rsidRPr="0082409F">
        <w:rPr>
          <w:position w:val="-10"/>
        </w:rPr>
        <w:object w:dxaOrig="1060" w:dyaOrig="320" w14:anchorId="1D74AC34">
          <v:shape id="_x0000_i1115" type="#_x0000_t75" style="width:53.15pt;height:15.85pt" o:ole="" o:preferrelative="f">
            <v:imagedata r:id="rId177" o:title=""/>
            <o:lock v:ext="edit" aspectratio="f"/>
          </v:shape>
          <o:OLEObject Type="Embed" ProgID="Equation.DSMT4" ShapeID="_x0000_i1115" DrawAspect="Content" ObjectID="_1776695111" r:id="rId178"/>
        </w:object>
      </w:r>
      <w:r w:rsidRPr="009B2F97">
        <w:rPr>
          <w:noProof/>
        </w:rPr>
        <w:t xml:space="preserve">. Let </w:t>
      </w:r>
      <w:r w:rsidR="00C43289" w:rsidRPr="0082409F">
        <w:rPr>
          <w:position w:val="-6"/>
        </w:rPr>
        <w:object w:dxaOrig="200" w:dyaOrig="279" w14:anchorId="137B5244">
          <v:shape id="_x0000_i1116" type="#_x0000_t75" style="width:10.7pt;height:13.7pt" o:ole="" o:preferrelative="f">
            <v:imagedata r:id="rId179" o:title=""/>
            <o:lock v:ext="edit" aspectratio="f"/>
          </v:shape>
          <o:OLEObject Type="Embed" ProgID="Equation.DSMT4" ShapeID="_x0000_i1116" DrawAspect="Content" ObjectID="_1776695112" r:id="rId180"/>
        </w:object>
      </w:r>
      <w:r w:rsidRPr="009B2F97">
        <w:rPr>
          <w:noProof/>
          <w:position w:val="-6"/>
        </w:rPr>
        <w:t xml:space="preserve"> </w:t>
      </w:r>
      <w:r w:rsidRPr="009B2F97">
        <w:rPr>
          <w:noProof/>
        </w:rPr>
        <w:t>be the collection of parameters to be estimated:</w:t>
      </w:r>
      <w:r w:rsidR="00DC3013">
        <w:rPr>
          <w:noProof/>
        </w:rPr>
        <w:t xml:space="preserve"> </w:t>
      </w:r>
      <w:r w:rsidR="00F15507" w:rsidRPr="0082409F">
        <w:rPr>
          <w:position w:val="-10"/>
        </w:rPr>
        <w:object w:dxaOrig="4140" w:dyaOrig="380" w14:anchorId="771F21D3">
          <v:shape id="_x0000_i1117" type="#_x0000_t75" style="width:207.85pt;height:18.85pt" o:ole="" o:preferrelative="f">
            <v:imagedata r:id="rId181" o:title=""/>
            <o:lock v:ext="edit" aspectratio="f"/>
          </v:shape>
          <o:OLEObject Type="Embed" ProgID="Equation.DSMT4" ShapeID="_x0000_i1117" DrawAspect="Content" ObjectID="_1776695113" r:id="rId182"/>
        </w:object>
      </w:r>
      <w:r w:rsidR="00DC3013">
        <w:t xml:space="preserve"> </w:t>
      </w:r>
      <w:r w:rsidRPr="009B2F97">
        <w:rPr>
          <w:noProof/>
        </w:rPr>
        <w:t xml:space="preserve">where the operator </w:t>
      </w:r>
      <w:r w:rsidR="00C43289" w:rsidRPr="0082409F">
        <w:rPr>
          <w:position w:val="-10"/>
        </w:rPr>
        <w:object w:dxaOrig="980" w:dyaOrig="320" w14:anchorId="3BCA2ED1">
          <v:shape id="_x0000_i1118" type="#_x0000_t75" style="width:48.85pt;height:15.85pt" o:ole="" o:preferrelative="f">
            <v:imagedata r:id="rId183" o:title=""/>
            <o:lock v:ext="edit" aspectratio="f"/>
          </v:shape>
          <o:OLEObject Type="Embed" ProgID="Equation.DSMT4" ShapeID="_x0000_i1118" DrawAspect="Content" ObjectID="_1776695114" r:id="rId184"/>
        </w:object>
      </w:r>
      <w:r w:rsidRPr="009B2F97">
        <w:rPr>
          <w:noProof/>
        </w:rPr>
        <w:t xml:space="preserve"> vectorizes all the non-zero elements of the matrix/vector on which it operates. Using the</w:t>
      </w:r>
      <w:r w:rsidRPr="009434FD">
        <w:rPr>
          <w:noProof/>
        </w:rPr>
        <w:t xml:space="preserve"> matrix definitions above, the </w:t>
      </w:r>
      <w:r w:rsidR="00CB5334">
        <w:rPr>
          <w:noProof/>
        </w:rPr>
        <w:t xml:space="preserve">MEM </w:t>
      </w:r>
      <w:r w:rsidRPr="009434FD">
        <w:rPr>
          <w:noProof/>
        </w:rPr>
        <w:t>component of the model system may be written compactly as:</w:t>
      </w:r>
    </w:p>
    <w:p w14:paraId="0EB60CE6" w14:textId="2522C80E" w:rsidR="00331593" w:rsidRPr="009434FD" w:rsidRDefault="00957650" w:rsidP="006F37E3">
      <w:pPr>
        <w:tabs>
          <w:tab w:val="right" w:pos="9360"/>
        </w:tabs>
        <w:spacing w:after="120" w:line="240" w:lineRule="auto"/>
        <w:jc w:val="both"/>
        <w:rPr>
          <w:noProof/>
        </w:rPr>
      </w:pPr>
      <w:r w:rsidRPr="0082409F">
        <w:rPr>
          <w:position w:val="-10"/>
        </w:rPr>
        <w:object w:dxaOrig="1560" w:dyaOrig="380" w14:anchorId="3C388649">
          <v:shape id="_x0000_i1119" type="#_x0000_t75" style="width:78pt;height:18.85pt" o:ole="" o:preferrelative="f">
            <v:imagedata r:id="rId185" o:title=""/>
            <o:lock v:ext="edit" aspectratio="f"/>
          </v:shape>
          <o:OLEObject Type="Embed" ProgID="Equation.DSMT4" ShapeID="_x0000_i1119" DrawAspect="Content" ObjectID="_1776695115" r:id="rId186"/>
        </w:object>
      </w:r>
      <w:r w:rsidR="00331593" w:rsidRPr="009B2F97">
        <w:rPr>
          <w:noProof/>
        </w:rPr>
        <w:t xml:space="preserve">, </w:t>
      </w:r>
      <w:r w:rsidR="00C43289" w:rsidRPr="0082409F">
        <w:rPr>
          <w:position w:val="-32"/>
        </w:rPr>
        <w:object w:dxaOrig="4239" w:dyaOrig="760" w14:anchorId="03B3C933">
          <v:shape id="_x0000_i1120" type="#_x0000_t75" style="width:211.7pt;height:37.7pt" o:ole="">
            <v:imagedata r:id="rId187" o:title=""/>
          </v:shape>
          <o:OLEObject Type="Embed" ProgID="Equation.DSMT4" ShapeID="_x0000_i1120" DrawAspect="Content" ObjectID="_1776695116" r:id="rId188"/>
        </w:object>
      </w:r>
      <w:r w:rsidR="00304A34">
        <w:rPr>
          <w:noProof/>
        </w:rPr>
        <w:t>.</w:t>
      </w:r>
      <w:r w:rsidR="00331593" w:rsidRPr="00D21817">
        <w:rPr>
          <w:noProof/>
        </w:rPr>
        <w:t xml:space="preserve">    </w:t>
      </w:r>
      <w:r w:rsidR="00331593" w:rsidRPr="00D21817">
        <w:rPr>
          <w:noProof/>
          <w:lang w:eastAsia="zh-CN"/>
        </w:rPr>
        <w:t xml:space="preserve">         </w:t>
      </w:r>
      <w:r w:rsidR="00331593" w:rsidRPr="00CB3EDA">
        <w:rPr>
          <w:noProof/>
        </w:rPr>
        <w:t xml:space="preserve"> </w:t>
      </w:r>
      <w:r w:rsidR="00331593" w:rsidRPr="004736A5">
        <w:rPr>
          <w:noProof/>
        </w:rPr>
        <w:tab/>
        <w:t>(</w:t>
      </w:r>
      <w:r w:rsidR="00331593" w:rsidRPr="00DD68D6">
        <w:rPr>
          <w:noProof/>
        </w:rPr>
        <w:t>7</w:t>
      </w:r>
      <w:r w:rsidR="00331593" w:rsidRPr="009434FD">
        <w:rPr>
          <w:noProof/>
        </w:rPr>
        <w:t>)</w:t>
      </w:r>
    </w:p>
    <w:p w14:paraId="25449B56" w14:textId="6C8A5108" w:rsidR="00CB5334" w:rsidRPr="00D21817" w:rsidRDefault="00331593" w:rsidP="006F37E3">
      <w:pPr>
        <w:spacing w:after="120" w:line="240" w:lineRule="auto"/>
        <w:jc w:val="both"/>
      </w:pPr>
      <w:r w:rsidRPr="009434FD">
        <w:t>By substituting</w:t>
      </w:r>
      <w:r w:rsidRPr="009C5F54">
        <w:t xml:space="preserve"> </w:t>
      </w:r>
      <w:r w:rsidR="00C43289" w:rsidRPr="0082409F">
        <w:rPr>
          <w:position w:val="-6"/>
        </w:rPr>
        <w:object w:dxaOrig="260" w:dyaOrig="320" w14:anchorId="448DB305">
          <v:shape id="_x0000_i1121" type="#_x0000_t75" style="width:12.85pt;height:15.85pt" o:ole="" o:preferrelative="f">
            <v:imagedata r:id="rId189" o:title=""/>
            <o:lock v:ext="edit" aspectratio="f"/>
          </v:shape>
          <o:OLEObject Type="Embed" ProgID="Equation.DSMT4" ShapeID="_x0000_i1121" DrawAspect="Content" ObjectID="_1776695117" r:id="rId190"/>
        </w:object>
      </w:r>
      <w:r w:rsidRPr="009B2F97">
        <w:t xml:space="preserve"> from </w:t>
      </w:r>
      <w:r w:rsidR="00CB5334">
        <w:t xml:space="preserve">the SEM component of </w:t>
      </w:r>
      <w:r w:rsidRPr="00D21817">
        <w:t>Equation (2)</w:t>
      </w:r>
      <w:r w:rsidRPr="00D21817">
        <w:rPr>
          <w:iCs/>
        </w:rPr>
        <w:t xml:space="preserve"> in </w:t>
      </w:r>
      <w:r w:rsidR="00CB5334">
        <w:rPr>
          <w:iCs/>
        </w:rPr>
        <w:t xml:space="preserve">the MEM </w:t>
      </w:r>
      <w:r w:rsidRPr="00D21817">
        <w:rPr>
          <w:iCs/>
        </w:rPr>
        <w:t xml:space="preserve">Equation </w:t>
      </w:r>
      <w:r w:rsidRPr="00CB3EDA">
        <w:t>(</w:t>
      </w:r>
      <w:r w:rsidRPr="004736A5">
        <w:t xml:space="preserve">7), </w:t>
      </w:r>
      <w:r w:rsidR="00C43289" w:rsidRPr="0082409F">
        <w:rPr>
          <w:position w:val="-10"/>
        </w:rPr>
        <w:object w:dxaOrig="220" w:dyaOrig="320" w14:anchorId="43704A82">
          <v:shape id="_x0000_i1122" type="#_x0000_t75" style="width:10.7pt;height:15.85pt" o:ole="" o:preferrelative="f">
            <v:imagedata r:id="rId191" o:title=""/>
            <o:lock v:ext="edit" aspectratio="f"/>
          </v:shape>
          <o:OLEObject Type="Embed" ProgID="Equation.DSMT4" ShapeID="_x0000_i1122" DrawAspect="Content" ObjectID="_1776695118" r:id="rId192"/>
        </w:object>
      </w:r>
      <w:r w:rsidR="00C43289">
        <w:t xml:space="preserve"> </w:t>
      </w:r>
      <w:r w:rsidR="00CB5334">
        <w:t>may</w:t>
      </w:r>
      <w:r w:rsidRPr="009B2F97">
        <w:t xml:space="preserve"> be expressed in reduced form as</w:t>
      </w:r>
      <w:r w:rsidRPr="00D21817">
        <w:t>:</w:t>
      </w:r>
    </w:p>
    <w:p w14:paraId="5106F2DB" w14:textId="426175C3" w:rsidR="00CB5334" w:rsidRDefault="00C43289" w:rsidP="006F37E3">
      <w:pPr>
        <w:keepNext/>
        <w:keepLines/>
        <w:tabs>
          <w:tab w:val="right" w:pos="9360"/>
        </w:tabs>
        <w:spacing w:after="120" w:line="240" w:lineRule="auto"/>
        <w:jc w:val="both"/>
        <w:rPr>
          <w:noProof/>
        </w:rPr>
      </w:pPr>
      <w:r w:rsidRPr="0082409F">
        <w:rPr>
          <w:position w:val="-10"/>
        </w:rPr>
        <w:object w:dxaOrig="5420" w:dyaOrig="380" w14:anchorId="795A1EE2">
          <v:shape id="_x0000_i1123" type="#_x0000_t75" style="width:270.85pt;height:18.85pt" o:ole="" o:preferrelative="f">
            <v:imagedata r:id="rId193" o:title=""/>
            <o:lock v:ext="edit" aspectratio="f"/>
          </v:shape>
          <o:OLEObject Type="Embed" ProgID="Equation.DSMT4" ShapeID="_x0000_i1123" DrawAspect="Content" ObjectID="_1776695119" r:id="rId194"/>
        </w:object>
      </w:r>
      <w:r w:rsidR="00304A34">
        <w:t>.</w:t>
      </w:r>
      <w:r w:rsidR="00331593" w:rsidRPr="009B2F97">
        <w:rPr>
          <w:noProof/>
        </w:rPr>
        <w:t xml:space="preserve">                </w:t>
      </w:r>
      <w:r w:rsidR="00331593" w:rsidRPr="009B2F97">
        <w:rPr>
          <w:noProof/>
          <w:lang w:eastAsia="zh-CN"/>
        </w:rPr>
        <w:t xml:space="preserve">                           </w:t>
      </w:r>
      <w:r w:rsidR="00331593" w:rsidRPr="00D21817">
        <w:rPr>
          <w:noProof/>
        </w:rPr>
        <w:t xml:space="preserve">        </w:t>
      </w:r>
      <w:r w:rsidR="00331593" w:rsidRPr="00D21817">
        <w:rPr>
          <w:noProof/>
        </w:rPr>
        <w:tab/>
      </w:r>
      <w:r w:rsidR="00331593" w:rsidRPr="00CB3EDA">
        <w:rPr>
          <w:noProof/>
        </w:rPr>
        <w:t>(</w:t>
      </w:r>
      <w:r w:rsidR="00331593" w:rsidRPr="004736A5">
        <w:rPr>
          <w:noProof/>
        </w:rPr>
        <w:t xml:space="preserve">8) </w:t>
      </w:r>
    </w:p>
    <w:p w14:paraId="027FCCEA" w14:textId="61D3F6E9" w:rsidR="00CB5334" w:rsidRPr="009B2F97" w:rsidRDefault="00331593" w:rsidP="006F37E3">
      <w:pPr>
        <w:tabs>
          <w:tab w:val="right" w:pos="9360"/>
        </w:tabs>
        <w:spacing w:after="120" w:line="240" w:lineRule="auto"/>
        <w:jc w:val="both"/>
        <w:rPr>
          <w:iCs/>
          <w:noProof/>
        </w:rPr>
      </w:pPr>
      <w:r w:rsidRPr="009434FD">
        <w:t>From Equation (8), we observe that</w:t>
      </w:r>
      <w:r w:rsidRPr="009B2F97">
        <w:rPr>
          <w:position w:val="-10"/>
        </w:rPr>
        <w:object w:dxaOrig="220" w:dyaOrig="320" w14:anchorId="74358FA9">
          <v:shape id="_x0000_i1124" type="#_x0000_t75" style="width:7.7pt;height:14.15pt" o:ole="">
            <v:imagedata r:id="rId195" o:title=""/>
          </v:shape>
          <o:OLEObject Type="Embed" ProgID="Equation.DSMT4" ShapeID="_x0000_i1124" DrawAspect="Content" ObjectID="_1776695120" r:id="rId196"/>
        </w:object>
      </w:r>
      <w:r w:rsidRPr="009B2F97">
        <w:t xml:space="preserve"> </w:t>
      </w:r>
      <w:r w:rsidRPr="009B2F97">
        <w:rPr>
          <w:iCs/>
          <w:noProof/>
        </w:rPr>
        <w:t>follows the multivariate normal distribution with a</w:t>
      </w:r>
      <w:r w:rsidRPr="00D21817">
        <w:rPr>
          <w:iCs/>
          <w:noProof/>
        </w:rPr>
        <w:t xml:space="preserve"> mean of </w:t>
      </w:r>
      <w:r w:rsidR="00C43289" w:rsidRPr="0082409F">
        <w:rPr>
          <w:position w:val="-10"/>
        </w:rPr>
        <w:object w:dxaOrig="1300" w:dyaOrig="380" w14:anchorId="5723C5A2">
          <v:shape id="_x0000_i1125" type="#_x0000_t75" style="width:64.3pt;height:18.85pt" o:ole="" o:preferrelative="f">
            <v:imagedata r:id="rId197" o:title=""/>
            <o:lock v:ext="edit" aspectratio="f"/>
          </v:shape>
          <o:OLEObject Type="Embed" ProgID="Equation.DSMT4" ShapeID="_x0000_i1125" DrawAspect="Content" ObjectID="_1776695121" r:id="rId198"/>
        </w:object>
      </w:r>
      <w:r w:rsidRPr="009B2F97">
        <w:rPr>
          <w:iCs/>
          <w:noProof/>
        </w:rPr>
        <w:t xml:space="preserve"> and a covariance matrix of</w:t>
      </w:r>
      <w:r w:rsidR="00DC3013">
        <w:rPr>
          <w:iCs/>
          <w:noProof/>
        </w:rPr>
        <w:t xml:space="preserve"> </w:t>
      </w:r>
      <w:r w:rsidR="00C43289" w:rsidRPr="0082409F">
        <w:rPr>
          <w:position w:val="-6"/>
        </w:rPr>
        <w:object w:dxaOrig="1340" w:dyaOrig="340" w14:anchorId="3FC0D0FF">
          <v:shape id="_x0000_i1126" type="#_x0000_t75" style="width:66.85pt;height:17.15pt" o:ole="" o:preferrelative="f">
            <v:imagedata r:id="rId199" o:title=""/>
            <o:lock v:ext="edit" aspectratio="f"/>
          </v:shape>
          <o:OLEObject Type="Embed" ProgID="Equation.DSMT4" ShapeID="_x0000_i1126" DrawAspect="Content" ObjectID="_1776695122" r:id="rId200"/>
        </w:object>
      </w:r>
      <w:r w:rsidR="00CB5334">
        <w:rPr>
          <w:iCs/>
          <w:noProof/>
        </w:rPr>
        <w:t xml:space="preserve">; that is, </w:t>
      </w:r>
    </w:p>
    <w:p w14:paraId="7C30AFB4" w14:textId="10D3F779" w:rsidR="00CB5334" w:rsidRPr="00D21817" w:rsidRDefault="00F15507" w:rsidP="006F37E3">
      <w:pPr>
        <w:tabs>
          <w:tab w:val="right" w:pos="9360"/>
        </w:tabs>
        <w:spacing w:after="120" w:line="240" w:lineRule="auto"/>
        <w:jc w:val="both"/>
      </w:pPr>
      <w:r w:rsidRPr="0082409F">
        <w:rPr>
          <w:position w:val="-12"/>
        </w:rPr>
        <w:object w:dxaOrig="1660" w:dyaOrig="360" w14:anchorId="3953942D">
          <v:shape id="_x0000_i1127" type="#_x0000_t75" style="width:83.15pt;height:18pt" o:ole="" o:preferrelative="f">
            <v:imagedata r:id="rId201" o:title=""/>
            <o:lock v:ext="edit" aspectratio="f"/>
          </v:shape>
          <o:OLEObject Type="Embed" ProgID="Equation.DSMT4" ShapeID="_x0000_i1127" DrawAspect="Content" ObjectID="_1776695123" r:id="rId202"/>
        </w:object>
      </w:r>
      <w:r>
        <w:t>.</w:t>
      </w:r>
      <w:r w:rsidR="00331593" w:rsidRPr="009B2F97">
        <w:rPr>
          <w:iCs/>
          <w:noProof/>
        </w:rPr>
        <w:tab/>
        <w:t>(9)</w:t>
      </w:r>
    </w:p>
    <w:p w14:paraId="6ADC115B" w14:textId="0AD77575" w:rsidR="00331593" w:rsidRPr="00DD68D6" w:rsidRDefault="00331593" w:rsidP="006F37E3">
      <w:pPr>
        <w:spacing w:after="120" w:line="240" w:lineRule="auto"/>
        <w:ind w:firstLine="720"/>
        <w:jc w:val="both"/>
        <w:rPr>
          <w:noProof/>
        </w:rPr>
      </w:pPr>
      <w:r w:rsidRPr="00D21817">
        <w:rPr>
          <w:noProof/>
        </w:rPr>
        <w:lastRenderedPageBreak/>
        <w:t xml:space="preserve">For the estimation of the model, </w:t>
      </w:r>
      <w:r w:rsidRPr="00CB3EDA">
        <w:rPr>
          <w:noProof/>
        </w:rPr>
        <w:t xml:space="preserve">partition </w:t>
      </w:r>
      <w:r w:rsidRPr="004736A5">
        <w:rPr>
          <w:noProof/>
        </w:rPr>
        <w:t xml:space="preserve">the vector </w:t>
      </w:r>
      <w:r w:rsidR="00C43289" w:rsidRPr="0082409F">
        <w:rPr>
          <w:position w:val="-6"/>
        </w:rPr>
        <w:object w:dxaOrig="200" w:dyaOrig="279" w14:anchorId="4B5B9BB2">
          <v:shape id="_x0000_i1128" type="#_x0000_t75" style="width:10.7pt;height:13.7pt" o:ole="" o:preferrelative="f">
            <v:imagedata r:id="rId203" o:title=""/>
            <o:lock v:ext="edit" aspectratio="f"/>
          </v:shape>
          <o:OLEObject Type="Embed" ProgID="Equation.DSMT4" ShapeID="_x0000_i1128" DrawAspect="Content" ObjectID="_1776695124" r:id="rId204"/>
        </w:object>
      </w:r>
      <w:r w:rsidR="00DC3013">
        <w:t xml:space="preserve"> </w:t>
      </w:r>
      <w:r w:rsidRPr="009B2F97">
        <w:rPr>
          <w:noProof/>
        </w:rPr>
        <w:t xml:space="preserve">into components </w:t>
      </w:r>
      <w:r w:rsidR="00C43289" w:rsidRPr="0082409F">
        <w:rPr>
          <w:position w:val="-14"/>
        </w:rPr>
        <w:object w:dxaOrig="279" w:dyaOrig="380" w14:anchorId="47F8E931">
          <v:shape id="_x0000_i1129" type="#_x0000_t75" style="width:13.7pt;height:18.85pt" o:ole="" o:preferrelative="f">
            <v:imagedata r:id="rId205" o:title=""/>
            <o:lock v:ext="edit" aspectratio="f"/>
          </v:shape>
          <o:OLEObject Type="Embed" ProgID="Equation.DSMT4" ShapeID="_x0000_i1129" DrawAspect="Content" ObjectID="_1776695125" r:id="rId206"/>
        </w:object>
      </w:r>
      <w:r w:rsidRPr="009B2F97">
        <w:rPr>
          <w:noProof/>
        </w:rPr>
        <w:t xml:space="preserve"> that correspond to the mean of vectors</w:t>
      </w:r>
      <w:r w:rsidR="00DC3013" w:rsidRPr="0082409F">
        <w:rPr>
          <w:position w:val="-10"/>
        </w:rPr>
        <w:object w:dxaOrig="220" w:dyaOrig="260" w14:anchorId="71BB27D3">
          <v:shape id="_x0000_i1130" type="#_x0000_t75" style="width:10.7pt;height:12.85pt" o:ole="">
            <v:imagedata r:id="rId207" o:title=""/>
          </v:shape>
          <o:OLEObject Type="Embed" ProgID="Equation.DSMT4" ShapeID="_x0000_i1130" DrawAspect="Content" ObjectID="_1776695126" r:id="rId208"/>
        </w:object>
      </w:r>
      <w:r w:rsidR="00DC3013" w:rsidRPr="009B2F97">
        <w:rPr>
          <w:noProof/>
        </w:rPr>
        <w:t xml:space="preserve"> </w:t>
      </w:r>
      <w:r w:rsidRPr="009B2F97">
        <w:rPr>
          <w:noProof/>
        </w:rPr>
        <w:t>(the continuous outcome variable</w:t>
      </w:r>
      <w:r w:rsidR="00307E18">
        <w:rPr>
          <w:noProof/>
        </w:rPr>
        <w:t xml:space="preserve"> for the logarithm of commute distance</w:t>
      </w:r>
      <w:r w:rsidRPr="009B2F97">
        <w:rPr>
          <w:noProof/>
        </w:rPr>
        <w:t xml:space="preserve">), and </w:t>
      </w:r>
      <w:r w:rsidR="00C43289" w:rsidRPr="0082409F">
        <w:rPr>
          <w:position w:val="-18"/>
        </w:rPr>
        <w:object w:dxaOrig="340" w:dyaOrig="420" w14:anchorId="72379894">
          <v:shape id="_x0000_i1131" type="#_x0000_t75" style="width:17.15pt;height:21pt" o:ole="" o:preferrelative="f">
            <v:imagedata r:id="rId209" o:title=""/>
            <o:lock v:ext="edit" aspectratio="f"/>
          </v:shape>
          <o:OLEObject Type="Embed" ProgID="Equation.DSMT4" ShapeID="_x0000_i1131" DrawAspect="Content" ObjectID="_1776695127" r:id="rId210"/>
        </w:object>
      </w:r>
      <w:r w:rsidR="00C43289">
        <w:t xml:space="preserve"> </w:t>
      </w:r>
      <w:r w:rsidRPr="009B2F97">
        <w:t>corresponding to</w:t>
      </w:r>
      <w:r w:rsidRPr="009B2F97">
        <w:rPr>
          <w:noProof/>
        </w:rPr>
        <w:t xml:space="preserve"> </w:t>
      </w:r>
      <w:r w:rsidR="00C43289" w:rsidRPr="0082409F">
        <w:rPr>
          <w:position w:val="-10"/>
        </w:rPr>
        <w:object w:dxaOrig="300" w:dyaOrig="360" w14:anchorId="1C46D1F2">
          <v:shape id="_x0000_i1132" type="#_x0000_t75" style="width:15pt;height:18pt" o:ole="" o:preferrelative="f">
            <v:imagedata r:id="rId211" o:title=""/>
            <o:lock v:ext="edit" aspectratio="f"/>
          </v:shape>
          <o:OLEObject Type="Embed" ProgID="Equation.DSMT4" ShapeID="_x0000_i1132" DrawAspect="Content" ObjectID="_1776695128" r:id="rId212"/>
        </w:object>
      </w:r>
      <w:r w:rsidR="00DC3013" w:rsidRPr="009B2F97">
        <w:t xml:space="preserve"> </w:t>
      </w:r>
      <w:r w:rsidRPr="009B2F97">
        <w:t xml:space="preserve">(the ordinal </w:t>
      </w:r>
      <w:r w:rsidR="0045577D">
        <w:t xml:space="preserve">indicator and </w:t>
      </w:r>
      <w:r w:rsidRPr="009B2F97">
        <w:t xml:space="preserve">outcome variables). Also, partition </w:t>
      </w:r>
      <w:r w:rsidRPr="009B2F97">
        <w:rPr>
          <w:noProof/>
        </w:rPr>
        <w:t xml:space="preserve">the matrix </w:t>
      </w:r>
      <w:r w:rsidR="00C43289" w:rsidRPr="0082409F">
        <w:rPr>
          <w:position w:val="-4"/>
        </w:rPr>
        <w:object w:dxaOrig="260" w:dyaOrig="260" w14:anchorId="4BFF5482">
          <v:shape id="_x0000_i1133" type="#_x0000_t75" style="width:12.85pt;height:12.85pt" o:ole="">
            <v:imagedata r:id="rId213" o:title=""/>
          </v:shape>
          <o:OLEObject Type="Embed" ProgID="Equation.DSMT4" ShapeID="_x0000_i1133" DrawAspect="Content" ObjectID="_1776695129" r:id="rId214"/>
        </w:object>
      </w:r>
      <w:r w:rsidRPr="009B2F97">
        <w:rPr>
          <w:noProof/>
        </w:rPr>
        <w:t xml:space="preserve"> into the corresponding variances and covariances:</w:t>
      </w:r>
    </w:p>
    <w:p w14:paraId="75AB7353" w14:textId="4C322883" w:rsidR="00331593" w:rsidRPr="00DD68D6" w:rsidRDefault="00C43289" w:rsidP="006F37E3">
      <w:pPr>
        <w:tabs>
          <w:tab w:val="right" w:pos="9360"/>
        </w:tabs>
        <w:spacing w:after="120" w:line="240" w:lineRule="auto"/>
        <w:jc w:val="both"/>
        <w:rPr>
          <w:noProof/>
        </w:rPr>
      </w:pPr>
      <w:r w:rsidRPr="0082409F">
        <w:rPr>
          <w:position w:val="-34"/>
        </w:rPr>
        <w:object w:dxaOrig="1640" w:dyaOrig="800" w14:anchorId="72798E48">
          <v:shape id="_x0000_i1134" type="#_x0000_t75" style="width:81.85pt;height:39.85pt" o:ole="">
            <v:imagedata r:id="rId215" o:title=""/>
          </v:shape>
          <o:OLEObject Type="Embed" ProgID="Equation.DSMT4" ShapeID="_x0000_i1134" DrawAspect="Content" ObjectID="_1776695130" r:id="rId216"/>
        </w:object>
      </w:r>
      <w:r w:rsidR="00DC3013">
        <w:t xml:space="preserve"> </w:t>
      </w:r>
      <w:r w:rsidR="00331593" w:rsidRPr="009B2F97">
        <w:t xml:space="preserve">vector and </w:t>
      </w:r>
      <w:r w:rsidRPr="0082409F">
        <w:rPr>
          <w:position w:val="-40"/>
        </w:rPr>
        <w:object w:dxaOrig="2700" w:dyaOrig="920" w14:anchorId="7EC13554">
          <v:shape id="_x0000_i1135" type="#_x0000_t75" style="width:135.85pt;height:45.85pt" o:ole="" o:preferrelative="f">
            <v:imagedata r:id="rId217" o:title=""/>
            <o:lock v:ext="edit" aspectratio="f"/>
          </v:shape>
          <o:OLEObject Type="Embed" ProgID="Equation.DSMT4" ShapeID="_x0000_i1135" DrawAspect="Content" ObjectID="_1776695131" r:id="rId218"/>
        </w:object>
      </w:r>
      <w:r w:rsidR="00DC3013">
        <w:t xml:space="preserve"> </w:t>
      </w:r>
      <w:r w:rsidR="00331593" w:rsidRPr="009B2F97">
        <w:t>matrix.</w:t>
      </w:r>
      <w:r w:rsidR="00331593" w:rsidRPr="00D21817">
        <w:rPr>
          <w:lang w:eastAsia="zh-CN"/>
        </w:rPr>
        <w:t xml:space="preserve"> </w:t>
      </w:r>
      <w:r w:rsidR="00331593" w:rsidRPr="00D21817">
        <w:rPr>
          <w:lang w:eastAsia="zh-CN"/>
        </w:rPr>
        <w:tab/>
      </w:r>
      <w:r w:rsidR="00331593" w:rsidRPr="00D21817">
        <w:t>(1</w:t>
      </w:r>
      <w:r w:rsidR="00331593" w:rsidRPr="00CB3EDA">
        <w:t>0</w:t>
      </w:r>
      <w:r w:rsidR="00331593" w:rsidRPr="004736A5">
        <w:t>)</w:t>
      </w:r>
    </w:p>
    <w:p w14:paraId="40A07115" w14:textId="77777777" w:rsidR="00C43289" w:rsidRPr="00CB3EDA" w:rsidRDefault="00511D6B" w:rsidP="006F37E3">
      <w:pPr>
        <w:tabs>
          <w:tab w:val="right" w:pos="9360"/>
        </w:tabs>
        <w:spacing w:after="120" w:line="240" w:lineRule="auto"/>
        <w:jc w:val="both"/>
        <w:rPr>
          <w:noProof/>
        </w:rPr>
      </w:pPr>
      <w:r>
        <w:rPr>
          <w:noProof/>
        </w:rPr>
        <w:t>Let the observed value of the continuous outcom</w:t>
      </w:r>
      <w:r w:rsidRPr="009051F7">
        <w:rPr>
          <w:noProof/>
        </w:rPr>
        <w:t>e vecto</w:t>
      </w:r>
      <w:r w:rsidRPr="0096700F">
        <w:rPr>
          <w:noProof/>
        </w:rPr>
        <w:t xml:space="preserve">r </w:t>
      </w:r>
      <w:r w:rsidR="00AB7855" w:rsidRPr="009051F7">
        <w:rPr>
          <w:noProof/>
          <w:position w:val="-4"/>
        </w:rPr>
        <w:drawing>
          <wp:inline distT="0" distB="0" distL="0" distR="0" wp14:anchorId="35808D3E" wp14:editId="1FB74AB5">
            <wp:extent cx="82378" cy="93362"/>
            <wp:effectExtent l="0" t="0" r="0" b="0"/>
            <wp:docPr id="487453084" name="Picture 487453084" descr="{&quot;mathml&quot;:&quot;&lt;math style=\&quot;font-family:Times New Roman;font-size:16px;\&quot; xmlns=\&quot;http://www.w3.org/1998/Math/MathML\&quot;&gt;&lt;mstyle mathsize=\&quot;16px\&quot;&gt;&lt;mi mathvariant=\&quot;bold-italic\&quot;&gt;y&lt;/mi&gt;&lt;/mstyle&gt;&lt;/math&gt;&quot;}" title="bold italic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 mathvariant=\&quot;bold-italic\&quot;&gt;y&lt;/mi&gt;&lt;/mstyle&gt;&lt;/math&gt;&quot;}" title="bold italic y"/>
                    <pic:cNvPicPr/>
                  </pic:nvPicPr>
                  <pic:blipFill>
                    <a:blip r:embed="rId219" cstate="print">
                      <a:extLst>
                        <a:ext uri="{28A0092B-C50C-407E-A947-70E740481C1C}">
                          <a14:useLocalDpi xmlns:a14="http://schemas.microsoft.com/office/drawing/2010/main" val="0"/>
                        </a:ext>
                      </a:extLst>
                    </a:blip>
                    <a:stretch>
                      <a:fillRect/>
                    </a:stretch>
                  </pic:blipFill>
                  <pic:spPr>
                    <a:xfrm>
                      <a:off x="0" y="0"/>
                      <a:ext cx="82378" cy="93362"/>
                    </a:xfrm>
                    <a:prstGeom prst="rect">
                      <a:avLst/>
                    </a:prstGeom>
                  </pic:spPr>
                </pic:pic>
              </a:graphicData>
            </a:graphic>
          </wp:inline>
        </w:drawing>
      </w:r>
      <w:r w:rsidR="00AB7855" w:rsidRPr="0096700F">
        <w:t xml:space="preserve"> </w:t>
      </w:r>
      <w:r w:rsidRPr="009051F7">
        <w:t>for the indiv</w:t>
      </w:r>
      <w:r>
        <w:t xml:space="preserve">idual be </w:t>
      </w:r>
      <w:r w:rsidRPr="00911F43">
        <w:rPr>
          <w:b/>
          <w:bCs/>
          <w:i/>
          <w:iCs/>
        </w:rPr>
        <w:t>g</w:t>
      </w:r>
      <w:r>
        <w:t xml:space="preserve">. </w:t>
      </w:r>
      <w:r w:rsidR="00331593" w:rsidRPr="009434FD">
        <w:rPr>
          <w:noProof/>
        </w:rPr>
        <w:t>The conditional distribution of</w:t>
      </w:r>
      <w:r w:rsidR="00C43289">
        <w:rPr>
          <w:noProof/>
        </w:rPr>
        <w:t xml:space="preserve"> </w:t>
      </w:r>
      <w:r w:rsidR="00C43289" w:rsidRPr="0082409F">
        <w:rPr>
          <w:position w:val="-10"/>
        </w:rPr>
        <w:object w:dxaOrig="300" w:dyaOrig="360" w14:anchorId="4C7FFE47">
          <v:shape id="_x0000_i1136" type="#_x0000_t75" style="width:15pt;height:18pt" o:ole="" o:preferrelative="f">
            <v:imagedata r:id="rId220" o:title=""/>
            <o:lock v:ext="edit" aspectratio="f"/>
          </v:shape>
          <o:OLEObject Type="Embed" ProgID="Equation.DSMT4" ShapeID="_x0000_i1136" DrawAspect="Content" ObjectID="_1776695132" r:id="rId221"/>
        </w:object>
      </w:r>
      <w:r w:rsidR="00331593" w:rsidRPr="009B2F97">
        <w:rPr>
          <w:noProof/>
        </w:rPr>
        <w:t xml:space="preserve">, given </w:t>
      </w:r>
      <w:r w:rsidR="00331593" w:rsidRPr="009B2F97">
        <w:rPr>
          <w:b/>
          <w:i/>
          <w:noProof/>
        </w:rPr>
        <w:t>y</w:t>
      </w:r>
      <w:r w:rsidRPr="00F15507">
        <w:rPr>
          <w:bCs/>
          <w:iCs/>
          <w:noProof/>
        </w:rPr>
        <w:t xml:space="preserve"> =</w:t>
      </w:r>
      <w:r w:rsidRPr="00F15507">
        <w:t xml:space="preserve"> </w:t>
      </w:r>
      <w:r w:rsidRPr="00471D4A">
        <w:rPr>
          <w:b/>
          <w:bCs/>
          <w:i/>
          <w:iCs/>
        </w:rPr>
        <w:t>g</w:t>
      </w:r>
      <w:r w:rsidR="00331593" w:rsidRPr="00D21817">
        <w:rPr>
          <w:noProof/>
        </w:rPr>
        <w:t xml:space="preserve">, is MVN with mean </w:t>
      </w:r>
      <w:r w:rsidR="00C43289" w:rsidRPr="0082409F">
        <w:rPr>
          <w:position w:val="-18"/>
        </w:rPr>
        <w:object w:dxaOrig="2780" w:dyaOrig="460" w14:anchorId="3B87065C">
          <v:shape id="_x0000_i1137" type="#_x0000_t75" style="width:138.85pt;height:23.15pt" o:ole="" o:preferrelative="f">
            <v:imagedata r:id="rId222" o:title=""/>
            <o:lock v:ext="edit" aspectratio="f"/>
          </v:shape>
          <o:OLEObject Type="Embed" ProgID="Equation.DSMT4" ShapeID="_x0000_i1137" DrawAspect="Content" ObjectID="_1776695133" r:id="rId223"/>
        </w:object>
      </w:r>
      <w:r w:rsidR="00331593" w:rsidRPr="009B2F97">
        <w:rPr>
          <w:noProof/>
          <w:position w:val="-14"/>
        </w:rPr>
        <w:t xml:space="preserve"> </w:t>
      </w:r>
      <w:r w:rsidR="00331593" w:rsidRPr="009B2F97">
        <w:rPr>
          <w:noProof/>
        </w:rPr>
        <w:t xml:space="preserve">and variance </w:t>
      </w:r>
      <w:r w:rsidR="00C43289" w:rsidRPr="0082409F">
        <w:rPr>
          <w:position w:val="-18"/>
        </w:rPr>
        <w:object w:dxaOrig="2620" w:dyaOrig="460" w14:anchorId="77BD782E">
          <v:shape id="_x0000_i1138" type="#_x0000_t75" style="width:131.15pt;height:23.15pt" o:ole="" o:preferrelative="f">
            <v:imagedata r:id="rId224" o:title=""/>
            <o:lock v:ext="edit" aspectratio="f"/>
          </v:shape>
          <o:OLEObject Type="Embed" ProgID="Equation.DSMT4" ShapeID="_x0000_i1138" DrawAspect="Content" ObjectID="_1776695134" r:id="rId225"/>
        </w:object>
      </w:r>
      <w:r w:rsidR="00331593" w:rsidRPr="009B2F97">
        <w:rPr>
          <w:noProof/>
        </w:rPr>
        <w:t xml:space="preserve"> </w:t>
      </w:r>
      <w:r w:rsidR="00C43289" w:rsidRPr="009B2F97">
        <w:rPr>
          <w:noProof/>
        </w:rPr>
        <w:t>Then</w:t>
      </w:r>
      <w:r w:rsidR="00C43289" w:rsidRPr="00D21817">
        <w:rPr>
          <w:noProof/>
        </w:rPr>
        <w:t>, the likelihood function may be written as:</w:t>
      </w:r>
    </w:p>
    <w:p w14:paraId="661F14DC" w14:textId="15326D1B" w:rsidR="00C43289" w:rsidRPr="004736A5" w:rsidRDefault="00C43289" w:rsidP="006F37E3">
      <w:pPr>
        <w:tabs>
          <w:tab w:val="right" w:pos="9360"/>
        </w:tabs>
        <w:spacing w:after="0" w:line="240" w:lineRule="auto"/>
        <w:jc w:val="both"/>
        <w:rPr>
          <w:noProof/>
        </w:rPr>
      </w:pPr>
      <w:r w:rsidRPr="009B2F97">
        <w:rPr>
          <w:noProof/>
        </w:rPr>
        <w:t xml:space="preserve"> </w:t>
      </w:r>
      <w:r w:rsidR="00BF6DC8" w:rsidRPr="0082409F">
        <w:rPr>
          <w:position w:val="-16"/>
        </w:rPr>
        <w:object w:dxaOrig="4660" w:dyaOrig="440" w14:anchorId="52A1470A">
          <v:shape id="_x0000_i1139" type="#_x0000_t75" style="width:233.15pt;height:22.7pt" o:ole="" o:preferrelative="f">
            <v:imagedata r:id="rId226" o:title=""/>
            <o:lock v:ext="edit" aspectratio="f"/>
          </v:shape>
          <o:OLEObject Type="Embed" ProgID="Equation.DSMT4" ShapeID="_x0000_i1139" DrawAspect="Content" ObjectID="_1776695135" r:id="rId227"/>
        </w:object>
      </w:r>
      <w:r w:rsidRPr="009B2F97">
        <w:rPr>
          <w:noProof/>
        </w:rPr>
        <w:t xml:space="preserve">                   </w:t>
      </w:r>
      <w:r w:rsidRPr="009B2F97">
        <w:rPr>
          <w:noProof/>
          <w:lang w:eastAsia="zh-CN"/>
        </w:rPr>
        <w:t xml:space="preserve">                                 </w:t>
      </w:r>
      <w:r w:rsidRPr="009B2F97">
        <w:rPr>
          <w:noProof/>
          <w:lang w:eastAsia="zh-CN"/>
        </w:rPr>
        <w:tab/>
      </w:r>
      <w:r w:rsidRPr="00D21817">
        <w:rPr>
          <w:noProof/>
        </w:rPr>
        <w:t>(11</w:t>
      </w:r>
      <w:r w:rsidRPr="00CB3EDA">
        <w:rPr>
          <w:noProof/>
        </w:rPr>
        <w:t>)</w:t>
      </w:r>
      <w:r w:rsidRPr="004736A5">
        <w:rPr>
          <w:b/>
          <w:noProof/>
        </w:rPr>
        <w:t xml:space="preserve">   </w:t>
      </w:r>
    </w:p>
    <w:p w14:paraId="51701AC8" w14:textId="31C51AC9" w:rsidR="00C43289" w:rsidRPr="009B2F97" w:rsidRDefault="00C43289" w:rsidP="006F37E3">
      <w:pPr>
        <w:tabs>
          <w:tab w:val="right" w:pos="9360"/>
        </w:tabs>
        <w:spacing w:after="40" w:line="240" w:lineRule="auto"/>
        <w:jc w:val="both"/>
        <w:rPr>
          <w:noProof/>
          <w:position w:val="-34"/>
        </w:rPr>
      </w:pPr>
      <w:r w:rsidRPr="009B2F97">
        <w:rPr>
          <w:noProof/>
          <w:position w:val="-34"/>
        </w:rPr>
        <w:t xml:space="preserve">  </w:t>
      </w:r>
      <w:r>
        <w:rPr>
          <w:noProof/>
          <w:position w:val="-34"/>
        </w:rPr>
        <w:t xml:space="preserve">        </w:t>
      </w:r>
      <w:r w:rsidR="00BF6DC8" w:rsidRPr="0082409F">
        <w:rPr>
          <w:position w:val="-34"/>
        </w:rPr>
        <w:object w:dxaOrig="4080" w:dyaOrig="620" w14:anchorId="102F2872">
          <v:shape id="_x0000_i1140" type="#_x0000_t75" style="width:204pt;height:31.3pt" o:ole="" o:preferrelative="f">
            <v:imagedata r:id="rId228" o:title=""/>
            <o:lock v:ext="edit" aspectratio="f"/>
          </v:shape>
          <o:OLEObject Type="Embed" ProgID="Equation.DSMT4" ShapeID="_x0000_i1140" DrawAspect="Content" ObjectID="_1776695136" r:id="rId229"/>
        </w:object>
      </w:r>
    </w:p>
    <w:p w14:paraId="1E90FF93" w14:textId="083B4730" w:rsidR="00331593" w:rsidRDefault="00C43289" w:rsidP="006F37E3">
      <w:pPr>
        <w:tabs>
          <w:tab w:val="right" w:pos="9360"/>
        </w:tabs>
        <w:spacing w:after="120" w:line="240" w:lineRule="auto"/>
        <w:jc w:val="both"/>
        <w:rPr>
          <w:noProof/>
        </w:rPr>
      </w:pPr>
      <w:r w:rsidRPr="00D21817">
        <w:rPr>
          <w:noProof/>
        </w:rPr>
        <w:t xml:space="preserve">where the integration domain </w:t>
      </w:r>
      <w:r w:rsidRPr="0082409F">
        <w:rPr>
          <w:position w:val="-14"/>
        </w:rPr>
        <w:object w:dxaOrig="2280" w:dyaOrig="380" w14:anchorId="7C2F60C5">
          <v:shape id="_x0000_i1141" type="#_x0000_t75" style="width:114pt;height:18.85pt" o:ole="" o:preferrelative="f">
            <v:imagedata r:id="rId230" o:title=""/>
            <o:lock v:ext="edit" aspectratio="f"/>
          </v:shape>
          <o:OLEObject Type="Embed" ProgID="Equation.DSMT4" ShapeID="_x0000_i1141" DrawAspect="Content" ObjectID="_1776695137" r:id="rId231"/>
        </w:object>
      </w:r>
      <w:r w:rsidR="00331593" w:rsidRPr="009B2F97">
        <w:rPr>
          <w:noProof/>
        </w:rPr>
        <w:t xml:space="preserve">is simply the multivariate region of the elements of the </w:t>
      </w:r>
      <w:r w:rsidRPr="0082409F">
        <w:rPr>
          <w:position w:val="-10"/>
        </w:rPr>
        <w:object w:dxaOrig="300" w:dyaOrig="360" w14:anchorId="5823B8A0">
          <v:shape id="_x0000_i1142" type="#_x0000_t75" style="width:15pt;height:18pt" o:ole="" o:preferrelative="f">
            <v:imagedata r:id="rId232" o:title=""/>
            <o:lock v:ext="edit" aspectratio="f"/>
          </v:shape>
          <o:OLEObject Type="Embed" ProgID="Equation.DSMT4" ShapeID="_x0000_i1142" DrawAspect="Content" ObjectID="_1776695138" r:id="rId233"/>
        </w:object>
      </w:r>
      <w:r w:rsidR="0013422F">
        <w:rPr>
          <w:noProof/>
        </w:rPr>
        <w:t xml:space="preserve"> </w:t>
      </w:r>
      <w:r w:rsidR="00331593" w:rsidRPr="009B2F97">
        <w:rPr>
          <w:noProof/>
        </w:rPr>
        <w:t>vector determined by the observed ordinal outcomes.</w:t>
      </w:r>
      <w:r w:rsidR="00331593" w:rsidRPr="00D21817">
        <w:t xml:space="preserve"> </w:t>
      </w:r>
      <w:r w:rsidRPr="0082409F">
        <w:rPr>
          <w:position w:val="-14"/>
        </w:rPr>
        <w:object w:dxaOrig="1640" w:dyaOrig="380" w14:anchorId="3B63D06F">
          <v:shape id="_x0000_i1143" type="#_x0000_t75" style="width:81.85pt;height:18.85pt" o:ole="" o:preferrelative="f">
            <v:imagedata r:id="rId234" o:title=""/>
            <o:lock v:ext="edit" aspectratio="f"/>
          </v:shape>
          <o:OLEObject Type="Embed" ProgID="Equation.DSMT4" ShapeID="_x0000_i1143" DrawAspect="Content" ObjectID="_1776695139" r:id="rId235"/>
        </w:object>
      </w:r>
      <w:r w:rsidR="00331593" w:rsidRPr="009B2F97">
        <w:rPr>
          <w:noProof/>
        </w:rPr>
        <w:t xml:space="preserve"> is the MVN density function of dimension </w:t>
      </w:r>
      <w:r w:rsidR="00DC3013" w:rsidRPr="0082409F">
        <w:rPr>
          <w:position w:val="-4"/>
        </w:rPr>
        <w:object w:dxaOrig="279" w:dyaOrig="260" w14:anchorId="4CE9278B">
          <v:shape id="_x0000_i1144" type="#_x0000_t75" style="width:13.7pt;height:12.85pt" o:ole="">
            <v:imagedata r:id="rId236" o:title=""/>
          </v:shape>
          <o:OLEObject Type="Embed" ProgID="Equation.DSMT4" ShapeID="_x0000_i1144" DrawAspect="Content" ObjectID="_1776695140" r:id="rId237"/>
        </w:object>
      </w:r>
      <w:r w:rsidR="00331593" w:rsidRPr="009B2F97">
        <w:rPr>
          <w:noProof/>
        </w:rPr>
        <w:t xml:space="preserve"> with a mean of </w:t>
      </w:r>
      <w:r w:rsidRPr="0082409F">
        <w:rPr>
          <w:position w:val="-14"/>
        </w:rPr>
        <w:object w:dxaOrig="279" w:dyaOrig="380" w14:anchorId="20FBE059">
          <v:shape id="_x0000_i1145" type="#_x0000_t75" style="width:13.7pt;height:18.85pt" o:ole="" o:preferrelative="f">
            <v:imagedata r:id="rId238" o:title=""/>
            <o:lock v:ext="edit" aspectratio="f"/>
          </v:shape>
          <o:OLEObject Type="Embed" ProgID="Equation.DSMT4" ShapeID="_x0000_i1145" DrawAspect="Content" ObjectID="_1776695141" r:id="rId239"/>
        </w:object>
      </w:r>
      <w:r w:rsidR="00331593" w:rsidRPr="009B2F97">
        <w:rPr>
          <w:noProof/>
        </w:rPr>
        <w:t xml:space="preserve"> and a covariance of</w:t>
      </w:r>
      <w:r w:rsidR="00DC3013">
        <w:rPr>
          <w:noProof/>
        </w:rPr>
        <w:t xml:space="preserve"> </w:t>
      </w:r>
      <w:r w:rsidRPr="0082409F">
        <w:rPr>
          <w:position w:val="-4"/>
        </w:rPr>
        <w:object w:dxaOrig="240" w:dyaOrig="260" w14:anchorId="79C592FF">
          <v:shape id="_x0000_i1146" type="#_x0000_t75" style="width:12pt;height:12.85pt" o:ole="" o:preferrelative="f">
            <v:imagedata r:id="rId240" o:title=""/>
            <o:lock v:ext="edit" aspectratio="f"/>
          </v:shape>
          <o:OLEObject Type="Embed" ProgID="Equation.DSMT4" ShapeID="_x0000_i1146" DrawAspect="Content" ObjectID="_1776695142" r:id="rId241"/>
        </w:object>
      </w:r>
      <w:r w:rsidR="00331593" w:rsidRPr="009B2F97">
        <w:rPr>
          <w:noProof/>
        </w:rPr>
        <w:t>, and evaluated at</w:t>
      </w:r>
      <w:r w:rsidR="00E34B27">
        <w:rPr>
          <w:noProof/>
        </w:rPr>
        <w:t xml:space="preserve"> </w:t>
      </w:r>
      <w:r w:rsidR="00E34B27" w:rsidRPr="00471D4A">
        <w:rPr>
          <w:b/>
          <w:bCs/>
          <w:i/>
          <w:iCs/>
          <w:noProof/>
        </w:rPr>
        <w:t>g</w:t>
      </w:r>
      <w:r w:rsidR="00331593" w:rsidRPr="009B2F97">
        <w:rPr>
          <w:noProof/>
        </w:rPr>
        <w:t>.</w:t>
      </w:r>
      <w:r w:rsidR="00D73320">
        <w:rPr>
          <w:noProof/>
        </w:rPr>
        <w:t xml:space="preserve"> Note that for unemployed individuals </w:t>
      </w:r>
      <w:r w:rsidR="00A76370">
        <w:rPr>
          <w:noProof/>
        </w:rPr>
        <w:t>and</w:t>
      </w:r>
      <w:r w:rsidR="00D73320">
        <w:rPr>
          <w:noProof/>
        </w:rPr>
        <w:t xml:space="preserve"> those with no physical workplace, </w:t>
      </w:r>
      <w:r w:rsidR="00A86B48">
        <w:rPr>
          <w:noProof/>
        </w:rPr>
        <w:t xml:space="preserve">the continuous dimension is irrelevant and </w:t>
      </w:r>
      <w:r w:rsidR="00D73320">
        <w:rPr>
          <w:noProof/>
        </w:rPr>
        <w:t>we only consider the ordinal outcome</w:t>
      </w:r>
      <w:r w:rsidR="00A86B48">
        <w:rPr>
          <w:noProof/>
        </w:rPr>
        <w:t xml:space="preserve"> dimensions. </w:t>
      </w:r>
      <w:r w:rsidR="00331593" w:rsidRPr="009B2F97">
        <w:rPr>
          <w:noProof/>
        </w:rPr>
        <w:t xml:space="preserve">The likelihood function for a sample of </w:t>
      </w:r>
      <w:r w:rsidR="00331593" w:rsidRPr="009434FD">
        <w:rPr>
          <w:i/>
          <w:noProof/>
        </w:rPr>
        <w:t>Q</w:t>
      </w:r>
      <w:r w:rsidR="00331593" w:rsidRPr="009434FD">
        <w:rPr>
          <w:noProof/>
        </w:rPr>
        <w:t xml:space="preserve"> decision-makers is obtained as the product of the individual-level likelihood functions. </w:t>
      </w:r>
    </w:p>
    <w:bookmarkEnd w:id="2"/>
    <w:p w14:paraId="23C8835C" w14:textId="77777777" w:rsidR="00CB3EDA" w:rsidRPr="004736A5" w:rsidRDefault="00CB3EDA" w:rsidP="006F37E3">
      <w:pPr>
        <w:spacing w:after="0" w:line="240" w:lineRule="auto"/>
        <w:jc w:val="both"/>
        <w:rPr>
          <w:noProof/>
        </w:rPr>
      </w:pPr>
    </w:p>
    <w:p w14:paraId="682FB27E" w14:textId="78BB8D55" w:rsidR="0071511B" w:rsidRPr="008253CB" w:rsidRDefault="00A82708" w:rsidP="006F37E3">
      <w:pPr>
        <w:spacing w:after="0" w:line="240" w:lineRule="auto"/>
        <w:jc w:val="both"/>
        <w:rPr>
          <w:b/>
          <w:bCs/>
        </w:rPr>
      </w:pPr>
      <w:r w:rsidRPr="009434FD">
        <w:rPr>
          <w:b/>
          <w:bCs/>
        </w:rPr>
        <w:t>3</w:t>
      </w:r>
      <w:r w:rsidR="00F30A67" w:rsidRPr="009434FD">
        <w:rPr>
          <w:b/>
          <w:bCs/>
        </w:rPr>
        <w:t>.2</w:t>
      </w:r>
      <w:r w:rsidRPr="009434FD">
        <w:rPr>
          <w:b/>
          <w:bCs/>
        </w:rPr>
        <w:t xml:space="preserve"> </w:t>
      </w:r>
      <w:r w:rsidR="0071511B" w:rsidRPr="009434FD">
        <w:rPr>
          <w:b/>
          <w:bCs/>
        </w:rPr>
        <w:t>Data</w:t>
      </w:r>
      <w:r w:rsidR="00E55ED6" w:rsidRPr="009C5F54">
        <w:rPr>
          <w:b/>
          <w:bCs/>
        </w:rPr>
        <w:t xml:space="preserve"> </w:t>
      </w:r>
      <w:r w:rsidR="00245D75" w:rsidRPr="009C5F54">
        <w:rPr>
          <w:b/>
          <w:bCs/>
        </w:rPr>
        <w:t xml:space="preserve">Description </w:t>
      </w:r>
    </w:p>
    <w:p w14:paraId="33A7229D" w14:textId="20D11F8C" w:rsidR="00121EBD" w:rsidRPr="004736A5" w:rsidRDefault="00121EBD" w:rsidP="006F37E3">
      <w:pPr>
        <w:spacing w:after="0" w:line="240" w:lineRule="auto"/>
        <w:jc w:val="both"/>
      </w:pPr>
      <w:bookmarkStart w:id="4" w:name="_Hlk148692081"/>
      <w:r w:rsidRPr="008253CB">
        <w:t xml:space="preserve">The primary data source used for this study is the COVID Future Survey Wave 3 </w:t>
      </w:r>
      <w:r w:rsidRPr="009B2F97">
        <w:fldChar w:fldCharType="begin"/>
      </w:r>
      <w:r w:rsidR="008912F0">
        <w:instrText xml:space="preserve"> ADDIN ZOTERO_ITEM CSL_CITATION {"citationID":"KT7Ry8Bs","properties":{"formattedCitation":"(Salon et al., 2022)","plainCitation":"(Salon et al., 2022)","noteIndex":0},"citationItems":[{"id":376,"uris":["http://zotero.org/users/local/1ztI2Oc6/items/RSK4QV5D","http://zotero.org/users/12832277/items/RSK4QV5D"],"itemData":{"id":376,"type":"report","publisher":"ASU Library Research Data Repository","title":"COVID Future Wave 3 Survey Data v1.1.0","author":[{"family":"Salon","given":"Deborah"},{"family":"Bhagat-Conway","given":"Matthew Wigginton"},{"family":"Chauhan","given":"Rishabh"},{"family":"Magassy","given":"Tassio"},{"family":"Mirtich","given":"Laura"},{"family":"Rahimi","given":"Ehsan"},{"family":"Costello","given":"Adam"},{"family":"Derrible","given":"Sybil"},{"family":"Mohammadian","given":"Kouros"},{"family":"Pendyala","given":"Ram"}],"issued":{"date-parts":[["2022"]]}}}],"schema":"https://github.com/citation-style-language/schema/raw/master/csl-citation.json"} </w:instrText>
      </w:r>
      <w:r w:rsidRPr="009B2F97">
        <w:fldChar w:fldCharType="separate"/>
      </w:r>
      <w:r w:rsidRPr="009B2F97">
        <w:t>(Salon et al., 2022)</w:t>
      </w:r>
      <w:r w:rsidRPr="009B2F97">
        <w:fldChar w:fldCharType="end"/>
      </w:r>
      <w:r w:rsidRPr="009B2F97">
        <w:t>, which involved collecting responses through an online platform powered by Qualtrics. To ensure a diverse pool of participants, surve</w:t>
      </w:r>
      <w:r w:rsidRPr="00D21817">
        <w:t>y invitations were extended through multiple channels, including purchased email lists, social media outreach, and mainstream media articles.</w:t>
      </w:r>
      <w:r w:rsidRPr="009434FD">
        <w:t xml:space="preserve"> The purchased email </w:t>
      </w:r>
      <w:r w:rsidRPr="009C5F54">
        <w:t>list comprised approximately</w:t>
      </w:r>
      <w:r w:rsidRPr="008253CB">
        <w:t xml:space="preserve"> 4</w:t>
      </w:r>
      <w:r w:rsidRPr="001D5FAF">
        <w:t xml:space="preserve">50,000 email addresses </w:t>
      </w:r>
      <w:r w:rsidR="00CB3EDA">
        <w:t xml:space="preserve">of </w:t>
      </w:r>
      <w:r w:rsidRPr="009B2F97">
        <w:t xml:space="preserve">people </w:t>
      </w:r>
      <w:r w:rsidR="00CB3EDA">
        <w:t xml:space="preserve">residing </w:t>
      </w:r>
      <w:r w:rsidRPr="004736A5">
        <w:t>in 24 metropolitan areas across the U.S.</w:t>
      </w:r>
      <w:r w:rsidRPr="00DD68D6">
        <w:t xml:space="preserve"> A</w:t>
      </w:r>
      <w:r w:rsidRPr="009434FD">
        <w:t xml:space="preserve">n additional list containing approximately 39,000 email addresses specifically </w:t>
      </w:r>
      <w:r w:rsidRPr="009C5F54">
        <w:t>from the Phoenix metropolitan area was also included</w:t>
      </w:r>
      <w:r w:rsidR="00710A8A" w:rsidRPr="008253CB">
        <w:t xml:space="preserve"> </w:t>
      </w:r>
      <w:r w:rsidR="00710A8A" w:rsidRPr="009B2F97">
        <w:fldChar w:fldCharType="begin"/>
      </w:r>
      <w:r w:rsidR="000C4AE3">
        <w:instrText xml:space="preserve"> ADDIN ZOTERO_ITEM CSL_CITATION {"citationID":"7lYp8mh9","properties":{"unsorted":true,"formattedCitation":"(Chauhan et al., 2021, 2022)","plainCitation":"(Chauhan et al., 2021, 2022)","noteIndex":0},"citationItems":[{"id":714,"uris":["http://zotero.org/users/local/1ztI2Oc6/items/82FD39EV","http://zotero.org/users/12832277/items/82FD39EV"],"itemData":{"id":714,"type":"article-journal","abstract":"The COVID-19 pandemic has impacted billions of people around the world. To capture some of these impacts in the United States, we are conducting a nationwide longitudinal survey collecting information about activity and travel-related behaviors and attitudes before, during, and after the COVID-19 pandemic. The survey questions cover a wide range of topics including commuting, daily travel, air travel, working from home, online learning, shopping, and risk perception, along with attitudinal, socioeconomic, and demographic information. The survey is deployed over multiple waves to the same respondents to monitor how behaviors and attitudes evolve over time. Version 1.0 of the survey contains 8,723 responses that are publicly available. This article details the methodology adopted for the collection, cleaning, and processing of the data. In addition, the data are weighted to be representative of national and regional demographics. This survey dataset can aid researchers, policymakers, businesses, and government agencies in understanding both the extent of behavioral shifts and the likelihood that changes in behaviors will persist after COVID-19.","container-title":"Scientific Data","DOI":"10.1038/s41597-021-01020-8","ISSN":"2052-4463","issue":"1","language":"en","license":"2021 The Author(s)","note":"number: 1\npublisher: Nature Publishing Group","page":"245","source":"www.nature.com","title":"A Database of Travel-Related Behaviors and Attitudes Before, During, and After COVID-19 in the United States","volume":"8","author":[{"family":"Chauhan","given":"Rishabh Singh"},{"family":"Bhagat-Conway","given":"Matthew Wigginton"},{"family":"Capasso da Silva","given":"Denise"},{"family":"Salon","given":"Deborah"},{"family":"Shamshiripour","given":"Ali"},{"family":"Rahimi","given":"Ehsan"},{"family":"Khoeini","given":"Sara"},{"family":"Mohammadian","given":"Abolfazl (Kouros)"},{"family":"Derrible","given":"Sybil"},{"family":"Pendyala","given":"Ram"}],"issued":{"date-parts":[["2021",9,23]]}}},{"id":716,"uris":["http://zotero.org/users/local/1ztI2Oc6/items/QSZXZ67G","http://zotero.org/users/12832277/items/QSZXZ67G"],"itemData":{"id":716,"type":"article","abstract":"The COVID-19 pandemic is an unprecedented global crisis that has impacted virtually everyone. We conducted a nationwide online longitudinal survey in the United States to collect information about the shifts in travel-related behavior and attitudes before, during, and after the pandemic. The survey asked questions about commuting, long distance travel, working from home, online learning, online shopping, pandemic experiences, attitudes, and demographic information. The survey has been deployed to the same respondents thrice to observe how the responses to the pandemic have evolved over time. The first wave of the survey was conducted from April 2020 to June 2021, the second wave from November 2020 to August 2021, and the third wave from October 2021 to November 2021. In total, 9,265 responses were collected in the first wave; of these, 2,877 respondents returned for the second wave and 2,728 for the third wave. Survey data are publicly available. This unique dataset can aid policy makers in making decisions in areas including transport, workforce development, and more. This article demonstrates the framework for conducting this online longitudinal survey. It details the step-by-step procedure involved in conducting the survey and in curating the data to make it representative of the national trends.","DOI":"10.48550/arXiv.2208.12618","note":"arXiv:2208.12618 [cs, stat]","number":"arXiv:2208.12618","publisher":"arXiv","source":"arXiv.org","title":"Covid Future Panel Survey: A Unique Public Dataset Documenting How U.S. Residents' Travel Related Choices Changed During the COVID-19 Pandemic","title-short":"Covid Future Panel Survey","URL":"http://arxiv.org/abs/2208.12618","author":[{"family":"Chauhan","given":"Rishabh Singh"},{"family":"Bhagat-Conway","given":"Matthew Wigginton"},{"family":"Magassy","given":"Tassio"},{"family":"Corcoran","given":"Nicole"},{"family":"Rahimi","given":"Ehsan"},{"family":"Dirks","given":"Abbie"},{"family":"Pendyala","given":"Ram"},{"family":"Mohammadian","given":"Abolfazl"},{"family":"Derrible","given":"Sybil"},{"family":"Salon","given":"Deborah"}],"accessed":{"date-parts":[["2023",5,16]]},"issued":{"date-parts":[["2022",8,10]]}}}],"schema":"https://github.com/citation-style-language/schema/raw/master/csl-citation.json"} </w:instrText>
      </w:r>
      <w:r w:rsidR="00710A8A" w:rsidRPr="009B2F97">
        <w:fldChar w:fldCharType="separate"/>
      </w:r>
      <w:r w:rsidR="00F90BE1" w:rsidRPr="00F90BE1">
        <w:t>(Chauhan et al., 2021, 2022)</w:t>
      </w:r>
      <w:r w:rsidR="00710A8A" w:rsidRPr="009B2F97">
        <w:fldChar w:fldCharType="end"/>
      </w:r>
      <w:r w:rsidRPr="009B2F97">
        <w:t>. To encourage participation, respondent</w:t>
      </w:r>
      <w:r w:rsidRPr="00D21817">
        <w:t xml:space="preserve">s were provided with a small incentive in the form of a gift card upon completing the survey. </w:t>
      </w:r>
    </w:p>
    <w:p w14:paraId="4E324C63" w14:textId="07CEDBC7" w:rsidR="0057407E" w:rsidRPr="009434FD" w:rsidRDefault="00E602A7" w:rsidP="006F37E3">
      <w:pPr>
        <w:spacing w:after="0" w:line="240" w:lineRule="auto"/>
        <w:ind w:firstLine="720"/>
        <w:jc w:val="both"/>
      </w:pPr>
      <w:r w:rsidRPr="009434FD">
        <w:t xml:space="preserve">The COVID Future Survey Wave 3 was </w:t>
      </w:r>
      <w:r w:rsidR="007B3E42" w:rsidRPr="009434FD">
        <w:t xml:space="preserve">administered to a stratified random sample of households across the United States </w:t>
      </w:r>
      <w:r w:rsidR="004736A5">
        <w:t xml:space="preserve">in </w:t>
      </w:r>
      <w:r w:rsidR="009D6095" w:rsidRPr="009B2F97">
        <w:t>Oct</w:t>
      </w:r>
      <w:r w:rsidR="009640B5" w:rsidRPr="009B2F97">
        <w:t xml:space="preserve">ober </w:t>
      </w:r>
      <w:r w:rsidR="004736A5">
        <w:t xml:space="preserve">and </w:t>
      </w:r>
      <w:r w:rsidR="009640B5" w:rsidRPr="009B2F97">
        <w:t xml:space="preserve">November </w:t>
      </w:r>
      <w:r w:rsidR="004736A5">
        <w:t xml:space="preserve">of </w:t>
      </w:r>
      <w:r w:rsidR="009640B5" w:rsidRPr="004736A5">
        <w:t xml:space="preserve">2021. </w:t>
      </w:r>
      <w:r w:rsidR="002A3CBE" w:rsidRPr="004736A5">
        <w:t xml:space="preserve">The dataset includes </w:t>
      </w:r>
      <w:r w:rsidR="00990666" w:rsidRPr="009434FD">
        <w:t xml:space="preserve">sociodemographic information about individuals and their households, </w:t>
      </w:r>
      <w:r w:rsidR="0029327A" w:rsidRPr="009434FD">
        <w:t xml:space="preserve">details </w:t>
      </w:r>
      <w:r w:rsidR="009C69CF" w:rsidRPr="009434FD">
        <w:t>of</w:t>
      </w:r>
      <w:r w:rsidR="0029327A" w:rsidRPr="009434FD">
        <w:t xml:space="preserve"> their </w:t>
      </w:r>
      <w:r w:rsidR="00143ABE" w:rsidRPr="009C5F54">
        <w:t xml:space="preserve">travel behaviors, </w:t>
      </w:r>
      <w:r w:rsidR="0029327A" w:rsidRPr="009C5F54">
        <w:t>attitudes</w:t>
      </w:r>
      <w:r w:rsidR="009828CC" w:rsidRPr="008253CB">
        <w:t xml:space="preserve"> and preferences </w:t>
      </w:r>
      <w:r w:rsidR="004736A5">
        <w:t>for a variety of mobility and housing options</w:t>
      </w:r>
      <w:r w:rsidR="009C69CF" w:rsidRPr="009B2F97">
        <w:t xml:space="preserve">, </w:t>
      </w:r>
      <w:r w:rsidR="00A646C5" w:rsidRPr="009B2F97">
        <w:t xml:space="preserve">and responses to the COVID-19 pandemic. </w:t>
      </w:r>
      <w:r w:rsidR="00F327A6" w:rsidRPr="009B2F97">
        <w:t>Using data from October</w:t>
      </w:r>
      <w:r w:rsidR="00267969">
        <w:t xml:space="preserve"> and </w:t>
      </w:r>
      <w:r w:rsidR="00F327A6" w:rsidRPr="009B2F97">
        <w:t xml:space="preserve">November </w:t>
      </w:r>
      <w:r w:rsidR="00267969">
        <w:t xml:space="preserve">of </w:t>
      </w:r>
      <w:r w:rsidR="00F327A6" w:rsidRPr="009B2F97">
        <w:t xml:space="preserve">2021 </w:t>
      </w:r>
      <w:r w:rsidR="008C05CD" w:rsidRPr="009B2F97">
        <w:t xml:space="preserve">allows for analysis of </w:t>
      </w:r>
      <w:r w:rsidR="004736A5">
        <w:t xml:space="preserve">housing choices with the worst of the pandemic well behind, and the </w:t>
      </w:r>
      <w:r w:rsidR="003A5806" w:rsidRPr="004736A5">
        <w:t>initial shocks caused by lockdowns in the United States in 2020</w:t>
      </w:r>
      <w:r w:rsidR="004736A5">
        <w:t xml:space="preserve"> wearing off</w:t>
      </w:r>
      <w:r w:rsidR="003A5806" w:rsidRPr="004736A5">
        <w:t xml:space="preserve">. </w:t>
      </w:r>
      <w:r w:rsidR="003D39B6" w:rsidRPr="004736A5">
        <w:t xml:space="preserve">The survey </w:t>
      </w:r>
      <w:r w:rsidR="00802211" w:rsidRPr="00DD68D6">
        <w:t xml:space="preserve">collected </w:t>
      </w:r>
      <w:r w:rsidR="00407D33" w:rsidRPr="009434FD">
        <w:t>data from</w:t>
      </w:r>
      <w:r w:rsidR="00802211" w:rsidRPr="009434FD">
        <w:t xml:space="preserve"> </w:t>
      </w:r>
      <w:r w:rsidR="00A44ACA" w:rsidRPr="009434FD">
        <w:t xml:space="preserve">2,728 </w:t>
      </w:r>
      <w:r w:rsidR="00407D33" w:rsidRPr="009434FD">
        <w:t>participants</w:t>
      </w:r>
      <w:r w:rsidR="00A44ACA" w:rsidRPr="009C5F54">
        <w:t>. Of these</w:t>
      </w:r>
      <w:r w:rsidR="00C835E3" w:rsidRPr="009C5F54">
        <w:t>, 2,</w:t>
      </w:r>
      <w:r w:rsidR="00B91387" w:rsidRPr="008253CB">
        <w:t>149</w:t>
      </w:r>
      <w:r w:rsidR="00C835E3" w:rsidRPr="008253CB">
        <w:t xml:space="preserve"> </w:t>
      </w:r>
      <w:r w:rsidR="003D3D6C" w:rsidRPr="001D5FAF">
        <w:t xml:space="preserve">responses </w:t>
      </w:r>
      <w:r w:rsidR="00181B4B">
        <w:t xml:space="preserve">with </w:t>
      </w:r>
      <w:r w:rsidR="003D3D6C" w:rsidRPr="00AD7085">
        <w:t xml:space="preserve">complete data </w:t>
      </w:r>
      <w:r w:rsidR="004736A5">
        <w:t xml:space="preserve">on housing choices </w:t>
      </w:r>
      <w:r w:rsidR="003D3D6C" w:rsidRPr="004736A5">
        <w:t xml:space="preserve">were retained for the final analysis. </w:t>
      </w:r>
    </w:p>
    <w:p w14:paraId="4DF8B68C" w14:textId="1DE080EF" w:rsidR="0057407E" w:rsidRDefault="002C4AAF" w:rsidP="006F37E3">
      <w:pPr>
        <w:spacing w:after="0" w:line="240" w:lineRule="auto"/>
        <w:jc w:val="both"/>
      </w:pPr>
      <w:r w:rsidRPr="009434FD">
        <w:lastRenderedPageBreak/>
        <w:tab/>
      </w:r>
      <w:r w:rsidR="004736A5">
        <w:t xml:space="preserve">The research team then appended additional </w:t>
      </w:r>
      <w:r w:rsidR="00181B4B">
        <w:t>information</w:t>
      </w:r>
      <w:r w:rsidR="004736A5">
        <w:t xml:space="preserve"> to the data from the COVID Future Survey. In particular, </w:t>
      </w:r>
      <w:r w:rsidR="00CA7E19" w:rsidRPr="009B2F97">
        <w:t>neighborhood socioeconomic characteristics</w:t>
      </w:r>
      <w:r w:rsidR="004736A5">
        <w:t xml:space="preserve">, including population density and median housing cost </w:t>
      </w:r>
      <w:r w:rsidR="00D21642">
        <w:t xml:space="preserve">(see description below) </w:t>
      </w:r>
      <w:r w:rsidR="004736A5">
        <w:t xml:space="preserve">from the </w:t>
      </w:r>
      <w:r w:rsidR="00181B4B">
        <w:t xml:space="preserve">2021 </w:t>
      </w:r>
      <w:r w:rsidR="004736A5">
        <w:t>American Community Survey</w:t>
      </w:r>
      <w:r w:rsidR="00181B4B">
        <w:t xml:space="preserve"> </w:t>
      </w:r>
      <w:r w:rsidR="00BA698B">
        <w:fldChar w:fldCharType="begin"/>
      </w:r>
      <w:r w:rsidR="008912F0">
        <w:instrText xml:space="preserve"> ADDIN ZOTERO_ITEM CSL_CITATION {"citationID":"3pbyLnKE","properties":{"formattedCitation":"(U.S. Census Bureau, 2021)","plainCitation":"(U.S. Census Bureau, 2021)","noteIndex":0},"citationItems":[{"id":394,"uris":["http://zotero.org/users/local/1ztI2Oc6/items/TKEBSFSX","http://zotero.org/users/12832277/items/TKEBSFSX"],"itemData":{"id":394,"type":"document","abstract":"Data Dictionary - Survey ACS 2021 (5-Year Estimates); American Community Survey 2021 (ACS21_5yr); American Community Survey 2021 (2290 tables)","language":"en","title":"American Community Survey 2021 (5-Year Estimates)","URL":"https://www.socialexplorer.com/data/ACS2021_5yr/metadata/?ds=ACS21_5yr","author":[{"family":"U.S. Census Bureau","given":""}],"accessed":{"date-parts":[["2023",3,27]]},"issued":{"date-parts":[["2021"]]}}}],"schema":"https://github.com/citation-style-language/schema/raw/master/csl-citation.json"} </w:instrText>
      </w:r>
      <w:r w:rsidR="00BA698B">
        <w:fldChar w:fldCharType="separate"/>
      </w:r>
      <w:r w:rsidR="00BA698B" w:rsidRPr="00BA698B">
        <w:t>(U.S. Census Bureau, 2021)</w:t>
      </w:r>
      <w:r w:rsidR="00BA698B">
        <w:fldChar w:fldCharType="end"/>
      </w:r>
      <w:r w:rsidR="002C28FE">
        <w:t>,</w:t>
      </w:r>
      <w:r w:rsidR="0045577D">
        <w:t xml:space="preserve"> </w:t>
      </w:r>
      <w:r w:rsidR="004736A5">
        <w:t xml:space="preserve">were appended </w:t>
      </w:r>
      <w:r w:rsidR="00BF3970" w:rsidRPr="009B2F97">
        <w:t>based on the respondent’s zip code</w:t>
      </w:r>
      <w:r w:rsidR="00CB0152" w:rsidRPr="009B2F97">
        <w:t xml:space="preserve"> tabulation area</w:t>
      </w:r>
      <w:r w:rsidR="00416A22" w:rsidRPr="009B2F97">
        <w:t xml:space="preserve"> (ZCTA)</w:t>
      </w:r>
      <w:r w:rsidR="00866FED" w:rsidRPr="009B2F97">
        <w:t xml:space="preserve">. </w:t>
      </w:r>
      <w:r w:rsidR="002C28FE">
        <w:t>N</w:t>
      </w:r>
      <w:r w:rsidR="00163B79" w:rsidRPr="00CB3EDA">
        <w:t xml:space="preserve">eighborhood </w:t>
      </w:r>
      <w:r w:rsidR="002C28FE">
        <w:t xml:space="preserve">quality of life </w:t>
      </w:r>
      <w:r w:rsidR="00163B79" w:rsidRPr="00CB3EDA">
        <w:t xml:space="preserve">rating scores were </w:t>
      </w:r>
      <w:r w:rsidR="002C28FE">
        <w:t>also appended</w:t>
      </w:r>
      <w:r w:rsidR="00163B79" w:rsidRPr="00CB3EDA">
        <w:t xml:space="preserve"> from </w:t>
      </w:r>
      <w:r w:rsidR="00851097" w:rsidRPr="00CB3EDA">
        <w:t>areavibes.com</w:t>
      </w:r>
      <w:r w:rsidR="006B7472" w:rsidRPr="004736A5">
        <w:t xml:space="preserve"> </w:t>
      </w:r>
      <w:r w:rsidR="006B7472" w:rsidRPr="009B2F97">
        <w:fldChar w:fldCharType="begin"/>
      </w:r>
      <w:r w:rsidR="008912F0">
        <w:instrText xml:space="preserve"> ADDIN ZOTERO_ITEM CSL_CITATION {"citationID":"Bhah37zO","properties":{"formattedCitation":"(\\uc0\\u8220{}Best Places to Live In the US &amp; Canada,\\uc0\\u8221{} 2023)","plainCitation":"(“Best Places to Live In the US &amp; Canada,” 2023)","noteIndex":0},"citationItems":[{"id":390,"uris":["http://zotero.org/users/local/1ztI2Oc6/items/B7X9IXMD","http://zotero.org/users/12832277/items/B7X9IXMD"],"itemData":{"id":390,"type":"webpage","container-title":"AreaVibes","title":"Best Places to Live In the US &amp; Canada","URL":"https://www.areavibes.com/","accessed":{"date-parts":[["2023",3,27]]},"issued":{"date-parts":[["2023"]]}}}],"schema":"https://github.com/citation-style-language/schema/raw/master/csl-citation.json"} </w:instrText>
      </w:r>
      <w:r w:rsidR="006B7472" w:rsidRPr="009B2F97">
        <w:fldChar w:fldCharType="separate"/>
      </w:r>
      <w:r w:rsidR="00BA12C7" w:rsidRPr="009B2F97">
        <w:t>(“Best Places to Live In the US &amp; Canada,” 2023)</w:t>
      </w:r>
      <w:r w:rsidR="006B7472" w:rsidRPr="009B2F97">
        <w:fldChar w:fldCharType="end"/>
      </w:r>
      <w:r w:rsidR="00163B79" w:rsidRPr="009B2F97">
        <w:t xml:space="preserve">, including </w:t>
      </w:r>
      <w:r w:rsidR="005053DF" w:rsidRPr="009B2F97">
        <w:t>an education score</w:t>
      </w:r>
      <w:r w:rsidR="00112B1B" w:rsidRPr="00D21817">
        <w:t xml:space="preserve"> and amenities score</w:t>
      </w:r>
      <w:r w:rsidR="005053DF" w:rsidRPr="00D21817">
        <w:t xml:space="preserve">, and crime rates were </w:t>
      </w:r>
      <w:r w:rsidR="002C28FE">
        <w:t xml:space="preserve">added </w:t>
      </w:r>
      <w:r w:rsidR="005053DF" w:rsidRPr="00D21817">
        <w:t xml:space="preserve">from </w:t>
      </w:r>
      <w:r w:rsidR="00851097" w:rsidRPr="00CB3EDA">
        <w:t>crimegrade.org</w:t>
      </w:r>
      <w:r w:rsidR="00F17B41" w:rsidRPr="00CB3EDA">
        <w:t xml:space="preserve"> </w:t>
      </w:r>
      <w:r w:rsidR="006E2FE4" w:rsidRPr="009B2F97">
        <w:fldChar w:fldCharType="begin"/>
      </w:r>
      <w:r w:rsidR="008912F0">
        <w:instrText xml:space="preserve"> ADDIN ZOTERO_ITEM CSL_CITATION {"citationID":"cQF20HxZ","properties":{"formattedCitation":"(\\uc0\\u8220{}Find the Safest Areas,\\uc0\\u8221{} 2023)","plainCitation":"(“Find the Safest Areas,” 2023)","noteIndex":0},"citationItems":[{"id":392,"uris":["http://zotero.org/users/local/1ztI2Oc6/items/V7T6LBZD","http://zotero.org/users/12832277/items/V7T6LBZD"],"itemData":{"id":392,"type":"webpage","container-title":"Crime Grade","title":"Find the Safest Areas","URL":"https://crimegrade.org/","accessed":{"date-parts":[["2023",3,27]]},"issued":{"date-parts":[["2023"]]}}}],"schema":"https://github.com/citation-style-language/schema/raw/master/csl-citation.json"} </w:instrText>
      </w:r>
      <w:r w:rsidR="006E2FE4" w:rsidRPr="009B2F97">
        <w:fldChar w:fldCharType="separate"/>
      </w:r>
      <w:r w:rsidR="00BA12C7" w:rsidRPr="009B2F97">
        <w:t>(“Find the Safest Areas,” 2023)</w:t>
      </w:r>
      <w:r w:rsidR="006E2FE4" w:rsidRPr="009B2F97">
        <w:fldChar w:fldCharType="end"/>
      </w:r>
      <w:r w:rsidR="00851097" w:rsidRPr="009B2F97">
        <w:t xml:space="preserve">. </w:t>
      </w:r>
    </w:p>
    <w:p w14:paraId="42C2F24C" w14:textId="1C0849B1" w:rsidR="00B82529" w:rsidRDefault="00B82529" w:rsidP="006F37E3">
      <w:pPr>
        <w:spacing w:after="0" w:line="240" w:lineRule="auto"/>
        <w:ind w:firstLine="720"/>
        <w:jc w:val="both"/>
      </w:pPr>
      <w:r>
        <w:rPr>
          <w:color w:val="222222"/>
        </w:rPr>
        <w:t xml:space="preserve">An important point to note here is that the Future Covid Survey, while providing a timely dataset with comprehensive information on </w:t>
      </w:r>
      <w:r w:rsidRPr="00175897">
        <w:rPr>
          <w:color w:val="222222"/>
        </w:rPr>
        <w:t>a host of residential attributes</w:t>
      </w:r>
      <w:r>
        <w:rPr>
          <w:color w:val="222222"/>
        </w:rPr>
        <w:t xml:space="preserve"> as well as important attitudes and indicators of relevant lifestyle preferences, collected information at the individual-level rather than at the level of the entire household. Admittedly, housing choices are made at a household level, considering work/telework arrangements and attitudinal/lifestyle preferences of all family members. However, an individual level analysis of housing choices as undertaken in the current study, although not ideal, may not also be as inadequate as it may initially seem to extract knowledge about the housing choice process. This is because of at least four reasons. First, we use a suite of household-level sociodemographic exogenous variables to accommodate the household level nature of housing choice decisions. For instance, household composition and household income both represent the household as a whole. Second, while race and ethnicity are available only at the individual level, these are highly correlated with the race and ethnicity of other household members, particularly when racial identification is restricted to a small set of categories </w:t>
      </w:r>
      <w:r>
        <w:rPr>
          <w:color w:val="222222"/>
        </w:rPr>
        <w:fldChar w:fldCharType="begin"/>
      </w:r>
      <w:r w:rsidR="000C4AE3">
        <w:rPr>
          <w:color w:val="222222"/>
        </w:rPr>
        <w:instrText xml:space="preserve"> ADDIN ZOTERO_ITEM CSL_CITATION {"citationID":"0y8yAPIg","properties":{"formattedCitation":"(Bratter et al., 2022; Roy et al., 2022)","plainCitation":"(Bratter et al., 2022; Roy et al., 2022)","dontUpdate":true,"noteIndex":0},"citationItems":[{"id":1167,"uris":["http://zotero.org/users/12832277/items/9TT33GWJ"],"itemData":{"id":1167,"type":"article-journal","abstract":"Racially mixed children are a rapidly expanding segment of American families, signaling the ongoing blurring of racial boundaries. Most of what is known about multiraciality is drawn from analyses of two-parent families even as marriage became decreasingly tied to childbearing. The current study tracked the prevalence and racial composition of multiracial families where parents are married and unmarried from 1980 until 2018 using data from the U.S. Census and American Community Survey. We find that multiracial families are increasingly common amongst married and unmarried parents with the greatest growth occurring among White unmarried mothers, nearly 15% of whom have multiracial children as of 2018. Additionally, we find that Asian-White and Hispanic-White children are more likely to live in married families while Black-White and dual minority children are disproportionately represented amongst single-parent families. Ultimately, capturing the complexity of racialized contexts where multiracial children are found, as well as how the prevalence of these contexts has changed over time, requires accounting for family structure differences.","container-title":"Journal of Child and Family Studies","DOI":"10.1007/s10826-022-02244-x","ISSN":"1573-2843","issue":"3","language":"en","page":"609-622","source":"Springer Link","title":"Counting Families, Counting Race: Assessing Visible Family Structural Change among Multiracial Families, 1980–2018","title-short":"Counting Families, Counting Race","volume":"31","author":[{"family":"Bratter","given":"Jenifer"},{"family":"Casarez","given":"Raul S."},{"family":"Farrell","given":"Allan"},{"family":"Mehta","given":"Sharan Kaur"},{"family":"Zhang","given":"Xiaorui"},{"family":"Carroll","given":"Michael"}],"issued":{"date-parts":[["2022",3,1]]}}},{"id":1169,"uris":["http://zotero.org/users/12832277/items/24AYV2WT"],"itemData":{"id":1169,"type":"article-journal","abstract":"This introduction to the Journal of Child and Family Studies special section on multiracial families provides an overview of the unique experiences of multiracial families in the United States. We identify a need for greater representation of diverse family experience in family focused theories. In addition, we explain our motivation in bringing together a collection of papers and commentaries on multiracial families. We end with a summary of the work in this special section, which we organize into four themes: (1) The demography of multiraciality is changing along with that of America. (2) The challenges parents in multiracial families face and the role they play in buffering adversity and promoting resilience; (3) The Health and Well-being of Multiracial Families; and (4) The Strengths of Multiracial Families Across Family Life Stages.","container-title":"Journal of Child and Family Studies","DOI":"10.1007/s10826-022-02260-x","ISSN":"1573-2843","issue":"3","language":"en","page":"599-608","source":"Springer Link","title":"An Introduction to the Special Section on Multiracial Families: The Challenges, Strengths, and Work that Remains","title-short":"An Introduction to the Special Section on Multiracial Families","volume":"31","author":[{"family":"Roy","given":"Roudi Nazarinia"},{"family":"Rollins","given":"Alethea"},{"family":"James","given":"Anthony G."},{"family":"Perry-Jenkins","given":"Maureen"}],"issued":{"date-parts":[["2022",3,1]]}}}],"schema":"https://github.com/citation-style-language/schema/raw/master/csl-citation.json"} </w:instrText>
      </w:r>
      <w:r w:rsidR="001F1159">
        <w:rPr>
          <w:color w:val="222222"/>
        </w:rPr>
        <w:fldChar w:fldCharType="separate"/>
      </w:r>
      <w:r>
        <w:rPr>
          <w:color w:val="222222"/>
        </w:rPr>
        <w:fldChar w:fldCharType="end"/>
      </w:r>
      <w:r>
        <w:rPr>
          <w:color w:val="222222"/>
        </w:rPr>
        <w:fldChar w:fldCharType="begin"/>
      </w:r>
      <w:r w:rsidR="000C4AE3">
        <w:rPr>
          <w:color w:val="222222"/>
        </w:rPr>
        <w:instrText xml:space="preserve"> ADDIN ZOTERO_ITEM CSL_CITATION {"citationID":"9UXtFV0E","properties":{"formattedCitation":"(Bratter et al., 2022; Roy et al., 2022)","plainCitation":"(Bratter et al., 2022; Roy et al., 2022)","dontUpdate":true,"noteIndex":0},"citationItems":[{"id":1167,"uris":["http://zotero.org/users/12832277/items/9TT33GWJ"],"itemData":{"id":1167,"type":"article-journal","abstract":"Racially mixed children are a rapidly expanding segment of American families, signaling the ongoing blurring of racial boundaries. Most of what is known about multiraciality is drawn from analyses of two-parent families even as marriage became decreasingly tied to childbearing. The current study tracked the prevalence and racial composition of multiracial families where parents are married and unmarried from 1980 until 2018 using data from the U.S. Census and American Community Survey. We find that multiracial families are increasingly common amongst married and unmarried parents with the greatest growth occurring among White unmarried mothers, nearly 15% of whom have multiracial children as of 2018. Additionally, we find that Asian-White and Hispanic-White children are more likely to live in married families while Black-White and dual minority children are disproportionately represented amongst single-parent families. Ultimately, capturing the complexity of racialized contexts where multiracial children are found, as well as how the prevalence of these contexts has changed over time, requires accounting for family structure differences.","container-title":"Journal of Child and Family Studies","DOI":"10.1007/s10826-022-02244-x","ISSN":"1573-2843","issue":"3","language":"en","page":"609-622","source":"Springer Link","title":"Counting Families, Counting Race: Assessing Visible Family Structural Change among Multiracial Families, 1980–2018","title-short":"Counting Families, Counting Race","volume":"31","author":[{"family":"Bratter","given":"Jenifer"},{"family":"Casarez","given":"Raul S."},{"family":"Farrell","given":"Allan"},{"family":"Mehta","given":"Sharan Kaur"},{"family":"Zhang","given":"Xiaorui"},{"family":"Carroll","given":"Michael"}],"issued":{"date-parts":[["2022",3,1]]}}},{"id":1169,"uris":["http://zotero.org/users/12832277/items/24AYV2WT"],"itemData":{"id":1169,"type":"article-journal","abstract":"This introduction to the Journal of Child and Family Studies special section on multiracial families provides an overview of the unique experiences of multiracial families in the United States. We identify a need for greater representation of diverse family experience in family focused theories. In addition, we explain our motivation in bringing together a collection of papers and commentaries on multiracial families. We end with a summary of the work in this special section, which we organize into four themes: (1) The demography of multiraciality is changing along with that of America. (2) The challenges parents in multiracial families face and the role they play in buffering adversity and promoting resilience; (3) The Health and Well-being of Multiracial Families; and (4) The Strengths of Multiracial Families Across Family Life Stages.","container-title":"Journal of Child and Family Studies","DOI":"10.1007/s10826-022-02260-x","ISSN":"1573-2843","issue":"3","language":"en","page":"599-608","source":"Springer Link","title":"An Introduction to the Special Section on Multiracial Families: The Challenges, Strengths, and Work that Remains","title-short":"An Introduction to the Special Section on Multiracial Families","volume":"31","author":[{"family":"Roy","given":"Roudi Nazarinia"},{"family":"Rollins","given":"Alethea"},{"family":"James","given":"Anthony G."},{"family":"Perry-Jenkins","given":"Maureen"}],"issued":{"date-parts":[["2022",3,1]]}}}],"schema":"https://github.com/citation-style-language/schema/raw/master/csl-citation.json"} </w:instrText>
      </w:r>
      <w:r>
        <w:rPr>
          <w:color w:val="222222"/>
        </w:rPr>
        <w:fldChar w:fldCharType="separate"/>
      </w:r>
      <w:r w:rsidRPr="00B82529">
        <w:t>(</w:t>
      </w:r>
      <w:r>
        <w:rPr>
          <w:color w:val="222222"/>
        </w:rPr>
        <w:t>this is so even if the individual-household race correspondence has been weakening a little in recent years; see</w:t>
      </w:r>
      <w:r w:rsidRPr="00B82529">
        <w:t xml:space="preserve"> Bratter et al., 2022; Roy et al., 2022)</w:t>
      </w:r>
      <w:r>
        <w:rPr>
          <w:color w:val="222222"/>
        </w:rPr>
        <w:fldChar w:fldCharType="end"/>
      </w:r>
      <w:r>
        <w:rPr>
          <w:color w:val="222222"/>
        </w:rPr>
        <w:t>. Third, it has been well established in the demography literature that variables such as age and educational attainment of any individual in the household does pr</w:t>
      </w:r>
      <w:r w:rsidRPr="00F83247">
        <w:rPr>
          <w:color w:val="222222"/>
        </w:rPr>
        <w:t>ovide a</w:t>
      </w:r>
      <w:r>
        <w:rPr>
          <w:color w:val="222222"/>
        </w:rPr>
        <w:t xml:space="preserve"> reasonable </w:t>
      </w:r>
      <w:r w:rsidRPr="00F83247">
        <w:rPr>
          <w:color w:val="222222"/>
        </w:rPr>
        <w:t xml:space="preserve">indication of the life-stage and structure of the entire household </w:t>
      </w:r>
      <w:r w:rsidRPr="00F83247">
        <w:rPr>
          <w:color w:val="222222"/>
        </w:rPr>
        <w:fldChar w:fldCharType="begin"/>
      </w:r>
      <w:r w:rsidR="000C4AE3">
        <w:rPr>
          <w:color w:val="222222"/>
        </w:rPr>
        <w:instrText xml:space="preserve"> ADDIN ZOTERO_ITEM CSL_CITATION {"citationID":"9Oykbp10","properties":{"unsorted":true,"formattedCitation":"(Zacher and Froidevaux, 2021; Davis-Kean et al., 2021)","plainCitation":"(Zacher and Froidevaux, 2021; Davis-Kean et al., 2021)","dontUpdate":true,"noteIndex":0},"citationItems":[{"id":1177,"uris":["http://zotero.org/users/12832277/items/EU74QFQC"],"itemData":{"id":1177,"type":"article-journal","abstract":"This article for the 50th anniversary issue of the Journal of Vocational Behavior theoretically integrates, reviews, and critically discusses research that investigates vocational behavior and development based on life stage, lifespan, and life course perspectives. First, we describe key tenets of these perspectives and associated theories of vocational behavior and development. Second, we present a theoretical framework that integrates the lifespan and life course perspectives by addressing (a) relationships between age and important work and career outcomes (i.e., career decisions and success, job search and turnover, work motivation and behavior, attitudes, occupational health and well-being), (b) age-related person and contextual mechanisms of these relationships, and (c) interactive effects of age with person characteristics, contextual characteristics, and/or work and career outcomes. Third, based on the theoretical framework, we summarize cumulative empirical evidence for these age-related associations and effects for the various work and career outcomes. Moreover, we review conceptual and empirical articles on aging, life stage, lifespan, and life course development published in the Journal of Vocational Behavior over the past 50 years. Finally, we conclude with a discussion of theoretical implications and directions for future research that adopts an integrated lifespan and life course perspective on vocational behavior and development.","container-title":"Journal of Vocational Behavior","DOI":"10.1016/j.jvb.2020.103476","ISSN":"0001-8791","source":"ScienceDirect","title":"Life Stage, Lifespan, and Life Course Perspectives on Vocational Behavior and Development: A Theoretical Framework, Review, and Research Agenda","title-short":"Life Stage, Lifespan, and Life Course Perspectives on Vocational Behavior and Development","URL":"https://www.sciencedirect.com/science/article/pii/S0001879120301019","volume":"126","author":[{"family":"Zacher","given":"Hannes"},{"family":"Froidevaux","given":"Ariane"}],"accessed":{"date-parts":[["2023",11,2]]},"issued":{"date-parts":[["2021",4,1]]}}},{"id":1182,"uris":["http://zotero.org/users/12832277/items/E3SAMTRM"],"itemData":{"id":1182,"type":"article-journal","abstract":"Socioeconomic status (SES)—indexed via parent educational attainment, parent occupation, and family income—is a powerful predictor of children’s developmental outcomes. Variations in these resources predict large academic disparities among children from different socioeconomic backgrounds that persist over the years of schooling, perpetuating educational inequalities across generations. In this article, we provide an overview of a model that has guided our approach to studying these influences, focusing particularly on parent educational attainment. Parents’ educational attainment typically drives their occupations and income and is often used interchangeably with SES in research. We posit that parent educational attainment provides a foundation that supports children’s academic success indirectly through parents’ beliefs about and expectations for their children, as well as through the cognitive stimulation that parents provide in and outside of the home environment. We then expand this model to consider the intergenerational contributions and dynamic transactions within families that are important considerations for informing potential avenues for intervention.","container-title":"Current Directions in Psychological Science","DOI":"10.1177/0963721421993116","ISSN":"0963-7214","issue":"2","language":"en","note":"publisher: SAGE Publications Inc","page":"186-192","source":"SAGE Journals","title":"The Role of Parent Educational Attainment in Parenting and Children’s Development","volume":"30","author":[{"family":"Davis-Kean","given":"Pamela E."},{"family":"Tighe","given":"Lauren A."},{"family":"Waters","given":"Nicholas E."}],"issued":{"date-parts":[["2021",4,1]]}}}],"schema":"https://github.com/citation-style-language/schema/raw/master/csl-citation.json"} </w:instrText>
      </w:r>
      <w:r w:rsidRPr="00F83247">
        <w:rPr>
          <w:color w:val="222222"/>
        </w:rPr>
        <w:fldChar w:fldCharType="separate"/>
      </w:r>
      <w:r w:rsidRPr="00B82529">
        <w:t>(</w:t>
      </w:r>
      <w:r>
        <w:t xml:space="preserve">see </w:t>
      </w:r>
      <w:r w:rsidRPr="00B82529">
        <w:t>Zacher and Froidevaux, 2021; Davis-Kean et al., 2021)</w:t>
      </w:r>
      <w:r w:rsidRPr="00F83247">
        <w:rPr>
          <w:color w:val="222222"/>
        </w:rPr>
        <w:fldChar w:fldCharType="end"/>
      </w:r>
      <w:r>
        <w:rPr>
          <w:color w:val="222222"/>
        </w:rPr>
        <w:t>. Fourth, evidence f</w:t>
      </w:r>
      <w:r w:rsidRPr="00F83247">
        <w:rPr>
          <w:color w:val="222222"/>
        </w:rPr>
        <w:t xml:space="preserve">rom </w:t>
      </w:r>
      <w:r>
        <w:rPr>
          <w:color w:val="222222"/>
        </w:rPr>
        <w:t xml:space="preserve">the sociology literature </w:t>
      </w:r>
      <w:bookmarkStart w:id="5" w:name="_Hlk151805163"/>
      <w:r w:rsidR="00B12076">
        <w:rPr>
          <w:color w:val="222222"/>
        </w:rPr>
        <w:fldChar w:fldCharType="begin"/>
      </w:r>
      <w:r w:rsidR="000C4AE3">
        <w:rPr>
          <w:color w:val="222222"/>
        </w:rPr>
        <w:instrText xml:space="preserve"> ADDIN ZOTERO_ITEM CSL_CITATION {"citationID":"kBVRk2xK","properties":{"unsorted":true,"formattedCitation":"(Zablocki and Kanter, 1976; Glass et al., 1986; Chambers and Gracia, 2021)","plainCitation":"(Zablocki and Kanter, 1976; Glass et al., 1986; Chambers and Gracia, 2021)","dontUpdate":true,"noteIndex":0},"citationItems":[{"id":1173,"uris":["http://zotero.org/users/12832277/items/9FP3Q79Y"],"itemData":{"id":1173,"type":"article-journal","container-title":"Annual Review of Sociology","DOI":"10.1146/annurev.so.02.080176.001413","issue":"1","note":"_eprint: https://doi.org/10.1146/annurev.so.02.080176.001413","page":"269-298","source":"Annual Reviews","title":"The Differentiation of Life-Styles","volume":"2","author":[{"family":"Zablocki","given":"Benjamin D."},{"family":"Kanter","given":"Rosabeth M."}],"issued":{"date-parts":[["1976"]]}}},{"id":1171,"uris":["http://zotero.org/users/12832277/items/PGKLVV9X"],"itemData":{"id":1171,"type":"article-journal","abstract":"This study examines hypotheses of attitude transmission across three ideological domains (gender roles, politics, religion) to access the adequacy of direct socialization, status inheritance, and reciprocal influence models in a developmental aging perspective. Data are from 2,044 individuals, members of three generation families, grouped to form parent-youth (G2-G3) and grandparent-parent (G1-G2) dyads. Results suggest, first, that there is little convergence of parent-child attitudes with age when viewed cross-sectionally. Second, status inheritance processes do account for a substantial amount of observed parent-child similarity, but parental attitudes continue to significantly predict childrens' orientations after childhood. Third, child influences on parental attitudes are relatively strong and stable across age groups, while parental influence decreases with age, although the exact pattern of influence varies by attitude domain.","container-title":"American Sociological Review","DOI":"10.2307/2095493","ISSN":"0003-1224","issue":"5","note":"publisher: [American Sociological Association, Sage Publications, Inc.]","page":"685-698","source":"JSTOR","title":"Attitude Similarity in Three-Generation Families: Socialization, Status Inheritance, or Reciprocal Influence?","title-short":"Attitude Similarity in Three-Generation Families","volume":"51","author":[{"family":"Glass","given":"Jennifer"},{"family":"Bengtson","given":"Vern L."},{"family":"Dunham","given":"Charlotte Chorn"}],"issued":{"date-parts":[["1986"]]}}},{"id":1175,"uris":["http://zotero.org/users/12832277/items/WLZR5TZM"],"itemData":{"id":1175,"type":"book","abstract":"Family relations are undergoing dramatic changes globally and locally. At the same time, certain features of family life endure. This popular book, now in a fully updated second edition, presents a comprehensive assessment of recent research on 'family', parenting, childhood and interpersonal ties. A Sociology of Family Life queries assumptions about a disintegration of 'the family' by revealing a remarkable persistence of commitment and reciprocity across cultures, within new as well as traditional family forms. Yet, while new kinds of intimate relationships such as 'friends as family' and LGBTQ+ intimacies become commonplace, such personal relationships can still be difficult to negotiate in the face of wider structural norms. With a focus on factors such as class, gender, race, ethnicity and sexuality, this new edition highlights inequalities that influence and curb families and personal life transnationally. Alongside substantial new material on cultural and digital transformations, the book features extensive updates on issues ranging from demography, migration, ageing and government policies to reproductive technologies, employment and care. With a global focus, and blending theory with real-life examples, this insightful and engaging book will remain indispensable to students across the social sciences.","ISBN":"978-1-5095-4137-9","language":"en","note":"Google-Books-ID: oo1SEAAAQBAJ","number-of-pages":"204","publisher":"John Wiley &amp; Sons","source":"Google Books","title":"A Sociology of Family Life: Change and Diversity in Intimate Relations","title-short":"A Sociology of Family Life","author":[{"family":"Chambers","given":"Deborah"},{"family":"Gracia","given":"Pablo"}],"issued":{"date-parts":[["2021",11,30]]}}}],"schema":"https://github.com/citation-style-language/schema/raw/master/csl-citation.json"} </w:instrText>
      </w:r>
      <w:r w:rsidR="00B12076">
        <w:rPr>
          <w:color w:val="222222"/>
        </w:rPr>
        <w:fldChar w:fldCharType="separate"/>
      </w:r>
      <w:r w:rsidR="00B12076" w:rsidRPr="00B12076">
        <w:t>(</w:t>
      </w:r>
      <w:r w:rsidR="00B12076">
        <w:t xml:space="preserve">see </w:t>
      </w:r>
      <w:r w:rsidR="00B12076" w:rsidRPr="00B12076">
        <w:t>Zablocki and Kanter, 1976; Glass et al., 1986; Chambers and Gracia, 2021)</w:t>
      </w:r>
      <w:r w:rsidR="00B12076">
        <w:rPr>
          <w:color w:val="222222"/>
        </w:rPr>
        <w:fldChar w:fldCharType="end"/>
      </w:r>
      <w:bookmarkEnd w:id="5"/>
      <w:r>
        <w:rPr>
          <w:color w:val="222222"/>
        </w:rPr>
        <w:t xml:space="preserve"> indicates that the close individual-household correspondence is not just confined to many demographic variables, but also extends to lifestyle preferences. This is particularly so among intimate family members who are likely to be the ones making important family-level decisions such as housing choices.</w:t>
      </w:r>
      <w:r>
        <w:rPr>
          <w:rStyle w:val="FootnoteReference"/>
          <w:color w:val="222222"/>
        </w:rPr>
        <w:footnoteReference w:id="1"/>
      </w:r>
    </w:p>
    <w:bookmarkEnd w:id="4"/>
    <w:p w14:paraId="7DF7A3CF" w14:textId="77777777" w:rsidR="003162D2" w:rsidRDefault="003162D2" w:rsidP="006F37E3">
      <w:pPr>
        <w:spacing w:after="0" w:line="240" w:lineRule="auto"/>
        <w:jc w:val="both"/>
        <w:rPr>
          <w:b/>
          <w:bCs/>
          <w:i/>
          <w:iCs/>
        </w:rPr>
      </w:pPr>
    </w:p>
    <w:p w14:paraId="20FC8CFF" w14:textId="5BCDB723" w:rsidR="00046E5C" w:rsidRPr="009C5F54" w:rsidRDefault="00C70BF2" w:rsidP="006F37E3">
      <w:pPr>
        <w:spacing w:after="0" w:line="240" w:lineRule="auto"/>
        <w:jc w:val="both"/>
        <w:rPr>
          <w:b/>
          <w:bCs/>
        </w:rPr>
      </w:pPr>
      <w:r w:rsidRPr="004736A5">
        <w:rPr>
          <w:b/>
          <w:bCs/>
          <w:i/>
          <w:iCs/>
        </w:rPr>
        <w:t>3.</w:t>
      </w:r>
      <w:r w:rsidR="00F30A67" w:rsidRPr="004736A5">
        <w:rPr>
          <w:b/>
          <w:bCs/>
          <w:i/>
          <w:iCs/>
        </w:rPr>
        <w:t>2</w:t>
      </w:r>
      <w:r w:rsidRPr="00DD68D6">
        <w:rPr>
          <w:b/>
          <w:bCs/>
          <w:i/>
          <w:iCs/>
        </w:rPr>
        <w:t>.</w:t>
      </w:r>
      <w:r w:rsidR="007F48C7" w:rsidRPr="009434FD">
        <w:rPr>
          <w:b/>
          <w:bCs/>
          <w:i/>
          <w:iCs/>
        </w:rPr>
        <w:t>1</w:t>
      </w:r>
      <w:r w:rsidRPr="009434FD">
        <w:rPr>
          <w:b/>
          <w:bCs/>
          <w:i/>
          <w:iCs/>
        </w:rPr>
        <w:t xml:space="preserve"> </w:t>
      </w:r>
      <w:r w:rsidR="00F55172" w:rsidRPr="009434FD">
        <w:rPr>
          <w:b/>
          <w:bCs/>
          <w:i/>
          <w:iCs/>
        </w:rPr>
        <w:t>Main Outcome</w:t>
      </w:r>
      <w:r w:rsidRPr="009434FD">
        <w:rPr>
          <w:b/>
          <w:bCs/>
          <w:i/>
          <w:iCs/>
        </w:rPr>
        <w:t xml:space="preserve"> Variables </w:t>
      </w:r>
    </w:p>
    <w:p w14:paraId="322742EB" w14:textId="1D14AD20" w:rsidR="007F48C7" w:rsidRPr="009B2F97" w:rsidRDefault="00F55172" w:rsidP="006F37E3">
      <w:pPr>
        <w:spacing w:after="0" w:line="240" w:lineRule="auto"/>
        <w:jc w:val="both"/>
      </w:pPr>
      <w:bookmarkStart w:id="8" w:name="_Hlk148692164"/>
      <w:r w:rsidRPr="009B2F97">
        <w:t>The study examines a range of outcome variables</w:t>
      </w:r>
      <w:r w:rsidR="00753E6A">
        <w:t xml:space="preserve"> split into two broad categories: the dwelling unit attributes, and the neighborhood characteristics (which include all the outcomes for the spatial zone encompassing the dwelling unit and the location in relation to other points of interest).</w:t>
      </w:r>
      <w:r w:rsidR="00031907" w:rsidRPr="009B2F97">
        <w:t xml:space="preserve"> </w:t>
      </w:r>
      <w:r w:rsidR="00057333" w:rsidRPr="009B2F97">
        <w:t>The s</w:t>
      </w:r>
      <w:r w:rsidR="00150FD1" w:rsidRPr="009B2F97">
        <w:t xml:space="preserve">pecific variables are </w:t>
      </w:r>
      <w:r w:rsidR="00D34D75" w:rsidRPr="009B2F97">
        <w:t xml:space="preserve">discussed below, and descriptive statistics are summarized in Table 1. </w:t>
      </w:r>
    </w:p>
    <w:p w14:paraId="06ABBF9F" w14:textId="720E3DFC" w:rsidR="001C401E" w:rsidRPr="009B2F97" w:rsidRDefault="00E071C2" w:rsidP="006F37E3">
      <w:pPr>
        <w:spacing w:after="0" w:line="240" w:lineRule="auto"/>
        <w:ind w:firstLine="720"/>
        <w:jc w:val="both"/>
      </w:pPr>
      <w:r w:rsidRPr="009B2F97">
        <w:t xml:space="preserve">The </w:t>
      </w:r>
      <w:r w:rsidR="001C401E" w:rsidRPr="009B2F97">
        <w:t>dwelling unit</w:t>
      </w:r>
      <w:r w:rsidR="00F04982" w:rsidRPr="009B2F97">
        <w:t xml:space="preserve"> </w:t>
      </w:r>
      <w:r w:rsidR="006554A9">
        <w:t xml:space="preserve">attributes in our analysis </w:t>
      </w:r>
      <w:r w:rsidR="00F04982" w:rsidRPr="00DD68D6">
        <w:t>include housing type</w:t>
      </w:r>
      <w:r w:rsidR="006554A9">
        <w:t xml:space="preserve"> (single family </w:t>
      </w:r>
      <w:r w:rsidR="007246B0">
        <w:t>homes or</w:t>
      </w:r>
      <w:r w:rsidR="006554A9">
        <w:t xml:space="preserve"> apartments)</w:t>
      </w:r>
      <w:r w:rsidR="00F04982" w:rsidRPr="00DD68D6">
        <w:t>, tenure type</w:t>
      </w:r>
      <w:r w:rsidR="006554A9">
        <w:t xml:space="preserve"> (own or rent</w:t>
      </w:r>
      <w:r w:rsidR="007246B0">
        <w:t>),</w:t>
      </w:r>
      <w:r w:rsidR="00F04982" w:rsidRPr="00DD68D6">
        <w:t xml:space="preserve"> presence of a patio or yard, and number of bedrooms. </w:t>
      </w:r>
      <w:r w:rsidR="006554A9">
        <w:t>The label “single family homes” includes private homes completely detached from other units or duplexes</w:t>
      </w:r>
      <w:r w:rsidR="00844059">
        <w:t xml:space="preserve"> attached to other units. T</w:t>
      </w:r>
      <w:r w:rsidR="006554A9">
        <w:t>hose living in mobile homes or on a friend’s couch constituted an extremely small number of individuals</w:t>
      </w:r>
      <w:r w:rsidR="00844059">
        <w:t xml:space="preserve"> and </w:t>
      </w:r>
      <w:r w:rsidR="006554A9">
        <w:t xml:space="preserve">were screened out </w:t>
      </w:r>
      <w:r w:rsidR="007246B0">
        <w:t>of</w:t>
      </w:r>
      <w:r w:rsidR="006554A9">
        <w:t xml:space="preserve"> our analysis. </w:t>
      </w:r>
      <w:r w:rsidR="009F4C7D" w:rsidRPr="009B2F97">
        <w:t xml:space="preserve">The </w:t>
      </w:r>
      <w:r w:rsidR="00844059">
        <w:t>“</w:t>
      </w:r>
      <w:r w:rsidR="009F4C7D" w:rsidRPr="00DD68D6">
        <w:t>n</w:t>
      </w:r>
      <w:r w:rsidR="001C401E" w:rsidRPr="00DD68D6">
        <w:t xml:space="preserve">umber of </w:t>
      </w:r>
      <w:r w:rsidR="00A15761" w:rsidRPr="009434FD">
        <w:t>bedrooms</w:t>
      </w:r>
      <w:r w:rsidR="00844059">
        <w:t>”</w:t>
      </w:r>
      <w:r w:rsidR="00A15761" w:rsidRPr="00DD68D6">
        <w:t xml:space="preserve"> represents th</w:t>
      </w:r>
      <w:r w:rsidR="009F4C7D" w:rsidRPr="00DD68D6">
        <w:t>e total number of rooms used for sleeping, including guest rooms, in the house. Studio apartments and other single</w:t>
      </w:r>
      <w:r w:rsidR="00A15761" w:rsidRPr="009434FD">
        <w:t>-</w:t>
      </w:r>
      <w:r w:rsidR="009F4C7D" w:rsidRPr="009434FD">
        <w:t xml:space="preserve">room homes are considered to have zero bedrooms. A few respondents reported </w:t>
      </w:r>
      <w:r w:rsidR="00480797" w:rsidRPr="009434FD">
        <w:t>havi</w:t>
      </w:r>
      <w:r w:rsidR="00480797" w:rsidRPr="009C5F54">
        <w:t>ng</w:t>
      </w:r>
      <w:r w:rsidR="009F4C7D" w:rsidRPr="009C5F54">
        <w:t xml:space="preserve"> large houses with more than five bedrooms, </w:t>
      </w:r>
      <w:r w:rsidR="00480797" w:rsidRPr="009C5F54">
        <w:t>and</w:t>
      </w:r>
      <w:r w:rsidR="009F4C7D" w:rsidRPr="008253CB">
        <w:t xml:space="preserve"> these were combined into </w:t>
      </w:r>
      <w:r w:rsidR="00844059">
        <w:t>a “</w:t>
      </w:r>
      <w:r w:rsidR="009F4C7D" w:rsidRPr="009B2F97">
        <w:t>five or more bedrooms</w:t>
      </w:r>
      <w:r w:rsidR="00844059">
        <w:t>” category</w:t>
      </w:r>
      <w:r w:rsidR="009F4C7D" w:rsidRPr="00DD68D6">
        <w:t>.</w:t>
      </w:r>
      <w:r w:rsidR="00844059">
        <w:t xml:space="preserve"> As may be observed from Table 1, a vast majority of respondents lived in a </w:t>
      </w:r>
      <w:r w:rsidR="007246B0">
        <w:t>single-family</w:t>
      </w:r>
      <w:r w:rsidR="00844059">
        <w:t xml:space="preserve"> home, owned the home, and had a patio or yard. A majority of households lived in housing units with 2-4 bedrooms, with very few in units with no bedrooms. </w:t>
      </w:r>
    </w:p>
    <w:p w14:paraId="13E1152A" w14:textId="781E74F1" w:rsidR="00BE7596" w:rsidRDefault="001003E1" w:rsidP="006F37E3">
      <w:pPr>
        <w:spacing w:after="0" w:line="240" w:lineRule="auto"/>
        <w:ind w:firstLine="720"/>
        <w:jc w:val="both"/>
      </w:pPr>
      <w:r>
        <w:t xml:space="preserve">The </w:t>
      </w:r>
      <w:r w:rsidR="00BE7596" w:rsidRPr="009B2F97">
        <w:t>neighborhood</w:t>
      </w:r>
      <w:r>
        <w:t xml:space="preserve"> characteristics modeled as endogenous outcomes </w:t>
      </w:r>
      <w:r w:rsidR="00853A4B" w:rsidRPr="009B2F97">
        <w:t>includ</w:t>
      </w:r>
      <w:r>
        <w:t>e</w:t>
      </w:r>
      <w:r w:rsidR="00853A4B" w:rsidRPr="009B2F97">
        <w:t xml:space="preserve"> commute distance, population density, median housing cost, </w:t>
      </w:r>
      <w:r w:rsidR="003C207D" w:rsidRPr="009B2F97">
        <w:t>access to amenities</w:t>
      </w:r>
      <w:r w:rsidR="00853A4B" w:rsidRPr="009B2F97">
        <w:t xml:space="preserve">, </w:t>
      </w:r>
      <w:r w:rsidR="003C207D" w:rsidRPr="009B2F97">
        <w:t xml:space="preserve">school quality, and crime rate. </w:t>
      </w:r>
      <w:r w:rsidR="009F4C7D" w:rsidRPr="009B2F97">
        <w:t>The c</w:t>
      </w:r>
      <w:r w:rsidR="00BE7596" w:rsidRPr="009B2F97">
        <w:t>ommute distance</w:t>
      </w:r>
      <w:r w:rsidR="009F4C7D" w:rsidRPr="009B2F97">
        <w:t xml:space="preserve"> </w:t>
      </w:r>
      <w:r w:rsidR="003C207D" w:rsidRPr="009B2F97">
        <w:t>represents the</w:t>
      </w:r>
      <w:r w:rsidR="009F4C7D" w:rsidRPr="009B2F97">
        <w:t xml:space="preserve"> reported distance </w:t>
      </w:r>
      <w:r w:rsidR="00D270E4" w:rsidRPr="009B2F97">
        <w:t>in</w:t>
      </w:r>
      <w:r w:rsidR="009F4C7D" w:rsidRPr="009B2F97">
        <w:t xml:space="preserve"> miles (one-way) between the </w:t>
      </w:r>
      <w:r w:rsidR="00D270E4" w:rsidRPr="009B2F97">
        <w:t xml:space="preserve">respondent’s </w:t>
      </w:r>
      <w:r w:rsidR="009F4C7D" w:rsidRPr="009B2F97">
        <w:t>home and primary workplace</w:t>
      </w:r>
      <w:r w:rsidR="00B12076">
        <w:t xml:space="preserve"> outside the home</w:t>
      </w:r>
      <w:r>
        <w:t xml:space="preserve"> (we will refer to this primary workplace </w:t>
      </w:r>
      <w:r w:rsidR="00B12076">
        <w:t xml:space="preserve">outside the home </w:t>
      </w:r>
      <w:r>
        <w:t xml:space="preserve">as </w:t>
      </w:r>
      <w:r w:rsidR="00181B4B">
        <w:t xml:space="preserve">the </w:t>
      </w:r>
      <w:r>
        <w:t>“office”)</w:t>
      </w:r>
      <w:r w:rsidR="009F4C7D" w:rsidRPr="00DD68D6">
        <w:t xml:space="preserve">. </w:t>
      </w:r>
      <w:bookmarkStart w:id="9" w:name="_Hlk149828412"/>
      <w:r w:rsidR="009F4C7D" w:rsidRPr="00DD68D6">
        <w:t>The logarithm of the comm</w:t>
      </w:r>
      <w:r w:rsidR="009F4C7D" w:rsidRPr="009434FD">
        <w:t xml:space="preserve">ute distance is used in the </w:t>
      </w:r>
      <w:r>
        <w:t>analysis to recognize the substantial rightward skew</w:t>
      </w:r>
      <w:r w:rsidR="00181B4B">
        <w:t xml:space="preserve">, as well </w:t>
      </w:r>
      <w:r w:rsidR="00181B4B" w:rsidRPr="00041563">
        <w:t>as the strictly positive nature,</w:t>
      </w:r>
      <w:r w:rsidRPr="00041563">
        <w:t xml:space="preserve"> of the variable</w:t>
      </w:r>
      <w:bookmarkEnd w:id="9"/>
      <w:r w:rsidR="00AB1A56">
        <w:t>. N</w:t>
      </w:r>
      <w:r w:rsidRPr="00041563">
        <w:t>ote that commute distance is relevant only for employed individuals</w:t>
      </w:r>
      <w:r w:rsidR="008D34D7" w:rsidRPr="00041563">
        <w:t xml:space="preserve"> with </w:t>
      </w:r>
      <w:r w:rsidR="00B12076">
        <w:t>an office location</w:t>
      </w:r>
      <w:r w:rsidRPr="00041563">
        <w:t xml:space="preserve">; </w:t>
      </w:r>
      <w:r w:rsidR="001D1219" w:rsidRPr="00041563">
        <w:t>this is accommodated by considering commute distance as an outcome only for those employed</w:t>
      </w:r>
      <w:r w:rsidR="00B12076">
        <w:t xml:space="preserve"> with an office</w:t>
      </w:r>
      <w:r w:rsidR="00B12076" w:rsidRPr="00041563">
        <w:t xml:space="preserve"> and</w:t>
      </w:r>
      <w:r w:rsidR="001D1219" w:rsidRPr="00041563">
        <w:t xml:space="preserve"> removing commute distance from the multivariate endogenous outcome set for those unemployed</w:t>
      </w:r>
      <w:r w:rsidR="008D34D7" w:rsidRPr="00041563">
        <w:t xml:space="preserve"> or </w:t>
      </w:r>
      <w:r w:rsidR="00B12076">
        <w:t xml:space="preserve">who </w:t>
      </w:r>
      <w:r w:rsidR="008D34D7" w:rsidRPr="00041563">
        <w:t xml:space="preserve">have no </w:t>
      </w:r>
      <w:r w:rsidR="00B12076">
        <w:t>office</w:t>
      </w:r>
      <w:r w:rsidR="00AB1A56">
        <w:t xml:space="preserve"> (these individuals were retained in the sample but included in the model with only the nine remaining outcomes</w:t>
      </w:r>
      <w:r w:rsidR="00B12076">
        <w:t xml:space="preserve"> after removing </w:t>
      </w:r>
      <w:r w:rsidR="00AB1A56">
        <w:t>commute distance</w:t>
      </w:r>
      <w:r w:rsidR="00A85AE7">
        <w:t>)</w:t>
      </w:r>
      <w:r w:rsidR="001D1219" w:rsidRPr="00041563">
        <w:t xml:space="preserve">. </w:t>
      </w:r>
      <w:r w:rsidR="0045577D" w:rsidRPr="00041563">
        <w:t>Among those employed</w:t>
      </w:r>
      <w:r w:rsidR="00A85AE7">
        <w:t xml:space="preserve"> with an office (</w:t>
      </w:r>
      <w:r w:rsidR="00001F9F">
        <w:t xml:space="preserve">about half </w:t>
      </w:r>
      <w:r w:rsidR="00A85AE7">
        <w:t xml:space="preserve">of </w:t>
      </w:r>
      <w:r w:rsidR="00001F9F">
        <w:t xml:space="preserve">the </w:t>
      </w:r>
      <w:r w:rsidR="00A85AE7">
        <w:t>respondents in the sample were employed with an office</w:t>
      </w:r>
      <w:r w:rsidR="00001F9F">
        <w:t>, with about 15% employed but with no office</w:t>
      </w:r>
      <w:r w:rsidR="00A85AE7">
        <w:t>)</w:t>
      </w:r>
      <w:r w:rsidR="0045577D" w:rsidRPr="00041563">
        <w:t xml:space="preserve">, the mean one-way commute distance is </w:t>
      </w:r>
      <w:r w:rsidR="00041563" w:rsidRPr="00041563">
        <w:t>15.15 miles</w:t>
      </w:r>
      <w:r w:rsidR="0045577D" w:rsidRPr="00041563">
        <w:t xml:space="preserve">, and the median is </w:t>
      </w:r>
      <w:r w:rsidR="00041563" w:rsidRPr="00041563">
        <w:t xml:space="preserve">10.00 miles. </w:t>
      </w:r>
      <w:r w:rsidR="0045577D" w:rsidRPr="00041563">
        <w:t>Table 1 also shows the one-way commute distance distribution in different discrete bins, indicating th</w:t>
      </w:r>
      <w:r w:rsidR="0045577D">
        <w:t xml:space="preserve">at most employed individuals had a commute distance below 20 miles, </w:t>
      </w:r>
      <w:r w:rsidR="005904FF">
        <w:t>but a non-insignificant percentage of employed individuals also had a commute distance beyond 20 miles.</w:t>
      </w:r>
      <w:r w:rsidR="0045577D">
        <w:t xml:space="preserve"> </w:t>
      </w:r>
      <w:r w:rsidR="00BE7596" w:rsidRPr="009B2F97">
        <w:t>Population density</w:t>
      </w:r>
      <w:r w:rsidR="009F4C7D" w:rsidRPr="009B2F97">
        <w:t xml:space="preserve"> </w:t>
      </w:r>
      <w:r w:rsidR="00A35491" w:rsidRPr="009B2F97">
        <w:t>reflects</w:t>
      </w:r>
      <w:r w:rsidR="009F4C7D" w:rsidRPr="009B2F97">
        <w:t xml:space="preserve"> the number of </w:t>
      </w:r>
      <w:r w:rsidR="00A35491" w:rsidRPr="009B2F97">
        <w:t>individuals residing</w:t>
      </w:r>
      <w:r w:rsidR="009F4C7D" w:rsidRPr="009B2F97">
        <w:t xml:space="preserve"> per square mile in </w:t>
      </w:r>
      <w:r w:rsidR="00A35491" w:rsidRPr="009B2F97">
        <w:t>each</w:t>
      </w:r>
      <w:r w:rsidR="009F4C7D" w:rsidRPr="009B2F97">
        <w:t xml:space="preserve"> </w:t>
      </w:r>
      <w:r w:rsidR="00756DB4">
        <w:t>ZCTA</w:t>
      </w:r>
      <w:r w:rsidR="009F4C7D" w:rsidRPr="009B2F97">
        <w:t xml:space="preserve">. The population density is used as an ordered outcome </w:t>
      </w:r>
      <w:r w:rsidR="00F02BB2" w:rsidRPr="009B2F97">
        <w:t xml:space="preserve">variable, categorized into </w:t>
      </w:r>
      <w:r w:rsidR="009F4C7D" w:rsidRPr="009B2F97">
        <w:t xml:space="preserve">densities </w:t>
      </w:r>
      <w:r w:rsidR="00F02BB2" w:rsidRPr="009B2F97">
        <w:t xml:space="preserve">of </w:t>
      </w:r>
      <w:r w:rsidR="00817B70">
        <w:t>low (</w:t>
      </w:r>
      <w:r w:rsidR="009F4C7D" w:rsidRPr="00DD68D6">
        <w:t>less than 5 people per square mile</w:t>
      </w:r>
      <w:r w:rsidR="00817B70">
        <w:t>), medium (</w:t>
      </w:r>
      <w:r w:rsidR="009F4C7D" w:rsidRPr="009B2F97">
        <w:t>5 to 10 people per square mile</w:t>
      </w:r>
      <w:r w:rsidR="00817B70">
        <w:t>), and high (</w:t>
      </w:r>
      <w:r w:rsidR="009F4C7D" w:rsidRPr="009B2F97">
        <w:t>more than 10 people per square mile</w:t>
      </w:r>
      <w:r w:rsidR="00817B70">
        <w:t>)</w:t>
      </w:r>
      <w:r w:rsidR="009F4C7D" w:rsidRPr="00DD68D6">
        <w:t xml:space="preserve">. </w:t>
      </w:r>
      <w:r w:rsidR="00817B70">
        <w:t xml:space="preserve">The Table </w:t>
      </w:r>
      <w:r w:rsidR="008D34D7">
        <w:t>1</w:t>
      </w:r>
      <w:r w:rsidR="00817B70">
        <w:t xml:space="preserve"> statistics indicate a relatively even distribution across the three population density categories, though with a higher percentage of individuals residing in medium and higher density neighborhoods. </w:t>
      </w:r>
      <w:r w:rsidR="001126E7" w:rsidRPr="00DD68D6">
        <w:t>The m</w:t>
      </w:r>
      <w:r w:rsidR="00BE7596" w:rsidRPr="00DD68D6">
        <w:t>edian housing cost</w:t>
      </w:r>
      <w:r w:rsidR="00756DB4">
        <w:t xml:space="preserve"> is across </w:t>
      </w:r>
      <w:r w:rsidR="001126E7" w:rsidRPr="009B2F97">
        <w:t xml:space="preserve">all occupied housing units in the </w:t>
      </w:r>
      <w:r w:rsidR="004A443A">
        <w:t>ZCTA and</w:t>
      </w:r>
      <w:r w:rsidR="00756DB4">
        <w:t xml:space="preserve"> is categorized into four monthly cost ranges </w:t>
      </w:r>
      <w:r w:rsidR="00BF451D">
        <w:t>of low</w:t>
      </w:r>
      <w:r w:rsidR="00817B70">
        <w:t xml:space="preserve"> (</w:t>
      </w:r>
      <w:r w:rsidR="00756DB4">
        <w:t>“≤</w:t>
      </w:r>
      <w:r w:rsidR="001126E7" w:rsidRPr="00DD68D6">
        <w:t xml:space="preserve"> $1,0</w:t>
      </w:r>
      <w:r w:rsidR="001126E7" w:rsidRPr="007246B0">
        <w:t>00</w:t>
      </w:r>
      <w:r w:rsidR="00756DB4" w:rsidRPr="007246B0">
        <w:t>”</w:t>
      </w:r>
      <w:r w:rsidR="00817B70" w:rsidRPr="007246B0">
        <w:t>)</w:t>
      </w:r>
      <w:r w:rsidR="001126E7" w:rsidRPr="007246B0">
        <w:t>,</w:t>
      </w:r>
      <w:r w:rsidR="001D1219" w:rsidRPr="007246B0">
        <w:t xml:space="preserve"> medium range 1</w:t>
      </w:r>
      <w:r w:rsidR="00817B70" w:rsidRPr="007246B0">
        <w:t xml:space="preserve"> (</w:t>
      </w:r>
      <w:r w:rsidR="00756DB4" w:rsidRPr="007246B0">
        <w:t>“</w:t>
      </w:r>
      <w:r w:rsidR="001126E7" w:rsidRPr="007246B0">
        <w:t>$1,00</w:t>
      </w:r>
      <w:r w:rsidR="006F4592" w:rsidRPr="007246B0">
        <w:t>1</w:t>
      </w:r>
      <w:r w:rsidR="00756DB4" w:rsidRPr="007246B0">
        <w:t>-</w:t>
      </w:r>
      <w:r w:rsidR="001126E7" w:rsidRPr="007246B0">
        <w:t>$1,</w:t>
      </w:r>
      <w:r w:rsidR="006F4592" w:rsidRPr="007246B0">
        <w:t>500</w:t>
      </w:r>
      <w:r w:rsidR="00756DB4" w:rsidRPr="007246B0">
        <w:t>”</w:t>
      </w:r>
      <w:r w:rsidR="00817B70" w:rsidRPr="007246B0">
        <w:t>)</w:t>
      </w:r>
      <w:r w:rsidR="00756DB4" w:rsidRPr="007246B0">
        <w:t xml:space="preserve">, </w:t>
      </w:r>
      <w:r w:rsidR="00817B70" w:rsidRPr="007246B0">
        <w:t xml:space="preserve">medium </w:t>
      </w:r>
      <w:r w:rsidR="001D1219" w:rsidRPr="007246B0">
        <w:t xml:space="preserve">range 2 </w:t>
      </w:r>
      <w:r w:rsidR="00817B70" w:rsidRPr="007246B0">
        <w:t>(</w:t>
      </w:r>
      <w:r w:rsidR="00756DB4" w:rsidRPr="007246B0">
        <w:t>“</w:t>
      </w:r>
      <w:r w:rsidR="001126E7" w:rsidRPr="007246B0">
        <w:t>$1,50</w:t>
      </w:r>
      <w:r w:rsidR="006F4592" w:rsidRPr="007246B0">
        <w:t>1</w:t>
      </w:r>
      <w:r w:rsidR="00756DB4" w:rsidRPr="007246B0">
        <w:t>-</w:t>
      </w:r>
      <w:r w:rsidR="001126E7" w:rsidRPr="007246B0">
        <w:t>$</w:t>
      </w:r>
      <w:r w:rsidR="006F4592" w:rsidRPr="007246B0">
        <w:t>2,000</w:t>
      </w:r>
      <w:r w:rsidR="00756DB4" w:rsidRPr="007246B0">
        <w:t>”</w:t>
      </w:r>
      <w:r w:rsidR="00817B70" w:rsidRPr="007246B0">
        <w:t>)</w:t>
      </w:r>
      <w:r w:rsidR="001126E7" w:rsidRPr="007246B0">
        <w:t>, and</w:t>
      </w:r>
      <w:r w:rsidR="006F4592" w:rsidRPr="007246B0">
        <w:t xml:space="preserve"> </w:t>
      </w:r>
      <w:r w:rsidR="00817B70" w:rsidRPr="007246B0">
        <w:t>high (</w:t>
      </w:r>
      <w:r w:rsidR="00756DB4" w:rsidRPr="007246B0">
        <w:t>“≥</w:t>
      </w:r>
      <w:r w:rsidR="001126E7" w:rsidRPr="007246B0">
        <w:t>$2000</w:t>
      </w:r>
      <w:r w:rsidR="00756DB4" w:rsidRPr="007246B0">
        <w:t>”</w:t>
      </w:r>
      <w:r w:rsidR="00817B70" w:rsidRPr="007246B0">
        <w:t>)</w:t>
      </w:r>
      <w:r w:rsidR="001126E7" w:rsidRPr="007246B0">
        <w:t xml:space="preserve">. </w:t>
      </w:r>
      <w:r w:rsidR="00756DB4" w:rsidRPr="007246B0">
        <w:t xml:space="preserve">This information, obtained </w:t>
      </w:r>
      <w:r w:rsidR="007246B0" w:rsidRPr="007246B0">
        <w:t>from American Community Survey estimates</w:t>
      </w:r>
      <w:r w:rsidR="00756DB4" w:rsidRPr="007246B0">
        <w:t>,</w:t>
      </w:r>
      <w:r w:rsidR="007246B0" w:rsidRPr="007246B0">
        <w:t xml:space="preserve"> is calculated separately for renters and owners. For renters it</w:t>
      </w:r>
      <w:r w:rsidR="00756DB4" w:rsidRPr="007246B0">
        <w:t xml:space="preserve"> includes </w:t>
      </w:r>
      <w:r w:rsidR="007246B0" w:rsidRPr="007246B0">
        <w:t xml:space="preserve">the contract rent plus the estimated average monthly cost of utilities (including water, sewer, electricity, gas, and fuel). For owners it is calculated as the sum of payments for </w:t>
      </w:r>
      <w:r w:rsidR="007246B0" w:rsidRPr="007246B0">
        <w:lastRenderedPageBreak/>
        <w:t>mortgages and other property debts, real estate taxes, residential insurance policies, and utilities</w:t>
      </w:r>
      <w:r w:rsidR="005C068E">
        <w:t xml:space="preserve"> </w:t>
      </w:r>
      <w:r w:rsidR="005C068E" w:rsidRPr="007246B0">
        <w:t>(</w:t>
      </w:r>
      <w:r w:rsidR="005C068E">
        <w:t xml:space="preserve">again </w:t>
      </w:r>
      <w:r w:rsidR="005C068E" w:rsidRPr="007246B0">
        <w:t>including water, sewer, electricity, gas, and fuel)</w:t>
      </w:r>
      <w:r w:rsidR="007246B0" w:rsidRPr="007246B0">
        <w:t>.</w:t>
      </w:r>
      <w:r w:rsidR="00756DB4" w:rsidRPr="007246B0">
        <w:t xml:space="preserve"> </w:t>
      </w:r>
      <w:r w:rsidR="00817B70" w:rsidRPr="007246B0">
        <w:t>Th</w:t>
      </w:r>
      <w:r w:rsidR="00817B70">
        <w:t xml:space="preserve">e Table </w:t>
      </w:r>
      <w:r w:rsidR="00824B7F">
        <w:t>1</w:t>
      </w:r>
      <w:r w:rsidR="00817B70">
        <w:t xml:space="preserve"> statistics point to a relatively low share of individuals living in low</w:t>
      </w:r>
      <w:r w:rsidR="003568BA">
        <w:t>-</w:t>
      </w:r>
      <w:r w:rsidR="00817B70">
        <w:t xml:space="preserve"> or </w:t>
      </w:r>
      <w:r w:rsidR="003568BA">
        <w:t>high-cost</w:t>
      </w:r>
      <w:r w:rsidR="00817B70">
        <w:t xml:space="preserve"> neighborhoods, compared to the</w:t>
      </w:r>
      <w:r w:rsidR="001D1219">
        <w:t xml:space="preserve"> </w:t>
      </w:r>
      <w:r w:rsidR="00817B70">
        <w:t xml:space="preserve">medium categories. </w:t>
      </w:r>
      <w:r w:rsidR="001126E7" w:rsidRPr="00DD68D6">
        <w:t>The a</w:t>
      </w:r>
      <w:r w:rsidR="00BE7596" w:rsidRPr="00DD68D6">
        <w:t>m</w:t>
      </w:r>
      <w:r w:rsidR="00BE7596" w:rsidRPr="009434FD">
        <w:t>enities rating</w:t>
      </w:r>
      <w:r w:rsidR="001126E7" w:rsidRPr="009434FD">
        <w:t xml:space="preserve"> is a score based on the availability of amenities within a 2-mile radius of the center of the zip code</w:t>
      </w:r>
      <w:r w:rsidR="00971612" w:rsidRPr="009434FD">
        <w:t xml:space="preserve">. The methodology used to estimate this rating is a function of </w:t>
      </w:r>
      <w:r w:rsidR="001126E7" w:rsidRPr="009C5F54">
        <w:t xml:space="preserve">the number of available locations for groceries, food and drink, shopping, coffee shops, </w:t>
      </w:r>
      <w:r w:rsidR="001126E7" w:rsidRPr="009B2F97">
        <w:t>schools, parks, entertainment, fitness facilities, public transportation, and libraries</w:t>
      </w:r>
      <w:r w:rsidR="008D34D7">
        <w:t>, weighted towards locations for shopping and groc</w:t>
      </w:r>
      <w:r w:rsidR="008D34D7" w:rsidRPr="008D34D7">
        <w:t>eries</w:t>
      </w:r>
      <w:r w:rsidR="001126E7" w:rsidRPr="008D34D7">
        <w:t xml:space="preserve">. </w:t>
      </w:r>
      <w:r w:rsidR="008D34D7" w:rsidRPr="008D34D7">
        <w:t>From these ratings, five categories are created based on the relation to the national average</w:t>
      </w:r>
      <w:r w:rsidR="007C77EC" w:rsidRPr="008D34D7">
        <w:t>,</w:t>
      </w:r>
      <w:r w:rsidR="001126E7" w:rsidRPr="008D34D7">
        <w:t xml:space="preserve"> </w:t>
      </w:r>
      <w:r w:rsidR="008D34D7" w:rsidRPr="008D34D7">
        <w:t xml:space="preserve">such that </w:t>
      </w:r>
      <w:r w:rsidR="0092587E" w:rsidRPr="008D34D7">
        <w:t>areas with more amenities have higher score</w:t>
      </w:r>
      <w:r w:rsidR="008D34D7" w:rsidRPr="008D34D7">
        <w:t>s</w:t>
      </w:r>
      <w:r w:rsidR="0092587E" w:rsidRPr="008D34D7">
        <w:t>.</w:t>
      </w:r>
      <w:r w:rsidR="008D34D7" w:rsidRPr="008D34D7">
        <w:t xml:space="preserve"> As seen in Table 1, the vast majority of respondents fall into the category with many amenities </w:t>
      </w:r>
      <w:r w:rsidR="00F52B39" w:rsidRPr="008D34D7">
        <w:t>available</w:t>
      </w:r>
      <w:r w:rsidR="008D34D7" w:rsidRPr="008D34D7">
        <w:t xml:space="preserve"> within two miles of their ZCTA</w:t>
      </w:r>
      <w:r w:rsidR="008D34D7">
        <w:t xml:space="preserve"> and very few fall into each of the four lower levels</w:t>
      </w:r>
      <w:r w:rsidR="008D34D7" w:rsidRPr="008D34D7">
        <w:t>.</w:t>
      </w:r>
      <w:r w:rsidR="00B17510" w:rsidRPr="00C82547">
        <w:rPr>
          <w:rStyle w:val="FootnoteReference"/>
        </w:rPr>
        <w:footnoteReference w:id="2"/>
      </w:r>
      <w:r w:rsidR="008D34D7" w:rsidRPr="008D34D7">
        <w:t xml:space="preserve"> </w:t>
      </w:r>
      <w:r w:rsidR="0092587E" w:rsidRPr="008D34D7">
        <w:t>The</w:t>
      </w:r>
      <w:r w:rsidR="0092587E" w:rsidRPr="00DD68D6">
        <w:t xml:space="preserve"> s</w:t>
      </w:r>
      <w:r w:rsidR="00BE7596" w:rsidRPr="00DD68D6">
        <w:t xml:space="preserve">chool </w:t>
      </w:r>
      <w:r w:rsidR="009F4714" w:rsidRPr="009434FD">
        <w:t xml:space="preserve">quality </w:t>
      </w:r>
      <w:r w:rsidR="00BE7596" w:rsidRPr="009434FD">
        <w:t>rating</w:t>
      </w:r>
      <w:r w:rsidR="0092587E" w:rsidRPr="009434FD">
        <w:t xml:space="preserve"> is based on the standardized test scores for students in schools in the area</w:t>
      </w:r>
      <w:r w:rsidR="009F4714" w:rsidRPr="009434FD">
        <w:t>,</w:t>
      </w:r>
      <w:r w:rsidR="0092587E" w:rsidRPr="009C5F54">
        <w:t xml:space="preserve"> as well as the average education</w:t>
      </w:r>
      <w:r w:rsidR="009F4714" w:rsidRPr="009C5F54">
        <w:t xml:space="preserve">al attainment </w:t>
      </w:r>
      <w:r w:rsidR="003E5633" w:rsidRPr="008253CB">
        <w:t>of</w:t>
      </w:r>
      <w:r w:rsidR="0092587E" w:rsidRPr="008253CB">
        <w:t xml:space="preserve"> residents in the area</w:t>
      </w:r>
      <w:r w:rsidR="007246B0">
        <w:t xml:space="preserve"> (a total rating is calculated as 0.8*school test score percentile + 0.2*average educational attainment percentile)</w:t>
      </w:r>
      <w:r w:rsidR="0092587E" w:rsidRPr="008253CB">
        <w:t>.</w:t>
      </w:r>
      <w:r w:rsidR="0092587E" w:rsidRPr="00DD68D6">
        <w:t xml:space="preserve"> The school rating </w:t>
      </w:r>
      <w:r w:rsidR="003E5633" w:rsidRPr="00DD68D6">
        <w:t xml:space="preserve">variable </w:t>
      </w:r>
      <w:r w:rsidR="0092587E" w:rsidRPr="009434FD">
        <w:t xml:space="preserve">is </w:t>
      </w:r>
      <w:r w:rsidR="007246B0">
        <w:t>grouped as an</w:t>
      </w:r>
      <w:r w:rsidR="0092587E" w:rsidRPr="009B2F97">
        <w:t xml:space="preserve"> ordered outcome</w:t>
      </w:r>
      <w:r w:rsidR="003E5633" w:rsidRPr="009B2F97">
        <w:t xml:space="preserve"> with five levels,</w:t>
      </w:r>
      <w:r w:rsidR="0092587E" w:rsidRPr="009B2F97">
        <w:t xml:space="preserve"> where higher levels indicate higher quality education in the area. </w:t>
      </w:r>
      <w:r w:rsidR="005C18CC">
        <w:t>The statistics indicate a bimodal distribution, with more than a quarter of individuals each living in “</w:t>
      </w:r>
      <w:r w:rsidR="00EC2232">
        <w:t xml:space="preserve">very </w:t>
      </w:r>
      <w:r w:rsidR="005C18CC">
        <w:t xml:space="preserve">poor” and “excellent” school quality neighborhoods. </w:t>
      </w:r>
      <w:r w:rsidR="00326E35" w:rsidRPr="00DD68D6">
        <w:t>Finally, t</w:t>
      </w:r>
      <w:r w:rsidR="0092587E" w:rsidRPr="00DD68D6">
        <w:t>he c</w:t>
      </w:r>
      <w:r w:rsidR="00BE7596" w:rsidRPr="009434FD">
        <w:t xml:space="preserve">rime </w:t>
      </w:r>
      <w:r w:rsidR="0092587E" w:rsidRPr="009434FD">
        <w:t>r</w:t>
      </w:r>
      <w:r w:rsidR="00BE7596" w:rsidRPr="009434FD">
        <w:t>ating</w:t>
      </w:r>
      <w:r w:rsidR="0092587E" w:rsidRPr="009C5F54">
        <w:t xml:space="preserve"> is based on the total number of crimes reported per 100,000 residents</w:t>
      </w:r>
      <w:r w:rsidR="007246B0">
        <w:t xml:space="preserve"> per year</w:t>
      </w:r>
      <w:r w:rsidR="0092587E" w:rsidRPr="009C5F54">
        <w:t xml:space="preserve">. </w:t>
      </w:r>
      <w:r w:rsidR="007246B0">
        <w:t xml:space="preserve">This includes crimes reported to the police and FBI including violent crimes (such as murder, rape, robbery, and assault), property crimes (arson, theft, vehicle theft, and burglary), kidnapping, drug crimes, and vandalism. </w:t>
      </w:r>
      <w:r w:rsidR="0092587E" w:rsidRPr="009C5F54">
        <w:t>The crime rating</w:t>
      </w:r>
      <w:r w:rsidR="005C18CC">
        <w:t xml:space="preserve"> </w:t>
      </w:r>
      <w:r w:rsidR="0092587E" w:rsidRPr="00DD68D6">
        <w:t xml:space="preserve">is used as an ordered outcome with </w:t>
      </w:r>
      <w:r w:rsidR="008C69B2" w:rsidRPr="00DD68D6">
        <w:t xml:space="preserve">levels </w:t>
      </w:r>
      <w:r w:rsidR="005C18CC">
        <w:t>of</w:t>
      </w:r>
      <w:r w:rsidR="00EC2232">
        <w:t xml:space="preserve"> (on a </w:t>
      </w:r>
      <w:r w:rsidR="002B7C2A">
        <w:t>crimes per</w:t>
      </w:r>
      <w:r w:rsidR="00EC2232">
        <w:t xml:space="preserve"> </w:t>
      </w:r>
      <w:r w:rsidR="007304D7">
        <w:t xml:space="preserve">100,000 </w:t>
      </w:r>
      <w:r w:rsidR="00EC2232">
        <w:t>resident</w:t>
      </w:r>
      <w:r w:rsidR="006D1614">
        <w:t>s</w:t>
      </w:r>
      <w:r w:rsidR="00EC2232">
        <w:t xml:space="preserve"> basis)</w:t>
      </w:r>
      <w:r w:rsidR="005C18CC">
        <w:t xml:space="preserve"> </w:t>
      </w:r>
      <w:r w:rsidR="008C69B2" w:rsidRPr="00DD68D6">
        <w:t>(</w:t>
      </w:r>
      <w:r w:rsidR="00326E35" w:rsidRPr="00DD68D6">
        <w:t>i</w:t>
      </w:r>
      <w:r w:rsidR="008C69B2" w:rsidRPr="009434FD">
        <w:t xml:space="preserve">) </w:t>
      </w:r>
      <w:r w:rsidR="00EC2232">
        <w:t>very low (</w:t>
      </w:r>
      <w:r w:rsidR="008C69B2" w:rsidRPr="009434FD">
        <w:t>less than 1.615</w:t>
      </w:r>
      <w:r w:rsidR="00EC2232">
        <w:t>)</w:t>
      </w:r>
      <w:r w:rsidR="008C69B2" w:rsidRPr="009434FD">
        <w:t>, (</w:t>
      </w:r>
      <w:r w:rsidR="00326E35" w:rsidRPr="009434FD">
        <w:t>ii</w:t>
      </w:r>
      <w:r w:rsidR="008C69B2" w:rsidRPr="009434FD">
        <w:t xml:space="preserve">) </w:t>
      </w:r>
      <w:r w:rsidR="00EC2232">
        <w:t>low (</w:t>
      </w:r>
      <w:r w:rsidR="008C69B2" w:rsidRPr="009434FD">
        <w:t>1.615 – 2.522</w:t>
      </w:r>
      <w:r w:rsidR="00EC2232">
        <w:t>)</w:t>
      </w:r>
      <w:r w:rsidR="008C69B2" w:rsidRPr="009434FD">
        <w:t xml:space="preserve">, </w:t>
      </w:r>
      <w:r w:rsidR="00326E35" w:rsidRPr="009434FD">
        <w:t>(iii</w:t>
      </w:r>
      <w:r w:rsidR="008C69B2" w:rsidRPr="009434FD">
        <w:t xml:space="preserve">) </w:t>
      </w:r>
      <w:r w:rsidR="00EC2232">
        <w:t>medium (</w:t>
      </w:r>
      <w:r w:rsidR="008C69B2" w:rsidRPr="009434FD">
        <w:t>2.523 – 3.820</w:t>
      </w:r>
      <w:r w:rsidR="00EC2232">
        <w:t>)</w:t>
      </w:r>
      <w:r w:rsidR="008C69B2" w:rsidRPr="009434FD">
        <w:t>, (</w:t>
      </w:r>
      <w:r w:rsidR="00326E35" w:rsidRPr="009C5F54">
        <w:t>iv</w:t>
      </w:r>
      <w:r w:rsidR="008C69B2" w:rsidRPr="009C5F54">
        <w:t xml:space="preserve">) </w:t>
      </w:r>
      <w:r w:rsidR="00EC2232">
        <w:t>high (</w:t>
      </w:r>
      <w:r w:rsidR="008C69B2" w:rsidRPr="009C5F54">
        <w:t>3.821 –</w:t>
      </w:r>
      <w:r w:rsidR="008C69B2" w:rsidRPr="008253CB">
        <w:t xml:space="preserve"> 7.540</w:t>
      </w:r>
      <w:r w:rsidR="00EC2232">
        <w:t>)</w:t>
      </w:r>
      <w:r w:rsidR="008C69B2" w:rsidRPr="008253CB">
        <w:t>, and (</w:t>
      </w:r>
      <w:r w:rsidR="00326E35" w:rsidRPr="008253CB">
        <w:t>v</w:t>
      </w:r>
      <w:r w:rsidR="008C69B2" w:rsidRPr="001D5FAF">
        <w:t xml:space="preserve">) </w:t>
      </w:r>
      <w:r w:rsidR="00EC2232">
        <w:t>very high (</w:t>
      </w:r>
      <w:r w:rsidR="008C69B2" w:rsidRPr="001D5FAF">
        <w:t>more than 7.540</w:t>
      </w:r>
      <w:r w:rsidR="00EC2232">
        <w:t>).</w:t>
      </w:r>
    </w:p>
    <w:bookmarkEnd w:id="8"/>
    <w:p w14:paraId="5CA743C6" w14:textId="77777777" w:rsidR="00CB3EDA" w:rsidRPr="004736A5" w:rsidRDefault="00CB3EDA" w:rsidP="006F37E3">
      <w:pPr>
        <w:spacing w:after="0" w:line="240" w:lineRule="auto"/>
        <w:ind w:firstLine="720"/>
        <w:jc w:val="both"/>
      </w:pPr>
    </w:p>
    <w:p w14:paraId="4E52CC41" w14:textId="31FC60C5" w:rsidR="003571E4" w:rsidRPr="009C5F54" w:rsidRDefault="000A3C89" w:rsidP="006F37E3">
      <w:pPr>
        <w:spacing w:after="0" w:line="240" w:lineRule="auto"/>
        <w:jc w:val="both"/>
        <w:rPr>
          <w:b/>
          <w:bCs/>
        </w:rPr>
      </w:pPr>
      <w:r w:rsidRPr="009434FD">
        <w:rPr>
          <w:b/>
          <w:bCs/>
          <w:i/>
          <w:iCs/>
        </w:rPr>
        <w:t>3.</w:t>
      </w:r>
      <w:r w:rsidR="00F30A67" w:rsidRPr="009434FD">
        <w:rPr>
          <w:b/>
          <w:bCs/>
          <w:i/>
          <w:iCs/>
        </w:rPr>
        <w:t>2</w:t>
      </w:r>
      <w:r w:rsidRPr="009434FD">
        <w:rPr>
          <w:b/>
          <w:bCs/>
          <w:i/>
          <w:iCs/>
        </w:rPr>
        <w:t>.</w:t>
      </w:r>
      <w:r w:rsidR="007F48C7" w:rsidRPr="009434FD">
        <w:rPr>
          <w:b/>
          <w:bCs/>
          <w:i/>
          <w:iCs/>
        </w:rPr>
        <w:t>2</w:t>
      </w:r>
      <w:r w:rsidRPr="009434FD">
        <w:rPr>
          <w:b/>
          <w:bCs/>
          <w:i/>
          <w:iCs/>
        </w:rPr>
        <w:t xml:space="preserve"> Exogenous Variables</w:t>
      </w:r>
    </w:p>
    <w:p w14:paraId="5B8A09EE" w14:textId="69EC3C2E" w:rsidR="004E4B78" w:rsidRPr="004E4B78" w:rsidRDefault="008C69B2" w:rsidP="006F37E3">
      <w:pPr>
        <w:spacing w:after="0" w:line="240" w:lineRule="auto"/>
        <w:jc w:val="both"/>
      </w:pPr>
      <w:bookmarkStart w:id="11" w:name="_Hlk148692352"/>
      <w:r w:rsidRPr="009B2F97">
        <w:t xml:space="preserve">The </w:t>
      </w:r>
      <w:r w:rsidR="00DD68D6">
        <w:t xml:space="preserve">descriptive statistics of the </w:t>
      </w:r>
      <w:r w:rsidRPr="009434FD">
        <w:t xml:space="preserve">exogenous variables </w:t>
      </w:r>
      <w:r w:rsidRPr="009B2F97">
        <w:t>are</w:t>
      </w:r>
      <w:r w:rsidR="00DD68D6">
        <w:t xml:space="preserve"> provided</w:t>
      </w:r>
      <w:r w:rsidRPr="009B2F97">
        <w:t xml:space="preserve"> in Table 2, along with corresponding data</w:t>
      </w:r>
      <w:r w:rsidR="000224DC" w:rsidRPr="009B2F97">
        <w:t xml:space="preserve"> for the entire United States</w:t>
      </w:r>
      <w:r w:rsidRPr="009B2F97">
        <w:t xml:space="preserve"> from the </w:t>
      </w:r>
      <w:r w:rsidR="00222BD2" w:rsidRPr="009B2F97">
        <w:t>American Community Survey</w:t>
      </w:r>
      <w:r w:rsidR="000224DC" w:rsidRPr="009B2F97">
        <w:t xml:space="preserve"> (ACS)</w:t>
      </w:r>
      <w:r w:rsidR="00222BD2" w:rsidRPr="009B2F97">
        <w:t xml:space="preserve"> 2021 five-year estimates</w:t>
      </w:r>
      <w:r w:rsidR="000224DC" w:rsidRPr="009B2F97">
        <w:t xml:space="preserve"> </w:t>
      </w:r>
      <w:r w:rsidR="000224DC" w:rsidRPr="009B2F97">
        <w:fldChar w:fldCharType="begin"/>
      </w:r>
      <w:r w:rsidR="008912F0">
        <w:instrText xml:space="preserve"> ADDIN ZOTERO_ITEM CSL_CITATION {"citationID":"Yx2AyzWl","properties":{"formattedCitation":"(U.S. Census Bureau, 2021)","plainCitation":"(U.S. Census Bureau, 2021)","noteIndex":0},"citationItems":[{"id":394,"uris":["http://zotero.org/users/local/1ztI2Oc6/items/TKEBSFSX","http://zotero.org/users/12832277/items/TKEBSFSX"],"itemData":{"id":394,"type":"document","abstract":"Data Dictionary - Survey ACS 2021 (5-Year Estimates); American Community Survey 2021 (ACS21_5yr); American Community Survey 2021 (2290 tables)","language":"en","title":"American Community Survey 2021 (5-Year Estimates)","URL":"https://www.socialexplorer.com/data/ACS2021_5yr/metadata/?ds=ACS21_5yr","author":[{"family":"U.S. Census Bureau","given":""}],"accessed":{"date-parts":[["2023",3,27]]},"issued":{"date-parts":[["2021"]]}}}],"schema":"https://github.com/citation-style-language/schema/raw/master/csl-citation.json"} </w:instrText>
      </w:r>
      <w:r w:rsidR="000224DC" w:rsidRPr="009B2F97">
        <w:fldChar w:fldCharType="separate"/>
      </w:r>
      <w:r w:rsidR="00BA12C7" w:rsidRPr="009B2F97">
        <w:t>(U.S. Census Bureau, 2021)</w:t>
      </w:r>
      <w:r w:rsidR="000224DC" w:rsidRPr="009B2F97">
        <w:fldChar w:fldCharType="end"/>
      </w:r>
      <w:r w:rsidRPr="009B2F97">
        <w:t xml:space="preserve">. </w:t>
      </w:r>
      <w:r w:rsidR="0001529C">
        <w:t xml:space="preserve">These exogenous variables include household and individual demographics. </w:t>
      </w:r>
    </w:p>
    <w:p w14:paraId="3EBB8890" w14:textId="45F44F80" w:rsidR="00EC2232" w:rsidRPr="00FD2237" w:rsidRDefault="00B07521" w:rsidP="006F37E3">
      <w:pPr>
        <w:spacing w:after="0" w:line="240" w:lineRule="auto"/>
        <w:ind w:firstLine="720"/>
        <w:jc w:val="both"/>
        <w:rPr>
          <w:b/>
          <w:bCs/>
        </w:rPr>
      </w:pPr>
      <w:r w:rsidRPr="009434FD">
        <w:t xml:space="preserve">The sample </w:t>
      </w:r>
      <w:r w:rsidR="004269FB" w:rsidRPr="009434FD">
        <w:t>exhibits</w:t>
      </w:r>
      <w:r w:rsidR="00B33D7A">
        <w:t xml:space="preserve"> an</w:t>
      </w:r>
      <w:r w:rsidR="004269FB" w:rsidRPr="009434FD">
        <w:t xml:space="preserve"> underrepresentation of </w:t>
      </w:r>
      <w:r w:rsidR="00DD68D6">
        <w:t xml:space="preserve">individuals living alone, and an overrepresentation of those living with related adults. Further, there is an overrepresentation of individuals from households </w:t>
      </w:r>
      <w:r w:rsidR="0001529C">
        <w:t xml:space="preserve">(a) with </w:t>
      </w:r>
      <w:r w:rsidR="00DD68D6">
        <w:t>senior (</w:t>
      </w:r>
      <w:r w:rsidR="00687942">
        <w:t>≥</w:t>
      </w:r>
      <w:r w:rsidR="00DD68D6">
        <w:t xml:space="preserve">65 years) </w:t>
      </w:r>
      <w:r w:rsidR="007246B0">
        <w:t>adults, (</w:t>
      </w:r>
      <w:r w:rsidR="0001529C">
        <w:t xml:space="preserve">b) with </w:t>
      </w:r>
      <w:r w:rsidR="00DD68D6">
        <w:t>no ch</w:t>
      </w:r>
      <w:r w:rsidR="00DD68D6" w:rsidRPr="006640E6">
        <w:t>ildren</w:t>
      </w:r>
      <w:r w:rsidR="005904FF" w:rsidRPr="006640E6">
        <w:t xml:space="preserve"> (a child is defined as a dependent 1</w:t>
      </w:r>
      <w:r w:rsidR="00FE1894" w:rsidRPr="006640E6">
        <w:t>7</w:t>
      </w:r>
      <w:r w:rsidR="005904FF" w:rsidRPr="006640E6">
        <w:t xml:space="preserve"> years of age or younger)</w:t>
      </w:r>
      <w:r w:rsidR="0001529C" w:rsidRPr="006640E6">
        <w:t>, (c)</w:t>
      </w:r>
      <w:r w:rsidR="0001529C">
        <w:t xml:space="preserve"> from middle income households</w:t>
      </w:r>
      <w:r w:rsidR="0037141E">
        <w:t xml:space="preserve"> (using reported gross household incomes)</w:t>
      </w:r>
      <w:r w:rsidR="0001529C">
        <w:t xml:space="preserve">, </w:t>
      </w:r>
      <w:r w:rsidR="007246B0">
        <w:t xml:space="preserve">(d) with a single </w:t>
      </w:r>
      <w:r w:rsidR="00687942">
        <w:t xml:space="preserve">motorized </w:t>
      </w:r>
      <w:r w:rsidR="007246B0">
        <w:t xml:space="preserve">vehicle available in the home, </w:t>
      </w:r>
      <w:r w:rsidR="0001529C">
        <w:t>and (</w:t>
      </w:r>
      <w:r w:rsidR="007246B0">
        <w:t>e</w:t>
      </w:r>
      <w:r w:rsidR="0001529C">
        <w:t>) from the western region</w:t>
      </w:r>
      <w:r w:rsidR="0001529C" w:rsidRPr="00C82547">
        <w:rPr>
          <w:rStyle w:val="FootnoteReference"/>
        </w:rPr>
        <w:footnoteReference w:id="3"/>
      </w:r>
      <w:r w:rsidR="00DD68D6">
        <w:t xml:space="preserve">. </w:t>
      </w:r>
      <w:r w:rsidR="0001529C">
        <w:t>In terms of individual demographics, there is a clear over-</w:t>
      </w:r>
      <w:r w:rsidR="0001529C">
        <w:lastRenderedPageBreak/>
        <w:t>representation of w</w:t>
      </w:r>
      <w:r w:rsidR="00D876C7">
        <w:t xml:space="preserve">omen, non-Hispanic individuals, </w:t>
      </w:r>
      <w:r w:rsidR="0067362B">
        <w:t>w</w:t>
      </w:r>
      <w:r w:rsidR="00D876C7">
        <w:t xml:space="preserve">hite individuals, those who are 65 or above in age, </w:t>
      </w:r>
      <w:r w:rsidR="0001529C">
        <w:t xml:space="preserve">and </w:t>
      </w:r>
      <w:r w:rsidR="00D876C7">
        <w:t>individuals with high formal education degree attainment</w:t>
      </w:r>
      <w:r w:rsidR="0001529C">
        <w:t>.</w:t>
      </w:r>
      <w:r w:rsidR="00EC2232">
        <w:t xml:space="preserve"> </w:t>
      </w:r>
      <w:r w:rsidR="00EC2232" w:rsidRPr="00F648BD">
        <w:t>Th</w:t>
      </w:r>
      <w:r w:rsidR="00EC2232">
        <w:t>e</w:t>
      </w:r>
      <w:r w:rsidR="00EC2232" w:rsidRPr="00F648BD">
        <w:t xml:space="preserve"> </w:t>
      </w:r>
      <w:r w:rsidR="00EC2232">
        <w:t>overrepresentation of the western region of the US</w:t>
      </w:r>
      <w:r w:rsidR="00EC2232" w:rsidRPr="00F648BD">
        <w:t xml:space="preserve"> can be attributed to the purchasing of more email addresses from the western region, including a specific focus on the Phoenix metropolitan area </w:t>
      </w:r>
      <w:r w:rsidR="00EC2232" w:rsidRPr="009B2F97">
        <w:fldChar w:fldCharType="begin"/>
      </w:r>
      <w:r w:rsidR="008912F0">
        <w:instrText xml:space="preserve"> ADDIN ZOTERO_ITEM CSL_CITATION {"citationID":"zjOWAucv","properties":{"formattedCitation":"(Chauhan et al., 2022)","plainCitation":"(Chauhan et al., 2022)","noteIndex":0},"citationItems":[{"id":716,"uris":["http://zotero.org/users/local/1ztI2Oc6/items/QSZXZ67G","http://zotero.org/users/12832277/items/QSZXZ67G"],"itemData":{"id":716,"type":"article","abstract":"The COVID-19 pandemic is an unprecedented global crisis that has impacted virtually everyone. We conducted a nationwide online longitudinal survey in the United States to collect information about the shifts in travel-related behavior and attitudes before, during, and after the pandemic. The survey asked questions about commuting, long distance travel, working from home, online learning, online shopping, pandemic experiences, attitudes, and demographic information. The survey has been deployed to the same respondents thrice to observe how the responses to the pandemic have evolved over time. The first wave of the survey was conducted from April 2020 to June 2021, the second wave from November 2020 to August 2021, and the third wave from October 2021 to November 2021. In total, 9,265 responses were collected in the first wave; of these, 2,877 respondents returned for the second wave and 2,728 for the third wave. Survey data are publicly available. This unique dataset can aid policy makers in making decisions in areas including transport, workforce development, and more. This article demonstrates the framework for conducting this online longitudinal survey. It details the step-by-step procedure involved in conducting the survey and in curating the data to make it representative of the national trends.","DOI":"10.48550/arXiv.2208.12618","note":"arXiv:2208.12618 [cs, stat]","number":"arXiv:2208.12618","publisher":"arXiv","source":"arXiv.org","title":"Covid Future Panel Survey: A Unique Public Dataset Documenting How U.S. Residents' Travel Related Choices Changed During the COVID-19 Pandemic","title-short":"Covid Future Panel Survey","URL":"http://arxiv.org/abs/2208.12618","author":[{"family":"Chauhan","given":"Rishabh Singh"},{"family":"Bhagat-Conway","given":"Matthew Wigginton"},{"family":"Magassy","given":"Tassio"},{"family":"Corcoran","given":"Nicole"},{"family":"Rahimi","given":"Ehsan"},{"family":"Dirks","given":"Abbie"},{"family":"Pendyala","given":"Ram"},{"family":"Mohammadian","given":"Abolfazl"},{"family":"Derrible","given":"Sybil"},{"family":"Salon","given":"Deborah"}],"accessed":{"date-parts":[["2023",5,16]]},"issued":{"date-parts":[["2022",8,10]]}}}],"schema":"https://github.com/citation-style-language/schema/raw/master/csl-citation.json"} </w:instrText>
      </w:r>
      <w:r w:rsidR="00EC2232" w:rsidRPr="009B2F97">
        <w:fldChar w:fldCharType="separate"/>
      </w:r>
      <w:r w:rsidR="00EC2232" w:rsidRPr="009B2F97">
        <w:t>(Chauhan et al., 2022)</w:t>
      </w:r>
      <w:r w:rsidR="00EC2232" w:rsidRPr="009B2F97">
        <w:fldChar w:fldCharType="end"/>
      </w:r>
      <w:r w:rsidR="00EC2232" w:rsidRPr="009B2F97">
        <w:t>.</w:t>
      </w:r>
      <w:r w:rsidR="00EC2232">
        <w:rPr>
          <w:b/>
          <w:bCs/>
        </w:rPr>
        <w:t xml:space="preserve"> </w:t>
      </w:r>
      <w:r w:rsidR="00EC2232" w:rsidRPr="007843F5">
        <w:t>Also,</w:t>
      </w:r>
      <w:r w:rsidR="00EC2232">
        <w:rPr>
          <w:b/>
          <w:bCs/>
        </w:rPr>
        <w:t xml:space="preserve"> </w:t>
      </w:r>
      <w:r w:rsidR="0067362B">
        <w:t>it is</w:t>
      </w:r>
      <w:r w:rsidR="00EC2232">
        <w:t xml:space="preserve"> </w:t>
      </w:r>
      <w:r w:rsidR="0067362B">
        <w:t>surprising that single and younger adults are underrepresented, given that</w:t>
      </w:r>
      <w:r w:rsidR="00B579EB" w:rsidRPr="009B2F97">
        <w:t xml:space="preserve"> the survey was conducted online and advertised through social media</w:t>
      </w:r>
      <w:r w:rsidR="0067362B">
        <w:t>.</w:t>
      </w:r>
      <w:r w:rsidR="00B579EB" w:rsidRPr="009B2F97">
        <w:t xml:space="preserve"> One possible explanation </w:t>
      </w:r>
      <w:r w:rsidR="0067362B">
        <w:t xml:space="preserve">is that </w:t>
      </w:r>
      <w:r w:rsidR="00B579EB" w:rsidRPr="009B2F97">
        <w:t xml:space="preserve">older individuals </w:t>
      </w:r>
      <w:r w:rsidR="0067362B">
        <w:t xml:space="preserve">have perceived much more disruption caused by the pandemic in their regular activity-travel rhythms, and so may have been more tuned into the purpose of the survey (which was to investigate shifts in activity-related behavior caused by the pandemic). </w:t>
      </w:r>
    </w:p>
    <w:p w14:paraId="03B1F165" w14:textId="28ACC176" w:rsidR="00CB3EDA" w:rsidRDefault="00EC2232" w:rsidP="006F37E3">
      <w:pPr>
        <w:spacing w:after="0" w:line="240" w:lineRule="auto"/>
        <w:jc w:val="both"/>
      </w:pPr>
      <w:r>
        <w:tab/>
      </w:r>
      <w:r w:rsidR="00B2573F" w:rsidRPr="00DD68D6">
        <w:t xml:space="preserve">The </w:t>
      </w:r>
      <w:r w:rsidR="00F84203" w:rsidRPr="00DD68D6">
        <w:t xml:space="preserve">observed </w:t>
      </w:r>
      <w:r w:rsidR="00B2573F" w:rsidRPr="009434FD">
        <w:t xml:space="preserve">skews </w:t>
      </w:r>
      <w:r w:rsidR="00F84203" w:rsidRPr="009434FD">
        <w:t>in</w:t>
      </w:r>
      <w:r w:rsidR="00B2573F" w:rsidRPr="009434FD">
        <w:t xml:space="preserve"> the exogenous variables imply that descriptive statistics </w:t>
      </w:r>
      <w:r w:rsidR="00F84203" w:rsidRPr="009434FD">
        <w:t xml:space="preserve">derived </w:t>
      </w:r>
      <w:r w:rsidR="00B2573F" w:rsidRPr="009C5F54">
        <w:t>from this sample cannot be</w:t>
      </w:r>
      <w:r w:rsidR="0009778E" w:rsidRPr="009C5F54">
        <w:t xml:space="preserve"> </w:t>
      </w:r>
      <w:r w:rsidR="00B2573F" w:rsidRPr="009B2F97">
        <w:t>generalized to the</w:t>
      </w:r>
      <w:r w:rsidR="0009778E" w:rsidRPr="009B2F97">
        <w:t xml:space="preserve"> entire</w:t>
      </w:r>
      <w:r w:rsidR="00B2573F" w:rsidRPr="009B2F97">
        <w:t xml:space="preserve"> United States population. However, since this study </w:t>
      </w:r>
      <w:r w:rsidR="0009778E" w:rsidRPr="009B2F97">
        <w:t>focuses on conducting a</w:t>
      </w:r>
      <w:r w:rsidR="004C4598">
        <w:t>n</w:t>
      </w:r>
      <w:r w:rsidR="00F250A4" w:rsidRPr="009434FD">
        <w:t xml:space="preserve"> </w:t>
      </w:r>
      <w:r w:rsidR="004C4598">
        <w:t>individual</w:t>
      </w:r>
      <w:r w:rsidR="00F250A4" w:rsidRPr="009B2F97">
        <w:t>-level</w:t>
      </w:r>
      <w:r w:rsidR="00B2573F" w:rsidRPr="009B2F97">
        <w:t xml:space="preserve"> causal analysis</w:t>
      </w:r>
      <w:r w:rsidR="00F250A4" w:rsidRPr="009B2F97">
        <w:t xml:space="preserve">, there is no reason to believe that the </w:t>
      </w:r>
      <w:r w:rsidR="004C4598">
        <w:t>causal relationships estimated would not apply to the population at large. Indeed, t</w:t>
      </w:r>
      <w:r w:rsidR="008C786F" w:rsidRPr="009B2F97">
        <w:t>he sample used in this study is sizable, encompas</w:t>
      </w:r>
      <w:r w:rsidR="004C4598">
        <w:t>ses</w:t>
      </w:r>
      <w:r w:rsidR="008C786F" w:rsidRPr="009B2F97">
        <w:t xml:space="preserve"> the entire nation, and demonstrates substantial variation in the </w:t>
      </w:r>
      <w:r>
        <w:t xml:space="preserve">exogenous </w:t>
      </w:r>
      <w:r w:rsidR="008C786F" w:rsidRPr="009B2F97">
        <w:t>variables</w:t>
      </w:r>
      <w:r w:rsidR="004C4598">
        <w:t xml:space="preserve">, </w:t>
      </w:r>
      <w:r w:rsidR="008C786F" w:rsidRPr="009B2F97">
        <w:t xml:space="preserve">allowing estimation of the effects of </w:t>
      </w:r>
      <w:r w:rsidR="004C4598">
        <w:t>exogenous</w:t>
      </w:r>
      <w:r w:rsidR="008C786F" w:rsidRPr="009B2F97">
        <w:t xml:space="preserve"> variables </w:t>
      </w:r>
      <w:r w:rsidR="004C4598">
        <w:t xml:space="preserve">on the housing outcomes of interest. </w:t>
      </w:r>
      <w:r w:rsidR="008C786F" w:rsidRPr="009B2F97">
        <w:t xml:space="preserve">Additionally, since the sample is </w:t>
      </w:r>
      <w:r w:rsidR="004C4598">
        <w:t xml:space="preserve">not </w:t>
      </w:r>
      <w:r w:rsidR="008C786F" w:rsidRPr="009434FD">
        <w:t>based on e</w:t>
      </w:r>
      <w:r w:rsidR="004C4598">
        <w:t>ndo</w:t>
      </w:r>
      <w:r w:rsidR="008C786F" w:rsidRPr="009B2F97">
        <w:t xml:space="preserve">genous sampling (i.e., </w:t>
      </w:r>
      <w:r w:rsidR="004C4598">
        <w:t xml:space="preserve">our sampling of respondents was based on a convenience sample, not one targeted </w:t>
      </w:r>
      <w:r w:rsidR="009544F9">
        <w:t>toward</w:t>
      </w:r>
      <w:r w:rsidR="004C4598">
        <w:t xml:space="preserve"> </w:t>
      </w:r>
      <w:r w:rsidR="009544F9">
        <w:t>individuals with specific housing outcomes)</w:t>
      </w:r>
      <w:r w:rsidR="008C786F" w:rsidRPr="009B2F97">
        <w:t xml:space="preserve">, </w:t>
      </w:r>
      <w:r w:rsidR="009544F9">
        <w:t xml:space="preserve">an </w:t>
      </w:r>
      <w:r w:rsidR="008C786F" w:rsidRPr="009B2F97">
        <w:t xml:space="preserve">unweighted approach </w:t>
      </w:r>
      <w:r w:rsidR="009544F9">
        <w:t xml:space="preserve">is the preferred one because it is more efficient </w:t>
      </w:r>
      <w:r w:rsidR="00780CF5">
        <w:fldChar w:fldCharType="begin"/>
      </w:r>
      <w:r w:rsidR="000C4AE3">
        <w:instrText xml:space="preserve"> ADDIN ZOTERO_ITEM CSL_CITATION {"citationID":"xX61hSaD","properties":{"unsorted":true,"formattedCitation":"(Wooldridge, 1995; Solon et al., 2015)","plainCitation":"(Wooldridge, 1995; Solon et al., 2015)","dontUpdate":true,"noteIndex":0},"citationItems":[{"id":719,"uris":["http://zotero.org/users/local/1ztI2Oc6/items/HWFMUF9L","http://zotero.org/users/12832277/items/HWFMUF9L"],"itemData":{"id":719,"type":"article-journal","abstract":"Some new methods for testing and correcting for sample selection bias in panel data models are proposed. The assumptions allow the unobserved effects in both the regression and selection equations to be correlated with the observed variables; the error distribution in the regression equation is unspecified; arbitrary serial dependence in the idiosyncratic errors of both equations is allowed; and all idiosyncratic errors can be heterogeneously distributed. Compared with maximum likelihood and other estimators derived under fully parametric assumptions, the new estimators are much more robust and have significant computational advantages.","container-title":"Journal of Econometrics","DOI":"10.1016/0304-4076(94)01645-G","ISSN":"0304-4076","issue":"1","language":"en","page":"115-132","source":"ScienceDirect","title":"Selection Corrections for Panel Data Models Under Conditional Mean Independence Assumptions","volume":"68","author":[{"family":"Wooldridge","given":"Jeffrey M."}],"issued":{"date-parts":[["1995",7,1]]}}},{"id":721,"uris":["http://zotero.org/users/local/1ztI2Oc6/items/68L8HU9K","http://zotero.org/users/12832277/items/68L8HU9K"],"itemData":{"id":721,"type":"article-journal","abstract":"When estimating population descriptive statistics, weighting is called for if needed to make the analysis sample representative of the target population. With regard to research directed instead at estimating causal effects, we discuss three distinct weighting motives: (1) to achieve precise estimates by correcting for heteroskedasticity; (2) to achieve consistent estimates by correcting for endogenous sampling; and (3) to identify average partial effects in the presence of unmodeled heterogeneity of effects. In each case, we find that the motive sometimes does not apply in situations where practitioners often assume it does.","container-title":"Journal of Human Resources","DOI":"10.3368/jhr.50.2.301","ISSN":"0022-166X, 1548-8004","issue":"2","language":"en","license":"© 2015 by the Board of Regents of the University of Wisconsin System","note":"publisher: University of Wisconsin Press\nsection: Symposium on Empirical Methods","page":"301-316","source":"jhr.uwpress.org","title":"What Are We Weighting For?","volume":"50","author":[{"family":"Solon","given":"Gary"},{"family":"Haider","given":"Steven J."},{"family":"Wooldridge","given":"Jeffrey M."}],"issued":{"date-parts":[["2015",3,31]]}}}],"schema":"https://github.com/citation-style-language/schema/raw/master/csl-citation.json"} </w:instrText>
      </w:r>
      <w:r w:rsidR="00780CF5">
        <w:fldChar w:fldCharType="separate"/>
      </w:r>
      <w:r w:rsidR="00234CB5" w:rsidRPr="00234CB5">
        <w:t>(</w:t>
      </w:r>
      <w:r w:rsidR="00234CB5">
        <w:t xml:space="preserve">see </w:t>
      </w:r>
      <w:r w:rsidR="00234CB5" w:rsidRPr="00234CB5">
        <w:t>Wooldridge, 1995</w:t>
      </w:r>
      <w:r w:rsidR="00234CB5">
        <w:t xml:space="preserve"> and</w:t>
      </w:r>
      <w:r w:rsidR="00234CB5" w:rsidRPr="00234CB5">
        <w:t xml:space="preserve"> Solon et al., 2015)</w:t>
      </w:r>
      <w:r w:rsidR="00780CF5">
        <w:fldChar w:fldCharType="end"/>
      </w:r>
      <w:r w:rsidR="009544F9">
        <w:t xml:space="preserve">.  </w:t>
      </w:r>
    </w:p>
    <w:bookmarkEnd w:id="11"/>
    <w:p w14:paraId="7AFC0770" w14:textId="77777777" w:rsidR="007246B0" w:rsidRPr="009B2F97" w:rsidRDefault="007246B0" w:rsidP="006F37E3">
      <w:pPr>
        <w:spacing w:after="0" w:line="240" w:lineRule="auto"/>
        <w:jc w:val="both"/>
      </w:pPr>
    </w:p>
    <w:p w14:paraId="24CBF404" w14:textId="72694F91" w:rsidR="00884EBA" w:rsidRPr="009434FD" w:rsidRDefault="00884EBA" w:rsidP="006F37E3">
      <w:pPr>
        <w:spacing w:after="0" w:line="240" w:lineRule="auto"/>
        <w:jc w:val="both"/>
        <w:rPr>
          <w:b/>
          <w:bCs/>
          <w:i/>
          <w:iCs/>
        </w:rPr>
      </w:pPr>
      <w:r w:rsidRPr="004736A5">
        <w:rPr>
          <w:b/>
          <w:bCs/>
          <w:i/>
          <w:iCs/>
        </w:rPr>
        <w:t>3.</w:t>
      </w:r>
      <w:r w:rsidR="00F30A67" w:rsidRPr="00DD68D6">
        <w:rPr>
          <w:b/>
          <w:bCs/>
          <w:i/>
          <w:iCs/>
        </w:rPr>
        <w:t>2</w:t>
      </w:r>
      <w:r w:rsidRPr="00DD68D6">
        <w:rPr>
          <w:b/>
          <w:bCs/>
          <w:i/>
          <w:iCs/>
        </w:rPr>
        <w:t>.</w:t>
      </w:r>
      <w:r w:rsidR="007F48C7" w:rsidRPr="009434FD">
        <w:rPr>
          <w:b/>
          <w:bCs/>
          <w:i/>
          <w:iCs/>
        </w:rPr>
        <w:t>3</w:t>
      </w:r>
      <w:r w:rsidRPr="009434FD">
        <w:rPr>
          <w:b/>
          <w:bCs/>
          <w:i/>
          <w:iCs/>
        </w:rPr>
        <w:t xml:space="preserve"> Latent </w:t>
      </w:r>
      <w:r w:rsidR="00E84275" w:rsidRPr="009434FD">
        <w:rPr>
          <w:b/>
          <w:bCs/>
          <w:i/>
          <w:iCs/>
        </w:rPr>
        <w:t>Constructs</w:t>
      </w:r>
    </w:p>
    <w:p w14:paraId="2A680BD8" w14:textId="25D45F03" w:rsidR="00C403BC" w:rsidRPr="009B2F97" w:rsidRDefault="00C403BC" w:rsidP="006F37E3">
      <w:pPr>
        <w:spacing w:after="0" w:line="240" w:lineRule="auto"/>
        <w:jc w:val="both"/>
      </w:pPr>
      <w:bookmarkStart w:id="13" w:name="_Hlk148692514"/>
      <w:r w:rsidRPr="009C5F54">
        <w:t>The first latent construct is the green lifestyle propensity</w:t>
      </w:r>
      <w:r w:rsidR="005551A0" w:rsidRPr="009C5F54">
        <w:t xml:space="preserve"> (GLP)</w:t>
      </w:r>
      <w:r w:rsidRPr="008253CB">
        <w:t xml:space="preserve">, which </w:t>
      </w:r>
      <w:r w:rsidR="005551A0" w:rsidRPr="008253CB">
        <w:t xml:space="preserve">captures individuals’ </w:t>
      </w:r>
      <w:r w:rsidRPr="009179E5">
        <w:t>overall attitude</w:t>
      </w:r>
      <w:r w:rsidR="009544F9">
        <w:t>s</w:t>
      </w:r>
      <w:r w:rsidRPr="009434FD">
        <w:t xml:space="preserve"> toward the environment, </w:t>
      </w:r>
      <w:r w:rsidR="0020122F" w:rsidRPr="009434FD">
        <w:t xml:space="preserve">their </w:t>
      </w:r>
      <w:r w:rsidRPr="009434FD">
        <w:t xml:space="preserve">preference for outdoor </w:t>
      </w:r>
      <w:r w:rsidR="009544F9">
        <w:t xml:space="preserve">non-motorized </w:t>
      </w:r>
      <w:r w:rsidRPr="009434FD">
        <w:t>activities, and</w:t>
      </w:r>
      <w:r w:rsidR="0020122F" w:rsidRPr="009434FD">
        <w:t xml:space="preserve"> their</w:t>
      </w:r>
      <w:r w:rsidRPr="009434FD">
        <w:t xml:space="preserve"> environmentally conscious behavior. Several existing </w:t>
      </w:r>
      <w:r w:rsidR="005F5577" w:rsidRPr="009C5F54">
        <w:t>housing</w:t>
      </w:r>
      <w:r w:rsidRPr="009C5F54">
        <w:t xml:space="preserve"> choice studies have </w:t>
      </w:r>
      <w:r w:rsidR="0020122F" w:rsidRPr="009179E5">
        <w:t xml:space="preserve">highlighted the importance </w:t>
      </w:r>
      <w:r w:rsidR="00684F50" w:rsidRPr="009179E5">
        <w:t xml:space="preserve">of </w:t>
      </w:r>
      <w:r w:rsidRPr="00AD7085">
        <w:t>incorporat</w:t>
      </w:r>
      <w:r w:rsidR="00684F50" w:rsidRPr="00AD7085">
        <w:t>ing</w:t>
      </w:r>
      <w:r w:rsidRPr="00AD7085">
        <w:t xml:space="preserve"> a latent construct for </w:t>
      </w:r>
      <w:r w:rsidR="00684F50" w:rsidRPr="0077513C">
        <w:t>GLP</w:t>
      </w:r>
      <w:r w:rsidR="00EC2232">
        <w:t xml:space="preserve"> in housing choice decisions</w:t>
      </w:r>
      <w:r w:rsidR="006033FF" w:rsidRPr="009B2F97">
        <w:t xml:space="preserve"> </w:t>
      </w:r>
      <w:r w:rsidR="006033FF" w:rsidRPr="009B2F97">
        <w:fldChar w:fldCharType="begin"/>
      </w:r>
      <w:r w:rsidR="000C4AE3">
        <w:instrText xml:space="preserve"> ADDIN ZOTERO_ITEM CSL_CITATION {"citationID":"RKUAuIIE","properties":{"formattedCitation":"(Bhat, 2015a; Fleischer, 2007; Tan and Goh, 2018)","plainCitation":"(Bhat, 2015a; Fleischer, 2007; Tan and Goh, 2018)","noteIndex":0},"citationItems":[{"id":3,"uris":["http://zotero.org/users/local/1ztI2Oc6/items/8ZZCG8II","http://zotero.org/users/12832277/items/8ZZCG8II"],"itemData":{"id":3,"type":"article-journal","abstract":"This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R."}],"issued":{"date-parts":[["2015",9,1]]}}},{"id":509,"uris":["http://zotero.org/users/local/1ztI2Oc6/items/YY3IMIFG","http://zotero.org/users/12832277/items/YY3IMIFG"],"itemData":{"id":509,"type":"article-journal","abstract":"The introduction of land prices and a real estate market in the reform period have led to residential differentiations in previously largely homogenous Chinese cities. Based on qualitative data from 14 months of ethnographic fieldwork in an upscale Beijing suburb, in this paper I draw attention to the agency of urban residents in this process. I argue that housing choices in China today are deeply embedded in and related to a larger socio-cultural and spatial reconfiguration of Chinese society. The new urban middle class has developed specific ideas about their living environment and life-style. They aspire to have green space, better air quality, and spaciousness, among other physical characteristics, but also privacy and exclusivity in their new places of residence. I show that residential compounds have become the basis for identity and lifestyle formation, crucial in the process of social differentiation, which in turn underline and reinforce growing disparities in Chinese society. Over and above the outcome of economic restructuring and political decision making, residential differentiation in China today is a social practice that marks urban professionals' status and supports their new modern, urban identities. In addition, this social practice also has an impact on Beijing's suburbanization process.","container-title":"City &amp; Society","DOI":"10.1525/city.2007.19.2.287","ISSN":"1548-744X","issue":"2","language":"en","note":"_eprint: https://onlinelibrary.wiley.com/doi/pdf/10.1525/city.2007.19.2.287","page":"287-311","source":"Wiley Online Library","title":"“To Choose a House Means to Choose a Lifestyle.” The Consumption of Housing and Class-Structuration in Urban China","volume":"19","author":[{"family":"Fleischer","given":"Friederike"}],"issued":{"date-parts":[["2007"]]}}},{"id":507,"uris":["http://zotero.org/users/local/1ztI2Oc6/items/C8SG5D63","http://zotero.org/users/12832277/items/C8SG5D63"],"itemData":{"id":507,"type":"article-journal","abstract":"Purpose This study aims to investigate the role of psychological factor affecting Malaysian consumers’ purchase intention towards green residential buildings and to examine whether the purchase intention affects their willingness to pay for such buildings. Design/methodology/approach In general, a total of 304 respondents participated in the survey of this study and they are from three states in Malaysia, namely, Penang, Selangor and Johor. The Statistical Package for the Social Sciences (SPSS) and partial least square structural equation modelling (PLS-SEM) analyses were performed on the latent variables. Findings This study concludes that the main factors influencing consumer purchase intention towards green residential buildings include the attitude towards green residential buildings, the perceived moral obligation, the environmental concern, the perceived value, the perceived self-identity and the financial risk. These do not include subjective norms, perceived behavioural control, performance risk and psychological risk. Subsequently, the purchase intention was found to be an essential predictor of consumers’ willingness to pay for a green home in a green residential building. Research limitations/implications Psychological factors are noteworthy determinants in assessing consumer purchase intention toward green residential building in Malaysia. Originality/value Going green has become prevalent among Malaysian households, and it should be embraced for promoting green living such as purchasing a green home. This study is expected to provide insights to property developers in designing their marketing and promotion strategies. As for the government sector, the findings are important in view of the recent government blueprint focused on building a sustainable city in near future.","container-title":"International Journal of Housing Markets and Analysis","DOI":"10.1108/IJHMA-11-2017-0097","ISSN":"1753-8270","issue":"5","note":"publisher: Emerald Publishing Limited","page":"788-807","source":"Emerald Insight","title":"The Role of Psychological Factors in Influencing Consumer Purchase Intention Towards Green Residential Building","volume":"11","author":[{"family":"Tan","given":"Wee-Lee"},{"family":"Goh","given":"Yen-Nee"}],"issued":{"date-parts":[["2018",1,1]]}}}],"schema":"https://github.com/citation-style-language/schema/raw/master/csl-citation.json"} </w:instrText>
      </w:r>
      <w:r w:rsidR="006033FF" w:rsidRPr="009B2F97">
        <w:fldChar w:fldCharType="separate"/>
      </w:r>
      <w:r w:rsidR="00740933" w:rsidRPr="00740933">
        <w:t>(Bhat, 2015a; Fleischer, 2007; Tan and Goh, 2018)</w:t>
      </w:r>
      <w:r w:rsidR="006033FF" w:rsidRPr="009B2F97">
        <w:fldChar w:fldCharType="end"/>
      </w:r>
      <w:r w:rsidRPr="009B2F97">
        <w:t xml:space="preserve">. It is expected that </w:t>
      </w:r>
      <w:r w:rsidR="00684F50" w:rsidRPr="009434FD">
        <w:t>individuals</w:t>
      </w:r>
      <w:r w:rsidRPr="009434FD">
        <w:t xml:space="preserve"> with high </w:t>
      </w:r>
      <w:r w:rsidR="00684F50" w:rsidRPr="009434FD">
        <w:t>GLP</w:t>
      </w:r>
      <w:r w:rsidRPr="009434FD">
        <w:t xml:space="preserve"> will seek to reduce their emissions by choosing shorter commute distances</w:t>
      </w:r>
      <w:r w:rsidR="009544F9">
        <w:t xml:space="preserve"> and choose to reside in high population density areas</w:t>
      </w:r>
      <w:r w:rsidRPr="009434FD">
        <w:t xml:space="preserve"> </w:t>
      </w:r>
      <w:r w:rsidR="009544F9">
        <w:t>that concords with their desire to use non-motorized modes of travel. The i</w:t>
      </w:r>
      <w:r w:rsidR="000A422F" w:rsidRPr="009B2F97">
        <w:t xml:space="preserve">ndicators </w:t>
      </w:r>
      <w:r w:rsidR="00D26B4F" w:rsidRPr="009B2F97">
        <w:t>used to measure GLP</w:t>
      </w:r>
      <w:r w:rsidR="00282447" w:rsidRPr="009B2F97">
        <w:t xml:space="preserve"> are presented </w:t>
      </w:r>
      <w:r w:rsidR="000A422F" w:rsidRPr="009B2F97">
        <w:t xml:space="preserve">in </w:t>
      </w:r>
      <w:r w:rsidR="004F7FAD" w:rsidRPr="009B2F97">
        <w:t xml:space="preserve">Figure </w:t>
      </w:r>
      <w:r w:rsidR="008345D5" w:rsidRPr="009B2F97">
        <w:t>2</w:t>
      </w:r>
      <w:r w:rsidR="00282447" w:rsidRPr="009B2F97">
        <w:t xml:space="preserve"> and </w:t>
      </w:r>
      <w:r w:rsidR="000A422F" w:rsidRPr="009B2F97">
        <w:t xml:space="preserve">include </w:t>
      </w:r>
      <w:r w:rsidR="00282447" w:rsidRPr="009B2F97">
        <w:t xml:space="preserve">measures of </w:t>
      </w:r>
      <w:r w:rsidR="000A422F" w:rsidRPr="009B2F97">
        <w:t>attitudes toward environmentally conscious actions</w:t>
      </w:r>
      <w:r w:rsidR="009544F9">
        <w:t xml:space="preserve"> </w:t>
      </w:r>
      <w:r w:rsidR="000A422F" w:rsidRPr="009B2F97">
        <w:t>and revealed</w:t>
      </w:r>
      <w:r w:rsidR="009544F9">
        <w:t xml:space="preserve"> walking </w:t>
      </w:r>
      <w:r w:rsidR="000A422F" w:rsidRPr="009B2F97">
        <w:t xml:space="preserve">behavior. </w:t>
      </w:r>
    </w:p>
    <w:p w14:paraId="749B24F3" w14:textId="1446870D" w:rsidR="00C403BC" w:rsidRPr="009B2F97" w:rsidRDefault="00C403BC" w:rsidP="006F37E3">
      <w:pPr>
        <w:spacing w:after="0" w:line="240" w:lineRule="auto"/>
        <w:ind w:firstLine="720"/>
        <w:jc w:val="both"/>
      </w:pPr>
      <w:r w:rsidRPr="009B2F97">
        <w:t>The second latent construct is the luxury lifestyle propensity</w:t>
      </w:r>
      <w:r w:rsidR="00282447" w:rsidRPr="009B2F97">
        <w:t xml:space="preserve"> (LLP)</w:t>
      </w:r>
      <w:r w:rsidRPr="009B2F97">
        <w:t xml:space="preserve">, which measures the preference for increased privacy and high levels of consumption. </w:t>
      </w:r>
      <w:r w:rsidR="000A422F" w:rsidRPr="009B2F97">
        <w:t xml:space="preserve">A luxury lifestyle is associated with </w:t>
      </w:r>
      <w:r w:rsidR="00A0067D">
        <w:t>a</w:t>
      </w:r>
      <w:r w:rsidR="000A422F" w:rsidRPr="009B2F97">
        <w:t xml:space="preserve"> </w:t>
      </w:r>
      <w:r w:rsidR="00A0067D">
        <w:t xml:space="preserve">preference for privacy, spaciousness, and exclusivity </w:t>
      </w:r>
      <w:r w:rsidR="00EB6494">
        <w:fldChar w:fldCharType="begin"/>
      </w:r>
      <w:r w:rsidR="000C4AE3">
        <w:instrText xml:space="preserve"> ADDIN ZOTERO_ITEM CSL_CITATION {"citationID":"j0Nz43Qi","properties":{"formattedCitation":"(Bhat, 2015a; Wang, 2022)","plainCitation":"(Bhat, 2015a; Wang, 2022)","noteIndex":0},"citationItems":[{"id":3,"uris":["http://zotero.org/users/local/1ztI2Oc6/items/8ZZCG8II","http://zotero.org/users/12832277/items/8ZZCG8II"],"itemData":{"id":3,"type":"article-journal","abstract":"This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R."}],"issued":{"date-parts":[["2015",9,1]]}}},{"id":504,"uris":["http://zotero.org/users/local/1ztI2Oc6/items/I7C9R8VH","http://zotero.org/users/12832277/items/I7C9R8VH"],"itemData":{"id":504,"type":"article-journal","abstract":"Defining “luxury” as expensive and exclusive products and brands that are differentiated from other offers based on their exquisite design and craftmanship, sensory appeal, and distinct socio-cultural narratives, this conceptual paper integrates the established view of wealth-based luxury with an alternative perspective focused on luxury competencies. These competencies include expertise, aesthetic taste, and sensitivity to luxury symbolism and are developed by learning and enjoying the unique luxury features relating to design and craftmanship, sensory appeal, and socio-cultural narratives. The relationship between the wealth-based and competencies-based perspectives is examined for consumption goals; considerations, choice and usage; and consumption outcomes. After identifying individual and societal moderating factors (socio-economic status and self-related factors as well as the effectiveness of social status symbols and the power structure of society), future research issues and research propositions are presented. This paper concludes by advising luxury managers to develop competencies-based strategies to address contemporary luxury challenges.","container-title":"International Journal of Research in Marketing","DOI":"10.1016/j.ijresmar.2021.10.010","ISSN":"0167-8116","issue":"3","language":"en","page":"788-803","source":"ScienceDirect","title":"A Conceptual Framework of Contemporary Luxury Consumption","volume":"39","author":[{"family":"Wang","given":"Yajin"}],"issued":{"date-parts":[["2022",9,1]]}}}],"schema":"https://github.com/citation-style-language/schema/raw/master/csl-citation.json"} </w:instrText>
      </w:r>
      <w:r w:rsidR="00EB6494">
        <w:fldChar w:fldCharType="separate"/>
      </w:r>
      <w:r w:rsidR="00EB6494" w:rsidRPr="00EB6494">
        <w:t>(Bhat, 2015a; Wang, 2022)</w:t>
      </w:r>
      <w:r w:rsidR="00EB6494">
        <w:fldChar w:fldCharType="end"/>
      </w:r>
      <w:r w:rsidR="00A0067D">
        <w:t xml:space="preserve">. Thus, we expect that </w:t>
      </w:r>
      <w:r w:rsidRPr="009B2F97">
        <w:t xml:space="preserve">those with high </w:t>
      </w:r>
      <w:r w:rsidR="006936AD" w:rsidRPr="009434FD">
        <w:t>LLP</w:t>
      </w:r>
      <w:r w:rsidRPr="009434FD">
        <w:t xml:space="preserve"> will choose </w:t>
      </w:r>
      <w:r w:rsidR="00EC2232">
        <w:t xml:space="preserve">single-family houses rather than apartments, own their homes, live in </w:t>
      </w:r>
      <w:r w:rsidR="007246B0">
        <w:t>high-cost</w:t>
      </w:r>
      <w:r w:rsidR="00063A7C">
        <w:t xml:space="preserve"> </w:t>
      </w:r>
      <w:r w:rsidR="00EC2232">
        <w:t>dwelling units</w:t>
      </w:r>
      <w:r w:rsidRPr="009434FD">
        <w:t xml:space="preserve"> with more bedrooms</w:t>
      </w:r>
      <w:r w:rsidR="00063A7C">
        <w:t>, and in neighborhoods with low crime rates</w:t>
      </w:r>
      <w:r w:rsidRPr="009B2F97">
        <w:t xml:space="preserve">. </w:t>
      </w:r>
      <w:r w:rsidR="000A422F" w:rsidRPr="009B2F97">
        <w:t xml:space="preserve">The indicators for this </w:t>
      </w:r>
      <w:r w:rsidR="00C95B0A">
        <w:t xml:space="preserve">latent </w:t>
      </w:r>
      <w:r w:rsidR="000A422F" w:rsidRPr="009B2F97">
        <w:t xml:space="preserve">construct, shown in </w:t>
      </w:r>
      <w:r w:rsidR="004F7FAD" w:rsidRPr="009B2F97">
        <w:t xml:space="preserve">Figure </w:t>
      </w:r>
      <w:r w:rsidR="008345D5" w:rsidRPr="009B2F97">
        <w:t>2</w:t>
      </w:r>
      <w:r w:rsidR="000A422F" w:rsidRPr="009B2F97">
        <w:t xml:space="preserve">, include </w:t>
      </w:r>
      <w:r w:rsidR="006936AD" w:rsidRPr="009B2F97">
        <w:t xml:space="preserve">the </w:t>
      </w:r>
      <w:r w:rsidR="0098788B" w:rsidRPr="009B2F97">
        <w:t xml:space="preserve">preference for </w:t>
      </w:r>
      <w:r w:rsidR="006B6568" w:rsidRPr="009B2F97">
        <w:t>privacy, a</w:t>
      </w:r>
      <w:r w:rsidR="0098788B" w:rsidRPr="009B2F97">
        <w:t xml:space="preserve"> single-family home </w:t>
      </w:r>
      <w:r w:rsidR="006B6568" w:rsidRPr="009B2F97">
        <w:t>with a</w:t>
      </w:r>
      <w:r w:rsidR="0098788B" w:rsidRPr="009B2F97">
        <w:t xml:space="preserve"> yard</w:t>
      </w:r>
      <w:r w:rsidR="006B6568" w:rsidRPr="009B2F97">
        <w:t>,</w:t>
      </w:r>
      <w:r w:rsidR="0098788B" w:rsidRPr="009B2F97">
        <w:t xml:space="preserve"> and </w:t>
      </w:r>
      <w:r w:rsidR="006B6568" w:rsidRPr="009B2F97">
        <w:t xml:space="preserve">higher levels of </w:t>
      </w:r>
      <w:r w:rsidR="0098788B" w:rsidRPr="009B2F97">
        <w:t xml:space="preserve">vehicle ownership, all of which point to higher levels of conspicuous consumption. </w:t>
      </w:r>
    </w:p>
    <w:p w14:paraId="6763F662" w14:textId="1F6F25A6" w:rsidR="00424991" w:rsidRDefault="00C403BC" w:rsidP="006F37E3">
      <w:pPr>
        <w:spacing w:after="0" w:line="240" w:lineRule="auto"/>
        <w:ind w:firstLine="720"/>
        <w:jc w:val="both"/>
      </w:pPr>
      <w:r w:rsidRPr="009B2F97">
        <w:t xml:space="preserve">The third latent construct </w:t>
      </w:r>
      <w:r w:rsidR="006201A6">
        <w:t>is the telework lifestyle propensity</w:t>
      </w:r>
      <w:r w:rsidR="007305D0">
        <w:t xml:space="preserve"> (TLP)</w:t>
      </w:r>
      <w:r w:rsidRPr="009B2F97">
        <w:t>, which</w:t>
      </w:r>
      <w:r w:rsidR="001E78C1">
        <w:t xml:space="preserve"> captures</w:t>
      </w:r>
      <w:r w:rsidRPr="009B2F97">
        <w:t xml:space="preserve"> </w:t>
      </w:r>
      <w:r w:rsidR="001E78C1">
        <w:t xml:space="preserve">an </w:t>
      </w:r>
      <w:r w:rsidR="006936AD" w:rsidRPr="009434FD">
        <w:t>individua</w:t>
      </w:r>
      <w:r w:rsidR="001E78C1">
        <w:t>l’s</w:t>
      </w:r>
      <w:r w:rsidRPr="009B2F97">
        <w:t xml:space="preserve"> relative </w:t>
      </w:r>
      <w:r w:rsidR="006A1708" w:rsidRPr="009B2F97">
        <w:t>inclination toward</w:t>
      </w:r>
      <w:r w:rsidRPr="009B2F97">
        <w:t xml:space="preserve"> working from home </w:t>
      </w:r>
      <w:r w:rsidR="001E78C1">
        <w:t>rather than from the office. A s</w:t>
      </w:r>
      <w:r w:rsidR="006114B6" w:rsidRPr="009B2F97">
        <w:t>hif</w:t>
      </w:r>
      <w:r w:rsidR="001E78C1">
        <w:t>t</w:t>
      </w:r>
      <w:r w:rsidR="006114B6" w:rsidRPr="009B2F97">
        <w:t xml:space="preserve"> from </w:t>
      </w:r>
      <w:r w:rsidR="001E78C1">
        <w:t>office</w:t>
      </w:r>
      <w:r w:rsidR="006114B6" w:rsidRPr="009B2F97">
        <w:t xml:space="preserve"> to remote work has important lifestyle implications, </w:t>
      </w:r>
      <w:r w:rsidR="0029457A" w:rsidRPr="009B2F97">
        <w:t xml:space="preserve">with a substantial portion of daily activities being relocated </w:t>
      </w:r>
      <w:r w:rsidR="006114B6" w:rsidRPr="009B2F97">
        <w:t>from the workplace to the home</w:t>
      </w:r>
      <w:r w:rsidR="0029457A" w:rsidRPr="009B2F97">
        <w:t>, thereby transforming</w:t>
      </w:r>
      <w:r w:rsidR="006114B6" w:rsidRPr="009B2F97">
        <w:t xml:space="preserve"> the role of the dwelling unit</w:t>
      </w:r>
      <w:r w:rsidR="00CA765B" w:rsidRPr="009B2F97">
        <w:t xml:space="preserve"> </w:t>
      </w:r>
      <w:r w:rsidR="00CA765B" w:rsidRPr="009B2F97">
        <w:fldChar w:fldCharType="begin"/>
      </w:r>
      <w:r w:rsidR="008912F0">
        <w:instrText xml:space="preserve"> ADDIN ZOTERO_ITEM CSL_CITATION {"citationID":"YlfapQlT","properties":{"formattedCitation":"(Doling and Arundel, 2022)","plainCitation":"(Doling and Arundel, 2022)","noteIndex":0},"citationItems":[{"id":515,"uris":["http://zotero.org/users/local/1ztI2Oc6/items/7AC54LZU","http://zotero.org/users/12832277/items/7AC54LZU"],"itemData":{"id":515,"type":"article-journal","abstract":"The aim of this paper is to examine the increasing use of the home as a workplace and establish its significance for housing studies. Firstly, the article sketches its historical growth founded in technological and business model changes. Using cross-country datasets, it identifies variations across the EU in the scale and characteristics of home working, which by 2015 was the practice for about 1 in 6 EU workers, a ratio that has been greatly boosted by responses to the coronavirus pandemic. Secondly, the article considers the implications of increasing home working for housing studies. This is illustrated through a consideration of influences on our understanding of housing demand, particularly in terms of housing form and location. Further, we consider consequences for other areas of theory on the meaning of home, boundaries between public and private realms, and gender perspectives on the division of domestic work and space.","container-title":"Housing, Theory and Society","DOI":"10.1080/14036096.2020.1846611","ISSN":"1403-6096","issue":"1","note":"publisher: Routledge\n_eprint: https://doi.org/10.1080/14036096.2020.1846611","page":"1-20","source":"Taylor and Francis+NEJM","title":"The Home as Workplace: A Challenge for Housing Research","title-short":"The Home as Workplace","volume":"39","author":[{"family":"Doling","given":"John"},{"family":"Arundel","given":"Rowan"}],"issued":{"date-parts":[["2022",1,1]]}}}],"schema":"https://github.com/citation-style-language/schema/raw/master/csl-citation.json"} </w:instrText>
      </w:r>
      <w:r w:rsidR="00CA765B" w:rsidRPr="009B2F97">
        <w:fldChar w:fldCharType="separate"/>
      </w:r>
      <w:r w:rsidR="00BA12C7" w:rsidRPr="009B2F97">
        <w:t>(Doling and Arundel, 2022)</w:t>
      </w:r>
      <w:r w:rsidR="00CA765B" w:rsidRPr="009B2F97">
        <w:fldChar w:fldCharType="end"/>
      </w:r>
      <w:r w:rsidR="006114B6" w:rsidRPr="009B2F97">
        <w:t xml:space="preserve">. </w:t>
      </w:r>
      <w:r w:rsidR="00E3596F" w:rsidRPr="009B2F97">
        <w:t>Since the onset of the pandemic, s</w:t>
      </w:r>
      <w:r w:rsidR="006114B6" w:rsidRPr="009434FD">
        <w:t xml:space="preserve">ignificant connections have been </w:t>
      </w:r>
      <w:r w:rsidR="00E3596F" w:rsidRPr="009434FD">
        <w:t>established</w:t>
      </w:r>
      <w:r w:rsidR="006114B6" w:rsidRPr="009434FD">
        <w:t xml:space="preserve"> between </w:t>
      </w:r>
      <w:r w:rsidR="00E3596F" w:rsidRPr="009434FD">
        <w:t xml:space="preserve">the </w:t>
      </w:r>
      <w:r w:rsidR="006114B6" w:rsidRPr="009434FD">
        <w:t xml:space="preserve">preference for telework and </w:t>
      </w:r>
      <w:r w:rsidR="004B5E01" w:rsidRPr="009434FD">
        <w:t>housing</w:t>
      </w:r>
      <w:r w:rsidR="006114B6" w:rsidRPr="009C5F54">
        <w:t xml:space="preserve"> preferences, motivating its inclusion as a latent construct </w:t>
      </w:r>
      <w:r w:rsidR="006114B6" w:rsidRPr="009B2F97">
        <w:fldChar w:fldCharType="begin"/>
      </w:r>
      <w:r w:rsidR="008912F0">
        <w:instrText xml:space="preserve"> ADDIN ZOTERO_ITEM CSL_CITATION {"citationID":"6ZxQmnwW","properties":{"formattedCitation":"(de Abreu e Silva, 2022)","plainCitation":"(de Abreu e Silva, 2022)","dontUpdate":true,"noteIndex":0},"citationItems":[{"id":512,"uris":["http://zotero.org/users/local/1ztI2Oc6/items/MBBXXYB5","http://zotero.org/users/12832277/items/MBBXXYB5"],"itemData":{"id":512,"type":"article-journal","abstract":"Confinement measures imposed during the COVID-19 pandemic forced many people to work from home. As telework reduces commuting costs, there is the possibility of contributing to urban sprawl as it allows people to move to the periphery. A web-based survey focusing on telework was conducted in the Lisbon Metropolitan Area. A structural equation model was built to study the influence of residential location preferences, perceptions about telework, and current residential location with the intention to engage in telework. People willing to telework more frequently have a higher probability of living in suburban locations, preferring this type of environment and having longer commutes. These results support the premise that telework acts as a mechanism to reduce commute burden.","container-title":"Regional Science Policy &amp; Practice","DOI":"10.1111/rsp3.12558","ISSN":"1757-7802","issue":"S1","language":"en","note":"_eprint: https://onlinelibrary.wiley.com/doi/pdf/10.1111/rsp3.12558","page":"142-161","source":"Wiley Online Library","title":"Residential Preferences, Telework Perceptions, and the Intention to Telework: Insights from the Lisbon Metropolitan Area During the COVID-19 Pandemic","title-short":"Residential Preferences, Telework Perceptions, and the Intention to Telework","volume":"14","author":[{"family":"Abreu e Silva","given":"João","non-dropping-particle":"de"}],"issued":{"date-parts":[["2022"]]}}}],"schema":"https://github.com/citation-style-language/schema/raw/master/csl-citation.json"} </w:instrText>
      </w:r>
      <w:r w:rsidR="006114B6" w:rsidRPr="009B2F97">
        <w:fldChar w:fldCharType="separate"/>
      </w:r>
      <w:r w:rsidR="00BA12C7" w:rsidRPr="009B2F97">
        <w:t>(</w:t>
      </w:r>
      <w:r w:rsidR="005904FF">
        <w:t xml:space="preserve">see also </w:t>
      </w:r>
      <w:r w:rsidR="00BA12C7" w:rsidRPr="009B2F97">
        <w:t>de Abreu e Silva, 2022)</w:t>
      </w:r>
      <w:r w:rsidR="006114B6" w:rsidRPr="009B2F97">
        <w:fldChar w:fldCharType="end"/>
      </w:r>
      <w:r w:rsidR="006114B6" w:rsidRPr="009B2F97">
        <w:t>.</w:t>
      </w:r>
      <w:r w:rsidRPr="009B2F97">
        <w:t xml:space="preserve"> </w:t>
      </w:r>
      <w:r w:rsidR="00575254">
        <w:t>TLP</w:t>
      </w:r>
      <w:r w:rsidRPr="009434FD">
        <w:t xml:space="preserve"> is expected to </w:t>
      </w:r>
      <w:r w:rsidR="0098788B" w:rsidRPr="009434FD">
        <w:t xml:space="preserve">be an important factor impacting commute distance and </w:t>
      </w:r>
      <w:r w:rsidR="005904FF">
        <w:t xml:space="preserve">dwelling unit characteristics, </w:t>
      </w:r>
      <w:r w:rsidR="0098788B" w:rsidRPr="009434FD">
        <w:t xml:space="preserve">since those </w:t>
      </w:r>
      <w:r w:rsidR="005904FF">
        <w:t xml:space="preserve">with a high TLP </w:t>
      </w:r>
      <w:r w:rsidR="005904FF">
        <w:lastRenderedPageBreak/>
        <w:t>may, for example,</w:t>
      </w:r>
      <w:r w:rsidR="0098788B" w:rsidRPr="009434FD">
        <w:t xml:space="preserve"> </w:t>
      </w:r>
      <w:r w:rsidR="005904FF">
        <w:t xml:space="preserve">have longer commute distances (because they </w:t>
      </w:r>
      <w:r w:rsidR="0098788B" w:rsidRPr="009C5F54">
        <w:t xml:space="preserve">make </w:t>
      </w:r>
      <w:r w:rsidR="005904FF">
        <w:t xml:space="preserve">the commute less frequently) and tend to live in single family homes (rather than in apartment complexes). </w:t>
      </w:r>
      <w:r w:rsidR="0098788B" w:rsidRPr="009C5F54">
        <w:t xml:space="preserve">Indicators for </w:t>
      </w:r>
      <w:r w:rsidR="001B4729" w:rsidRPr="008253CB">
        <w:t>teleworking</w:t>
      </w:r>
      <w:r w:rsidR="0098788B" w:rsidRPr="001D5FAF">
        <w:t xml:space="preserve"> include attitudes towards working at home</w:t>
      </w:r>
      <w:r w:rsidR="00BA7619">
        <w:t>, revealed current telework frequency,</w:t>
      </w:r>
      <w:r w:rsidR="0098788B" w:rsidRPr="001D5FAF">
        <w:t xml:space="preserve"> </w:t>
      </w:r>
      <w:r w:rsidR="0098788B" w:rsidRPr="009179E5">
        <w:t>and anticipated preference for future teleworking</w:t>
      </w:r>
      <w:r w:rsidR="00424991" w:rsidRPr="009B2F97">
        <w:t xml:space="preserve"> arrangements.</w:t>
      </w:r>
      <w:bookmarkEnd w:id="13"/>
      <w:r w:rsidR="005904FF" w:rsidRPr="00C82547">
        <w:rPr>
          <w:rStyle w:val="FootnoteReference"/>
        </w:rPr>
        <w:footnoteReference w:id="4"/>
      </w:r>
      <w:r w:rsidR="00AA6C27">
        <w:t xml:space="preserve"> </w:t>
      </w:r>
    </w:p>
    <w:p w14:paraId="2B88AF6E" w14:textId="77777777" w:rsidR="00CB3EDA" w:rsidRPr="004736A5" w:rsidRDefault="00CB3EDA" w:rsidP="006F37E3">
      <w:pPr>
        <w:spacing w:after="0" w:line="240" w:lineRule="auto"/>
        <w:ind w:firstLine="720"/>
        <w:jc w:val="both"/>
      </w:pPr>
    </w:p>
    <w:p w14:paraId="3441F902" w14:textId="225ECE97" w:rsidR="000E2A59" w:rsidRPr="009434FD" w:rsidRDefault="00A5420C" w:rsidP="006F37E3">
      <w:pPr>
        <w:spacing w:after="0" w:line="240" w:lineRule="auto"/>
        <w:jc w:val="both"/>
        <w:rPr>
          <w:b/>
          <w:bCs/>
          <w:i/>
          <w:iCs/>
        </w:rPr>
      </w:pPr>
      <w:r w:rsidRPr="009434FD">
        <w:rPr>
          <w:b/>
          <w:bCs/>
          <w:i/>
          <w:iCs/>
        </w:rPr>
        <w:t>3.</w:t>
      </w:r>
      <w:r w:rsidR="00F30A67" w:rsidRPr="009434FD">
        <w:rPr>
          <w:b/>
          <w:bCs/>
          <w:i/>
          <w:iCs/>
        </w:rPr>
        <w:t>2</w:t>
      </w:r>
      <w:r w:rsidRPr="009434FD">
        <w:rPr>
          <w:b/>
          <w:bCs/>
          <w:i/>
          <w:iCs/>
        </w:rPr>
        <w:t>.4 Endogenous Effects</w:t>
      </w:r>
    </w:p>
    <w:p w14:paraId="6C7C8960" w14:textId="4DC25D6A" w:rsidR="009145E7" w:rsidRDefault="000E2A59" w:rsidP="006F37E3">
      <w:pPr>
        <w:spacing w:after="0" w:line="240" w:lineRule="auto"/>
        <w:jc w:val="both"/>
      </w:pPr>
      <w:bookmarkStart w:id="16" w:name="_Hlk148694474"/>
      <w:r w:rsidRPr="009434FD">
        <w:t>Endogenous effects capture the recursive influences and interdependencies among the endogenous outcomes within the model.</w:t>
      </w:r>
      <w:r w:rsidR="009145E7">
        <w:t xml:space="preserve"> As mentioned previously, the three stochastic latent constructs serve both to capture lifestyle preferences that influence housing choices and to allow for unobserved covariance effects among the main outcomes.</w:t>
      </w:r>
      <w:r w:rsidRPr="009434FD">
        <w:t xml:space="preserve"> </w:t>
      </w:r>
      <w:r w:rsidR="009145E7">
        <w:t xml:space="preserve">By </w:t>
      </w:r>
      <w:r w:rsidRPr="009434FD">
        <w:t xml:space="preserve">accommodating </w:t>
      </w:r>
      <w:r w:rsidR="009145E7">
        <w:t xml:space="preserve">these </w:t>
      </w:r>
      <w:r w:rsidRPr="009434FD">
        <w:t>c</w:t>
      </w:r>
      <w:r w:rsidR="001E78C1">
        <w:t xml:space="preserve">ovariance </w:t>
      </w:r>
      <w:r w:rsidRPr="009B2F97">
        <w:t xml:space="preserve">effects through the latent variables, we </w:t>
      </w:r>
      <w:r w:rsidR="001E78C1">
        <w:t>are better able to discern the causal chain of effects among the housing outcomes</w:t>
      </w:r>
      <w:r w:rsidR="009145E7">
        <w:t xml:space="preserve"> through the recursive effects</w:t>
      </w:r>
      <w:r w:rsidR="009874A4">
        <w:t xml:space="preserve"> among the endogenous outcomes</w:t>
      </w:r>
      <w:r w:rsidR="001E78C1">
        <w:t xml:space="preserve">. </w:t>
      </w:r>
      <w:r w:rsidR="009874A4">
        <w:t>W</w:t>
      </w:r>
      <w:r w:rsidR="009874A4" w:rsidRPr="0024742D">
        <w:t xml:space="preserve">hile one observed endogenous outcome can affect another dependent outcome, in </w:t>
      </w:r>
      <w:r w:rsidR="00A85AE7">
        <w:t xml:space="preserve">joint models with </w:t>
      </w:r>
      <w:r w:rsidR="009874A4" w:rsidRPr="0024742D">
        <w:t>limited-dependent outcome</w:t>
      </w:r>
      <w:r w:rsidR="00A85AE7">
        <w:t>s</w:t>
      </w:r>
      <w:r w:rsidR="009874A4" w:rsidRPr="0024742D">
        <w:t xml:space="preserve"> (that is, model systems that include non-continuous dependent outcomes), </w:t>
      </w:r>
      <w:r w:rsidR="00A85AE7">
        <w:t xml:space="preserve">model identification requires that </w:t>
      </w:r>
      <w:r w:rsidR="009874A4" w:rsidRPr="0024742D">
        <w:t>endogenous outcome effects can only be recursive</w:t>
      </w:r>
      <w:r w:rsidR="00A85AE7">
        <w:t xml:space="preserve"> and triangular</w:t>
      </w:r>
      <w:r w:rsidR="003D0AAA">
        <w:t xml:space="preserve"> </w:t>
      </w:r>
      <w:r w:rsidR="003D0AAA">
        <w:fldChar w:fldCharType="begin"/>
      </w:r>
      <w:r w:rsidR="000C4AE3">
        <w:instrText xml:space="preserve"> ADDIN ZOTERO_ITEM CSL_CITATION {"citationID":"RvQiZEB7","properties":{"unsorted":true,"formattedCitation":"(Maddala, 1983; Bhat, 2015b)","plainCitation":"(Maddala, 1983; Bhat, 2015b)","dontUpdate":true,"noteIndex":0},"citationItems":[{"id":1241,"uris":["http://zotero.org/users/12832277/items/AK34IHMZ"],"itemData":{"id":1241,"type":"book","abstract":"This book presents the econometric analysis of single-equation and simultaneous-equation models in which the jointly dependent variables can be continuous, categorical, or truncated. Despite the traditional emphasis on continuous variables in econometrics, many of the economic variables encountered in practice are categorical (those for which a suitable category can be found but where no actual measurement exists) or truncated (those that can be observed only in certain ranges). Such variables are involved, for example, in models of occupational choice, choice of tenure in housing, and choice of type of schooling. Models with regulated prices and rationing, and models for program evaluation, also represent areas of application for the techniques presented by the author.","ISBN":"978-0-521-33825-7","language":"en","number-of-pages":"418","publisher":"Cambridge University Press","source":"Google Books","title":"Limited-Dependent and Qualitative Variables in Econometrics","author":[{"family":"Maddala","given":"G. S."}],"issued":{"date-parts":[["1983"]]}}},{"id":675,"uris":["http://zotero.org/users/local/1ztI2Oc6/items/E2IK5TA3","http://zotero.org/users/12832277/items/E2IK5TA3"],"itemData":{"id":675,"type":"article-journal","abstract":"This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R."}],"issued":{"date-parts":[["2015",9,1]]}}}],"schema":"https://github.com/citation-style-language/schema/raw/master/csl-citation.json"} </w:instrText>
      </w:r>
      <w:r w:rsidR="003D0AAA">
        <w:fldChar w:fldCharType="separate"/>
      </w:r>
      <w:r w:rsidR="003D0AAA" w:rsidRPr="003D0AAA">
        <w:t>(</w:t>
      </w:r>
      <w:r w:rsidR="003D0AAA">
        <w:t xml:space="preserve">see </w:t>
      </w:r>
      <w:r w:rsidR="003D0AAA" w:rsidRPr="003D0AAA">
        <w:t>Maddala, 1983; Bhat, 2015b)</w:t>
      </w:r>
      <w:r w:rsidR="003D0AAA">
        <w:fldChar w:fldCharType="end"/>
      </w:r>
      <w:r w:rsidR="009874A4" w:rsidRPr="0024742D">
        <w:t>.</w:t>
      </w:r>
      <w:r w:rsidR="009874A4">
        <w:t xml:space="preserve"> That is, the causal </w:t>
      </w:r>
      <w:r w:rsidR="00A85AE7">
        <w:t>relationship</w:t>
      </w:r>
      <w:r w:rsidR="009874A4">
        <w:t xml:space="preserve"> between </w:t>
      </w:r>
      <w:r w:rsidR="00A85AE7">
        <w:t xml:space="preserve">two </w:t>
      </w:r>
      <w:r w:rsidR="009874A4">
        <w:t xml:space="preserve">endogenous outcomes </w:t>
      </w:r>
      <w:r w:rsidR="00A85AE7">
        <w:t>can only be in one direction</w:t>
      </w:r>
      <w:r w:rsidR="009874A4">
        <w:t xml:space="preserve">. </w:t>
      </w:r>
      <w:r w:rsidRPr="009B2F97">
        <w:t xml:space="preserve">The final </w:t>
      </w:r>
      <w:r w:rsidR="001E78C1">
        <w:t xml:space="preserve">preferred endogenous causal pathway </w:t>
      </w:r>
      <w:r w:rsidRPr="009434FD">
        <w:t xml:space="preserve">structure </w:t>
      </w:r>
      <w:r w:rsidR="001E78C1">
        <w:t xml:space="preserve">from our analysis is </w:t>
      </w:r>
      <w:r w:rsidRPr="009B2F97">
        <w:t xml:space="preserve">shown in </w:t>
      </w:r>
      <w:r w:rsidR="006B6453" w:rsidRPr="009B2F97">
        <w:t xml:space="preserve">Figure </w:t>
      </w:r>
      <w:r w:rsidR="007246B0" w:rsidRPr="009B2F97">
        <w:t>3 and</w:t>
      </w:r>
      <w:r w:rsidR="001E78C1">
        <w:t xml:space="preserve"> is discussed later.</w:t>
      </w:r>
      <w:bookmarkEnd w:id="16"/>
      <w:r w:rsidR="00A85AE7">
        <w:t xml:space="preserve"> </w:t>
      </w:r>
      <w:r w:rsidR="009874A4">
        <w:t xml:space="preserve">This structure was determined through </w:t>
      </w:r>
      <w:r w:rsidR="00A85AE7">
        <w:t xml:space="preserve">testing each direction of causality between each pair of endogenous </w:t>
      </w:r>
      <w:r w:rsidR="009874A4">
        <w:t xml:space="preserve">outcomes, </w:t>
      </w:r>
      <w:r w:rsidR="00A85AE7">
        <w:t>and selecting the causal structure among the many outcomes that achieved the best data fit</w:t>
      </w:r>
      <w:r w:rsidR="009874A4">
        <w:t xml:space="preserve">. </w:t>
      </w:r>
      <w:r w:rsidR="009874A4" w:rsidRPr="0024742D">
        <w:rPr>
          <w:color w:val="222222"/>
        </w:rPr>
        <w:t xml:space="preserve">In our empirical context, we consistently achieved </w:t>
      </w:r>
      <w:r w:rsidR="00A85AE7">
        <w:rPr>
          <w:color w:val="222222"/>
        </w:rPr>
        <w:t xml:space="preserve">the </w:t>
      </w:r>
      <w:r w:rsidR="009874A4" w:rsidRPr="0024742D">
        <w:rPr>
          <w:color w:val="222222"/>
        </w:rPr>
        <w:t>be</w:t>
      </w:r>
      <w:r w:rsidR="00A85AE7">
        <w:rPr>
          <w:color w:val="222222"/>
        </w:rPr>
        <w:t>st</w:t>
      </w:r>
      <w:r w:rsidR="009874A4" w:rsidRPr="0024742D">
        <w:rPr>
          <w:color w:val="222222"/>
        </w:rPr>
        <w:t xml:space="preserve"> data fit </w:t>
      </w:r>
      <w:r w:rsidR="00A85AE7">
        <w:rPr>
          <w:color w:val="222222"/>
        </w:rPr>
        <w:t>with</w:t>
      </w:r>
      <w:r w:rsidR="009874A4" w:rsidRPr="0024742D">
        <w:rPr>
          <w:color w:val="222222"/>
        </w:rPr>
        <w:t xml:space="preserve"> the causal </w:t>
      </w:r>
      <w:r w:rsidR="00A85AE7">
        <w:rPr>
          <w:color w:val="222222"/>
        </w:rPr>
        <w:t xml:space="preserve">pathway </w:t>
      </w:r>
      <w:r w:rsidR="009874A4" w:rsidRPr="0024742D">
        <w:rPr>
          <w:color w:val="222222"/>
        </w:rPr>
        <w:t xml:space="preserve">structure </w:t>
      </w:r>
      <w:r w:rsidR="00A85AE7">
        <w:rPr>
          <w:color w:val="222222"/>
        </w:rPr>
        <w:t>of</w:t>
      </w:r>
      <w:r w:rsidR="009874A4">
        <w:rPr>
          <w:color w:val="222222"/>
        </w:rPr>
        <w:t xml:space="preserve"> Figure 3.</w:t>
      </w:r>
    </w:p>
    <w:p w14:paraId="49F1F447" w14:textId="77777777" w:rsidR="003211B8" w:rsidRPr="004736A5" w:rsidRDefault="003211B8" w:rsidP="006F37E3">
      <w:pPr>
        <w:spacing w:after="0" w:line="240" w:lineRule="auto"/>
        <w:jc w:val="both"/>
      </w:pPr>
    </w:p>
    <w:p w14:paraId="5D1C1868" w14:textId="37BE93EC" w:rsidR="00BF5FF7" w:rsidRPr="009434FD" w:rsidRDefault="00BF5FF7" w:rsidP="006F37E3">
      <w:pPr>
        <w:spacing w:after="0" w:line="240" w:lineRule="auto"/>
        <w:jc w:val="both"/>
        <w:rPr>
          <w:b/>
          <w:bCs/>
        </w:rPr>
      </w:pPr>
      <w:r w:rsidRPr="009434FD">
        <w:rPr>
          <w:b/>
          <w:bCs/>
        </w:rPr>
        <w:t xml:space="preserve">4. </w:t>
      </w:r>
      <w:r w:rsidR="00267969">
        <w:rPr>
          <w:b/>
          <w:bCs/>
        </w:rPr>
        <w:t>MODEL RESULTS</w:t>
      </w:r>
    </w:p>
    <w:p w14:paraId="1D91AE06" w14:textId="295108A0" w:rsidR="000806BE" w:rsidRDefault="003C69C5" w:rsidP="006F37E3">
      <w:pPr>
        <w:spacing w:after="0" w:line="240" w:lineRule="auto"/>
        <w:jc w:val="both"/>
      </w:pPr>
      <w:bookmarkStart w:id="17" w:name="_Hlk148694568"/>
      <w:r w:rsidRPr="009434FD">
        <w:t>The final specification presented here is based on an iterative process of including demographic variables in different forms</w:t>
      </w:r>
      <w:r w:rsidR="00794D23" w:rsidRPr="009C5F54">
        <w:t xml:space="preserve"> and</w:t>
      </w:r>
      <w:r w:rsidRPr="009C5F54">
        <w:t xml:space="preserve"> testing alternative combinations of explanatory variables based on statistical fit. </w:t>
      </w:r>
      <w:r w:rsidR="000806BE">
        <w:t xml:space="preserve">The categorical/bracketed variables </w:t>
      </w:r>
      <w:r w:rsidR="000806BE" w:rsidRPr="00163851">
        <w:t xml:space="preserve">were considered as dummy variables in the most disaggregate form </w:t>
      </w:r>
      <w:r w:rsidR="000806BE">
        <w:t>available,</w:t>
      </w:r>
      <w:r w:rsidR="000806BE" w:rsidRPr="00163851">
        <w:t xml:space="preserve"> and progressively combined based on statistical tests to yield parsimonious specifications. </w:t>
      </w:r>
      <w:r w:rsidR="000806BE">
        <w:t>In the model estimation process, w</w:t>
      </w:r>
      <w:r w:rsidR="000806BE" w:rsidRPr="00D0155A">
        <w:t xml:space="preserve">e </w:t>
      </w:r>
      <w:r w:rsidR="000806BE">
        <w:t>used a t-statistic threshold of 1.00 to retain variables (corresponding to a 0.32 level of significance or 68% confidence level)</w:t>
      </w:r>
      <w:r w:rsidR="000806BE" w:rsidRPr="00D0155A">
        <w:t>, because of the moderate</w:t>
      </w:r>
      <w:r w:rsidR="000806BE">
        <w:t>-</w:t>
      </w:r>
      <w:r w:rsidR="000806BE" w:rsidRPr="00D0155A">
        <w:t>sized sample used in the analysis</w:t>
      </w:r>
      <w:r w:rsidR="000806BE">
        <w:t xml:space="preserve"> and the potential for such included variables to guide future investigations with larger sample sizes.</w:t>
      </w:r>
      <w:r w:rsidR="00B17510">
        <w:t xml:space="preserve"> </w:t>
      </w:r>
      <w:r w:rsidR="002C6CD0">
        <w:t xml:space="preserve">However, it should also be noted that, but for four estimated coefficients in Table 3 and 4, the rest of </w:t>
      </w:r>
      <w:r w:rsidR="002C6CD0" w:rsidRPr="002A6690">
        <w:t>the 155 estimate</w:t>
      </w:r>
      <w:r w:rsidR="002C6CD0">
        <w:t xml:space="preserve">d </w:t>
      </w:r>
      <w:bookmarkStart w:id="18" w:name="_Hlk151475700"/>
      <w:r w:rsidR="002C6CD0">
        <w:t xml:space="preserve">coefficients (not including the 26 thresholds and constants that should always be included) </w:t>
      </w:r>
      <w:bookmarkEnd w:id="18"/>
      <w:r w:rsidR="002C6CD0">
        <w:t xml:space="preserve">have a t-statistic well above the 90% confidence level t-statistic of 1.645. A more parsimonious model excluding these four coefficients had literally no impact on the rest of the model coefficients, indicating that the interpretations and conclusions drawn  are not sensitive to our use of a more liberal confidence </w:t>
      </w:r>
      <w:r w:rsidR="002C6CD0">
        <w:lastRenderedPageBreak/>
        <w:t xml:space="preserve">level to keep the four coefficients with a lower t-statistic (these four coefficients correspond to the impact of ethnicity on TLP in the structural equation model, and the following three effects in the measurement equation model – the effect of TLP on housing type, the income effect on population density of residential living, and the endogenous effect of commute distance on housing type). </w:t>
      </w:r>
      <w:r w:rsidR="00B17510">
        <w:t xml:space="preserve">A “—” entry in the results tables indicates that the row exogenous variable/endogenous outcome does not have any statistically significant impact on the column latent construct (for Table 3) and endogenous outcome (for Table 4). In some cases, the entry also implies that the effect is not applicable. </w:t>
      </w:r>
    </w:p>
    <w:p w14:paraId="22664450" w14:textId="23EB5B35" w:rsidR="003E6274" w:rsidRDefault="003E6274" w:rsidP="006F37E3">
      <w:pPr>
        <w:spacing w:after="0" w:line="240" w:lineRule="auto"/>
        <w:jc w:val="both"/>
      </w:pPr>
      <w:r>
        <w:tab/>
        <w:t xml:space="preserve">The results are organized in several sections. Section 4.1 presents </w:t>
      </w:r>
      <w:r w:rsidR="002C6CD0">
        <w:t xml:space="preserve">results related to </w:t>
      </w:r>
      <w:r w:rsidR="00622C25">
        <w:t>the latent constructs, including the effects of exogenous variables on the latent constructs</w:t>
      </w:r>
      <w:r w:rsidR="002C6CD0">
        <w:t xml:space="preserve"> (constituting the structural equation model or SEM component of the model)</w:t>
      </w:r>
      <w:r w:rsidR="00622C25">
        <w:t xml:space="preserve"> and the relationship between the latent constructs and the indicators</w:t>
      </w:r>
      <w:r w:rsidR="002C6CD0">
        <w:t xml:space="preserve"> (constituting part of the measurement equation model or MEM component of the model)</w:t>
      </w:r>
      <w:r w:rsidR="00622C25">
        <w:t>. Section 4.2 presents the</w:t>
      </w:r>
      <w:r w:rsidR="002C6CD0">
        <w:t xml:space="preserve"> MEM model component corresponding to the effects on the main endogenous outcomes. </w:t>
      </w:r>
      <w:r w:rsidR="00622C25">
        <w:t>The effects of the latent constructs on the main outcomes are presented first, followed by the impacts of exogenous variables,</w:t>
      </w:r>
      <w:r w:rsidR="002C6CD0">
        <w:t xml:space="preserve"> then</w:t>
      </w:r>
      <w:r w:rsidR="00622C25">
        <w:t xml:space="preserve"> the endogenous effects between main outcomes, and </w:t>
      </w:r>
      <w:r w:rsidR="002C6CD0">
        <w:t xml:space="preserve">finally </w:t>
      </w:r>
      <w:r w:rsidR="00622C25">
        <w:t xml:space="preserve">the implied correlations </w:t>
      </w:r>
      <w:r w:rsidR="002C6CD0">
        <w:t xml:space="preserve">(based on the stochastic latent construct effects) </w:t>
      </w:r>
      <w:r w:rsidR="00622C25">
        <w:t xml:space="preserve">between the outcomes. Section 4.3 discusses the model fit in relation to an independent model that ignores the jointness among the outcomes. Finally, </w:t>
      </w:r>
      <w:r w:rsidR="00BF6DC8">
        <w:t>S</w:t>
      </w:r>
      <w:r w:rsidR="00622C25">
        <w:t xml:space="preserve">ection 4.4 discusses average treatment effects, to explore the package nature of the housing decision and the tradeoffs between the outcomes. </w:t>
      </w:r>
    </w:p>
    <w:bookmarkEnd w:id="17"/>
    <w:p w14:paraId="1DBE1FC4" w14:textId="77777777" w:rsidR="00311FBB" w:rsidRDefault="00311FBB" w:rsidP="006F37E3">
      <w:pPr>
        <w:spacing w:after="0" w:line="240" w:lineRule="auto"/>
        <w:jc w:val="both"/>
      </w:pPr>
    </w:p>
    <w:p w14:paraId="0596EF80" w14:textId="5EC97C15" w:rsidR="00BF5FF7" w:rsidRPr="009434FD" w:rsidRDefault="00E84275" w:rsidP="006F37E3">
      <w:pPr>
        <w:spacing w:after="0" w:line="240" w:lineRule="auto"/>
        <w:jc w:val="both"/>
        <w:rPr>
          <w:b/>
          <w:bCs/>
        </w:rPr>
      </w:pPr>
      <w:r w:rsidRPr="009434FD">
        <w:rPr>
          <w:b/>
          <w:bCs/>
        </w:rPr>
        <w:t>4.1 Latent Construct</w:t>
      </w:r>
      <w:r w:rsidR="0098788B" w:rsidRPr="009434FD">
        <w:rPr>
          <w:b/>
          <w:bCs/>
        </w:rPr>
        <w:t>s</w:t>
      </w:r>
    </w:p>
    <w:p w14:paraId="4C418876" w14:textId="797B0AD5" w:rsidR="00E84275" w:rsidRPr="007740CF" w:rsidRDefault="00E84275" w:rsidP="006F37E3">
      <w:pPr>
        <w:tabs>
          <w:tab w:val="left" w:pos="2520"/>
        </w:tabs>
        <w:spacing w:after="0" w:line="240" w:lineRule="auto"/>
        <w:jc w:val="both"/>
        <w:rPr>
          <w:strike/>
        </w:rPr>
      </w:pPr>
      <w:bookmarkStart w:id="19" w:name="_Hlk148694631"/>
      <w:r w:rsidRPr="00B110A8">
        <w:t xml:space="preserve">Table </w:t>
      </w:r>
      <w:r w:rsidR="00B80D01" w:rsidRPr="00B110A8">
        <w:t>3</w:t>
      </w:r>
      <w:r w:rsidR="002C6CD0">
        <w:t>, displaying the SEM model component,</w:t>
      </w:r>
      <w:r w:rsidRPr="00B110A8">
        <w:t xml:space="preserve"> reveals that </w:t>
      </w:r>
      <w:r w:rsidR="00BB484A" w:rsidRPr="00B110A8">
        <w:t>age</w:t>
      </w:r>
      <w:r w:rsidR="00867690" w:rsidRPr="00B110A8">
        <w:t xml:space="preserve"> significantly</w:t>
      </w:r>
      <w:r w:rsidR="00BB484A" w:rsidRPr="00B110A8">
        <w:t xml:space="preserve"> impacts all three latent constructs. The green lifestyle </w:t>
      </w:r>
      <w:r w:rsidR="00867690" w:rsidRPr="00B110A8">
        <w:t>propensity (GLP)</w:t>
      </w:r>
      <w:r w:rsidR="00BB484A" w:rsidRPr="00B110A8">
        <w:t xml:space="preserve"> </w:t>
      </w:r>
      <w:r w:rsidR="00867690" w:rsidRPr="00B110A8">
        <w:t>decreases</w:t>
      </w:r>
      <w:r w:rsidR="00BB484A" w:rsidRPr="00B110A8">
        <w:t xml:space="preserve"> with age.</w:t>
      </w:r>
      <w:r w:rsidR="00FF3BDD" w:rsidRPr="00B110A8">
        <w:t xml:space="preserve"> </w:t>
      </w:r>
      <w:r w:rsidR="00DA5405" w:rsidRPr="00B110A8">
        <w:t>This finding aligns with previous research indicating that o</w:t>
      </w:r>
      <w:r w:rsidR="00FF3BDD" w:rsidRPr="00B110A8">
        <w:t xml:space="preserve">lder adults </w:t>
      </w:r>
      <w:r w:rsidR="00686337" w:rsidRPr="00B110A8">
        <w:t>tend</w:t>
      </w:r>
      <w:r w:rsidR="00FF3BDD" w:rsidRPr="00B110A8">
        <w:t xml:space="preserve"> to prioritize business and economic growth over environmental concerns, while younger adults prioritize sustainability even</w:t>
      </w:r>
      <w:r w:rsidR="005E3084">
        <w:t xml:space="preserve"> if</w:t>
      </w:r>
      <w:r w:rsidR="00FF3BDD" w:rsidRPr="00B110A8">
        <w:t xml:space="preserve"> </w:t>
      </w:r>
      <w:r w:rsidR="00EF7606" w:rsidRPr="00B110A8">
        <w:t>at higher</w:t>
      </w:r>
      <w:r w:rsidR="00FF3BDD" w:rsidRPr="00B110A8">
        <w:t xml:space="preserve"> cost</w:t>
      </w:r>
      <w:r w:rsidR="00EF7606" w:rsidRPr="00B110A8">
        <w:t>s</w:t>
      </w:r>
      <w:r w:rsidR="00FF3BDD" w:rsidRPr="00B110A8">
        <w:t xml:space="preserve"> </w:t>
      </w:r>
      <w:r w:rsidR="00FF3BDD" w:rsidRPr="009C5F54">
        <w:fldChar w:fldCharType="begin"/>
      </w:r>
      <w:r w:rsidR="000C4AE3">
        <w:instrText xml:space="preserve"> ADDIN ZOTERO_ITEM CSL_CITATION {"citationID":"2JjcyieL","properties":{"formattedCitation":"(Shi et al., 2016; Smith and Brower, 2012)","plainCitation":"(Shi et al., 2016; Smith and Brower, 2012)","noteIndex":0},"citationItems":[{"id":539,"uris":["http://zotero.org/users/local/1ztI2Oc6/items/949X29TG","http://zotero.org/users/12832277/items/949X29TG"],"itemData":{"id":539,"type":"article-journal","abstract":"Previous research suggests knowledge about climate change has only a limited impact on concern about the issue. A multinational survey shows this negative result largely depends on how knowledge is defined.","container-title":"Nature Climate Change","DOI":"10.1038/nclimate2997","ISSN":"1758-6798","issue":"8","language":"en","license":"2016 Nature Publishing Group","note":"number: 8\npublisher: Nature Publishing Group","page":"759-762","source":"www.nature.com","title":"Knowledge as a Driver of Public Perceptions About Climate Change Reassessed","volume":"6","author":[{"family":"Shi","given":"Jing"},{"family":"Visschers","given":"Vivianne H. M."},{"family":"Siegrist","given":"Michael"},{"family":"Arvai","given":"Joseph"}],"issued":{"date-parts":[["2016",8]]}}},{"id":"3uDzk8p3/JzxtYXVC","uris":["http://zotero.org/users/local/1ztI2Oc6/items/SQXBU4Z4"],"itemData":{"id":543,"type":"article-journal","abstract":"Many companies are increasing their efforts to have sustainable operations and offer environmentally preferable products. However, consumers are often unaware of the environmental benefits because the companies are not communicating in ways that are compatible with the consumer's schema regarding environmental issues. The current study identifies emerging marketing strategies that are influencing Millennials' awareness of environmentally preferable products and also impacting their consumption behavior. Data were collected over a three-year period. Results indicate Millennials are taking note of a company's reputation, reading product labels, and looking for clues on product packaging to discern if a product is environmentally preferable. Specific symbols and terms are identified as being effective in conveying the green message.","container-title":"Journal of Strategic Marketing","DOI":"10.1080/0965254X.2012.711345","ISSN":"0965-254X","issue":"6","note":"publisher: Routledge\n_eprint: https://doi.org/10.1080/0965254X.2012.711345","page":"535-551","source":"Taylor and Francis+NEJM","title":"Longitudinal study of green marketing strategies that influence Millennials","volume":"20","author":[{"family":"Smith","given":"Katherine   Taken"},{"family":"Brower","given":"Tracy   R."}],"issued":{"date-parts":[["2012",10,1]]}}}],"schema":"https://github.com/citation-style-language/schema/raw/master/csl-citation.json"} </w:instrText>
      </w:r>
      <w:r w:rsidR="00FF3BDD" w:rsidRPr="009C5F54">
        <w:fldChar w:fldCharType="separate"/>
      </w:r>
      <w:r w:rsidR="00BA12C7" w:rsidRPr="009C5F54">
        <w:t>(Shi et al., 2016; Smith and Brower, 2012)</w:t>
      </w:r>
      <w:r w:rsidR="00FF3BDD" w:rsidRPr="009C5F54">
        <w:fldChar w:fldCharType="end"/>
      </w:r>
      <w:r w:rsidR="00BB484A" w:rsidRPr="002C6CD0">
        <w:t>.</w:t>
      </w:r>
      <w:r w:rsidR="00BB484A" w:rsidRPr="009C5F54">
        <w:rPr>
          <w:b/>
          <w:bCs/>
        </w:rPr>
        <w:t xml:space="preserve"> </w:t>
      </w:r>
      <w:r w:rsidR="00BB484A" w:rsidRPr="009179E5">
        <w:t xml:space="preserve">Conversely, </w:t>
      </w:r>
      <w:r w:rsidR="00EF7606" w:rsidRPr="009179E5">
        <w:t xml:space="preserve">there is a notable increase in </w:t>
      </w:r>
      <w:r w:rsidR="00BB484A" w:rsidRPr="00AD7085">
        <w:t xml:space="preserve">luxury lifestyle </w:t>
      </w:r>
      <w:r w:rsidR="003E4F14" w:rsidRPr="00AD7085">
        <w:t>propensity (LLP)</w:t>
      </w:r>
      <w:r w:rsidR="00BB484A" w:rsidRPr="0077513C">
        <w:t xml:space="preserve"> </w:t>
      </w:r>
      <w:r w:rsidR="003E4F14" w:rsidRPr="0077513C">
        <w:t>among</w:t>
      </w:r>
      <w:r w:rsidR="00BB484A" w:rsidRPr="00B110A8">
        <w:t xml:space="preserve"> </w:t>
      </w:r>
      <w:r w:rsidR="005E3084">
        <w:t>those aged 40 years and above, and particularly for those 50 years and above</w:t>
      </w:r>
      <w:r w:rsidR="00BB484A" w:rsidRPr="00B110A8">
        <w:t xml:space="preserve">. </w:t>
      </w:r>
      <w:r w:rsidR="005A454B" w:rsidRPr="00B110A8">
        <w:t>I</w:t>
      </w:r>
      <w:r w:rsidR="005E3084">
        <w:t>mportantly here, w</w:t>
      </w:r>
      <w:r w:rsidR="006D0A30" w:rsidRPr="00B110A8">
        <w:t>hile</w:t>
      </w:r>
      <w:r w:rsidR="002B5E00" w:rsidRPr="00B110A8">
        <w:t xml:space="preserve"> younger age groups are often associated with</w:t>
      </w:r>
      <w:r w:rsidR="006D0A30" w:rsidRPr="00B110A8">
        <w:t xml:space="preserve"> conspicuous consumption of smaller products </w:t>
      </w:r>
      <w:r w:rsidR="005E3084">
        <w:t>such as</w:t>
      </w:r>
      <w:r w:rsidR="006D0A30" w:rsidRPr="00B110A8">
        <w:t xml:space="preserve"> clothing and phones, the luxury lifestyle considered </w:t>
      </w:r>
      <w:r w:rsidR="00134C40" w:rsidRPr="00B110A8">
        <w:t>in this study</w:t>
      </w:r>
      <w:r w:rsidR="006D0A30" w:rsidRPr="00B110A8">
        <w:t xml:space="preserve"> </w:t>
      </w:r>
      <w:r w:rsidR="00134C40" w:rsidRPr="00B110A8">
        <w:t>refers to</w:t>
      </w:r>
      <w:r w:rsidR="006D0A30" w:rsidRPr="00B110A8">
        <w:t xml:space="preserve"> the consumption of larger </w:t>
      </w:r>
      <w:r w:rsidR="00134C40" w:rsidRPr="00B110A8">
        <w:t>items</w:t>
      </w:r>
      <w:r w:rsidR="006D0A30" w:rsidRPr="00B110A8">
        <w:t xml:space="preserve"> </w:t>
      </w:r>
      <w:r w:rsidR="000806BE" w:rsidRPr="00B110A8">
        <w:t>such as</w:t>
      </w:r>
      <w:r w:rsidR="006D0A30" w:rsidRPr="00B110A8">
        <w:t xml:space="preserve"> cars and houses, </w:t>
      </w:r>
      <w:r w:rsidR="00134C40" w:rsidRPr="00B110A8">
        <w:t>which have</w:t>
      </w:r>
      <w:r w:rsidR="006D0A30" w:rsidRPr="00B110A8">
        <w:t xml:space="preserve"> been associated </w:t>
      </w:r>
      <w:r w:rsidR="006E1401" w:rsidRPr="00B110A8">
        <w:t xml:space="preserve">primarily </w:t>
      </w:r>
      <w:r w:rsidR="006D0A30" w:rsidRPr="00B110A8">
        <w:t>with individuals aged 40-60</w:t>
      </w:r>
      <w:r w:rsidR="008C6B4B" w:rsidRPr="00B110A8">
        <w:t xml:space="preserve"> years of age</w:t>
      </w:r>
      <w:r w:rsidR="00C44916" w:rsidRPr="00B110A8">
        <w:t xml:space="preserve"> </w:t>
      </w:r>
      <w:r w:rsidR="00C44916" w:rsidRPr="009C5F54">
        <w:fldChar w:fldCharType="begin"/>
      </w:r>
      <w:r w:rsidR="008912F0">
        <w:instrText xml:space="preserve"> ADDIN ZOTERO_ITEM CSL_CITATION {"citationID":"W5cLTawl","properties":{"formattedCitation":"(Shukla, 2008)","plainCitation":"(Shukla, 2008)","noteIndex":0},"citationItems":[{"id":549,"uris":["http://zotero.org/users/local/1ztI2Oc6/items/TBR6CCIJ","http://zotero.org/users/12832277/items/TBR6CCIJ"],"itemData":{"id":549,"type":"article-journal","abstract":"Purpose – This paper sets out to address the issue of conspicuous consumption among middle age consumers (40‐60), focusing on the psychological and brand antecedents, using the context of automobile buying behaviour. Existing literature does not clearly conceptualise psychological and brand antecedent and their effect on conspicuous consumption due to usage of inconsistent measurement techniques and being largely targeted at the youth segment. Design/methodology/approach – Two scales of measurement (psychological antecedent scale, brand antecedent scale) were employed to measure the impact. The study involved a quantitative research methodology employing a structured questionnaire and quota sampling with a total sample of 302 within the region of the South‐East of the UK. Findings – The findings suggest that psychological and brand antecedents are of crucial importance among middle‐aged consumers in influencing their conspicuous consumption. Practical implications – Using the examples of present communication strategies adopted by conspicuous product marketers, the paper argues how they are missing an opportunity and provides them with a novel way to market their brands, focusing on how consumers associate themselves with these brands. Originality/value – The paper is the first of its kind to explicitly investigate the impact of brand and psychological antecedents among middle‐aged consumers – one of the most significant segments for conspicuous marketers, yet so far understudied.","container-title":"Journal of Product &amp; Brand Management","DOI":"10.1108/10610420810856495","ISSN":"1061-0421","issue":"1","note":"publisher: Emerald Group Publishing Limited","page":"25-36","source":"Emerald Insight","title":"Conspicuous Consumption Among Middle Age Consumers: Psychological and Brand Antecedents","title-short":"Conspicuous Consumption Among Middle Age Consumers","volume":"17","author":[{"family":"Shukla","given":"Paurav"}],"issued":{"date-parts":[["2008",1,1]]}}}],"schema":"https://github.com/citation-style-language/schema/raw/master/csl-citation.json"} </w:instrText>
      </w:r>
      <w:r w:rsidR="00C44916" w:rsidRPr="009C5F54">
        <w:fldChar w:fldCharType="separate"/>
      </w:r>
      <w:r w:rsidR="00BA12C7" w:rsidRPr="009C5F54">
        <w:t>(Shukla, 2008)</w:t>
      </w:r>
      <w:r w:rsidR="00C44916" w:rsidRPr="009C5F54">
        <w:fldChar w:fldCharType="end"/>
      </w:r>
      <w:r w:rsidR="006D0A30" w:rsidRPr="009C5F54">
        <w:t>.</w:t>
      </w:r>
      <w:r w:rsidR="00574E9D" w:rsidRPr="009C5F54">
        <w:t xml:space="preserve"> </w:t>
      </w:r>
      <w:r w:rsidR="00BB484A" w:rsidRPr="00B110A8">
        <w:t xml:space="preserve">Finally, older adults </w:t>
      </w:r>
      <w:r w:rsidR="009434FD" w:rsidRPr="00B110A8">
        <w:t xml:space="preserve">tend to </w:t>
      </w:r>
      <w:r w:rsidR="00BB484A" w:rsidRPr="00B110A8">
        <w:t xml:space="preserve">have </w:t>
      </w:r>
      <w:r w:rsidR="009434FD" w:rsidRPr="00B110A8">
        <w:t xml:space="preserve">a </w:t>
      </w:r>
      <w:r w:rsidR="00BB484A" w:rsidRPr="00B110A8">
        <w:t xml:space="preserve">lower </w:t>
      </w:r>
      <w:r w:rsidR="0098788B" w:rsidRPr="00B110A8">
        <w:t>telework</w:t>
      </w:r>
      <w:r w:rsidR="00BB484A" w:rsidRPr="00B110A8">
        <w:t xml:space="preserve"> </w:t>
      </w:r>
      <w:r w:rsidR="006201A6">
        <w:t>lifestyle propensity</w:t>
      </w:r>
      <w:r w:rsidR="009434FD" w:rsidRPr="00B110A8">
        <w:t xml:space="preserve"> </w:t>
      </w:r>
      <w:r w:rsidR="00CA18E2" w:rsidRPr="00B110A8">
        <w:t xml:space="preserve">(TLP) </w:t>
      </w:r>
      <w:r w:rsidR="009434FD" w:rsidRPr="00B110A8">
        <w:t>relative to their younger peers</w:t>
      </w:r>
      <w:r w:rsidR="00BB484A" w:rsidRPr="00B110A8">
        <w:t xml:space="preserve">, </w:t>
      </w:r>
      <w:r w:rsidR="009434FD" w:rsidRPr="00B110A8">
        <w:t xml:space="preserve">with </w:t>
      </w:r>
      <w:r w:rsidR="008C6B4B" w:rsidRPr="00B110A8">
        <w:t>the oldest cohort of workers (65 years of age</w:t>
      </w:r>
      <w:r w:rsidR="009434FD" w:rsidRPr="00B110A8">
        <w:t xml:space="preserve"> or over</w:t>
      </w:r>
      <w:r w:rsidR="008C6B4B" w:rsidRPr="00B110A8">
        <w:t xml:space="preserve">) particularly </w:t>
      </w:r>
      <w:r w:rsidR="009434FD" w:rsidRPr="00B110A8">
        <w:t>having a disinclination for telework</w:t>
      </w:r>
      <w:r w:rsidR="008C6B4B" w:rsidRPr="00B110A8">
        <w:t xml:space="preserve">. </w:t>
      </w:r>
      <w:r w:rsidR="009434FD" w:rsidRPr="00B110A8">
        <w:t>This is consistent with t</w:t>
      </w:r>
      <w:r w:rsidR="008C6B4B" w:rsidRPr="00B110A8">
        <w:t>he human development literature</w:t>
      </w:r>
      <w:r w:rsidR="005E3084">
        <w:t xml:space="preserve">; </w:t>
      </w:r>
      <w:r w:rsidR="009434FD" w:rsidRPr="00B110A8">
        <w:t>younger adults are more predisposed to telework because of their expansive social-professional networks in and outside of their work environment (including strong desires for a “digital nomadic lifestyle”), while older adults prefer small and familiar social-professional networks such as those at their work office</w:t>
      </w:r>
      <w:r w:rsidR="008D34D7">
        <w:t xml:space="preserve"> </w:t>
      </w:r>
      <w:r w:rsidR="008D34D7">
        <w:fldChar w:fldCharType="begin"/>
      </w:r>
      <w:r w:rsidR="003A265F">
        <w:instrText xml:space="preserve"> ADDIN ZOTERO_ITEM CSL_CITATION {"citationID":"VUkJ0PcR","properties":{"unsorted":true,"formattedCitation":"(Tahlyan et al., 2022; Asmussen et al., 2023)","plainCitation":"(Tahlyan et al., 2022; Asmussen et al., 2023)","noteIndex":0},"citationItems":[{"id":534,"uris":["http://zotero.org/users/local/1ztI2Oc6/items/8E3Z58R4","http://zotero.org/users/12832277/items/8E3Z58R4"],"itemData":{"id":534,"type":"article-journal","abstract":"The COVID-19 pandemic required employees and businesses across the world to rapidly transition to work from home over extended periods, reaching what is likely the upper bound of telework in many sectors. Past studies have identified both advantages and disadvantages of teleworking. The pandemic experience offers a unique opportunity to examine employees’ experiences and perceptions of telework given the broad participation duration and extent. While employer strategies will play a major role in defining the future forms and adoption of telework, employee preferences and constraints, such as access to appropriate technology to work from home or the home environment, are also going to be important factors. Using data from a U.S. representative sample of 318 working adults, this study uses a Multiple Indicator Multiple Cause Model (MIMIC) to understand employee satisfaction with telework. The presented model links telework satisfaction with experienced and perceived benefits and barriers related to telework, and hence provide a causal structure to our understanding of telework satisfaction. We also present an ordered probit model without latent variables that help us understand the systematic heterogeneity in telework satisfaction across various socio-demographic groups. The results suggest younger and older aged individuals experienced/perceived lower benefits and higher barriers to teleworking compared to middle aged individuals. The results also suggest a disproportionate impact on Hispanic or Latino and Black respondents as well as on those with children attending online school from home. Accordingly, this study highlights important factors impacting telework adoption that employers and policy makers should consider in planning future work arrangements and policies in a post-pandemic world.","container-title":"Transportation Research Part A: Policy and Practice","DOI":"10.1016/j.tra.2021.11.025","ISSN":"0965-8564","language":"en","page":"387-402","source":"ScienceDirect","title":"For Whom Did Telework Not Work During the Pandemic? Understanding the Factors Impacting Telework Satisfaction in the US Using a Multiple Indicator Multiple Cause (MIMIC) Model","title-short":"For Whom Did Telework Not Work During the Pandemic?","volume":"155","author":[{"family":"Tahlyan","given":"Divyakant"},{"family":"Said","given":"Maher"},{"family":"Mahmassani","given":"Hani"},{"family":"Stathopoulos","given":"Amanda"},{"family":"Walker","given":"Joan"},{"family":"Shaheen","given":"Susan"}],"issued":{"date-parts":[["2022",1,1]]}}},{"id":804,"uris":["http://zotero.org/users/local/1ztI2Oc6/items/8WZHU6BW","http://zotero.org/users/12832277/items/8WZHU6BW"],"itemData":{"id":804,"type":"article-journal","abstract":"In this paper, we examine work place location (WPL) preferences of workers in an unpredictable and evolving future by investigating how workers would prefer to allocate their monthly working days among the three WPL alternatives of working from home, from the work office, and from a variable third WPL. In contrast to earlier studies that typically focus on telework as a binary of whether an individual is a teleworker or not, we focus our attention on workers’ preferences for specific combinations of all three WPLs over a period of a month (including, but not limited to, only selecting one WPL for all days of the month). In our analysis, we employ the multiple discrete–continuous extreme value (MDCEV) model, using a 2022 stated preference survey of future work preferences of employees residing in the state of Texas. The results indicate that single young women with very young children, those with long commutes and “intolerable” traffic congestion to the work office, individuals with a private study in their homes, self-employed workers, and those in non-essential service occupations have the highest preference for working from home. On the other hand, older men, individuals from low income households, those residing in rural areas, and workers in essential service occupations have the highest preference for the work office. And, for the third WPL, young non-single women with very young children, individuals from low income households, part-time employees, and those in professional, managerial or finance occupations have the highest predisposition. These results should provide valuable insights to urban planners, homebuilders, employers, travel demand modelers, and a whole host of other businesses to achieve specific desired end states. From a data collection standpoint, our study underscores the need to collect detailed information about work patterns in future activity-travel surveys.","container-title":"Transportation Research Part A: Policy and Practice","DOI":"10.1016/j.tra.2023.103671","ISSN":"0965-8564","language":"en","source":"ScienceDirect","title":"On Modeling Future Workplace Location Decisions: An Analysis of Texas Employees","URL":"https://www.sciencedirect.com/science/article/pii/S0965856423000915","volume":"172","author":[{"family":"Asmussen","given":"Katherine"},{"family":"Mondal","given":"Aupal"},{"family":"Bhat","given":"Chandra R."},{"family":"Pendyala","given":"Ram M."}],"accessed":{"date-parts":[["2023",6,12]]},"issued":{"date-parts":[["2023",6,1]]}}}],"schema":"https://github.com/citation-style-language/schema/raw/master/csl-citation.json"} </w:instrText>
      </w:r>
      <w:r w:rsidR="008D34D7">
        <w:fldChar w:fldCharType="separate"/>
      </w:r>
      <w:r w:rsidR="003A265F" w:rsidRPr="003A265F">
        <w:t>(Tahlyan et al., 2022; Asmussen et al., 2023)</w:t>
      </w:r>
      <w:r w:rsidR="008D34D7">
        <w:fldChar w:fldCharType="end"/>
      </w:r>
      <w:r w:rsidR="009434FD" w:rsidRPr="00B110A8">
        <w:t xml:space="preserve">. </w:t>
      </w:r>
    </w:p>
    <w:p w14:paraId="2091995C" w14:textId="5666B1B1" w:rsidR="00B110A8" w:rsidRPr="009C5F54" w:rsidRDefault="00CA18E2" w:rsidP="006F37E3">
      <w:pPr>
        <w:tabs>
          <w:tab w:val="left" w:pos="0"/>
        </w:tabs>
        <w:spacing w:after="0" w:line="240" w:lineRule="auto"/>
        <w:jc w:val="both"/>
      </w:pPr>
      <w:r w:rsidRPr="009C5F54">
        <w:tab/>
      </w:r>
      <w:r w:rsidRPr="00B110A8">
        <w:t>I</w:t>
      </w:r>
      <w:r w:rsidR="00BB484A" w:rsidRPr="00B110A8">
        <w:t xml:space="preserve">n terms of </w:t>
      </w:r>
      <w:r w:rsidRPr="00B110A8">
        <w:t xml:space="preserve">formal </w:t>
      </w:r>
      <w:r w:rsidR="00BB484A" w:rsidRPr="00B110A8">
        <w:t>education</w:t>
      </w:r>
      <w:r w:rsidR="00F62BCF">
        <w:t>al</w:t>
      </w:r>
      <w:r w:rsidRPr="00B110A8">
        <w:t xml:space="preserve"> attainment</w:t>
      </w:r>
      <w:r w:rsidR="00BB484A" w:rsidRPr="00B110A8">
        <w:t xml:space="preserve">, </w:t>
      </w:r>
      <w:r w:rsidR="00756AD7" w:rsidRPr="00B110A8">
        <w:t>GLP is positively associated with higher education</w:t>
      </w:r>
      <w:r w:rsidR="00F62BCF">
        <w:t>al</w:t>
      </w:r>
      <w:r w:rsidR="00756AD7" w:rsidRPr="00B110A8">
        <w:t xml:space="preserve"> attainment</w:t>
      </w:r>
      <w:r w:rsidRPr="00B110A8">
        <w:t>,</w:t>
      </w:r>
      <w:r w:rsidR="00BB484A" w:rsidRPr="00B110A8">
        <w:t xml:space="preserve"> </w:t>
      </w:r>
      <w:r w:rsidRPr="00B110A8">
        <w:t xml:space="preserve">consistent with results in the social-psychological literature </w:t>
      </w:r>
      <w:r w:rsidRPr="00B110A8">
        <w:rPr>
          <w:lang w:eastAsia="zh-CN"/>
        </w:rPr>
        <w:t>suggest</w:t>
      </w:r>
      <w:r w:rsidR="00B110A8" w:rsidRPr="00B110A8">
        <w:rPr>
          <w:lang w:eastAsia="zh-CN"/>
        </w:rPr>
        <w:t>ing</w:t>
      </w:r>
      <w:r w:rsidRPr="00B110A8">
        <w:rPr>
          <w:lang w:eastAsia="zh-CN"/>
        </w:rPr>
        <w:t xml:space="preserve"> that </w:t>
      </w:r>
      <w:r w:rsidRPr="003B00B5">
        <w:t>individuals with a higher education are more self-aware of the negative consequences of degrading the environment (such as the resulting health-related problems and global warming</w:t>
      </w:r>
      <w:r w:rsidR="00B110A8" w:rsidRPr="003B00B5">
        <w:t>)</w:t>
      </w:r>
      <w:r w:rsidRPr="003B00B5">
        <w:t xml:space="preserve">, </w:t>
      </w:r>
      <w:r w:rsidR="00295338" w:rsidRPr="00B110A8">
        <w:t xml:space="preserve">enabling them </w:t>
      </w:r>
      <w:r w:rsidR="00AA00E7" w:rsidRPr="00B110A8">
        <w:t>t</w:t>
      </w:r>
      <w:r w:rsidRPr="00B110A8">
        <w:t xml:space="preserve">o </w:t>
      </w:r>
      <w:r w:rsidR="003F0B33" w:rsidRPr="00B110A8">
        <w:t>identify actions</w:t>
      </w:r>
      <w:r w:rsidR="00FE7A66" w:rsidRPr="00B110A8">
        <w:t xml:space="preserve"> they can take </w:t>
      </w:r>
      <w:r w:rsidR="00AA00E7" w:rsidRPr="00B110A8">
        <w:t>to reduce harmful environmental impacts</w:t>
      </w:r>
      <w:r w:rsidR="00AD1F8E" w:rsidRPr="00B110A8">
        <w:t xml:space="preserve"> </w:t>
      </w:r>
      <w:r w:rsidR="00AD1F8E" w:rsidRPr="009C5F54">
        <w:fldChar w:fldCharType="begin"/>
      </w:r>
      <w:r w:rsidR="000C4AE3">
        <w:instrText xml:space="preserve"> ADDIN ZOTERO_ITEM CSL_CITATION {"citationID":"Hgkmd74D","properties":{"unsorted":true,"formattedCitation":"(Aklin et al., 2013; Franzen and Vogl, 2013; Chankrajang and Muttarak, 2017; Liu et al., 2020)","plainCitation":"(Aklin et al., 2013; Franzen and Vogl, 2013; Chankrajang and Muttarak, 2017; Liu et al., 2020)","noteIndex":0},"citationItems":[{"id":440,"uris":["http://zotero.org/users/local/1ztI2Oc6/items/QBHEVUM5","http://zotero.org/users/12832277/items/QBHEVUM5"],"itemData":{"id":440,"type":"article-journal","abstract":"We examine the relationship between socio-economic factors and public opinion on environmental policies in Brazil, drawing on a survey conducted in June 2012. There are few systematic studies of the determinants of environmental preferences in emerging economies, and Brazil is a particularly interesting case because of its democratic political system, rapid economic growth, and importance for the global environment. In general, we find that the Brazilian public is highly supportive of environmental protection. To explain variation in environmental preferences, we focus on the effects of income and education. Many previous studies suggest that both should have positive effects, but the empirical evidence is mixed. Indeed, we find that income has no effect on environmental preferences. However, education is a strong predictor of environmental preferences. While college education is not necessary for environmental awareness, there is a large difference between Brazilians with primary and secondary education. For policy, the findings imply that investment in secondary education can raise environmental awareness, regardless of income levels.","container-title":"Ecological Economics","DOI":"10.1016/j.ecolecon.2013.05.012","ISSN":"0921-8009","language":"en","page":"28-36","source":"ScienceDirect","title":"Understanding Environmental Policy Preferences: New Evidence from Brazil","title-short":"Understanding Environmental Policy Preferences","volume":"94","author":[{"family":"Aklin","given":"Michaël"},{"family":"Bayer","given":"Patrick"},{"family":"Harish","given":"S. P."},{"family":"Urpelainen","given":"Johannes"}],"issued":{"date-parts":[["2013",10,1]]}}},{"id":446,"uris":["http://zotero.org/users/local/1ztI2Oc6/items/U9W7V4T7","http://zotero.org/users/12832277/items/U9W7V4T7"],"itemData":{"id":446,"type":"article-journal","abstract":"This paper analyzes the development of environmental concern by using the three waves of the environmental modules of the International Social Survey Programme. First, we discuss the measurement of environmental concern and construct a ranking of countries according to the new 2010 results. Second, we analyze the determinants of environmental concern by employing multilevel models that take individual as well as context effects into account. Third, we explore the longitudinal aspect of the data at the macro level in order to uncover the causal relation between countries’ wealth and environmental concern. The results show that environmental concern is closely correlated with the wealth of the nations. However, environmental concern decreased in almost all nations slightly during the last two decades. The decline was lower in countries with improving economic conditions suggesting that economic growth helps to maintain higher levels of environmental concern.","container-title":"Global Environmental Change","DOI":"10.1016/j.gloenvcha.2013.03.009","ISSN":"0959-3780","issue":"5","language":"en","page":"1001-1008","source":"ScienceDirect","title":"Two Decades of Measuring Environmental Attitudes: A Comparative Analysis of 33 Countries","title-short":"Two Decades of Measuring Environmental Attitudes","volume":"23","author":[{"family":"Franzen","given":"Axel"},{"family":"Vogl","given":"Dominikus"}],"issued":{"date-parts":[["2013",10,1]]}}},{"id":442,"uris":["http://zotero.org/users/local/1ztI2Oc6/items/VAJVZ4FF","http://zotero.org/users/12832277/items/VAJVZ4FF"],"itemData":{"id":442,"type":"article-journal","abstract":"We investigate whether there are green returns to education, where formal education encourages pro-environmental behaviours using nationally representative surveys on environmental issues in Thailand. To establish the causal relationship between education and green behaviours, we exploit the instrumental variables strategy using the supply of state primary schooling i.e. the corresponding number of teachers per 1000 children, which varies over time and across regions as the instrument, while controlling for regional, cohort and income effects. We find that more years of schooling lead to a greater probability of taking knowledge-based environmentally-friendly actions a great deal, but not cost-saving pro-environmental actions. In addition, the paper finds no significant impact of formal education on concern about global warming nor the willingness to pay for environmental tax.","container-title":"Ecological Economics","DOI":"10.1016/j.ecolecon.2016.09.015","ISSN":"0921-8009","language":"en","page":"434-448","source":"ScienceDirect","title":"Green Returns to Education: Does Schooling Contribute to Pro-Environmental Behaviours? Evidence from Thailand","title-short":"Green Returns to Education","volume":"131","author":[{"family":"Chankrajang","given":"Thanyaporn"},{"family":"Muttarak","given":"Raya"}],"issued":{"date-parts":[["2017",1,1]]}}},{"id":449,"uris":["http://zotero.org/users/local/1ztI2Oc6/items/Q63AVX7H","http://zotero.org/users/12832277/items/Q63AVX7H"],"itemData":{"id":449,"type":"article-journal","abstract":"This paper explores how general environmental knowledge shapes environmental attitudes, behavioral intentions, and pro-environmental behaviors in relation to the surrounding environment. Structural equation modeling (SEM) with bootstrapping estimation was conducted to assess a causal chain from environmental knowledge to pro-environmental behaviors with a nationally representative sample of 2824 respondents from China. The results show that environmental knowledge has a significant positive effect on environmental attitudes, environmental attitudes have a significant positive effect on environmental behavioral intentions and pro-environmental behaviors, and environmental behavioral intentions have a significant positive effect on pro-environmental behaviors. We also concluded that although environmental knowledge has no significant direct effects on pro-environmental behaviors, it is a crucial distal variable whose significant effect is fully mediated by environmental attitudes and environmental behavioral intentions. The results of the multigroup SEM showed that the moderating effect of external context on the relationship between environmental behavioral intentions and pro-environmental behaviors and various demographic variables (e.g., gender, urban vs. rural residence, education level, and region) have diverse effects on the model in this study.","container-title":"Science of The Total Environment","DOI":"10.1016/j.scitotenv.2020.138126","ISSN":"0048-9697","language":"en","source":"ScienceDirect","title":"How Does Environmental Knowledge Translate into Pro-Environmental Behaviors?: The Mediating Role of Environmental Attitudes and Behavioral Intentions","title-short":"How Does Environmental Knowledge Translate into Pro-Environmental Behaviors?","URL":"https://www.sciencedirect.com/science/article/pii/S0048969720316399","volume":"728","author":[{"family":"Liu","given":"Pihui"},{"family":"Teng","given":"Minmin"},{"family":"Han","given":"Chuanfeng"}],"accessed":{"date-parts":[["2023",4,12]]},"issued":{"date-parts":[["2020",8,1]]}}}],"schema":"https://github.com/citation-style-language/schema/raw/master/csl-citation.json"} </w:instrText>
      </w:r>
      <w:r w:rsidR="00AD1F8E" w:rsidRPr="009C5F54">
        <w:fldChar w:fldCharType="separate"/>
      </w:r>
      <w:r w:rsidR="008D34D7" w:rsidRPr="008D34D7">
        <w:t>(Aklin et al., 2013; Franzen and Vogl, 2013; Chankrajang and Muttarak, 2017; Liu et al., 2020)</w:t>
      </w:r>
      <w:r w:rsidR="00AD1F8E" w:rsidRPr="009C5F54">
        <w:fldChar w:fldCharType="end"/>
      </w:r>
      <w:r w:rsidR="00AA00E7" w:rsidRPr="009C5F54">
        <w:t>.</w:t>
      </w:r>
      <w:r w:rsidR="00684FF5" w:rsidRPr="009C5F54">
        <w:t xml:space="preserve"> Higher levels of education</w:t>
      </w:r>
      <w:r w:rsidR="005E3084">
        <w:t xml:space="preserve"> degree attainment</w:t>
      </w:r>
      <w:r w:rsidR="00684FF5" w:rsidRPr="009C5F54">
        <w:t xml:space="preserve"> </w:t>
      </w:r>
      <w:r w:rsidR="00AD1F8E" w:rsidRPr="008253CB">
        <w:t xml:space="preserve">also </w:t>
      </w:r>
      <w:r w:rsidRPr="008253CB">
        <w:t xml:space="preserve">are associated with lower </w:t>
      </w:r>
      <w:r w:rsidR="00114BFC" w:rsidRPr="00B110A8">
        <w:t>LLP</w:t>
      </w:r>
      <w:r w:rsidR="00684FF5" w:rsidRPr="00B110A8">
        <w:t>,</w:t>
      </w:r>
      <w:r w:rsidR="00C445D5" w:rsidRPr="00B110A8">
        <w:t xml:space="preserve"> possibly because education </w:t>
      </w:r>
      <w:r w:rsidR="008006E0" w:rsidRPr="00B110A8">
        <w:t xml:space="preserve">plays </w:t>
      </w:r>
      <w:r w:rsidR="008006E0" w:rsidRPr="00B110A8">
        <w:lastRenderedPageBreak/>
        <w:t>an important role in</w:t>
      </w:r>
      <w:r w:rsidR="00C445D5" w:rsidRPr="00B110A8">
        <w:t xml:space="preserve"> shap</w:t>
      </w:r>
      <w:r w:rsidR="008006E0" w:rsidRPr="00B110A8">
        <w:t>ing</w:t>
      </w:r>
      <w:r w:rsidR="00C445D5" w:rsidRPr="00B110A8">
        <w:t xml:space="preserve"> consumer behavior </w:t>
      </w:r>
      <w:r w:rsidR="00B110A8" w:rsidRPr="00B110A8">
        <w:t xml:space="preserve">through an </w:t>
      </w:r>
      <w:r w:rsidR="008006E0" w:rsidRPr="00B110A8">
        <w:t>increas</w:t>
      </w:r>
      <w:r w:rsidR="00B110A8" w:rsidRPr="00B110A8">
        <w:t>ed</w:t>
      </w:r>
      <w:r w:rsidR="00C445D5" w:rsidRPr="00B110A8">
        <w:t xml:space="preserve"> aware</w:t>
      </w:r>
      <w:r w:rsidR="008006E0" w:rsidRPr="00B110A8">
        <w:t>ness</w:t>
      </w:r>
      <w:r w:rsidR="00C445D5" w:rsidRPr="00B110A8">
        <w:t xml:space="preserve"> of spending habits</w:t>
      </w:r>
      <w:r w:rsidR="00E62C51" w:rsidRPr="00B110A8">
        <w:t xml:space="preserve"> and </w:t>
      </w:r>
      <w:r w:rsidR="00B110A8" w:rsidRPr="00B110A8">
        <w:t xml:space="preserve">a restraint on </w:t>
      </w:r>
      <w:r w:rsidRPr="00B110A8">
        <w:t xml:space="preserve">extravagant </w:t>
      </w:r>
      <w:r w:rsidR="00C445D5" w:rsidRPr="00B110A8">
        <w:t>consumption</w:t>
      </w:r>
      <w:r w:rsidR="00E62C51" w:rsidRPr="00B110A8">
        <w:t xml:space="preserve"> </w:t>
      </w:r>
      <w:r w:rsidR="00C445D5" w:rsidRPr="009C5F54">
        <w:rPr>
          <w:b/>
          <w:bCs/>
        </w:rPr>
        <w:fldChar w:fldCharType="begin"/>
      </w:r>
      <w:r w:rsidR="008912F0">
        <w:rPr>
          <w:b/>
          <w:bCs/>
        </w:rPr>
        <w:instrText xml:space="preserve"> ADDIN ZOTERO_ITEM CSL_CITATION {"citationID":"Na06CaTU","properties":{"formattedCitation":"(Jaikumar and Sharma, 2021; Memushi, 2014)","plainCitation":"(Jaikumar and Sharma, 2021; Memushi, 2014)","noteIndex":0},"citationItems":[{"id":547,"uris":["http://zotero.org/users/local/1ztI2Oc6/items/D92WM6CY","http://zotero.org/users/12832277/items/D92WM6CY"],"itemData":{"id":547,"type":"article-journal","abstract":"With high prevalence of conspicuous consumption in low-income emerging economies like India, we argue that households in these economies resort to debts to finance their conspicuous consumption. Using nationally representative household panel data from Indian Human Development Surveys, we provide evidence that an increase in conspicuous consumption results in higher household debt and more number of loans, using multiple empirical strategies. We further illustrate that this effect on household debt i) is higher for rural households, and ii) reduces with higher education. We contribute to the literature on conspicuous consumption and its unfavorable consequences in emerging economies.","container-title":"Journal of Marketing Theory and Practice","DOI":"10.1080/10696679.2020.1816476","ISSN":"1069-6679","issue":"2","note":"publisher: Routledge\n_eprint: https://doi.org/10.1080/10696679.2020.1816476","page":"233-249","source":"Taylor and Francis+NEJM","title":"Consuming Beyond Means: Debt Trap of Conspicuous Consumption in an Emerging Economy","title-short":"Consuming Beyond Means","volume":"29","author":[{"family":"Jaikumar","given":"Saravana"},{"family":"Sharma","given":"Yukti"}],"issued":{"date-parts":[["2021",4,3]]}}},{"id":545,"uris":["http://zotero.org/users/local/1ztI2Oc6/items/RZJJTHUF","http://zotero.org/users/12832277/items/RZJJTHUF"],"itemData":{"id":545,"type":"article-journal","abstract":"Developing post-communist countries may have relatively higher levels of conspicuous consumption, because of extreme inequalities in income, relatively stronger social relationships and traditions and the urge to show off of the nouveaux riches, previously condemned. In spite of this, there is a lack of research concerning this behaviour in Albania. This paper briefly discusses one aspect of the phenomenon, the influencing factors, drawing upon relevant analyses from different viewpoints. The impact that these “global” or “local” factors (gender, age, education, social environment, etc.) have on the level of conspicuous consumption of an Albanian household is analyzed, using data from the 2008 Albanian Living Standards Measurement Survey (LSMS 2008). Among the considered factors, gender and education seem to have the greater impact.","container-title":"South-Eastern Europe Journal of Economics","issue":"1","language":"el","license":"Copyright (c) 2015","note":"number: 1","source":"ojs.lib.uom.gr","title":"Conspicuous Consumption and Albanians: Determinant Factors.","title-short":"Conspicuous Consumption and Albanians","URL":"https://ojs.lib.uom.gr/index.php/seeje/article/view/5509","volume":"12","author":[{"family":"Memushi","given":"Armando"}],"accessed":{"date-parts":[["2023",4,18]]},"issued":{"date-parts":[["2014"]]}}}],"schema":"https://github.com/citation-style-language/schema/raw/master/csl-citation.json"} </w:instrText>
      </w:r>
      <w:r w:rsidR="00C445D5" w:rsidRPr="009C5F54">
        <w:rPr>
          <w:b/>
          <w:bCs/>
        </w:rPr>
        <w:fldChar w:fldCharType="separate"/>
      </w:r>
      <w:r w:rsidR="00BA12C7" w:rsidRPr="009C5F54">
        <w:t>(Jaikumar and Sharma, 2021; Memushi, 2014)</w:t>
      </w:r>
      <w:r w:rsidR="00C445D5" w:rsidRPr="009C5F54">
        <w:rPr>
          <w:b/>
          <w:bCs/>
        </w:rPr>
        <w:fldChar w:fldCharType="end"/>
      </w:r>
      <w:r w:rsidR="00C445D5" w:rsidRPr="009C5F54">
        <w:t xml:space="preserve">. </w:t>
      </w:r>
      <w:r w:rsidR="00684FF5" w:rsidRPr="009C5F54">
        <w:t>Finally, higher levels of edu</w:t>
      </w:r>
      <w:r w:rsidR="00684FF5" w:rsidRPr="008253CB">
        <w:t xml:space="preserve">cation </w:t>
      </w:r>
      <w:r w:rsidR="00B110A8">
        <w:t xml:space="preserve">attainment correspond </w:t>
      </w:r>
      <w:r w:rsidR="00684FF5" w:rsidRPr="00B110A8">
        <w:t xml:space="preserve">to </w:t>
      </w:r>
      <w:r w:rsidRPr="00B110A8">
        <w:t xml:space="preserve">an elevated TLP, presumably because of </w:t>
      </w:r>
      <w:r w:rsidR="00B110A8" w:rsidRPr="00B110A8">
        <w:t xml:space="preserve">the ease of adapting to new technological environments </w:t>
      </w:r>
      <w:r w:rsidR="00D56188" w:rsidRPr="009C5F54">
        <w:fldChar w:fldCharType="begin"/>
      </w:r>
      <w:r w:rsidR="000C4AE3">
        <w:instrText xml:space="preserve"> ADDIN ZOTERO_ITEM CSL_CITATION {"citationID":"bkQiphur","properties":{"formattedCitation":"(Adobati and Debernardi, 2022)","plainCitation":"(Adobati and Debernardi, 2022)","noteIndex":0},"citationItems":[{"id":527,"uris":["http://zotero.org/users/local/1ztI2Oc6/items/P43M6ALH","http://zotero.org/users/12832277/items/P43M6ALH"],"itemData":{"id":527,"type":"article-journal","abstract":"The paper explores the potentialities of telework, a topic with rich literature published since the 1970s, which has become topical again with its forced application related to the COVID-19 pandemic emergency. The paper carries out an analysis of the potential territorial impact—transport networks and geographies of living—of telework in the Italian national context. The analysis highlights the potential relevance of the application of telework in certain metropolitan areas that present urban poles where economic sectors with a high propensity for telework are centralised. This survey relates the large stock of tourist housing in the vicinity of large metropolitan areas to a potential demand arising from the change in housing preferences towards more pleasant contexts made possible by the application of telework. In conclusion, this work aims to contribute to the construction of a platform for the Italian context—lagging behind but with recent legislative measures on smart working—aimed at favouring the definition of research lines able to enhance the potential offered by the application of telework for environmental, social, and territorial sustainability objectives, and it also aims to outline possible territorial scenarios for the main metropolitan areas","container-title":"Sustainability","DOI":"10.3390/su14021028","ISSN":"2071-1050","issue":"1028","language":"en","license":"http://creativecommons.org/licenses/by/3.0/","note":"number: 2\npublisher: Multidisciplinary Digital Publishing Institute","source":"www.mdpi.com","title":"The Breath of the Metropolis: Smart Working and New Urban Geographies","title-short":"The Breath of the Metropolis","URL":"https://www.mdpi.com/2071-1050/14/2/1028","volume":"14","author":[{"family":"Adobati","given":"Fulvio"},{"family":"Debernardi","given":"Andrea"}],"accessed":{"date-parts":[["2023",4,18]]},"issued":{"date-parts":[["2022",1]]}}}],"schema":"https://github.com/citation-style-language/schema/raw/master/csl-citation.json"} </w:instrText>
      </w:r>
      <w:r w:rsidR="00D56188" w:rsidRPr="009C5F54">
        <w:fldChar w:fldCharType="separate"/>
      </w:r>
      <w:r w:rsidR="00BA12C7" w:rsidRPr="009C5F54">
        <w:t>(Adobati and Debernardi, 2022)</w:t>
      </w:r>
      <w:r w:rsidR="00D56188" w:rsidRPr="009C5F54">
        <w:fldChar w:fldCharType="end"/>
      </w:r>
      <w:r w:rsidR="005E3084">
        <w:t xml:space="preserve"> and the ability to secure jobs that are conducive to teleworking</w:t>
      </w:r>
      <w:r w:rsidR="00010FED" w:rsidRPr="009C5F54">
        <w:t xml:space="preserve">. </w:t>
      </w:r>
    </w:p>
    <w:p w14:paraId="1995BD3B" w14:textId="351C25FB" w:rsidR="002C10A4" w:rsidRPr="009C5F54" w:rsidRDefault="002C10A4" w:rsidP="006F37E3">
      <w:pPr>
        <w:tabs>
          <w:tab w:val="left" w:pos="0"/>
        </w:tabs>
        <w:spacing w:after="0" w:line="240" w:lineRule="auto"/>
        <w:jc w:val="both"/>
        <w:rPr>
          <w:b/>
          <w:bCs/>
        </w:rPr>
      </w:pPr>
      <w:r>
        <w:tab/>
      </w:r>
      <w:r w:rsidR="00684FF5" w:rsidRPr="009C5F54">
        <w:t>Income is positively associated with all three latent constructs</w:t>
      </w:r>
      <w:r w:rsidR="00684FF5" w:rsidRPr="00B110A8">
        <w:t>.</w:t>
      </w:r>
      <w:r w:rsidR="00AA57A4" w:rsidRPr="00B110A8">
        <w:t xml:space="preserve"> </w:t>
      </w:r>
      <w:r w:rsidR="001C4BDC" w:rsidRPr="00B110A8">
        <w:t xml:space="preserve">The impact of income on GLP has been a subject of debate in the </w:t>
      </w:r>
      <w:r w:rsidR="008D34D7" w:rsidRPr="00B110A8">
        <w:t>literature</w:t>
      </w:r>
      <w:r w:rsidR="0047336F">
        <w:t>,</w:t>
      </w:r>
      <w:r w:rsidR="008D34D7" w:rsidRPr="00B110A8">
        <w:t xml:space="preserve"> but</w:t>
      </w:r>
      <w:r w:rsidR="00B110A8">
        <w:t xml:space="preserve"> may be traced to</w:t>
      </w:r>
      <w:r w:rsidR="008D34D7">
        <w:t xml:space="preserve"> Maslow’s </w:t>
      </w:r>
      <w:r w:rsidR="008D34D7">
        <w:fldChar w:fldCharType="begin"/>
      </w:r>
      <w:r w:rsidR="008912F0">
        <w:instrText xml:space="preserve"> ADDIN ZOTERO_ITEM CSL_CITATION {"citationID":"W8lsTWxS","properties":{"formattedCitation":"(1943)","plainCitation":"(1943)","noteIndex":0},"citationItems":[{"id":807,"uris":["http://zotero.org/users/local/1ztI2Oc6/items/ZWVH7SC3","http://zotero.org/users/12832277/items/ZWVH7SC3"],"itemData":{"id":807,"type":"article-journal","abstract":"After listing the propositions that must be considered as basic, the author formulates a theory of human motivation in line with these propositions and with the known facts derived from observation and experiment. There are 5 sets of goals (basic needs) which are related to each other and are arranged in a hierarchy of prepotency. When the most prepotent goal is realized, the next higher need emerges. \"Thus man is a perpetually wanting animal.\" Thwarting, actual or imminent, of these basic needs provides a psychological threat that leads to psychopathy. (PsycINFO Database Record (c) 2016 APA, all rights reserved)","container-title":"Psychological Review","DOI":"10.1037/h0054346","ISSN":"1939-1471","note":"publisher-place: US\npublisher: American Psychological Association","page":"370-396","source":"APA PsycNet","title":"A Theory of Human Motivation","volume":"50","author":[{"family":"Maslow","given":"A. H."}],"issued":{"date-parts":[["1943"]]}},"label":"page","suppress-author":true}],"schema":"https://github.com/citation-style-language/schema/raw/master/csl-citation.json"} </w:instrText>
      </w:r>
      <w:r w:rsidR="008D34D7">
        <w:fldChar w:fldCharType="separate"/>
      </w:r>
      <w:r w:rsidR="008D34D7" w:rsidRPr="008D34D7">
        <w:t>(1943)</w:t>
      </w:r>
      <w:r w:rsidR="008D34D7">
        <w:fldChar w:fldCharType="end"/>
      </w:r>
      <w:r w:rsidR="004315C3">
        <w:t xml:space="preserve"> </w:t>
      </w:r>
      <w:r w:rsidR="00B110A8">
        <w:t>theory of the hierarchy of human needs. A</w:t>
      </w:r>
      <w:r w:rsidR="004315C3">
        <w:t xml:space="preserve"> higher </w:t>
      </w:r>
      <w:r w:rsidR="00B110A8">
        <w:t>social/economic status of an individua</w:t>
      </w:r>
      <w:r w:rsidR="004315C3">
        <w:t xml:space="preserve">l allows consideration of </w:t>
      </w:r>
      <w:r w:rsidR="0047336F">
        <w:t xml:space="preserve">the </w:t>
      </w:r>
      <w:r w:rsidR="004315C3">
        <w:t xml:space="preserve">longer-term and </w:t>
      </w:r>
      <w:r w:rsidR="008D34D7">
        <w:t>higher-level</w:t>
      </w:r>
      <w:r w:rsidR="004315C3">
        <w:t xml:space="preserve"> need for environmental quality, given shorter-term basic biological survival needs are likely to already be satisfied. Higher incomes also provide the financial wherewithal to consume exclusive and expensive goods, as a means to signal wealth, power and status, and uniqueness in the consumer space</w:t>
      </w:r>
      <w:r w:rsidR="008D34D7">
        <w:t xml:space="preserve"> </w:t>
      </w:r>
      <w:r w:rsidR="008D34D7">
        <w:fldChar w:fldCharType="begin"/>
      </w:r>
      <w:r w:rsidR="008912F0">
        <w:instrText xml:space="preserve"> ADDIN ZOTERO_ITEM CSL_CITATION {"citationID":"aRloJ9vZ","properties":{"unsorted":true,"formattedCitation":"(Husic and Cicic, 2009; Chevalier and Gutsatz, 2012)","plainCitation":"(Husic and Cicic, 2009; Chevalier and Gutsatz, 2012)","dontUpdate":true,"noteIndex":0},"citationItems":[{"id":556,"uris":["http://zotero.org/users/local/1ztI2Oc6/items/JDE97UWP","http://zotero.org/users/12832277/items/JDE97UWP"],"itemData":{"id":556,"type":"article-journal","abstract":"Purpose – The purpose of the paper is to analyse the luxury market and determine the factors that determine luxury consumption. Luxury consumption has been neglected, and yet many questions arise concerning the underlying dimensions of luxury shopping. Design/methodology/approach – Two scales were used: questions concerning luxury consumption were used in order to determine the sample of luxury consumers, and a PRECON scale was used to measure individual differences in consumers’ prestige shopping preferences. After the scale validation process, factor analysis was conducted, along with regression analysis of all PRECON factors. Findings – The results show that in this market consumers perceive quality as a brand determinant. Further, strong patron status suggests a “snob effect” among respondents, who buy exclusive items in an attempt to distinguish themselves. Hence, rare products indicate respect and prestige among the respondents. Furthermore, this paper defines two sub‐categories, namely “old aristocracy” and “new money”, with the latter more ascendant in the case of a developing market. It also showed that luxury consumers behave similarly worldwide, regardless of economic or social surroundings. Research limitations/implications – Luxury consumption should be put in the context of psychological determinants, and perhaps tested according to lifestyle. Originality/value – This paper brings attention to luxury consumption, its motives and consumer styles.","container-title":"Journal of Fashion Marketing and Management: An International Journal","DOI":"10.1108/13612020910957734","ISSN":"1361-2026","issue":"2","note":"publisher: Emerald Group Publishing Limited","page":"231-245","source":"Emerald Insight","title":"Luxury Consumption Factors","volume":"13","author":[{"family":"Husic","given":"Melika"},{"family":"Cicic","given":"Muris"}],"issued":{"date-parts":[["2009",1,1]]}}},{"id":810,"uris":["http://zotero.org/users/local/1ztI2Oc6/items/AIUN2B78","http://zotero.org/users/12832277/items/AIUN2B78"],"itemData":{"id":810,"type":"book","abstract":"Noted experts offer invaluable insights into the glamorous world of luxury retail Luxury Retail Management is your gold-plated ticket to the glamorous world of luxury retail. Defining all the tools that are necessary to manage luxury stores, from the analysis of location and design concept, to the selection, training, and motivation of the staff, the book covers everything you need to know to enter, expand, understand, and succeed in the world of luxury retail. Reaching the luxury customer is no longer the domain of the exclusive salon-the global luxury market boom and the phenomenal growth of","event-place":"Singapore","ISBN":"978-0-470-83028-4","language":"eng","note":"OCLC: 785776730","number-of-pages":"306","publisher":"Wiley","publisher-place":"Singapore","source":"Open WorldCat","title":"Luxury Retail Management: How the World's Top Brands Provide Quality Product and Service Support","title-short":"Luxury Retail Management","URL":"http://www.dawsonera.com/depp/reader/protected/external/AbstractView/S9780470830284","author":[{"family":"Chevalier","given":"Michel"},{"family":"Gutsatz","given":"Michel"}],"accessed":{"date-parts":[["2023",6,12]]},"issued":{"date-parts":[["2012"]]}}}],"schema":"https://github.com/citation-style-language/schema/raw/master/csl-citation.json"} </w:instrText>
      </w:r>
      <w:r w:rsidR="008D34D7">
        <w:fldChar w:fldCharType="separate"/>
      </w:r>
      <w:r w:rsidR="008D34D7" w:rsidRPr="008D34D7">
        <w:t>(</w:t>
      </w:r>
      <w:r w:rsidR="008D34D7">
        <w:t xml:space="preserve">see </w:t>
      </w:r>
      <w:r w:rsidR="008D34D7" w:rsidRPr="008D34D7">
        <w:t>Husic and Cicic, 2009; Chevalier and Gutsatz, 2012)</w:t>
      </w:r>
      <w:r w:rsidR="008D34D7">
        <w:fldChar w:fldCharType="end"/>
      </w:r>
      <w:r w:rsidR="004315C3">
        <w:t xml:space="preserve">. </w:t>
      </w:r>
      <w:r w:rsidR="0005509D">
        <w:t xml:space="preserve">Further, the positive effect of income on TLP </w:t>
      </w:r>
      <w:r w:rsidR="0005509D" w:rsidRPr="0088328D">
        <w:rPr>
          <w:color w:val="000000" w:themeColor="text1"/>
        </w:rPr>
        <w:t>align</w:t>
      </w:r>
      <w:r w:rsidR="0005509D">
        <w:rPr>
          <w:color w:val="000000" w:themeColor="text1"/>
        </w:rPr>
        <w:t>s</w:t>
      </w:r>
      <w:r w:rsidR="0005509D" w:rsidRPr="0088328D">
        <w:rPr>
          <w:color w:val="000000" w:themeColor="text1"/>
        </w:rPr>
        <w:t xml:space="preserve"> with </w:t>
      </w:r>
      <w:r w:rsidR="0005509D">
        <w:rPr>
          <w:color w:val="000000" w:themeColor="text1"/>
        </w:rPr>
        <w:t xml:space="preserve">the </w:t>
      </w:r>
      <w:r w:rsidR="0005509D" w:rsidRPr="0088328D">
        <w:rPr>
          <w:color w:val="000000" w:themeColor="text1"/>
        </w:rPr>
        <w:t>previous literature</w:t>
      </w:r>
      <w:r w:rsidR="0005509D">
        <w:rPr>
          <w:color w:val="000000" w:themeColor="text1"/>
        </w:rPr>
        <w:t xml:space="preserve"> suggesting that such </w:t>
      </w:r>
      <w:r w:rsidR="0047336F">
        <w:rPr>
          <w:color w:val="000000" w:themeColor="text1"/>
        </w:rPr>
        <w:t xml:space="preserve">high-income earners </w:t>
      </w:r>
      <w:r w:rsidR="005E3084">
        <w:rPr>
          <w:color w:val="000000" w:themeColor="text1"/>
        </w:rPr>
        <w:t>enjoy more</w:t>
      </w:r>
      <w:r w:rsidR="0005509D">
        <w:rPr>
          <w:color w:val="000000" w:themeColor="text1"/>
        </w:rPr>
        <w:t xml:space="preserve"> freedom </w:t>
      </w:r>
      <w:r w:rsidR="005E3084">
        <w:rPr>
          <w:color w:val="000000" w:themeColor="text1"/>
        </w:rPr>
        <w:t xml:space="preserve">in their work arrangements </w:t>
      </w:r>
      <w:r w:rsidR="0005509D">
        <w:rPr>
          <w:color w:val="000000" w:themeColor="text1"/>
        </w:rPr>
        <w:t xml:space="preserve">and </w:t>
      </w:r>
      <w:r w:rsidR="005E3084">
        <w:rPr>
          <w:color w:val="000000" w:themeColor="text1"/>
        </w:rPr>
        <w:t xml:space="preserve">in </w:t>
      </w:r>
      <w:r w:rsidR="0005509D">
        <w:rPr>
          <w:color w:val="000000" w:themeColor="text1"/>
        </w:rPr>
        <w:t xml:space="preserve">negotiating ability to work </w:t>
      </w:r>
      <w:r w:rsidR="00E30264">
        <w:rPr>
          <w:color w:val="000000" w:themeColor="text1"/>
        </w:rPr>
        <w:t>remotely</w:t>
      </w:r>
      <w:r w:rsidR="008D34D7">
        <w:rPr>
          <w:color w:val="000000" w:themeColor="text1"/>
        </w:rPr>
        <w:t xml:space="preserve"> </w:t>
      </w:r>
      <w:r w:rsidR="008D34D7">
        <w:rPr>
          <w:color w:val="000000" w:themeColor="text1"/>
        </w:rPr>
        <w:fldChar w:fldCharType="begin"/>
      </w:r>
      <w:r w:rsidR="00C516A0">
        <w:rPr>
          <w:color w:val="000000" w:themeColor="text1"/>
        </w:rPr>
        <w:instrText xml:space="preserve"> ADDIN ZOTERO_ITEM CSL_CITATION {"citationID":"fFVmgv85","properties":{"unsorted":true,"formattedCitation":"(Tahlyan et al., 2022; Asmussen et al., 2023)","plainCitation":"(Tahlyan et al., 2022; Asmussen et al., 2023)","noteIndex":0},"citationItems":[{"id":534,"uris":["http://zotero.org/users/local/1ztI2Oc6/items/8E3Z58R4","http://zotero.org/users/12832277/items/8E3Z58R4"],"itemData":{"id":534,"type":"article-journal","abstract":"The COVID-19 pandemic required employees and businesses across the world to rapidly transition to work from home over extended periods, reaching what is likely the upper bound of telework in many sectors. Past studies have identified both advantages and disadvantages of teleworking. The pandemic experience offers a unique opportunity to examine employees’ experiences and perceptions of telework given the broad participation duration and extent. While employer strategies will play a major role in defining the future forms and adoption of telework, employee preferences and constraints, such as access to appropriate technology to work from home or the home environment, are also going to be important factors. Using data from a U.S. representative sample of 318 working adults, this study uses a Multiple Indicator Multiple Cause Model (MIMIC) to understand employee satisfaction with telework. The presented model links telework satisfaction with experienced and perceived benefits and barriers related to telework, and hence provide a causal structure to our understanding of telework satisfaction. We also present an ordered probit model without latent variables that help us understand the systematic heterogeneity in telework satisfaction across various socio-demographic groups. The results suggest younger and older aged individuals experienced/perceived lower benefits and higher barriers to teleworking compared to middle aged individuals. The results also suggest a disproportionate impact on Hispanic or Latino and Black respondents as well as on those with children attending online school from home. Accordingly, this study highlights important factors impacting telework adoption that employers and policy makers should consider in planning future work arrangements and policies in a post-pandemic world.","container-title":"Transportation Research Part A: Policy and Practice","DOI":"10.1016/j.tra.2021.11.025","ISSN":"0965-8564","language":"en","page":"387-402","source":"ScienceDirect","title":"For Whom Did Telework Not Work During the Pandemic? Understanding the Factors Impacting Telework Satisfaction in the US Using a Multiple Indicator Multiple Cause (MIMIC) Model","title-short":"For Whom Did Telework Not Work During the Pandemic?","volume":"155","author":[{"family":"Tahlyan","given":"Divyakant"},{"family":"Said","given":"Maher"},{"family":"Mahmassani","given":"Hani"},{"family":"Stathopoulos","given":"Amanda"},{"family":"Walker","given":"Joan"},{"family":"Shaheen","given":"Susan"}],"issued":{"date-parts":[["2022",1,1]]}}},{"id":804,"uris":["http://zotero.org/users/local/1ztI2Oc6/items/8WZHU6BW","http://zotero.org/users/12832277/items/8WZHU6BW"],"itemData":{"id":804,"type":"article-journal","abstract":"In this paper, we examine work place location (WPL) preferences of workers in an unpredictable and evolving future by investigating how workers would prefer to allocate their monthly working days among the three WPL alternatives of working from home, from the work office, and from a variable third WPL. In contrast to earlier studies that typically focus on telework as a binary of whether an individual is a teleworker or not, we focus our attention on workers’ preferences for specific combinations of all three WPLs over a period of a month (including, but not limited to, only selecting one WPL for all days of the month). In our analysis, we employ the multiple discrete–continuous extreme value (MDCEV) model, using a 2022 stated preference survey of future work preferences of employees residing in the state of Texas. The results indicate that single young women with very young children, those with long commutes and “intolerable” traffic congestion to the work office, individuals with a private study in their homes, self-employed workers, and those in non-essential service occupations have the highest preference for working from home. On the other hand, older men, individuals from low income households, those residing in rural areas, and workers in essential service occupations have the highest preference for the work office. And, for the third WPL, young non-single women with very young children, individuals from low income households, part-time employees, and those in professional, managerial or finance occupations have the highest predisposition. These results should provide valuable insights to urban planners, homebuilders, employers, travel demand modelers, and a whole host of other businesses to achieve specific desired end states. From a data collection standpoint, our study underscores the need to collect detailed information about work patterns in future activity-travel surveys.","container-title":"Transportation Research Part A: Policy and Practice","DOI":"10.1016/j.tra.2023.103671","ISSN":"0965-8564","language":"en","source":"ScienceDirect","title":"On Modeling Future Workplace Location Decisions: An Analysis of Texas Employees","URL":"https://www.sciencedirect.com/science/article/pii/S0965856423000915","volume":"172","author":[{"family":"Asmussen","given":"Katherine"},{"family":"Mondal","given":"Aupal"},{"family":"Bhat","given":"Chandra R."},{"family":"Pendyala","given":"Ram M."}],"accessed":{"date-parts":[["2023",6,12]]},"issued":{"date-parts":[["2023",6,1]]}},"label":"page"}],"schema":"https://github.com/citation-style-language/schema/raw/master/csl-citation.json"} </w:instrText>
      </w:r>
      <w:r w:rsidR="008D34D7">
        <w:rPr>
          <w:color w:val="000000" w:themeColor="text1"/>
        </w:rPr>
        <w:fldChar w:fldCharType="separate"/>
      </w:r>
      <w:r w:rsidR="00C516A0" w:rsidRPr="00C516A0">
        <w:t>(</w:t>
      </w:r>
      <w:r w:rsidR="00C516A0">
        <w:t xml:space="preserve">see </w:t>
      </w:r>
      <w:r w:rsidR="00C516A0" w:rsidRPr="00C516A0">
        <w:t>Tahlyan et al., 2022; Asmussen et al., 2023)</w:t>
      </w:r>
      <w:r w:rsidR="008D34D7">
        <w:rPr>
          <w:color w:val="000000" w:themeColor="text1"/>
        </w:rPr>
        <w:fldChar w:fldCharType="end"/>
      </w:r>
      <w:r w:rsidR="008D34D7">
        <w:rPr>
          <w:color w:val="000000" w:themeColor="text1"/>
        </w:rPr>
        <w:t>.</w:t>
      </w:r>
      <w:r w:rsidR="0005509D" w:rsidRPr="0088328D">
        <w:rPr>
          <w:color w:val="000000" w:themeColor="text1"/>
        </w:rPr>
        <w:t xml:space="preserve"> </w:t>
      </w:r>
      <w:r>
        <w:tab/>
      </w:r>
    </w:p>
    <w:p w14:paraId="17436334" w14:textId="6A398A43" w:rsidR="0001529C" w:rsidRDefault="002C10A4" w:rsidP="006F37E3">
      <w:pPr>
        <w:tabs>
          <w:tab w:val="left" w:pos="0"/>
        </w:tabs>
        <w:spacing w:after="0" w:line="240" w:lineRule="auto"/>
        <w:jc w:val="both"/>
      </w:pPr>
      <w:r>
        <w:tab/>
      </w:r>
      <w:r w:rsidR="0005509D">
        <w:t xml:space="preserve">Table 3 also indicates that </w:t>
      </w:r>
      <w:r w:rsidR="00E30264">
        <w:t xml:space="preserve">individuals of </w:t>
      </w:r>
      <w:r w:rsidR="00A937B4" w:rsidRPr="00D21817">
        <w:t>Asian</w:t>
      </w:r>
      <w:r w:rsidR="00E30264">
        <w:t xml:space="preserve"> origin </w:t>
      </w:r>
      <w:r w:rsidR="00A937B4" w:rsidRPr="00D21817">
        <w:t xml:space="preserve">have a higher </w:t>
      </w:r>
      <w:r w:rsidR="008B63D0" w:rsidRPr="009434FD">
        <w:t>GLP</w:t>
      </w:r>
      <w:r w:rsidR="00E30264">
        <w:t xml:space="preserve"> (</w:t>
      </w:r>
      <w:r w:rsidR="00D03E0C" w:rsidRPr="009434FD">
        <w:t xml:space="preserve">possibly </w:t>
      </w:r>
      <w:r w:rsidR="008B63D0" w:rsidRPr="009434FD">
        <w:t>influenced by</w:t>
      </w:r>
      <w:r w:rsidR="00D03E0C" w:rsidRPr="009434FD">
        <w:t xml:space="preserve"> cultural values of collectivism and community concern that </w:t>
      </w:r>
      <w:r w:rsidR="009050A4" w:rsidRPr="009434FD">
        <w:t xml:space="preserve">align </w:t>
      </w:r>
      <w:r w:rsidR="00D03E0C" w:rsidRPr="009434FD">
        <w:t>with prioritizing a green lifestyle</w:t>
      </w:r>
      <w:r w:rsidR="00E30264">
        <w:t>;</w:t>
      </w:r>
      <w:r w:rsidR="00D03E0C" w:rsidRPr="009434FD">
        <w:t xml:space="preserve"> </w:t>
      </w:r>
      <w:r w:rsidR="00E30264">
        <w:t xml:space="preserve">see </w:t>
      </w:r>
      <w:r w:rsidR="00D03E0C" w:rsidRPr="00D21817">
        <w:fldChar w:fldCharType="begin"/>
      </w:r>
      <w:r w:rsidR="008912F0">
        <w:instrText xml:space="preserve"> ADDIN ZOTERO_ITEM CSL_CITATION {"citationID":"M4VUu1nt","properties":{"formattedCitation":"(Deng et al., 2006)","plainCitation":"(Deng et al., 2006)","dontUpdate":true,"noteIndex":0},"citationItems":[{"id":569,"uris":["http://zotero.org/users/local/1ztI2Oc6/items/V3738APK","http://zotero.org/users/12832277/items/V3738APK"],"itemData":{"id":569,"type":"article-journal","abstract":"This study examines similarities and differences in environmental values and attitudes between two cultural groups?Chinese in Canada and Anglo-Canadians. The results indicate that Chinese are more supportive of social-altruistic values than are Anglo-Canadians. However, the two groups are not significantly different in biospheric values. Moreover, both groups are significantly different in two of four new environmental paradigm (NEP) subscales? limits to growth and antianthropocentrism?whereas their attitudes toward the other two NEP subscales? eco-crisis and balance-of-nature?are similar. Study results also suggest that biospheric values are closely related to the NEP, whereas social-altruistic values are not. In addition, acculturation does not consistently affect all six subscales, suggesting that Chinese in Canada may have adopted a selective acculturation pattern. Finally, this study's findings also endorse some previous research that proposes that value orientations may be more helpful in understanding environmental concern than sociodemographic variables such as age, education, and income.","container-title":"Environment and Behavior","DOI":"10.1177/0013916505278458","ISSN":"0013-9165","issue":"1","note":"publisher: SAGE Publications Inc","page":"22-47","source":"SAGE Journals","title":"A Comparison of Environmental Values and Attitudes Between Chinese in Canada and Anglo-Canadians","volume":"38","author":[{"family":"Deng","given":"Jinyang"},{"family":"Walker","given":"Gordon J."},{"family":"Swinnerton","given":"Guy"}],"issued":{"date-parts":[["2006",1,1]]}}}],"schema":"https://github.com/citation-style-language/schema/raw/master/csl-citation.json"} </w:instrText>
      </w:r>
      <w:r w:rsidR="00D03E0C" w:rsidRPr="00D21817">
        <w:fldChar w:fldCharType="separate"/>
      </w:r>
      <w:r w:rsidR="00BA12C7" w:rsidRPr="00D21817">
        <w:t>Deng et al., 2006)</w:t>
      </w:r>
      <w:r w:rsidR="00D03E0C" w:rsidRPr="00D21817">
        <w:fldChar w:fldCharType="end"/>
      </w:r>
      <w:r w:rsidR="00E30264">
        <w:t>, while Black individuals have a lower LL</w:t>
      </w:r>
      <w:r w:rsidR="008D34D7">
        <w:t>P</w:t>
      </w:r>
      <w:r w:rsidR="00E30264">
        <w:t xml:space="preserve"> </w:t>
      </w:r>
      <w:r w:rsidR="008D34D7">
        <w:fldChar w:fldCharType="begin"/>
      </w:r>
      <w:r w:rsidR="000C4AE3">
        <w:instrText xml:space="preserve"> ADDIN ZOTERO_ITEM CSL_CITATION {"citationID":"z5WU6683","properties":{"unsorted":true,"formattedCitation":"(Oliver and Shapiro, 1997; Charron-Ch\\uc0\\u233{}nier et al., 2017)","plainCitation":"(Oliver and Shapiro, 1997; Charron-Chénier et al., 2017)","dontUpdate":true,"noteIndex":0},"citationItems":[{"id":813,"uris":["http://zotero.org/users/local/1ztI2Oc6/items/TNS5Q76L","http://zotero.org/users/12832277/items/TNS5Q76L"],"itemData":{"id":813,"type":"book","abstract":"Black Wealth/White Wealthdemonstrates how an analysis of private wealth uncovers a revealing story about race in America. An examination of how assets are created, expanded and preserved reveals a deep economic divide between blacks and whites. Charting the changing structure of inequality over many generations, the authors examine how and why many blacks have had difficulty accumulating wealth and opportunities for a better life. In combining quantitative data from over 12,000 households and interviews with a range of black and white families, the racial face of wealth in America is measured and conceptualized.","ISBN":"978-0-415-91847-3","language":"en","note":"Google-Books-ID: _ZUtb3FkddoC","number-of-pages":"260","publisher":"Psychology Press","source":"Google Books","title":"Black Wealth/White Wealth: A New Perspective on Racial Inequality","title-short":"Black Wealth/White Wealth","author":[{"family":"Oliver","given":"Melvin L."},{"family":"Shapiro","given":"Thomas M."}],"issued":{"date-parts":[["1997"]]}}},{"id":815,"uris":["http://zotero.org/users/local/1ztI2Oc6/items/E5RK5DQ4","http://zotero.org/users/12832277/items/E5RK5DQ4"],"itemData":{"id":815,"type":"article-journal","abstract":"Differences in consumption patterns are usually treated as a matter of preferences. In this article, the authors examine consumption from a structural perspective and argue that black households face unique constraints restricting their ability to acquire important goods and services. Using data from the Consumer Expenditure Surveys, the authors examine racial differences in total spending and in spending on major categories of goods and services (food, transportation, utilities, housing, health care, and entertainment). The authors also capture heterogeneous effects of racial stratification across class by modeling racial consumption gaps across household income levels. The results show that black households tend to have lower levels of total spending than their white counterparts and that these disparities tend to persist across income levels. Overall, these analyses indicate that racial disparities in consumption exist independently of other economic disparities and may be a key unexamined factor in the reproduction of racial inequality.","container-title":"Sociology of Race and Ethnicity","DOI":"10.1177/2332649216647748","ISSN":"2332-6492, 2332-6506","issue":"1","language":"en","page":"50-67","source":"DOI.org (Crossref)","title":"Race and Consumption: Black and White Disparities in Household Spending","title-short":"Race and Consumption","volume":"3","author":[{"family":"Charron-Chénier","given":"Raphaël"},{"family":"Fink","given":"Joshua J."},{"family":"Keister","given":"Lisa A."}],"issued":{"date-parts":[["2017",1]]}}}],"schema":"https://github.com/citation-style-language/schema/raw/master/csl-citation.json"} </w:instrText>
      </w:r>
      <w:r w:rsidR="008D34D7">
        <w:fldChar w:fldCharType="separate"/>
      </w:r>
      <w:r w:rsidR="008D34D7" w:rsidRPr="008D34D7">
        <w:t>(</w:t>
      </w:r>
      <w:r w:rsidR="008D34D7">
        <w:t>perhaps because of historical</w:t>
      </w:r>
      <w:r w:rsidR="0047336F">
        <w:t xml:space="preserve"> </w:t>
      </w:r>
      <w:r w:rsidR="008D34D7">
        <w:t>discriminatory social status</w:t>
      </w:r>
      <w:r w:rsidR="0047336F">
        <w:t xml:space="preserve"> practices</w:t>
      </w:r>
      <w:r w:rsidR="008D34D7">
        <w:t xml:space="preserve">; see </w:t>
      </w:r>
      <w:r w:rsidR="008D34D7" w:rsidRPr="008D34D7">
        <w:t>Oliver and Shapiro, 1997</w:t>
      </w:r>
      <w:r w:rsidR="0047336F">
        <w:t xml:space="preserve"> and</w:t>
      </w:r>
      <w:r w:rsidR="008D34D7" w:rsidRPr="008D34D7">
        <w:t xml:space="preserve"> Charron-Chénier et al., 2017)</w:t>
      </w:r>
      <w:r w:rsidR="008D34D7">
        <w:fldChar w:fldCharType="end"/>
      </w:r>
      <w:r w:rsidR="00E30264">
        <w:t>. Hispanic individuals, however, are more likely to be luxury-oriented, though also tend to display a lower TLP.</w:t>
      </w:r>
      <w:r w:rsidR="008D34D7">
        <w:t xml:space="preserve"> This higher LLP </w:t>
      </w:r>
      <w:r w:rsidR="0047336F">
        <w:t xml:space="preserve">among Hispanic individuals </w:t>
      </w:r>
      <w:r w:rsidR="008D34D7">
        <w:t xml:space="preserve">may be related to a strong belief in the “American Dream” and focus on financial achievements, educational attainment, and home ownership </w:t>
      </w:r>
      <w:r w:rsidR="008D34D7">
        <w:fldChar w:fldCharType="begin"/>
      </w:r>
      <w:r w:rsidR="008912F0">
        <w:instrText xml:space="preserve"> ADDIN ZOTERO_ITEM CSL_CITATION {"citationID":"rUBzGFWR","properties":{"formattedCitation":"(Cervantes et al., 2021)","plainCitation":"(Cervantes et al., 2021)","dontUpdate":true,"noteIndex":0},"citationItems":[{"id":811,"uris":["http://zotero.org/users/local/1ztI2Oc6/items/Z8C5KE7U","http://zotero.org/users/12832277/items/Z8C5KE7U"],"itemData":{"id":811,"type":"article-journal","container-title":"Hispanic Journal of Behavioral Sciences","issue":"3","note":"publisher: SAGE Publications Sage CA: Los Angeles, CA","page":"135–154","source":"Google Scholar","title":"Optimism and the American Dream: Latino Perspectives on Opportunities and Challenges Toward Reaching Personal and Family Goals","title-short":"Optimism and the American Dream","volume":"43","author":[{"family":"Cervantes","given":"Richard C."},{"family":"Koutantos","given":"Elias"},{"family":"Cristo","given":"Martha"},{"family":"Gonzalez-Guarda","given":"Rosa"},{"family":"Fuentes","given":"Diego"},{"family":"Gutierrez","given":"Nancy"}],"issued":{"date-parts":[["2021"]]}}}],"schema":"https://github.com/citation-style-language/schema/raw/master/csl-citation.json"} </w:instrText>
      </w:r>
      <w:r w:rsidR="008D34D7">
        <w:fldChar w:fldCharType="separate"/>
      </w:r>
      <w:r w:rsidR="008D34D7" w:rsidRPr="008D34D7">
        <w:t>(</w:t>
      </w:r>
      <w:r w:rsidR="008D34D7">
        <w:t xml:space="preserve">see </w:t>
      </w:r>
      <w:r w:rsidR="008D34D7" w:rsidRPr="008D34D7">
        <w:t>Cervantes et al., 2021)</w:t>
      </w:r>
      <w:r w:rsidR="008D34D7">
        <w:fldChar w:fldCharType="end"/>
      </w:r>
      <w:r w:rsidR="008D34D7">
        <w:t xml:space="preserve">. </w:t>
      </w:r>
      <w:r w:rsidR="0001529C">
        <w:t xml:space="preserve">Overall, the latent constructs are related much more to individual demographics than household demographics (except for household income). However, it must be borne in mind that, in general, the individual variables (age, education status, race, and ethnicity) corresponding to the respondent provide a good sense of the demographics of the entire household. </w:t>
      </w:r>
    </w:p>
    <w:p w14:paraId="284AFD3E" w14:textId="52C36222" w:rsidR="008D61A8" w:rsidRPr="009B2F97" w:rsidRDefault="00421718" w:rsidP="006F37E3">
      <w:pPr>
        <w:spacing w:after="0" w:line="240" w:lineRule="auto"/>
        <w:ind w:firstLine="720"/>
        <w:jc w:val="both"/>
      </w:pPr>
      <w:r w:rsidRPr="009434FD">
        <w:t xml:space="preserve">The bottom half of Table </w:t>
      </w:r>
      <w:r w:rsidR="00B80D01" w:rsidRPr="009434FD">
        <w:t>3</w:t>
      </w:r>
      <w:r w:rsidRPr="009434FD">
        <w:t xml:space="preserve"> presents the loadings </w:t>
      </w:r>
      <w:r w:rsidR="00E30264">
        <w:t xml:space="preserve">of the latent constructs on the indicator variables, </w:t>
      </w:r>
      <w:r w:rsidRPr="009434FD">
        <w:t>corresponding to the MEM component.</w:t>
      </w:r>
      <w:r w:rsidRPr="009C5F54">
        <w:t xml:space="preserve"> The signs </w:t>
      </w:r>
      <w:r w:rsidR="00E30264">
        <w:t xml:space="preserve">on the latent constructs </w:t>
      </w:r>
      <w:r w:rsidRPr="009C5F54">
        <w:t>for all indicators are positive</w:t>
      </w:r>
      <w:r w:rsidR="00E600B1">
        <w:t>, consistent with the indicator prompts</w:t>
      </w:r>
      <w:r w:rsidR="009B4D8E" w:rsidRPr="009C5F54">
        <w:t xml:space="preserve">. </w:t>
      </w:r>
      <w:r w:rsidR="00E600B1">
        <w:t>T</w:t>
      </w:r>
      <w:r w:rsidR="00D414B5" w:rsidRPr="009B2F97">
        <w:t xml:space="preserve">he last </w:t>
      </w:r>
      <w:r w:rsidR="00E600B1">
        <w:t xml:space="preserve">row panel </w:t>
      </w:r>
      <w:r w:rsidR="00D414B5" w:rsidRPr="009C5F54">
        <w:t xml:space="preserve">section of Table </w:t>
      </w:r>
      <w:r w:rsidR="00B80D01" w:rsidRPr="009C5F54">
        <w:t>3</w:t>
      </w:r>
      <w:r w:rsidR="00D414B5" w:rsidRPr="008253CB">
        <w:t xml:space="preserve"> includes the correlations between the latent constructs. </w:t>
      </w:r>
      <w:r w:rsidR="00590EB5" w:rsidRPr="009179E5">
        <w:t>A</w:t>
      </w:r>
      <w:r w:rsidR="009F28EE" w:rsidRPr="009179E5">
        <w:t xml:space="preserve"> negative correlation between GLP and LLP i</w:t>
      </w:r>
      <w:r w:rsidR="00C94DA7" w:rsidRPr="009179E5">
        <w:t>s expected since GLP includes the preference for moderating consumption</w:t>
      </w:r>
      <w:r w:rsidR="0092109C" w:rsidRPr="009B2F97">
        <w:t xml:space="preserve"> as </w:t>
      </w:r>
      <w:r w:rsidR="00A51294" w:rsidRPr="009B2F97">
        <w:t>one way of being environmentally conscious</w:t>
      </w:r>
      <w:r w:rsidR="002C10A4">
        <w:t>,</w:t>
      </w:r>
      <w:r w:rsidR="00C94DA7" w:rsidRPr="009C5F54">
        <w:t xml:space="preserve"> </w:t>
      </w:r>
      <w:r w:rsidR="005309AF" w:rsidRPr="009C5F54">
        <w:t xml:space="preserve">while LLP is associated with higher levels of conspicuous consumption. </w:t>
      </w:r>
      <w:r w:rsidR="002C10A4">
        <w:t>Unobserved individual factors that increase GLP also increase TLP, while unobserved individual factors that increase LLP also decrease TLP. These correlations, while due to unobserved factors, are quite expected, given that t</w:t>
      </w:r>
      <w:r w:rsidR="008B5306" w:rsidRPr="009B2F97">
        <w:t xml:space="preserve">eleworking can </w:t>
      </w:r>
      <w:r w:rsidR="002C10A4">
        <w:t xml:space="preserve">be viewed as a mechanism to be </w:t>
      </w:r>
      <w:proofErr w:type="gramStart"/>
      <w:r w:rsidR="002C10A4">
        <w:t>more</w:t>
      </w:r>
      <w:r w:rsidR="002C6CD0">
        <w:t xml:space="preserve"> </w:t>
      </w:r>
      <w:r w:rsidR="002C10A4">
        <w:t>“green”</w:t>
      </w:r>
      <w:proofErr w:type="gramEnd"/>
      <w:r w:rsidR="002C10A4">
        <w:t xml:space="preserve"> through the reduction in motorized </w:t>
      </w:r>
      <w:r w:rsidR="00DF3EE3" w:rsidRPr="009B2F97">
        <w:t>commut</w:t>
      </w:r>
      <w:r w:rsidR="002C10A4">
        <w:t>e</w:t>
      </w:r>
      <w:r w:rsidR="00DF3EE3" w:rsidRPr="009B2F97">
        <w:t xml:space="preserve"> travel</w:t>
      </w:r>
      <w:r w:rsidR="002C10A4">
        <w:t>.</w:t>
      </w:r>
      <w:r w:rsidR="0005750E" w:rsidRPr="009B2F97">
        <w:t xml:space="preserve"> </w:t>
      </w:r>
    </w:p>
    <w:bookmarkEnd w:id="19"/>
    <w:p w14:paraId="7DD13E55" w14:textId="77777777" w:rsidR="008D61A8" w:rsidRPr="009B2F97" w:rsidRDefault="008D61A8" w:rsidP="006F37E3">
      <w:pPr>
        <w:spacing w:after="0" w:line="240" w:lineRule="auto"/>
        <w:ind w:firstLine="720"/>
        <w:jc w:val="both"/>
      </w:pPr>
    </w:p>
    <w:p w14:paraId="0DB9D72A" w14:textId="77777777" w:rsidR="008D61A8" w:rsidRPr="009B2F97" w:rsidRDefault="00554BB8" w:rsidP="006F37E3">
      <w:pPr>
        <w:spacing w:after="0" w:line="240" w:lineRule="auto"/>
        <w:jc w:val="both"/>
        <w:rPr>
          <w:b/>
          <w:bCs/>
        </w:rPr>
      </w:pPr>
      <w:r w:rsidRPr="009B2F97">
        <w:rPr>
          <w:b/>
          <w:bCs/>
        </w:rPr>
        <w:t xml:space="preserve">4.2 </w:t>
      </w:r>
      <w:r w:rsidR="00DB69AE" w:rsidRPr="009B2F97">
        <w:rPr>
          <w:b/>
          <w:bCs/>
        </w:rPr>
        <w:t>Main Estimation</w:t>
      </w:r>
    </w:p>
    <w:p w14:paraId="050B5960" w14:textId="2681399D" w:rsidR="000A0598" w:rsidRDefault="00675D06" w:rsidP="006F37E3">
      <w:pPr>
        <w:spacing w:after="0" w:line="240" w:lineRule="auto"/>
        <w:jc w:val="both"/>
      </w:pPr>
      <w:bookmarkStart w:id="20" w:name="_Hlk148694687"/>
      <w:r w:rsidRPr="009B2F97">
        <w:t>The measurement equation model</w:t>
      </w:r>
      <w:r w:rsidR="00FB22B1" w:rsidRPr="009B2F97">
        <w:t xml:space="preserve"> </w:t>
      </w:r>
      <w:r w:rsidR="00E863BA">
        <w:t xml:space="preserve">results are </w:t>
      </w:r>
      <w:r w:rsidR="00FB22B1" w:rsidRPr="009B2F97">
        <w:t xml:space="preserve">presented in </w:t>
      </w:r>
      <w:r w:rsidR="000A0598" w:rsidRPr="009B2F97">
        <w:t xml:space="preserve">Table </w:t>
      </w:r>
      <w:r w:rsidR="00B80D01" w:rsidRPr="009B2F97">
        <w:t>4</w:t>
      </w:r>
      <w:r w:rsidR="00FB22B1" w:rsidRPr="009B2F97">
        <w:t>. Th</w:t>
      </w:r>
      <w:r w:rsidR="00C82A28">
        <w:t xml:space="preserve">ese </w:t>
      </w:r>
      <w:r w:rsidR="00FB22B1" w:rsidRPr="009B2F97">
        <w:t xml:space="preserve">include the </w:t>
      </w:r>
      <w:r w:rsidR="00E863BA">
        <w:t xml:space="preserve">latent construct effects, the exogenous variable impacts, and the recursive endogenous variable effects </w:t>
      </w:r>
      <w:r w:rsidR="00A61D15" w:rsidRPr="009B2F97">
        <w:t xml:space="preserve">on the </w:t>
      </w:r>
      <w:r w:rsidR="00290FD1">
        <w:t xml:space="preserve">latent variables (propensities) underlying the </w:t>
      </w:r>
      <w:r w:rsidR="00A61D15" w:rsidRPr="009B2F97">
        <w:t xml:space="preserve">main housing </w:t>
      </w:r>
      <w:r w:rsidR="00290FD1">
        <w:t xml:space="preserve">ordinal </w:t>
      </w:r>
      <w:r w:rsidR="00A61D15" w:rsidRPr="009B2F97">
        <w:t>outcomes</w:t>
      </w:r>
      <w:r w:rsidR="00E863BA">
        <w:t xml:space="preserve">. </w:t>
      </w:r>
      <w:r w:rsidR="006E6D66">
        <w:t xml:space="preserve">The constant effects and threshold effects listed at the bottom of Table 4 do not have any substantive interpretations, and simply adjust for the range of exogenous variable values in a </w:t>
      </w:r>
      <w:r w:rsidR="00FC79ED">
        <w:t>manner</w:t>
      </w:r>
      <w:r w:rsidR="006E6D66">
        <w:t xml:space="preserve"> that provides </w:t>
      </w:r>
      <w:r w:rsidR="00FC79ED">
        <w:t xml:space="preserve">for </w:t>
      </w:r>
      <w:r w:rsidR="006E6D66">
        <w:t xml:space="preserve">a good data fit. </w:t>
      </w:r>
    </w:p>
    <w:bookmarkEnd w:id="20"/>
    <w:p w14:paraId="7FA551A7" w14:textId="77777777" w:rsidR="00E863BA" w:rsidRPr="009C5F54" w:rsidRDefault="00E863BA" w:rsidP="006F37E3">
      <w:pPr>
        <w:spacing w:after="0" w:line="240" w:lineRule="auto"/>
        <w:jc w:val="both"/>
        <w:rPr>
          <w:b/>
          <w:bCs/>
        </w:rPr>
      </w:pPr>
    </w:p>
    <w:p w14:paraId="22A5E763" w14:textId="738A4F92" w:rsidR="00621066" w:rsidRPr="009B2F97" w:rsidRDefault="00DB69AE" w:rsidP="006F37E3">
      <w:pPr>
        <w:spacing w:after="0" w:line="240" w:lineRule="auto"/>
        <w:jc w:val="both"/>
        <w:rPr>
          <w:b/>
          <w:bCs/>
          <w:i/>
          <w:iCs/>
        </w:rPr>
      </w:pPr>
      <w:r w:rsidRPr="009179E5">
        <w:rPr>
          <w:b/>
          <w:bCs/>
          <w:i/>
          <w:iCs/>
        </w:rPr>
        <w:lastRenderedPageBreak/>
        <w:t>4.2.</w:t>
      </w:r>
      <w:r w:rsidR="00621066" w:rsidRPr="009179E5">
        <w:rPr>
          <w:b/>
          <w:bCs/>
          <w:i/>
          <w:iCs/>
        </w:rPr>
        <w:t>1</w:t>
      </w:r>
      <w:r w:rsidRPr="00AD7085">
        <w:rPr>
          <w:b/>
          <w:bCs/>
          <w:i/>
          <w:iCs/>
        </w:rPr>
        <w:t xml:space="preserve"> Latent Construct</w:t>
      </w:r>
      <w:r w:rsidR="006970B9" w:rsidRPr="0077513C">
        <w:rPr>
          <w:b/>
          <w:bCs/>
          <w:i/>
          <w:iCs/>
        </w:rPr>
        <w:t xml:space="preserve"> Effects</w:t>
      </w:r>
    </w:p>
    <w:p w14:paraId="00FBF1CA" w14:textId="19CC686E" w:rsidR="004949E0" w:rsidRPr="009B2F97" w:rsidRDefault="00791281" w:rsidP="006F37E3">
      <w:pPr>
        <w:spacing w:after="0" w:line="240" w:lineRule="auto"/>
        <w:jc w:val="both"/>
        <w:rPr>
          <w:b/>
          <w:bCs/>
        </w:rPr>
      </w:pPr>
      <w:bookmarkStart w:id="21" w:name="_Hlk148694732"/>
      <w:r w:rsidRPr="009B2F97">
        <w:t xml:space="preserve">The effects of the latent constructs, shown in Table </w:t>
      </w:r>
      <w:r w:rsidR="00836286" w:rsidRPr="009B2F97">
        <w:t>4</w:t>
      </w:r>
      <w:r w:rsidRPr="009B2F97">
        <w:t xml:space="preserve">, indicate that individuals with a higher </w:t>
      </w:r>
      <w:r w:rsidR="00FA5BFB" w:rsidRPr="009B2F97">
        <w:t>GLP</w:t>
      </w:r>
      <w:r w:rsidRPr="009B2F97">
        <w:t xml:space="preserve"> prefer owning a home with a patio or yard in a </w:t>
      </w:r>
      <w:r w:rsidR="00C82A28">
        <w:t>high</w:t>
      </w:r>
      <w:r w:rsidR="004949E0" w:rsidRPr="009B2F97">
        <w:t>-density</w:t>
      </w:r>
      <w:r w:rsidRPr="009B2F97">
        <w:t xml:space="preserve"> area,</w:t>
      </w:r>
      <w:r w:rsidR="004949E0" w:rsidRPr="009B2F97">
        <w:t xml:space="preserve"> tend to</w:t>
      </w:r>
      <w:r w:rsidRPr="009B2F97">
        <w:t xml:space="preserve"> hav</w:t>
      </w:r>
      <w:r w:rsidR="004949E0" w:rsidRPr="009B2F97">
        <w:t>e</w:t>
      </w:r>
      <w:r w:rsidRPr="009B2F97">
        <w:t xml:space="preserve"> a shorter commute distance</w:t>
      </w:r>
      <w:r w:rsidR="004949E0" w:rsidRPr="009B2F97">
        <w:t xml:space="preserve"> but live in a neighborhood with </w:t>
      </w:r>
      <w:r w:rsidR="00290FD1">
        <w:t xml:space="preserve">relatively </w:t>
      </w:r>
      <w:r w:rsidR="004949E0" w:rsidRPr="009B2F97">
        <w:t>high median housing cost</w:t>
      </w:r>
      <w:r w:rsidRPr="009B2F97">
        <w:t xml:space="preserve">, and </w:t>
      </w:r>
      <w:r w:rsidR="00C82A28">
        <w:t>appear less sensitive to crime rates</w:t>
      </w:r>
      <w:r w:rsidR="004949E0" w:rsidRPr="009B2F97">
        <w:t>.</w:t>
      </w:r>
      <w:r w:rsidR="00675190" w:rsidRPr="009B2F97">
        <w:t xml:space="preserve"> </w:t>
      </w:r>
      <w:r w:rsidR="004D3B13" w:rsidRPr="009B2F97">
        <w:t xml:space="preserve">A lower commute distance facilitates an environmentally friendly lifestyle by reducing </w:t>
      </w:r>
      <w:r w:rsidR="004142EA" w:rsidRPr="009B2F97">
        <w:t xml:space="preserve">travel distances, </w:t>
      </w:r>
      <w:r w:rsidR="00FA5BFB" w:rsidRPr="009B2F97">
        <w:t>while also promoting</w:t>
      </w:r>
      <w:r w:rsidR="004D3B13" w:rsidRPr="009B2F97">
        <w:t xml:space="preserve"> the use of active modes and public transportation</w:t>
      </w:r>
      <w:r w:rsidR="00F6371E" w:rsidRPr="009B2F97">
        <w:t xml:space="preserve"> </w:t>
      </w:r>
      <w:r w:rsidR="00F6371E" w:rsidRPr="00D21817">
        <w:fldChar w:fldCharType="begin"/>
      </w:r>
      <w:r w:rsidR="008912F0">
        <w:instrText xml:space="preserve"> ADDIN ZOTERO_ITEM CSL_CITATION {"citationID":"cnG7Fl1C","properties":{"formattedCitation":"(Heinen and Bohte, 2014)","plainCitation":"(Heinen and Bohte, 2014)","noteIndex":0},"citationItems":[{"id":709,"uris":["http://zotero.org/users/local/1ztI2Oc6/items/HLL6EBCD","http://zotero.org/users/12832277/items/HLL6EBCD"],"itemData":{"id":709,"type":"article-journal","container-title":"Transportation Research Record","issue":"1","note":"publisher: SAGE Publications Sage CA: Los Angeles, CA","page":"111–122","source":"Google Scholar","title":"Multimodal Commuting to Work by Public Transport and Bicycle: Attitudes Toward Mode Choice","title-short":"Multimodal Commuting to Work by Public Transport and Bicycle","volume":"2468","author":[{"family":"Heinen","given":"Eva"},{"family":"Bohte","given":"Wendy"}],"issued":{"date-parts":[["2014"]]}}}],"schema":"https://github.com/citation-style-language/schema/raw/master/csl-citation.json"} </w:instrText>
      </w:r>
      <w:r w:rsidR="00F6371E" w:rsidRPr="00D21817">
        <w:fldChar w:fldCharType="separate"/>
      </w:r>
      <w:r w:rsidR="00F6371E" w:rsidRPr="00D21817">
        <w:t>(Heinen and Bohte, 2014)</w:t>
      </w:r>
      <w:r w:rsidR="00F6371E" w:rsidRPr="00D21817">
        <w:fldChar w:fldCharType="end"/>
      </w:r>
      <w:r w:rsidR="004D3B13" w:rsidRPr="009B2F97">
        <w:t>.</w:t>
      </w:r>
      <w:r w:rsidR="004D3B13" w:rsidRPr="00D21817">
        <w:t xml:space="preserve"> </w:t>
      </w:r>
      <w:r w:rsidR="008D5AAD" w:rsidRPr="004736A5">
        <w:t>GLP</w:t>
      </w:r>
      <w:r w:rsidR="004142EA" w:rsidRPr="004736A5">
        <w:t xml:space="preserve"> </w:t>
      </w:r>
      <w:r w:rsidR="008D5AAD" w:rsidRPr="00DD68D6">
        <w:t>is also</w:t>
      </w:r>
      <w:r w:rsidR="004142EA" w:rsidRPr="009434FD">
        <w:t xml:space="preserve"> associated with a preference for more outdoor </w:t>
      </w:r>
      <w:r w:rsidR="00CE5E5F" w:rsidRPr="009434FD">
        <w:t xml:space="preserve">spaces and </w:t>
      </w:r>
      <w:r w:rsidR="004142EA" w:rsidRPr="009434FD">
        <w:t>activities</w:t>
      </w:r>
      <w:r w:rsidR="00507271">
        <w:t xml:space="preserve">, </w:t>
      </w:r>
      <w:r w:rsidR="004142EA" w:rsidRPr="009B2F97">
        <w:t>explain</w:t>
      </w:r>
      <w:r w:rsidR="00507271">
        <w:t>ing</w:t>
      </w:r>
      <w:r w:rsidR="004142EA" w:rsidRPr="009B2F97">
        <w:t xml:space="preserve"> the </w:t>
      </w:r>
      <w:r w:rsidR="008D5AAD" w:rsidRPr="009B2F97">
        <w:t xml:space="preserve">inclination toward </w:t>
      </w:r>
      <w:r w:rsidR="00022138" w:rsidRPr="009B2F97">
        <w:t>properties with</w:t>
      </w:r>
      <w:r w:rsidR="004142EA" w:rsidRPr="009B2F97">
        <w:t xml:space="preserve"> outdoor patios and yards</w:t>
      </w:r>
      <w:r w:rsidR="009F1F7A">
        <w:t xml:space="preserve">. At the same </w:t>
      </w:r>
      <w:r w:rsidR="00AC0D62">
        <w:t>time, GLP</w:t>
      </w:r>
      <w:r w:rsidR="00507271">
        <w:t xml:space="preserve"> </w:t>
      </w:r>
      <w:r w:rsidR="00BA7619">
        <w:t xml:space="preserve">has a positive bearing </w:t>
      </w:r>
      <w:r w:rsidR="0047336F">
        <w:t>on</w:t>
      </w:r>
      <w:r w:rsidR="00BA7619">
        <w:t xml:space="preserve"> </w:t>
      </w:r>
      <w:r w:rsidR="00507271">
        <w:t>high density living</w:t>
      </w:r>
      <w:r w:rsidR="0047336F">
        <w:t>, presumably</w:t>
      </w:r>
      <w:r w:rsidR="00507271">
        <w:t xml:space="preserve"> </w:t>
      </w:r>
      <w:r w:rsidR="009F1F7A">
        <w:t xml:space="preserve">as a means to reside in an area that is conducive to the use of </w:t>
      </w:r>
      <w:r w:rsidR="00507271">
        <w:t xml:space="preserve">non-motorized </w:t>
      </w:r>
      <w:r w:rsidR="009F1F7A">
        <w:t xml:space="preserve">and public transportation </w:t>
      </w:r>
      <w:r w:rsidR="00507271">
        <w:t>travel modes</w:t>
      </w:r>
      <w:r w:rsidR="009F1F7A">
        <w:t xml:space="preserve"> (areas in which high crime rates are generally also prevalent).</w:t>
      </w:r>
      <w:r w:rsidR="004142EA" w:rsidRPr="009B2F97">
        <w:t xml:space="preserve"> </w:t>
      </w:r>
      <w:r w:rsidR="009F1F7A">
        <w:t xml:space="preserve">The reason for </w:t>
      </w:r>
      <w:r w:rsidR="00E37789" w:rsidRPr="004736A5">
        <w:t xml:space="preserve">high GLP </w:t>
      </w:r>
      <w:r w:rsidR="009F1F7A">
        <w:t xml:space="preserve">individuals </w:t>
      </w:r>
      <w:r w:rsidR="00E37789" w:rsidRPr="004736A5">
        <w:t>to live in areas with a high median housing cos</w:t>
      </w:r>
      <w:r w:rsidR="009F1F7A">
        <w:t xml:space="preserve">t may be because </w:t>
      </w:r>
      <w:r w:rsidR="00E37789" w:rsidRPr="009434FD">
        <w:t>a</w:t>
      </w:r>
      <w:r w:rsidR="004142EA" w:rsidRPr="009434FD">
        <w:t xml:space="preserve">dditional </w:t>
      </w:r>
      <w:r w:rsidR="00F84AEB" w:rsidRPr="009C5F54">
        <w:t xml:space="preserve">green </w:t>
      </w:r>
      <w:r w:rsidR="004142EA" w:rsidRPr="009C5F54">
        <w:t xml:space="preserve">household improvements, such as </w:t>
      </w:r>
      <w:r w:rsidR="00F84AEB" w:rsidRPr="009179E5">
        <w:t>photovoltaic panels</w:t>
      </w:r>
      <w:r w:rsidR="00CE5E5F" w:rsidRPr="009179E5">
        <w:t>, are</w:t>
      </w:r>
      <w:r w:rsidR="004142EA" w:rsidRPr="00AD7085">
        <w:t xml:space="preserve"> </w:t>
      </w:r>
      <w:r w:rsidR="00F84AEB" w:rsidRPr="0077513C">
        <w:t>often adopted by those with a green lifestyle preference, leading to a more sustainable home but a higher housing cost</w:t>
      </w:r>
      <w:r w:rsidR="00F84AEB" w:rsidRPr="0077513C">
        <w:rPr>
          <w:b/>
          <w:bCs/>
        </w:rPr>
        <w:t xml:space="preserve"> </w:t>
      </w:r>
      <w:r w:rsidR="00F84AEB" w:rsidRPr="00D21817">
        <w:rPr>
          <w:b/>
          <w:bCs/>
        </w:rPr>
        <w:fldChar w:fldCharType="begin"/>
      </w:r>
      <w:r w:rsidR="000C4AE3">
        <w:rPr>
          <w:b/>
          <w:bCs/>
        </w:rPr>
        <w:instrText xml:space="preserve"> ADDIN ZOTERO_ITEM CSL_CITATION {"citationID":"3juAfCgl","properties":{"formattedCitation":"(Gr\\uc0\\u281{}bosz-Krawczyk et al., 2021)","plainCitation":"(Grębosz-Krawczyk et al., 2021)","noteIndex":0},"citationItems":[{"id":588,"uris":["http://zotero.org/users/local/1ztI2Oc6/items/UKK9T5EI","http://zotero.org/users/12832277/items/UKK9T5EI"],"itemData":{"id":588,"type":"article-journal","abstract":"Renewable energy sources help in decreasing negative environmental impacts and in reducing energy-import dependency. Among all renewable energy segments, photovoltaic panel (PV) installations are one of the fastest-growing. Growing concern about climate change, as well as public policies promoting the development of PV installations, have changed consumers’ behaviors and attitudes. This study uses the theory of consumption values to identify factors influencing consumers’ choice behavior regarding photovoltaic panel installations. There is little research on consumers’ perception of value related to green energy in Poland, especially in the case of photovoltaic panels. We fill this cognitive gap by testing an extended green consumption values model that includes functional, social, emotional, conditional, epistemic, and environmental values. The research was conducted on 250 Polish consumers using a self-administered questionnaire as the research tool. The results of structural equation modeling showed that only functional value and environmental value had a positive impact on consumers’ choice behavior toward photovoltaic panels. Photovoltaic panel installations are an important investment for Polish households; however, our research results showed that consumers are able to pay for high quality, environmental protection, and future savings. Individuals’ environmentally positive attitude related to environmental concern, environmental knowledge, and responsibility was the strongest determinant of adopting photovoltaic panel installations. New findings concerning Polish consumers’ behaviors can provide references for other countries, especially in Central and Eastern Europe. Our results can be useful for marketing managers and policy marketers in developing strategies concerning the successful promotion of the installation of photovoltaic panels in European countries.","container-title":"Energies","DOI":"10.3390/en14092674","ISSN":"1996-1073","issue":"9","language":"en","license":"http://creativecommons.org/licenses/by/3.0/","note":"number: 9\npublisher: Multidisciplinary Digital Publishing Institute","source":"www.mdpi.com","title":"Why Do Consumers Choose Photovoltaic Panels? Identification of the Factors Influencing Consumers’ Choice Behavior regarding Photovoltaic Panel Installations","title-short":"Why Do Consumers Choose Photovoltaic Panels?","URL":"https://www.mdpi.com/1996-1073/14/9/2674","volume":"14","author":[{"family":"Grębosz-Krawczyk","given":"Magdalena"},{"family":"Zakrzewska-Bielawska","given":"Agnieszka"},{"family":"Glinka","given":"Beata"},{"family":"Glińska-Neweś","given":"Aldona"}],"accessed":{"date-parts":[["2023",4,25]]},"issued":{"date-parts":[["2021",1]]}}}],"schema":"https://github.com/citation-style-language/schema/raw/master/csl-citation.json"} </w:instrText>
      </w:r>
      <w:r w:rsidR="00F84AEB" w:rsidRPr="00D21817">
        <w:rPr>
          <w:b/>
          <w:bCs/>
        </w:rPr>
        <w:fldChar w:fldCharType="separate"/>
      </w:r>
      <w:r w:rsidR="00BA12C7" w:rsidRPr="00D21817">
        <w:t>(Grębosz-</w:t>
      </w:r>
      <w:r w:rsidR="00BA12C7" w:rsidRPr="004736A5">
        <w:t>Krawczyk et al., 2021)</w:t>
      </w:r>
      <w:r w:rsidR="00F84AEB" w:rsidRPr="00D21817">
        <w:rPr>
          <w:b/>
          <w:bCs/>
        </w:rPr>
        <w:fldChar w:fldCharType="end"/>
      </w:r>
      <w:r w:rsidR="004142EA" w:rsidRPr="009B2F97">
        <w:t>.</w:t>
      </w:r>
      <w:r w:rsidR="00A148CF" w:rsidRPr="00D21817">
        <w:t xml:space="preserve"> </w:t>
      </w:r>
    </w:p>
    <w:p w14:paraId="7A479D9D" w14:textId="4214547D" w:rsidR="00B53509" w:rsidRPr="009C5F54" w:rsidRDefault="004949E0" w:rsidP="005676DA">
      <w:pPr>
        <w:spacing w:after="0" w:line="240" w:lineRule="auto"/>
        <w:ind w:firstLine="720"/>
        <w:jc w:val="both"/>
      </w:pPr>
      <w:r w:rsidRPr="009B2F97">
        <w:t>Individuals</w:t>
      </w:r>
      <w:r w:rsidR="0063092D" w:rsidRPr="009B2F97">
        <w:t xml:space="preserve"> who prioritize a luxury lifestyle exhibit distinct preferences when it comes to </w:t>
      </w:r>
      <w:r w:rsidR="00811DA5" w:rsidRPr="009B2F97">
        <w:t xml:space="preserve">their housing choices. They, too, share a preference for </w:t>
      </w:r>
      <w:r w:rsidRPr="009B2F97">
        <w:t>own</w:t>
      </w:r>
      <w:r w:rsidR="00811DA5" w:rsidRPr="009B2F97">
        <w:t>ing</w:t>
      </w:r>
      <w:r w:rsidRPr="009B2F97">
        <w:t xml:space="preserve"> a home with a patio or yard</w:t>
      </w:r>
      <w:r w:rsidR="00811DA5" w:rsidRPr="009B2F97">
        <w:t>,</w:t>
      </w:r>
      <w:r w:rsidRPr="009B2F97">
        <w:t xml:space="preserve"> but are more</w:t>
      </w:r>
      <w:r w:rsidR="00304E19" w:rsidRPr="009B2F97">
        <w:t xml:space="preserve"> inclined toward</w:t>
      </w:r>
      <w:r w:rsidRPr="009B2F97">
        <w:t xml:space="preserve"> single-family home</w:t>
      </w:r>
      <w:r w:rsidR="00304E19" w:rsidRPr="009B2F97">
        <w:t>s</w:t>
      </w:r>
      <w:r w:rsidRPr="009B2F97">
        <w:t xml:space="preserve"> with more bedrooms</w:t>
      </w:r>
      <w:r w:rsidR="00304E19" w:rsidRPr="009B2F97">
        <w:t xml:space="preserve">. </w:t>
      </w:r>
      <w:r w:rsidR="00116C55" w:rsidRPr="009B2F97">
        <w:t>They also tend to have longer commute distances, favor areas with lower population densities, exhibit a reduced sensitivity to the proximity of amenities, and prioritize areas with low crime rates.</w:t>
      </w:r>
      <w:r w:rsidR="00361A07" w:rsidRPr="009B2F97">
        <w:t xml:space="preserve"> </w:t>
      </w:r>
      <w:r w:rsidR="00B53509" w:rsidRPr="009434FD">
        <w:t xml:space="preserve">Greenwood and Holt </w:t>
      </w:r>
      <w:r w:rsidR="00B53509" w:rsidRPr="00D21817">
        <w:fldChar w:fldCharType="begin"/>
      </w:r>
      <w:r w:rsidR="008912F0">
        <w:instrText xml:space="preserve"> ADDIN ZOTERO_ITEM CSL_CITATION {"citationID":"JEhlZV3N","properties":{"formattedCitation":"(2010)","plainCitation":"(2010)","noteIndex":0},"citationItems":[{"id":592,"uris":["http://zotero.org/users/local/1ztI2Oc6/items/8QTVIMYU","http://zotero.org/users/12832277/items/8QTVIMYU"],"itemData":{"id":592,"type":"article-journal","abstract":"Neoliberal theory rationalizes inequality as both 1) necessary for growth and 2) offset by a trickle down to lower income groups. However, benefits from income growth failed to reach most of the population for the last several decades in the United States. Instead, a negative trickle down has lowered many people's wellbeing. The first aspect of negative trickle down is a new form of Veblen's conspicuous consumption with positional goods. The second is the effect on the provision of public goods. The third is the competition for limited resources, such as housing. We review how greater income inequality contributes to each.","container-title":"Journal of Economic Issues","DOI":"10.2753/JEI0021-3624440212","ISSN":"0021-3624","issue":"2","note":"publisher: Routledge\n_eprint: https://doi.org/10.2753/JEI0021-3624440212","page":"403-410","source":"Taylor and Francis+NEJM","title":"Growth, Inequality and Negative Trickle Down","volume":"44","author":[{"family":"Greenwood","given":"Daphne T."},{"family":"Holt","given":"Richard P. F."}],"issued":{"date-parts":[["2010",6,1]]}},"label":"page","suppress-author":true}],"schema":"https://github.com/citation-style-language/schema/raw/master/csl-citation.json"} </w:instrText>
      </w:r>
      <w:r w:rsidR="00B53509" w:rsidRPr="00D21817">
        <w:fldChar w:fldCharType="separate"/>
      </w:r>
      <w:r w:rsidR="00B53509" w:rsidRPr="00D21817">
        <w:t>(2010)</w:t>
      </w:r>
      <w:r w:rsidR="00B53509" w:rsidRPr="00D21817">
        <w:fldChar w:fldCharType="end"/>
      </w:r>
      <w:r w:rsidR="00B53509" w:rsidRPr="009B2F97">
        <w:t xml:space="preserve"> suggest that individuals pursuing luxury lifestyles actively compete for </w:t>
      </w:r>
      <w:r w:rsidR="00B53509" w:rsidRPr="009434FD">
        <w:t xml:space="preserve">exclusive neighborhoods, willingly paying premiums to gain higher social status while also gaining access to better school </w:t>
      </w:r>
      <w:r w:rsidR="00214A9F">
        <w:t>d</w:t>
      </w:r>
      <w:r w:rsidR="00B53509" w:rsidRPr="009434FD">
        <w:t>istricts and enhanced safety from crime.</w:t>
      </w:r>
      <w:r w:rsidR="00950CB8" w:rsidRPr="009C5F54">
        <w:t xml:space="preserve"> </w:t>
      </w:r>
    </w:p>
    <w:p w14:paraId="7A8A1548" w14:textId="20595E74" w:rsidR="000A1CB7" w:rsidRDefault="004949E0" w:rsidP="00214A9F">
      <w:pPr>
        <w:spacing w:after="0" w:line="240" w:lineRule="auto"/>
        <w:ind w:firstLine="720"/>
        <w:jc w:val="both"/>
      </w:pPr>
      <w:r w:rsidRPr="009179E5">
        <w:t>Finally, individuals with a preference for teleworking are</w:t>
      </w:r>
      <w:r w:rsidR="009F1F7A">
        <w:t xml:space="preserve"> </w:t>
      </w:r>
      <w:r w:rsidR="00C012D7">
        <w:t xml:space="preserve">more </w:t>
      </w:r>
      <w:r w:rsidRPr="009B2F97">
        <w:t xml:space="preserve">likely to </w:t>
      </w:r>
      <w:r w:rsidR="00D14663" w:rsidRPr="009B2F97">
        <w:t>reside</w:t>
      </w:r>
      <w:r w:rsidR="009F1F7A">
        <w:t xml:space="preserve"> </w:t>
      </w:r>
      <w:r w:rsidRPr="009B2F97">
        <w:t xml:space="preserve">in </w:t>
      </w:r>
      <w:r w:rsidR="00263E70">
        <w:t>single family homes</w:t>
      </w:r>
      <w:r w:rsidR="00290FD1">
        <w:t xml:space="preserve"> with</w:t>
      </w:r>
      <w:r w:rsidR="00263E70">
        <w:t xml:space="preserve"> </w:t>
      </w:r>
      <w:r w:rsidR="00D14663" w:rsidRPr="009B2F97">
        <w:t>high populat</w:t>
      </w:r>
      <w:r w:rsidR="00290FD1">
        <w:t>ion density</w:t>
      </w:r>
      <w:r w:rsidR="009E585A" w:rsidRPr="009B2F97">
        <w:t xml:space="preserve">, </w:t>
      </w:r>
      <w:r w:rsidR="00263E70">
        <w:t xml:space="preserve">desirous of areas with good </w:t>
      </w:r>
      <w:r w:rsidRPr="009B2F97">
        <w:t>amenities</w:t>
      </w:r>
      <w:r w:rsidR="00BD084D">
        <w:t xml:space="preserve">, less sensitive to </w:t>
      </w:r>
      <w:r w:rsidRPr="009B2F97">
        <w:t>crime rates</w:t>
      </w:r>
      <w:r w:rsidR="00263E70">
        <w:t>, and willing to live relatively far from their work office locations</w:t>
      </w:r>
      <w:r w:rsidRPr="009C5F54">
        <w:t>.</w:t>
      </w:r>
      <w:r w:rsidR="00F5297B" w:rsidRPr="009C5F54">
        <w:t xml:space="preserve"> </w:t>
      </w:r>
      <w:r w:rsidR="00263E70">
        <w:t>These results are intuitive. For example, a</w:t>
      </w:r>
      <w:r w:rsidR="004831DD" w:rsidRPr="004736A5">
        <w:t>ccessibility can be appealing to teleworkers who value the convenience of having essential services, shops, and recreational facil</w:t>
      </w:r>
      <w:r w:rsidR="004831DD" w:rsidRPr="009434FD">
        <w:t xml:space="preserve">ities within </w:t>
      </w:r>
      <w:r w:rsidR="00263E70">
        <w:t xml:space="preserve">close </w:t>
      </w:r>
      <w:r w:rsidR="004831DD" w:rsidRPr="009434FD">
        <w:t>proximity</w:t>
      </w:r>
      <w:r w:rsidR="00BA7619">
        <w:t xml:space="preserve"> </w:t>
      </w:r>
      <w:r w:rsidR="00BB1A06">
        <w:t>to</w:t>
      </w:r>
      <w:r w:rsidR="00BA7619">
        <w:t xml:space="preserve"> their homes</w:t>
      </w:r>
      <w:r w:rsidR="004831DD" w:rsidRPr="009434FD">
        <w:t xml:space="preserve"> </w:t>
      </w:r>
      <w:r w:rsidR="004831DD" w:rsidRPr="00D21817">
        <w:fldChar w:fldCharType="begin"/>
      </w:r>
      <w:r w:rsidR="000C4AE3">
        <w:instrText xml:space="preserve"> ADDIN ZOTERO_ITEM CSL_CITATION {"citationID":"gzv8fjjB","properties":{"formattedCitation":"(Caldarola and Sorrell, 2022; de Abreu e Silva and Melo, 2018)","plainCitation":"(Caldarola and Sorrell, 2022; de Abreu e Silva and Melo, 2018)","noteIndex":0},"citationItems":[{"id":680,"uris":["http://zotero.org/users/local/1ztI2Oc6/items/ECYSL4NQ","http://zotero.org/users/12832277/items/ECYSL4NQ"],"itemData":{"id":680,"type":"article-journal","abstract":"The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Practice","DOI":"10.1016/j.tra.2022.03.026","ISSN":"0965-8564","language":"en","page":"282-303","source":"ScienceDirect","title":"Do Teleworkers Travel Less? Evidence from the English National Travel Survey","volume":"159","author":[{"family":"Caldarola","given":"Bernardo"},{"family":"Sorrell","given":"Steve"}],"issued":{"date-parts":[["2022",5,1]]}}},{"id":532,"uris":["http://zotero.org/users/local/1ztI2Oc6/items/KJNIWH8U","http://zotero.org/users/12832277/items/KJNIWH8U"],"itemData":{"id":532,"type":"article-journal","abstract":"This work analyzes the effects of home-based teleworking on the number of trips and weekly miles travelled by mode and purpose for one-worker households in Great Britain using data from the National Travel Survey for the period between 2005 and 2012. Two path analysis models are developed, one considering weekly trips and travel distances by mode and the other weekly trips and travel distances by purpose. Both models consider teleworking frequency in the context of home and workplace land-use characteristics, commuting distance, car ownership levels and weekly trips and travel distances. This framework allows us to explicitly model endogenous relations in the chains of decisions relating these variables. The results suggest that home-based teleworking is a strategy used by people to cope with long and costly commutes. Workers living in less transit accessible areas and with longer commutes tend to work from home more frequently. The main conclusions relating to teleworking frequency point to the fact that it increases weekly miles travelled, particularly by car, while it does not reduce commuting distances travelled. These results suggest that home-based teleworking is not an effective travel demand management strategy, particularly because it seems to increase car use. The overall main result is that teleworkers travel more by more polluting transport modes.","container-title":"Journal of Transport and Land Use","DOI":"10.5198/jtlu.2018.1134","ISSN":"1938-7849","issue":"1","language":"en","license":"Copyright (c) 2018 João de Abreu e Silva, Patricia C. Melo","note":"number: 1","source":"www.jtlu.org","title":"Home Telework, Travel Behavior, and Land-Use Patterns: A Path Analysis of British Single-Worker Households","title-short":"Home Telework, Travel Behavior, and Land-Use Patterns","URL":"https://www.jtlu.org/index.php/jtlu/article/view/1134","volume":"11","author":[{"family":"Abreu e Silva","given":"João","non-dropping-particle":"de"},{"family":"Melo","given":"Patricia C."}],"accessed":{"date-parts":[["2023",4,18]]},"issued":{"date-parts":[["2018",7,2]]}}}],"schema":"https://github.com/citation-style-language/schema/raw/master/csl-citation.json"} </w:instrText>
      </w:r>
      <w:r w:rsidR="004831DD" w:rsidRPr="00D21817">
        <w:fldChar w:fldCharType="separate"/>
      </w:r>
      <w:r w:rsidR="006A1804" w:rsidRPr="006A1804">
        <w:t>(Caldarola and Sorrell, 2022; de Abreu e Silva and Melo, 2018)</w:t>
      </w:r>
      <w:r w:rsidR="004831DD" w:rsidRPr="00D21817">
        <w:fldChar w:fldCharType="end"/>
      </w:r>
      <w:r w:rsidR="00514BB6">
        <w:t>.</w:t>
      </w:r>
    </w:p>
    <w:bookmarkEnd w:id="21"/>
    <w:p w14:paraId="6B5EBB6C" w14:textId="77777777" w:rsidR="0001529C" w:rsidRPr="009434FD" w:rsidRDefault="0001529C" w:rsidP="00B10EB6">
      <w:pPr>
        <w:spacing w:after="0" w:line="240" w:lineRule="auto"/>
        <w:ind w:firstLine="720"/>
        <w:jc w:val="both"/>
      </w:pPr>
    </w:p>
    <w:p w14:paraId="409E9D71" w14:textId="408B9673" w:rsidR="00DB69AE" w:rsidRPr="009434FD" w:rsidRDefault="00621066" w:rsidP="00A6042D">
      <w:pPr>
        <w:spacing w:after="0" w:line="240" w:lineRule="auto"/>
        <w:jc w:val="both"/>
      </w:pPr>
      <w:r w:rsidRPr="009434FD">
        <w:rPr>
          <w:b/>
          <w:bCs/>
          <w:i/>
          <w:iCs/>
        </w:rPr>
        <w:t>4.2.2 Effects of Explanatory Variables</w:t>
      </w:r>
    </w:p>
    <w:p w14:paraId="4C649FA5" w14:textId="1E58436C" w:rsidR="002223F6" w:rsidRPr="00D21817" w:rsidRDefault="005B572E" w:rsidP="00A6042D">
      <w:pPr>
        <w:spacing w:after="0" w:line="240" w:lineRule="auto"/>
        <w:jc w:val="both"/>
        <w:rPr>
          <w:b/>
          <w:bCs/>
        </w:rPr>
      </w:pPr>
      <w:bookmarkStart w:id="22" w:name="_Hlk148694795"/>
      <w:r w:rsidRPr="009C5F54">
        <w:t xml:space="preserve">Table </w:t>
      </w:r>
      <w:r w:rsidR="00836286" w:rsidRPr="009C5F54">
        <w:t>4</w:t>
      </w:r>
      <w:r w:rsidRPr="008253CB">
        <w:t xml:space="preserve"> presents the </w:t>
      </w:r>
      <w:r w:rsidR="00EA15AA" w:rsidRPr="001D5FAF">
        <w:t>direct effects</w:t>
      </w:r>
      <w:r w:rsidR="00175FD9" w:rsidRPr="001D5FAF">
        <w:t xml:space="preserve"> of the exogenous variables on the housing outcomes</w:t>
      </w:r>
      <w:r w:rsidR="00EA15AA" w:rsidRPr="009179E5">
        <w:t xml:space="preserve">, beyond the </w:t>
      </w:r>
      <w:r w:rsidR="00AF6476" w:rsidRPr="009B2F97">
        <w:t>indirect effects through the latent constructs</w:t>
      </w:r>
      <w:r w:rsidR="00175FD9" w:rsidRPr="009B2F97">
        <w:t xml:space="preserve">. </w:t>
      </w:r>
      <w:r w:rsidR="009C5F54">
        <w:t xml:space="preserve">Household composition, as one would expect, has several impacts on the many dimensions of housing choices. </w:t>
      </w:r>
      <w:r w:rsidR="00816CFD">
        <w:t xml:space="preserve">To </w:t>
      </w:r>
      <w:r w:rsidR="008D34D7">
        <w:t>conserve</w:t>
      </w:r>
      <w:r w:rsidR="00816CFD">
        <w:t xml:space="preserve"> space, we discuss the many results briefly and </w:t>
      </w:r>
      <w:r w:rsidR="00006DBD">
        <w:t>selectively</w:t>
      </w:r>
      <w:r w:rsidR="00816CFD">
        <w:t xml:space="preserve">. </w:t>
      </w:r>
      <w:r w:rsidR="00594D34" w:rsidRPr="009B2F97">
        <w:t>Households with related adults</w:t>
      </w:r>
      <w:r w:rsidR="009C60A8" w:rsidRPr="009B2F97">
        <w:t>, seniors, and those with children are more likely to choose single</w:t>
      </w:r>
      <w:r w:rsidR="005930B7" w:rsidRPr="009B2F97">
        <w:t>-</w:t>
      </w:r>
      <w:r w:rsidR="009C60A8" w:rsidRPr="009B2F97">
        <w:t>family</w:t>
      </w:r>
      <w:r w:rsidR="005930B7" w:rsidRPr="009B2F97">
        <w:t xml:space="preserve"> </w:t>
      </w:r>
      <w:r w:rsidR="009C60A8" w:rsidRPr="009B2F97">
        <w:t xml:space="preserve">homes </w:t>
      </w:r>
      <w:r w:rsidR="00BF75CC" w:rsidRPr="009B2F97">
        <w:t xml:space="preserve">compared </w:t>
      </w:r>
      <w:r w:rsidR="00E07D86" w:rsidRPr="009B2F97">
        <w:t>to</w:t>
      </w:r>
      <w:r w:rsidR="00BF75CC" w:rsidRPr="009B2F97">
        <w:t xml:space="preserve"> single adults</w:t>
      </w:r>
      <w:r w:rsidR="00006DBD">
        <w:t>, and these households are also more inclined to prefer homes with many bedrooms</w:t>
      </w:r>
      <w:r w:rsidR="009C60A8" w:rsidRPr="008253CB">
        <w:t>.</w:t>
      </w:r>
      <w:r w:rsidR="00A631A5" w:rsidRPr="008253CB">
        <w:t xml:space="preserve"> </w:t>
      </w:r>
      <w:r w:rsidR="00006DBD">
        <w:t xml:space="preserve">These effects represent the need for more space and privacy in general. The effect of number of children may also be associated with </w:t>
      </w:r>
      <w:r w:rsidR="00006DBD" w:rsidRPr="00F648BD">
        <w:t>single-family homes align</w:t>
      </w:r>
      <w:r w:rsidR="00006DBD">
        <w:t>ing</w:t>
      </w:r>
      <w:r w:rsidR="00006DBD" w:rsidRPr="00F648BD">
        <w:t xml:space="preserve"> with the prevailing </w:t>
      </w:r>
      <w:r w:rsidR="00006DBD">
        <w:t xml:space="preserve">“picket fence” </w:t>
      </w:r>
      <w:r w:rsidR="00006DBD" w:rsidRPr="00F648BD">
        <w:t xml:space="preserve">image among American parents of </w:t>
      </w:r>
      <w:r w:rsidR="00006DBD">
        <w:t xml:space="preserve">the </w:t>
      </w:r>
      <w:r w:rsidR="00006DBD" w:rsidRPr="00F648BD">
        <w:t xml:space="preserve">ideal living arrangement for raising children </w:t>
      </w:r>
      <w:r w:rsidR="00006DBD" w:rsidRPr="00D21817">
        <w:fldChar w:fldCharType="begin"/>
      </w:r>
      <w:r w:rsidR="008912F0">
        <w:instrText xml:space="preserve"> ADDIN ZOTERO_ITEM CSL_CITATION {"citationID":"y4uQ8rba","properties":{"formattedCitation":"(Wood, 2014)","plainCitation":"(Wood, 2014)","noteIndex":0},"citationItems":[{"id":686,"uris":["http://zotero.org/users/local/1ztI2Oc6/items/EMIMQMCH","http://zotero.org/users/12832277/items/EMIMQMCH"],"itemData":{"id":686,"type":"article-journal","abstract":"The correlation between neighborhood poverty and poor life-course outcomes is well documented. However, when examining residential mobility, scholars frequently neglect the role of dwelling in housing decisions and its potential contribution to the reproduction of concentrated poverty. Based on in-depth interviews with 40 lower-income African American mothers residing in Baltimore, this article illustrates how resource-constrained households give priority to dwelling attributes (including size, type, and unit amenities) when conducting a housing search and then satisfice on neighborhood-level criteria. This elucidates why some households remain in resource-poor neighborhoods even when they acquire the means to live in more affluent areas. The mothers’ narratives further reveal the strategies they use to mitigate their perception of neighborhood danger, allowing their residential selection to pivot primarily on fulfilling perceived dwelling needs. This research widens sociological awareness to a broader range of mechanisms reproducing neighborhood inequality and also offers new insight as to why housing policy often fails to deconcentrate poverty.","container-title":"Social Service Review","DOI":"10.1086/676407","ISSN":"0037-7961","issue":"2","note":"publisher: The University of Chicago Press","page":"264-294","source":"journals.uchicago.edu (Atypon)","title":"When Only a House Makes a Home: How Home Selection Matters in the Residential Mobility Decisions of Lower-Income, Inner-City African American Families","title-short":"When Only a House Makes a Home","volume":"88","author":[{"family":"Wood","given":"Holly"}],"issued":{"date-parts":[["2014",6]]}}}],"schema":"https://github.com/citation-style-language/schema/raw/master/csl-citation.json"} </w:instrText>
      </w:r>
      <w:r w:rsidR="00006DBD" w:rsidRPr="00D21817">
        <w:fldChar w:fldCharType="separate"/>
      </w:r>
      <w:r w:rsidR="00006DBD" w:rsidRPr="00D21817">
        <w:t>(Wood, 2014)</w:t>
      </w:r>
      <w:r w:rsidR="00006DBD" w:rsidRPr="00D21817">
        <w:fldChar w:fldCharType="end"/>
      </w:r>
      <w:r w:rsidR="00006DBD" w:rsidRPr="009B2F97">
        <w:t>.</w:t>
      </w:r>
      <w:r w:rsidR="00006DBD" w:rsidRPr="00D21817">
        <w:t xml:space="preserve"> </w:t>
      </w:r>
      <w:r w:rsidR="004626B4" w:rsidRPr="004736A5">
        <w:t xml:space="preserve">Conversely, single adults may prefer the </w:t>
      </w:r>
      <w:r w:rsidR="00F4425E" w:rsidRPr="009434FD">
        <w:t xml:space="preserve">increased </w:t>
      </w:r>
      <w:r w:rsidR="002A738D" w:rsidRPr="009434FD">
        <w:t xml:space="preserve">opportunities for </w:t>
      </w:r>
      <w:r w:rsidR="00F4425E" w:rsidRPr="009434FD">
        <w:t>social interaction</w:t>
      </w:r>
      <w:r w:rsidR="002A738D" w:rsidRPr="009434FD">
        <w:t xml:space="preserve"> available in apartment complexes</w:t>
      </w:r>
      <w:r w:rsidR="00350F0F" w:rsidRPr="009434FD">
        <w:rPr>
          <w:b/>
          <w:bCs/>
        </w:rPr>
        <w:t xml:space="preserve"> </w:t>
      </w:r>
      <w:r w:rsidR="00350F0F" w:rsidRPr="00D21817">
        <w:rPr>
          <w:b/>
          <w:bCs/>
        </w:rPr>
        <w:fldChar w:fldCharType="begin"/>
      </w:r>
      <w:r w:rsidR="000C4AE3">
        <w:rPr>
          <w:b/>
          <w:bCs/>
        </w:rPr>
        <w:instrText xml:space="preserve"> ADDIN ZOTERO_ITEM CSL_CITATION {"citationID":"zo0v035I","properties":{"formattedCitation":"(Frenkel and Kaplan, 2015)","plainCitation":"(Frenkel and Kaplan, 2015)","noteIndex":0},"citationItems":[{"id":731,"uris":["http://zotero.org/users/local/1ztI2Oc6/items/F9A9J9DB","http://zotero.org/users/12832277/items/F9A9J9DB"],"itemData":{"id":731,"type":"article-journal","abstract":"This study investigates knowledge-workers’ housing preferences in terms of tenure, dwelling type, location and size. The analysis is conducted by applying a joint multinomial-logit ordered-response model to the housing choices of knowledgeworkers residing in the Tel-Aviv metropolitan region and working in the high-tech and finance sectors. The results confirm the following hypotheses: (i) controlling for socioeconomic characteristics and workplace, knowledge-workers’ housing choices relate to their lifestyle; (ii) knowledge-workers with a culture-oriented lifestyle prefer to rent small apartments in central locations; (iii) knowledge-workers with a home-oriented lifestyle prefer large dwelling units, mainly single-detached houses, in suburban locations.","container-title":"Letters in Spatial and Resource Sciences","DOI":"10.1007/s12076-014-0131-1","ISSN":"1864-404X","issue":"3","language":"en","page":"233-251","source":"Springer Link","title":"The Joint Choice of Tenure, Dwelling Type, Size and Location: The Effect of Home-Oriented Versus Culture-Oriented Lifestyle","volume":"8","author":[{"family":"Frenkel","given":"Amnon"},{"family":"Kaplan","given":"Sigal"}],"issued":{"date-parts":[["2015",11,1]]}}}],"schema":"https://github.com/citation-style-language/schema/raw/master/csl-citation.json"} </w:instrText>
      </w:r>
      <w:r w:rsidR="00350F0F" w:rsidRPr="00D21817">
        <w:rPr>
          <w:b/>
          <w:bCs/>
        </w:rPr>
        <w:fldChar w:fldCharType="separate"/>
      </w:r>
      <w:r w:rsidR="00350F0F" w:rsidRPr="00D21817">
        <w:t>(Frenkel and Kaplan, 2015)</w:t>
      </w:r>
      <w:r w:rsidR="00350F0F" w:rsidRPr="00D21817">
        <w:rPr>
          <w:b/>
          <w:bCs/>
        </w:rPr>
        <w:fldChar w:fldCharType="end"/>
      </w:r>
      <w:r w:rsidR="00434CCE" w:rsidRPr="009B2F97">
        <w:t xml:space="preserve">. </w:t>
      </w:r>
      <w:r w:rsidR="00B5300C">
        <w:t xml:space="preserve">Couple households and roommate households appear to prefer to rent, but with </w:t>
      </w:r>
      <w:r w:rsidR="00290FD1">
        <w:t xml:space="preserve">a propensity toward </w:t>
      </w:r>
      <w:r w:rsidR="00B5300C">
        <w:t xml:space="preserve">more bedrooms. Couple households also prefer to be in low housing cost areas and </w:t>
      </w:r>
      <w:r w:rsidR="003F13E3">
        <w:t xml:space="preserve">tend </w:t>
      </w:r>
      <w:r w:rsidR="00B5300C">
        <w:t xml:space="preserve">to </w:t>
      </w:r>
      <w:r w:rsidR="00F7718A">
        <w:t xml:space="preserve">live further from </w:t>
      </w:r>
      <w:r w:rsidR="00B5300C">
        <w:t xml:space="preserve">their office. </w:t>
      </w:r>
      <w:r w:rsidR="00A612AD">
        <w:t xml:space="preserve">Compared with single adult households, couple households </w:t>
      </w:r>
      <w:r w:rsidR="00552995">
        <w:t>may need to accommodate commutes for</w:t>
      </w:r>
      <w:r w:rsidR="00A612AD">
        <w:t xml:space="preserve"> multiple adults working outside the home</w:t>
      </w:r>
      <w:r w:rsidR="00F7718A">
        <w:t xml:space="preserve">, resulting in longer commute distances for each working adult. </w:t>
      </w:r>
      <w:r w:rsidR="00292073">
        <w:t xml:space="preserve">In combination </w:t>
      </w:r>
      <w:r w:rsidR="00292073">
        <w:lastRenderedPageBreak/>
        <w:t xml:space="preserve">with the strong positive effect </w:t>
      </w:r>
      <w:r w:rsidR="00B5300C">
        <w:t xml:space="preserve">(+1.91) </w:t>
      </w:r>
      <w:r w:rsidR="00292073">
        <w:t>of apartment living on the renting</w:t>
      </w:r>
      <w:r w:rsidR="00B5300C">
        <w:t xml:space="preserve"> utility alternative of tenure choice (as discussed later)</w:t>
      </w:r>
      <w:r w:rsidR="000F33C4" w:rsidRPr="00DD68D6">
        <w:t xml:space="preserve">, </w:t>
      </w:r>
      <w:r w:rsidR="00B5300C">
        <w:t>the net result is that related adults prefer not to rent but to own their homes (the net effect on renting utility is +1.91*(-0.45)+0.55=-0.31))</w:t>
      </w:r>
      <w:r w:rsidR="00805CD6">
        <w:t xml:space="preserve"> and do not appear to be </w:t>
      </w:r>
      <w:r w:rsidR="00290FD1">
        <w:t xml:space="preserve">too </w:t>
      </w:r>
      <w:r w:rsidR="00805CD6">
        <w:t>concerned</w:t>
      </w:r>
      <w:r w:rsidR="00290FD1">
        <w:t xml:space="preserve"> </w:t>
      </w:r>
      <w:r w:rsidR="00805CD6">
        <w:t xml:space="preserve">about school quality in housing choices. On the other hand, roommates </w:t>
      </w:r>
      <w:r w:rsidR="00D036DA" w:rsidRPr="009434FD">
        <w:t xml:space="preserve">prefer to </w:t>
      </w:r>
      <w:r w:rsidR="00C2180E" w:rsidRPr="009434FD">
        <w:t>rent</w:t>
      </w:r>
      <w:r w:rsidR="00805CD6">
        <w:t xml:space="preserve"> dwelling units with many bedrooms</w:t>
      </w:r>
      <w:r w:rsidR="00290FD1">
        <w:t xml:space="preserve">. </w:t>
      </w:r>
      <w:r w:rsidR="00805CD6">
        <w:t>Households with s</w:t>
      </w:r>
      <w:r w:rsidR="00A93992" w:rsidRPr="009B2F97">
        <w:t>eniors</w:t>
      </w:r>
      <w:r w:rsidR="00CF3290">
        <w:t xml:space="preserve"> </w:t>
      </w:r>
      <w:r w:rsidR="0089057C" w:rsidRPr="009B2F97">
        <w:t xml:space="preserve">lean toward </w:t>
      </w:r>
      <w:r w:rsidR="00A93992" w:rsidRPr="009B2F97">
        <w:t>own</w:t>
      </w:r>
      <w:r w:rsidR="0089057C" w:rsidRPr="009B2F97">
        <w:t>ing</w:t>
      </w:r>
      <w:r w:rsidR="00A93992" w:rsidRPr="009B2F97">
        <w:t xml:space="preserve"> homes</w:t>
      </w:r>
      <w:r w:rsidR="00B14EE2" w:rsidRPr="009B2F97">
        <w:t xml:space="preserve"> that include</w:t>
      </w:r>
      <w:r w:rsidR="00A768E3" w:rsidRPr="009B2F97">
        <w:t xml:space="preserve"> a patio or yard</w:t>
      </w:r>
      <w:r w:rsidR="00CF3290">
        <w:t xml:space="preserve"> and </w:t>
      </w:r>
      <w:r w:rsidR="00B14EE2" w:rsidRPr="009B2F97">
        <w:t>a large number of</w:t>
      </w:r>
      <w:r w:rsidR="005545C0" w:rsidRPr="009B2F97">
        <w:t xml:space="preserve"> </w:t>
      </w:r>
      <w:r w:rsidR="005B17EB" w:rsidRPr="009B2F97">
        <w:t>bedrooms</w:t>
      </w:r>
      <w:r w:rsidR="00CF3290">
        <w:t xml:space="preserve">, and in areas </w:t>
      </w:r>
      <w:r w:rsidR="00EA4272" w:rsidRPr="009B2F97">
        <w:t xml:space="preserve">with </w:t>
      </w:r>
      <w:r w:rsidR="003B09BA" w:rsidRPr="009B2F97">
        <w:t>lower population densities</w:t>
      </w:r>
      <w:r w:rsidR="00B21396" w:rsidRPr="009B2F97">
        <w:t>, higher median housing cost</w:t>
      </w:r>
      <w:r w:rsidR="00EA4272" w:rsidRPr="009B2F97">
        <w:t>s</w:t>
      </w:r>
      <w:r w:rsidR="00B21396" w:rsidRPr="009B2F97">
        <w:t>,</w:t>
      </w:r>
      <w:r w:rsidR="003B09BA" w:rsidRPr="009B2F97">
        <w:t xml:space="preserve"> </w:t>
      </w:r>
      <w:r w:rsidR="00655296" w:rsidRPr="009B2F97">
        <w:t xml:space="preserve">and </w:t>
      </w:r>
      <w:r w:rsidR="00EA4272" w:rsidRPr="009B2F97">
        <w:t>proximity to</w:t>
      </w:r>
      <w:r w:rsidR="00655296" w:rsidRPr="009B2F97">
        <w:t xml:space="preserve"> amenities. </w:t>
      </w:r>
      <w:r w:rsidR="008253CB">
        <w:t>Among other results, h</w:t>
      </w:r>
      <w:r w:rsidR="00790E51" w:rsidRPr="00D21817">
        <w:t>ous</w:t>
      </w:r>
      <w:r w:rsidR="00C60338" w:rsidRPr="004736A5">
        <w:t>eholds with children tend to live in areas with lower crime rates, reflecting</w:t>
      </w:r>
      <w:r w:rsidR="001D5FAF">
        <w:t xml:space="preserve"> a strong </w:t>
      </w:r>
      <w:r w:rsidR="0070188F" w:rsidRPr="009434FD">
        <w:t xml:space="preserve">desire for </w:t>
      </w:r>
      <w:r w:rsidR="001D5FAF">
        <w:t xml:space="preserve">family </w:t>
      </w:r>
      <w:r w:rsidR="0070188F" w:rsidRPr="009434FD">
        <w:t xml:space="preserve">safety and security </w:t>
      </w:r>
      <w:r w:rsidR="0070188F" w:rsidRPr="00D21817">
        <w:fldChar w:fldCharType="begin"/>
      </w:r>
      <w:r w:rsidR="008912F0">
        <w:instrText xml:space="preserve"> ADDIN ZOTERO_ITEM CSL_CITATION {"citationID":"xoQthEwo","properties":{"formattedCitation":"(DeLuca and Jang\\uc0\\u8211{}Trettien, 2020)","plainCitation":"(DeLuca and Jang–Trettien, 2020)","noteIndex":0},"citationItems":[{"id":145,"uris":["http://zotero.org/users/local/1ztI2Oc6/items/ZINRR6D7","http://zotero.org/users/12832277/items/ZINRR6D7"],"itemData":{"id":145,"type":"article-journal","abstract":"Despite decades of research on residential mobility and neighborhood effects, we know comparatively less about how people sort across geography. In recent years, scholars have been calling for research that considers residential selection as a social stratification process. In this paper, we present findings from work our team has done over the last 17 years to explore how people end up living where they do, relying in large part on systematically sampled in?depth narrative interviews with families. We focus on four key decisions: whether to move; where to move; whether to send children to school in the neighborhood; and whether to rent or own a home. We found that many residential mobility decisions among the poor were ?reactive,? with unpredictable shocks forcing families out of their homes. As a result of reactive moving, housing search time frames became shorter and poor parents employed short?term survival solutions to secure housing instead of long?term investment thinking about neighborhood and school district quality. These shocks, constraints, and compressed time frames led parents to decouple some dimensions of neighborhoods and schools from the housing search process while maximizing others, like immediacy of shelter, unit quality, and proximity to work and child care. Finally, we found that policies can significantly shape and better support some of these decisions. Combined, our research revealed some of the processes that underlie locational attainment and the intergenerational transmission of neighborhood context.","container-title":"City &amp; Community","DOI":"10.1111/cico.12515","ISSN":"1535-6841","issue":"3","note":"publisher: SAGE Publications","page":"451-488","source":"SAGE Journals","title":"“Not Just a Lateral Move”: Residential Decisions and the Reproduction of Urban Inequality","title-short":"“Not Just a Lateral Move”","volume":"19","author":[{"family":"DeLuca","given":"Stefanie"},{"family":"Jang–Trettien","given":"Christine"}],"issued":{"date-parts":[["2020",9,1]]}}}],"schema":"https://github.com/citation-style-language/schema/raw/master/csl-citation.json"} </w:instrText>
      </w:r>
      <w:r w:rsidR="0070188F" w:rsidRPr="00D21817">
        <w:fldChar w:fldCharType="separate"/>
      </w:r>
      <w:r w:rsidR="0070188F" w:rsidRPr="00D21817">
        <w:t>(DeLuca and Jang–Trettien, 2020)</w:t>
      </w:r>
      <w:r w:rsidR="0070188F" w:rsidRPr="00D21817">
        <w:fldChar w:fldCharType="end"/>
      </w:r>
      <w:r w:rsidR="0070188F" w:rsidRPr="009B2F97">
        <w:t xml:space="preserve">. </w:t>
      </w:r>
    </w:p>
    <w:p w14:paraId="4AF80380" w14:textId="7F664D59" w:rsidR="00A52915" w:rsidRPr="009B2F97" w:rsidRDefault="00C26120" w:rsidP="00A6042D">
      <w:pPr>
        <w:spacing w:after="0" w:line="240" w:lineRule="auto"/>
        <w:ind w:firstLine="720"/>
        <w:jc w:val="both"/>
      </w:pPr>
      <w:r w:rsidRPr="009434FD">
        <w:t xml:space="preserve">Income is another significant factor driving housing choices. </w:t>
      </w:r>
      <w:r w:rsidR="001D5FAF">
        <w:t xml:space="preserve">Consistent with their higher purchasing power, </w:t>
      </w:r>
      <w:r w:rsidR="00D61786">
        <w:t>h</w:t>
      </w:r>
      <w:r w:rsidR="008416BA" w:rsidRPr="009434FD">
        <w:t xml:space="preserve">ouseholds with higher incomes </w:t>
      </w:r>
      <w:r w:rsidRPr="009434FD">
        <w:t>are more likely to</w:t>
      </w:r>
      <w:r w:rsidR="001116DF" w:rsidRPr="009434FD">
        <w:t xml:space="preserve"> own their home rather than rent</w:t>
      </w:r>
      <w:r w:rsidR="00D61786">
        <w:t>, even beyond the indirect effect through the latent constructs and the housing type choice effect on tenure choice</w:t>
      </w:r>
      <w:r w:rsidR="001D5FAF">
        <w:t xml:space="preserve"> </w:t>
      </w:r>
      <w:r w:rsidR="000D4185">
        <w:fldChar w:fldCharType="begin"/>
      </w:r>
      <w:r w:rsidR="000C4AE3">
        <w:instrText xml:space="preserve"> ADDIN ZOTERO_ITEM CSL_CITATION {"citationID":"sAzeuo2r","properties":{"formattedCitation":"(Carter, 2011)","plainCitation":"(Carter, 2011)","dontUpdate":true,"noteIndex":0},"citationItems":[{"id":690,"uris":["http://zotero.org/users/local/1ztI2Oc6/items/4V8DSZZX","http://zotero.org/users/12832277/items/4V8DSZZX"],"itemData":{"id":690,"type":"article-journal","abstract":"Housing tenure choice has been the subject of a very large literature. Many treatments have sought to estimate the effect of household income on the likelihood of home ownership. To date, no study has ever disaggregated the household income of married couples into the separate labor income components to see if one partner’s income has a different effect than the other. Using a derived likelihood function to control for censoring in the wife’s income, this paper estimates the effect of separate incomes on housing tenure choice, accounting for possible endogeneity of the wife’s income. To compare the results of this estimation method, the paper also estimates the standard IV models, 2SLS and IV probit. While the results show that there is no endogeneity of the wife’s income, ignoring the censoring of the endogenous variable (when a large fraction of observations are censored) can possibly lead to biased coefficient estimates. Also, this paper confirms the importance of total household income, which has a larger effect than the total disaggregated components.","container-title":"Journal of Housing Economics","DOI":"10.1016/j.jhe.2011.06.002","ISSN":"1051-1377","issue":"3","language":"en","page":"159-170","source":"ScienceDirect","title":"Housing Tenure Choice and the Dual Income Household","volume":"20","author":[{"family":"Carter","given":"Steven"}],"issued":{"date-parts":[["2011",9,1]]}}}],"schema":"https://github.com/citation-style-language/schema/raw/master/csl-citation.json"} </w:instrText>
      </w:r>
      <w:r w:rsidR="000D4185">
        <w:fldChar w:fldCharType="separate"/>
      </w:r>
      <w:r w:rsidR="000D4185" w:rsidRPr="000D4185">
        <w:t>(</w:t>
      </w:r>
      <w:r w:rsidR="000D4185">
        <w:t xml:space="preserve">see also </w:t>
      </w:r>
      <w:r w:rsidR="000D4185" w:rsidRPr="000D4185">
        <w:t>Carter, 2011)</w:t>
      </w:r>
      <w:r w:rsidR="000D4185">
        <w:fldChar w:fldCharType="end"/>
      </w:r>
      <w:r w:rsidR="00D61786">
        <w:t xml:space="preserve">. Further, households with higher incomes </w:t>
      </w:r>
      <w:r w:rsidR="001D5FAF">
        <w:t>reside in areas with high housing costs</w:t>
      </w:r>
      <w:r w:rsidR="00D61786">
        <w:t xml:space="preserve">, which also points to </w:t>
      </w:r>
      <w:r w:rsidR="00D855CF" w:rsidRPr="009434FD">
        <w:t>i</w:t>
      </w:r>
      <w:r w:rsidR="00D855CF" w:rsidRPr="009C5F54">
        <w:t>ncome segregation, reinforcing the notion that houses tend to be clustered with others in a similar price range</w:t>
      </w:r>
      <w:r w:rsidR="001304BD" w:rsidRPr="009C5F54">
        <w:t xml:space="preserve"> </w:t>
      </w:r>
      <w:r w:rsidR="001304BD" w:rsidRPr="00D21817">
        <w:fldChar w:fldCharType="begin"/>
      </w:r>
      <w:r w:rsidR="008912F0">
        <w:instrText xml:space="preserve"> ADDIN ZOTERO_ITEM CSL_CITATION {"citationID":"cTmibu31","properties":{"formattedCitation":"(Heldt et al., 2018)","plainCitation":"(Heldt et al., 2018)","noteIndex":0},"citationItems":[{"id":90,"uris":["http://zotero.org/users/local/1ztI2Oc6/items/QRP5AEFX","http://zotero.org/users/12832277/items/QRP5AEFX"],"itemData":{"id":90,"type":"article-journal","abstract":"Modeling residential location as a key component of the land-use system is essential to understanding the relationship between land use and transport. The increasing availability of censuses such as the German Zensus 2011 has enabled residential location to be modeled with a large number of observations, presenting both opportunities and challenges. Censuses are statistically highly representative; however, they often lack variables such as income or mobility-related attributes as in the case of Zensus 2011. This is particularly problematic if missing variables define utility or willingness-to-pay functions that characterize choice options in a location model. One example of this is household income, which is an indispensable variable in land-use models because it influences household location preferences and defines affordable location options. For estimating bid-auction location models for different income groups, we impute household income in census data applying an ordered regression model. We find that location models considering this imputation perform sufficiently well as they reveal reasonable and expected aspects of the location patterns. In general, imputing choice variables should thus be considered in the estimation of residential location models but is also promising for other decision problems. Comparing results for two imputation methods, we also show that while applying the deterministic first preference imputation could yield misleading results, the probabilistic Monte Carlo simulation is the correct imputation approach.","container-title":"Journal of Transport and Land Use","ISSN":"1938-7849","issue":"1","note":"publisher: Journal of Transport and Land Use","page":"1101-1123","source":"JSTOR","title":"Estimating Bid-Auction Models of Residential Location Using Census Data with Imputed Household Income","volume":"11","author":[{"family":"Heldt","given":"Benjamin"},{"family":"Donoso","given":"Pedro"},{"family":"Bahamonde-Birke","given":"Francisco"},{"family":"Heinrichs","given":"Dirk"}],"issued":{"date-parts":[["2018"]]}}}],"schema":"https://github.com/citation-style-language/schema/raw/master/csl-citation.json"} </w:instrText>
      </w:r>
      <w:r w:rsidR="001304BD" w:rsidRPr="00D21817">
        <w:fldChar w:fldCharType="separate"/>
      </w:r>
      <w:r w:rsidR="001304BD" w:rsidRPr="00D21817">
        <w:t>(Heldt et al., 2018)</w:t>
      </w:r>
      <w:r w:rsidR="001304BD" w:rsidRPr="00D21817">
        <w:fldChar w:fldCharType="end"/>
      </w:r>
      <w:r w:rsidR="004B40F5" w:rsidRPr="009B2F97">
        <w:t>.</w:t>
      </w:r>
      <w:r w:rsidR="007C052D" w:rsidRPr="00D21817">
        <w:t xml:space="preserve"> </w:t>
      </w:r>
      <w:r w:rsidR="00907645">
        <w:t xml:space="preserve">Also, </w:t>
      </w:r>
      <w:r w:rsidR="000A1310" w:rsidRPr="004736A5">
        <w:t>higher income</w:t>
      </w:r>
      <w:r w:rsidR="00907645">
        <w:t xml:space="preserve"> households </w:t>
      </w:r>
      <w:r w:rsidR="00290FD1">
        <w:t xml:space="preserve">prefer </w:t>
      </w:r>
      <w:r w:rsidR="000A1310" w:rsidRPr="009434FD">
        <w:t xml:space="preserve">areas </w:t>
      </w:r>
      <w:r w:rsidR="00111327" w:rsidRPr="009434FD">
        <w:t>that offer an abundance of</w:t>
      </w:r>
      <w:r w:rsidR="000A1310" w:rsidRPr="009434FD">
        <w:t xml:space="preserve"> amenities and higher</w:t>
      </w:r>
      <w:r w:rsidR="00111327" w:rsidRPr="009434FD">
        <w:t>-</w:t>
      </w:r>
      <w:r w:rsidR="000A1310" w:rsidRPr="009434FD">
        <w:t>quality schools</w:t>
      </w:r>
      <w:r w:rsidR="004E239D" w:rsidRPr="009434FD">
        <w:t xml:space="preserve">, </w:t>
      </w:r>
      <w:r w:rsidR="00111327" w:rsidRPr="009434FD">
        <w:t>which underscores</w:t>
      </w:r>
      <w:r w:rsidR="004E239D" w:rsidRPr="009434FD">
        <w:t xml:space="preserve"> the price premiums </w:t>
      </w:r>
      <w:r w:rsidR="00111327" w:rsidRPr="009434FD">
        <w:t>placed</w:t>
      </w:r>
      <w:r w:rsidR="004E239D" w:rsidRPr="009434FD">
        <w:t xml:space="preserve"> on these types of ser</w:t>
      </w:r>
      <w:r w:rsidR="004E239D" w:rsidRPr="009C5F54">
        <w:t>vices</w:t>
      </w:r>
      <w:r w:rsidR="000B7F94" w:rsidRPr="008253CB">
        <w:rPr>
          <w:b/>
          <w:bCs/>
        </w:rPr>
        <w:t xml:space="preserve"> </w:t>
      </w:r>
      <w:r w:rsidR="000B7F94" w:rsidRPr="00D21817">
        <w:rPr>
          <w:b/>
          <w:bCs/>
        </w:rPr>
        <w:fldChar w:fldCharType="begin"/>
      </w:r>
      <w:r w:rsidR="000C4AE3">
        <w:rPr>
          <w:b/>
          <w:bCs/>
        </w:rPr>
        <w:instrText xml:space="preserve"> ADDIN ZOTERO_ITEM CSL_CITATION {"citationID":"Bzv5Gz31","properties":{"formattedCitation":"(Li et al., 2019)","plainCitation":"(Li et al., 2019)","noteIndex":0},"citationItems":[{"id":605,"uris":["http://zotero.org/users/local/1ztI2Oc6/items/TCQBNPVC","http://zotero.org/users/12832277/items/TCQBNPVC"],"itemData":{"id":605,"type":"article-journal","abstract":"Skyrocketing housing prices in China's megacities have generated broad concerns. By integrating open data from Lianjia.com, Dianping.com, Mobike.com, and Baidu Map POI, we analyze spatial patterns of apartment prices and their association with local attributes in Shanghai. We find that Shanghai's residential market still has a monocentric structure because of the centralized distribution of public transport facilities and amenities. Hedonic models further confirm that structural attributes, accessibility, as well as public and private service amenities significantly shape the real estate market. These factors also are differentiated so as to form a pattern of concentric rings. In the inner-city and expanded inner-city areas, public service amenities such as parks, schools, hospitals, and banks, as well as private service amenities such as entertainment, shopping, and residential service facilities, boost housing prices. In the suburbs, better access to bike sharing, bus stops, and metro stations are the top preferences for apartment buyers. Our study also indicates that the Chinese government needs to make public and private services more accessible, not only spatially in urban peripheries and villages, but also institutionally to lower income families who cannot afford apartments in expensive neighborhoods.","container-title":"Cities","DOI":"10.1016/j.cities.2018.11.016","ISSN":"0264-2751","language":"en","page":"165-179","source":"ScienceDirect","title":"Analyzing Housing Prices in Shanghai with Open Data: Amenity, Accessibility and Urban Structure","title-short":"Analyzing Housing Prices in Shanghai with Open Data","volume":"91","author":[{"family":"Li","given":"Han"},{"family":"Wei","given":"Yehua Dennis"},{"family":"Wu","given":"Yangyi"},{"family":"Tian","given":"Guang"}],"issued":{"date-parts":[["2019",8,1]]}}}],"schema":"https://github.com/citation-style-language/schema/raw/master/csl-citation.json"} </w:instrText>
      </w:r>
      <w:r w:rsidR="000B7F94" w:rsidRPr="00D21817">
        <w:rPr>
          <w:b/>
          <w:bCs/>
        </w:rPr>
        <w:fldChar w:fldCharType="separate"/>
      </w:r>
      <w:r w:rsidR="000B7F94" w:rsidRPr="00D21817">
        <w:t>(Li et al., 20</w:t>
      </w:r>
      <w:r w:rsidR="000B7F94" w:rsidRPr="004736A5">
        <w:t>19)</w:t>
      </w:r>
      <w:r w:rsidR="000B7F94" w:rsidRPr="00D21817">
        <w:rPr>
          <w:b/>
          <w:bCs/>
        </w:rPr>
        <w:fldChar w:fldCharType="end"/>
      </w:r>
      <w:r w:rsidR="004E239D" w:rsidRPr="009B2F97">
        <w:t xml:space="preserve">. </w:t>
      </w:r>
      <w:r w:rsidR="00616461" w:rsidRPr="00D21817">
        <w:t>One difference</w:t>
      </w:r>
      <w:r w:rsidR="000B7F94" w:rsidRPr="004736A5">
        <w:t xml:space="preserve"> found</w:t>
      </w:r>
      <w:r w:rsidR="00616461" w:rsidRPr="004736A5">
        <w:t xml:space="preserve"> here compared with many previous studies </w:t>
      </w:r>
      <w:r w:rsidR="00B015A0" w:rsidRPr="00D21817">
        <w:rPr>
          <w:b/>
          <w:bCs/>
        </w:rPr>
        <w:fldChar w:fldCharType="begin"/>
      </w:r>
      <w:r w:rsidR="000C4AE3">
        <w:rPr>
          <w:b/>
          <w:bCs/>
        </w:rPr>
        <w:instrText xml:space="preserve"> ADDIN ZOTERO_ITEM CSL_CITATION {"citationID":"jGaEPZ2h","properties":{"formattedCitation":"(Bhat, 2015a; He and Hu, 2015; Xue et al., 2020)","plainCitation":"(Bhat, 2015a; He and Hu, 2015; Xue et al., 2020)","noteIndex":0},"citationItems":[{"id":3,"uris":["http://zotero.org/users/local/1ztI2Oc6/items/8ZZCG8II","http://zotero.org/users/12832277/items/8ZZCG8II"],"itemData":{"id":3,"type":"article-journal","abstract":"This study adopts a dwelling unit level of analysis and considers a probabilistic choice set generation approach for residential choice modeling. In doing so, we accommodate the fact that housing choices involve both characteristics of the dwelling unit and its location, while also mimicking the search process that underlies housing decisions. In particular, we model a complete range of dwelling unit choices that include tenure type (rent or own), housing type (single family detached, single family attached, or apartment complex), number of bedrooms, number of bathrooms, number of storeys (one or multiple), square footage of the house, lot size, housing costs, density of residential neighborhood, and commute distance. Bhat’s (2015) generalized heterogeneous data model (GHDM) system is used to accommodate the different types of dependent outcomes associated with housing choices, while capturing jointness caused by unobserved factors. The proposed analytic framework is applied to study housing choices using data derived from the 2009 American Housing Survey (AHS), sponsored by the Department of Housing and Urban Development (HUD) and conducted by the U.S. Census Bureau. The results confirm the jointness in housing choices, and indicate the superiority of a choice set formation model relative to a model that assumes the availability of all dwelling unit alternatives in the choice set.","container-title":"Transportation Research Part B: Methodological","DOI":"10.1016/j.trb.2015.05.021","ISSN":"0191-2615","language":"en","page":"161-188","source":"ScienceDirect","title":"A Comprehensive Dwelling Unit Choice Model Accommodating Psychological Constructs Within a Search Strategy for Consideration Set Formation","volume":"79","author":[{"family":"Bhat","given":"Chandra R."}],"issued":{"date-parts":[["2015",9,1]]}}},{"id":517,"uris":["http://zotero.org/users/local/1ztI2Oc6/items/SRNL8BZS","http://zotero.org/users/12832277/items/SRNL8BZS"],"itemData":{"id":517,"type":"article-journal","abstract":"Telecommuting is on a rising trend as one of the most important alternative work arrangements. This paper explores whether telecommuters conduct more out-of-home activities than their non-telecommuting counterparts. More importantly, this paper investigates activity differences between low- and high-income telecommuters. This study draws a sample of approximately 7,500 workers from the 2007 Chicago Regional Household Travel Inventory. We use a Poisson model to estimate the number of out-of-home activities, and use an instrumental-variables (IV) approach to address the potential self-selection issue of telecommuting. We also identify workers who worked at home (WAH) during the survey days. Results show that telecommuting status and whether the respondents WAH on survey days affect out-of-home activities. During the survey days, low-income workers were less likely to telecommute than high-income workers, but those who actually telecommuted were similarly likely to conduct a higher number of total trips, pick-up/drop-off trips, and maintenance/discretionary trips, but fewer commute trips than the high-income telecommuters. Even on the days when telecommuters went to workplaces, telecommuting status is still associated with more trips. The behavioral difference between telecommuters and non-telecommuters on commuting days suggests that such disparity stems from unobserved differences between the two groups of workers rather than from the saved commute time through telecommuting.","container-title":"Travel Behaviour and Society","DOI":"10.1016/j.tbs.2014.12.003","ISSN":"2214-367X","issue":"3","language":"en","page":"131-147","source":"ScienceDirect","title":"Telecommuting, Income, and Out-of-Home Activities","volume":"2","author":[{"family":"He","given":"Sylvia Y."},{"family":"Hu","given":"Lingqian"}],"issued":{"date-parts":[["2015",9,1]]}}},{"id":103,"uris":["http://zotero.org/users/local/1ztI2Oc6/items/IHERG4EB","http://zotero.org/users/12832277/items/IHERG4EB"],"itemData":{"id":103,"type":"article-journal","abstract":"The effects of residential relocation on changes in travel behaviors have been studied worldwide; however, little is known about factors that influence relocation behavior in households with workers and students. This study explores the relationship between residential relocation behavior and its factors, such as the built environment, the housing price, the work commute distance, the school commute distance, and households' sociodemographic attributes, by building a structural equation model using the data collected in the Fifth Travel Survey of Beijing Inhabitants. The results show that the built environment and sociodemographic attributes have direct effects on residential relocation behavior and the housing price, work commute distance, and school commute distance have indirect effects on it. Besides, trade-offs between the housing price and the built environment and between the housing price and the home-work and home-school commute distances are found. Based on the results, a number of suggestions for the balanced development of public transportation and city land-use plans are proposed.","container-title":"Journal of Transport Geography","DOI":"10.1016/j.jtrangeo.2020.102893","ISSN":"0966-6923","language":"en","source":"ScienceDirect","title":"Exploring Residential Relocation Behavior for Families with Workers and Students; a Study from Beijing, China","URL":"https://www.sciencedirect.com/science/article/pii/S0966692320309704","volume":"89","author":[{"family":"Xue","given":"Fei"},{"family":"Yao","given":"Enjian"},{"family":"Jin","given":"Fanglei"}],"accessed":{"date-parts":[["2023",2,10]]},"issued":{"date-parts":[["2020",12,1]]}}}],"schema":"https://github.com/citation-style-language/schema/raw/master/csl-citation.json"} </w:instrText>
      </w:r>
      <w:r w:rsidR="00B015A0" w:rsidRPr="00D21817">
        <w:rPr>
          <w:b/>
          <w:bCs/>
        </w:rPr>
        <w:fldChar w:fldCharType="separate"/>
      </w:r>
      <w:r w:rsidR="00740933" w:rsidRPr="00740933">
        <w:t>(Bhat, 2015a; He and Hu, 2015; Xue et al., 2020)</w:t>
      </w:r>
      <w:r w:rsidR="00B015A0" w:rsidRPr="00D21817">
        <w:rPr>
          <w:b/>
          <w:bCs/>
        </w:rPr>
        <w:fldChar w:fldCharType="end"/>
      </w:r>
      <w:r w:rsidR="00B015A0" w:rsidRPr="009B2F97">
        <w:rPr>
          <w:b/>
          <w:bCs/>
        </w:rPr>
        <w:t xml:space="preserve"> </w:t>
      </w:r>
      <w:r w:rsidR="00616461" w:rsidRPr="00D21817">
        <w:t xml:space="preserve">is </w:t>
      </w:r>
      <w:r w:rsidR="003A0084" w:rsidRPr="004736A5">
        <w:t>the absence of a</w:t>
      </w:r>
      <w:r w:rsidR="00B2514E" w:rsidRPr="004736A5">
        <w:t xml:space="preserve"> significant </w:t>
      </w:r>
      <w:r w:rsidR="00446724" w:rsidRPr="009434FD">
        <w:t xml:space="preserve">direct </w:t>
      </w:r>
      <w:r w:rsidR="00B2514E" w:rsidRPr="009434FD">
        <w:t xml:space="preserve">impact of income on commute distance. </w:t>
      </w:r>
      <w:r w:rsidR="001B549F" w:rsidRPr="009434FD">
        <w:t xml:space="preserve">Previous studies have suggested that </w:t>
      </w:r>
      <w:bookmarkStart w:id="23" w:name="_Hlk149922151"/>
      <w:r w:rsidR="005831FF" w:rsidRPr="009434FD">
        <w:t xml:space="preserve">individuals with higher incomes are more willing </w:t>
      </w:r>
      <w:r w:rsidR="003A0084" w:rsidRPr="009434FD">
        <w:t>to undertake long commutes</w:t>
      </w:r>
      <w:r w:rsidR="005831FF" w:rsidRPr="009434FD">
        <w:t xml:space="preserve"> </w:t>
      </w:r>
      <w:bookmarkEnd w:id="23"/>
      <w:r w:rsidR="002C6CD0">
        <w:t xml:space="preserve">because they tend to maximize their earnings potential by casting a wide spatial net in search of jobs in the first place </w:t>
      </w:r>
      <w:r w:rsidR="00961367" w:rsidRPr="00D21817">
        <w:rPr>
          <w:b/>
          <w:bCs/>
        </w:rPr>
        <w:fldChar w:fldCharType="begin"/>
      </w:r>
      <w:r w:rsidR="008912F0">
        <w:rPr>
          <w:b/>
          <w:bCs/>
        </w:rPr>
        <w:instrText xml:space="preserve"> ADDIN ZOTERO_ITEM CSL_CITATION {"citationID":"sgw76MzC","properties":{"formattedCitation":"(Clark and Wang, 2005)","plainCitation":"(Clark and Wang, 2005)","noteIndex":0},"citationItems":[{"id":733,"uris":["http://zotero.org/users/local/1ztI2Oc6/items/FCEL2Q76","http://zotero.org/users/12832277/items/FCEL2Q76"],"itemData":{"id":733,"type":"article-journal","abstract":"There is an ongoing debate about whether minorities and women pay a commute penalty—that is, do these groups commute farther for lower wages than White males? Research based on commuting time has suggested that minority women bear the multiple jeopardy of race and gender in their journey-to-work behavior. The present study re-examines those findings. We show that minority women who commute longer distances have higher earnings. There is a positive or in some cases neutral relationship between distance and earnings. This suggests that we treat the notion of a commute penalty with some caution. However, women still do not earn as much as men and they are relatively if not absolutely disadvantaged in the commuting process. As expected, for women as for men, skill is a major factor in earnings gains, and relying on public transportation negatively affects earnings. In the past decade it has been fashionable to focus on the negative impacts of commuting on women, but the evidence from this study suggests that the shorter commutes by women may be an expression of the way in which families balance work and residence.","container-title":"Urban Geography","DOI":"10.2747/0272-3638.26.7.610","ISSN":"0272-3638","issue":"7","note":"publisher: Routledge\n_eprint: https://doi.org/10.2747/0272-3638.26.7.610","page":"610-626","source":"Taylor and Francis+NEJM","title":"Job Access and Commute Penalties: Balancing Work and Residence in Los Angeles","title-short":"Job Access and Commute Penalties","volume":"26","author":[{"family":"Clark","given":"William A. V."},{"family":"Wang","given":"Wenfei Winnie"}],"issued":{"date-parts":[["2005",11,1]]}}}],"schema":"https://github.com/citation-style-language/schema/raw/master/csl-citation.json"} </w:instrText>
      </w:r>
      <w:r w:rsidR="00961367" w:rsidRPr="00D21817">
        <w:rPr>
          <w:b/>
          <w:bCs/>
        </w:rPr>
        <w:fldChar w:fldCharType="separate"/>
      </w:r>
      <w:r w:rsidR="00961367" w:rsidRPr="00D21817">
        <w:t xml:space="preserve">(Clark and </w:t>
      </w:r>
      <w:r w:rsidR="00961367" w:rsidRPr="004736A5">
        <w:t>Wang, 2005)</w:t>
      </w:r>
      <w:r w:rsidR="00961367" w:rsidRPr="00D21817">
        <w:rPr>
          <w:b/>
          <w:bCs/>
        </w:rPr>
        <w:fldChar w:fldCharType="end"/>
      </w:r>
      <w:r w:rsidR="00EA6448" w:rsidRPr="009B2F97">
        <w:t xml:space="preserve">. </w:t>
      </w:r>
      <w:r w:rsidR="00AF50C2" w:rsidRPr="00D21817">
        <w:t>Two</w:t>
      </w:r>
      <w:r w:rsidR="00A52915" w:rsidRPr="004736A5">
        <w:t xml:space="preserve"> </w:t>
      </w:r>
      <w:r w:rsidR="00847ED4" w:rsidRPr="004736A5">
        <w:t>factors potentially</w:t>
      </w:r>
      <w:r w:rsidR="00A52915" w:rsidRPr="00DD68D6">
        <w:t xml:space="preserve"> contribute to the difference found </w:t>
      </w:r>
      <w:r w:rsidR="00847ED4" w:rsidRPr="009434FD">
        <w:t>in this study</w:t>
      </w:r>
      <w:r w:rsidR="00A52915" w:rsidRPr="009434FD">
        <w:t xml:space="preserve">. First, </w:t>
      </w:r>
      <w:r w:rsidR="00E71762" w:rsidRPr="009434FD">
        <w:t xml:space="preserve">growing housing demand </w:t>
      </w:r>
      <w:r w:rsidR="00847ED4" w:rsidRPr="009434FD">
        <w:t>coupled with</w:t>
      </w:r>
      <w:r w:rsidR="00E71762" w:rsidRPr="009434FD">
        <w:t xml:space="preserve"> limited supply </w:t>
      </w:r>
      <w:r w:rsidR="00F733A5" w:rsidRPr="009C5F54">
        <w:t xml:space="preserve">in many cities </w:t>
      </w:r>
      <w:r w:rsidR="00847ED4" w:rsidRPr="008253CB">
        <w:t>has led to</w:t>
      </w:r>
      <w:r w:rsidR="00E71762" w:rsidRPr="008253CB">
        <w:t xml:space="preserve"> increased housing costs in urban areas, </w:t>
      </w:r>
      <w:r w:rsidR="00AB3F39" w:rsidRPr="001D5FAF">
        <w:t xml:space="preserve">pushing </w:t>
      </w:r>
      <w:r w:rsidR="00EA6C01" w:rsidRPr="001D5FAF">
        <w:t>low-income</w:t>
      </w:r>
      <w:r w:rsidR="00AB3F39" w:rsidRPr="001D5FAF">
        <w:t xml:space="preserve"> workers further </w:t>
      </w:r>
      <w:r w:rsidR="00907645">
        <w:t xml:space="preserve">away </w:t>
      </w:r>
      <w:r w:rsidR="00AB3F39" w:rsidRPr="001D5FAF">
        <w:t xml:space="preserve">from </w:t>
      </w:r>
      <w:r w:rsidR="00847ED4" w:rsidRPr="001D5FAF">
        <w:t>employment centers</w:t>
      </w:r>
      <w:r w:rsidR="00EA6C01" w:rsidRPr="001D5FAF">
        <w:t xml:space="preserve"> </w:t>
      </w:r>
      <w:r w:rsidR="00BE0C43" w:rsidRPr="00D21817">
        <w:fldChar w:fldCharType="begin"/>
      </w:r>
      <w:r w:rsidR="000C4AE3">
        <w:instrText xml:space="preserve"> ADDIN ZOTERO_ITEM CSL_CITATION {"citationID":"4V3kwyy4","properties":{"formattedCitation":"(Blumenberg and Wander, 2022)","plainCitation":"(Blumenberg and Wander, 2022)","noteIndex":0},"citationItems":[{"id":688,"uris":["http://zotero.org/users/local/1ztI2Oc6/items/NWMTQEMB","http://zotero.org/users/12832277/items/NWMTQEMB"],"itemData":{"id":688,"type":"article-journal","abstract":"The growing affordable housing crisis in high-cost metropolitan areas may force households to seek lower cost housing in the outer reaches of metropolitan areas contributing to the recent increase in commute distance. To explore this assertion, we test the relationship between the availability of affordable housing relative to jobs and commute distance in two diverse metropolitan statistical areas in Southern California: Los Angeles-Orange (higher cost, coastal, older, more urban) and Riverside-San Bernardino (lower cost, inland, newer, more suburban). A worse “fit” between the number of low-wage jobs and affordable housing rentals is associated with longer commute distances in LA-Orange, but is not statistically significant in Riverside-San Bernardino. This study’s findings highlight the differences in housing dynamics and commute distances between higher cost coastal regions and lower cost inland regions—and underscore the importance of protecting and expanding the supply of affordable housing in job-rich neighborhoods located in more expensive, coastal cities.","container-title":"Urban Geography","DOI":"10.1080/02723638.2022.2087319","ISSN":"0272-3638","note":"publisher: Routledge\n_eprint: https://doi.org/10.1080/02723638.2022.2087319","source":"Taylor and Francis+NEJM","title":"Housing Affordability and Commute Distance","URL":"https://doi.org/10.1080/02723638.2022.2087319","author":[{"family":"Blumenberg","given":"Evelyn"},{"family":"Wander","given":"Madeline"}],"accessed":{"date-parts":[["2023",5,11]]},"issued":{"date-parts":[["2022",6,15]]}}}],"schema":"https://github.com/citation-style-language/schema/raw/master/csl-citation.json"} </w:instrText>
      </w:r>
      <w:r w:rsidR="00BE0C43" w:rsidRPr="00D21817">
        <w:fldChar w:fldCharType="separate"/>
      </w:r>
      <w:r w:rsidR="00BE0C43" w:rsidRPr="00D21817">
        <w:t>(Blumenberg and Wander, 2022)</w:t>
      </w:r>
      <w:r w:rsidR="00BE0C43" w:rsidRPr="00D21817">
        <w:fldChar w:fldCharType="end"/>
      </w:r>
      <w:r w:rsidR="00AB3F39" w:rsidRPr="009B2F97">
        <w:t xml:space="preserve">. </w:t>
      </w:r>
      <w:r w:rsidR="00EE0609">
        <w:t xml:space="preserve">Thus, many low-income workers also have long commutes, tempering any association between income earnings and commute distances. </w:t>
      </w:r>
      <w:r w:rsidR="00AB3F39" w:rsidRPr="009B2F97">
        <w:t xml:space="preserve">Second, </w:t>
      </w:r>
      <w:r w:rsidR="00BD727E" w:rsidRPr="00D21817">
        <w:t xml:space="preserve">while we </w:t>
      </w:r>
      <w:r w:rsidR="00E1518B" w:rsidRPr="009434FD">
        <w:t>observe</w:t>
      </w:r>
      <w:r w:rsidR="00BD727E" w:rsidRPr="009434FD">
        <w:t xml:space="preserve"> no direct effect of income on </w:t>
      </w:r>
      <w:r w:rsidR="00985F57" w:rsidRPr="009434FD">
        <w:t xml:space="preserve">commute distance, this effect is still present indirectly through the latent </w:t>
      </w:r>
      <w:r w:rsidR="00E1518B" w:rsidRPr="009434FD">
        <w:t>effects of the</w:t>
      </w:r>
      <w:r w:rsidR="00907645">
        <w:t xml:space="preserve"> latent constructs</w:t>
      </w:r>
      <w:r w:rsidR="00985F57" w:rsidRPr="009434FD">
        <w:t xml:space="preserve">. </w:t>
      </w:r>
      <w:r w:rsidR="00907645">
        <w:t xml:space="preserve">The net effect is a substantial positive effect on commute distance with a rise in income, through the LLP and TLP latent constructs. </w:t>
      </w:r>
      <w:r w:rsidR="00FC79ED">
        <w:t xml:space="preserve">The </w:t>
      </w:r>
      <w:r w:rsidR="00687942">
        <w:t xml:space="preserve">results also suggest a </w:t>
      </w:r>
      <w:r w:rsidR="00FC79ED">
        <w:t xml:space="preserve">direct positive </w:t>
      </w:r>
      <w:r w:rsidR="00687942">
        <w:t>association between the highest income household group and residence in high crime rates</w:t>
      </w:r>
      <w:r w:rsidR="00FC79ED">
        <w:t xml:space="preserve">, though this direct effect is </w:t>
      </w:r>
      <w:r w:rsidR="006E51FD">
        <w:t xml:space="preserve">neutralized by the </w:t>
      </w:r>
      <w:r w:rsidR="00FC79ED">
        <w:t xml:space="preserve">indirect effect </w:t>
      </w:r>
      <w:r w:rsidR="006E51FD">
        <w:t xml:space="preserve">of income through the latent constructs (this indirect effect of  income of $200,000 or more may be computed from the estimates in Table 3 and Table 4 as 0.10*0.305-0.19*1.935+0.13*1.309=-0.17, which pretty much wipes out the +0.20 direct income effect on crime rate). The net result then is that household income has no effect on crime rate of residence. Perhaps future studies should consider </w:t>
      </w:r>
      <w:r w:rsidR="00687942">
        <w:t xml:space="preserve">a better disaggregation of crime by </w:t>
      </w:r>
      <w:r w:rsidR="006E51FD">
        <w:t xml:space="preserve">crime </w:t>
      </w:r>
      <w:r w:rsidR="00687942">
        <w:t xml:space="preserve">type, rather than </w:t>
      </w:r>
      <w:r w:rsidR="00DA7A33">
        <w:t xml:space="preserve">combining violent and property crimes into a single aggregate category as </w:t>
      </w:r>
      <w:r w:rsidR="00FF7297">
        <w:t xml:space="preserve">web-scraped in our study </w:t>
      </w:r>
      <w:r w:rsidR="00DA7A33">
        <w:t xml:space="preserve">from </w:t>
      </w:r>
      <w:r w:rsidR="00DA7A33" w:rsidRPr="00CB3EDA">
        <w:t>crimegrade.org</w:t>
      </w:r>
      <w:r w:rsidR="00DA7A33">
        <w:t xml:space="preserve">. </w:t>
      </w:r>
    </w:p>
    <w:p w14:paraId="0BD20FF8" w14:textId="5EFF442D" w:rsidR="00236ED6" w:rsidRPr="004736A5" w:rsidRDefault="00A3207A" w:rsidP="00A6042D">
      <w:pPr>
        <w:spacing w:after="0" w:line="240" w:lineRule="auto"/>
        <w:ind w:firstLine="720"/>
        <w:jc w:val="both"/>
      </w:pPr>
      <w:r>
        <w:t xml:space="preserve">In terms of race and ethnicity, </w:t>
      </w:r>
      <w:r w:rsidR="0001529C">
        <w:t>we assume that the race/ethnicity of the individual closely corresponds to the race/ethnicity of the entire household. H</w:t>
      </w:r>
      <w:r w:rsidR="009104DB" w:rsidRPr="009B2F97">
        <w:t>ouseholds identif</w:t>
      </w:r>
      <w:r w:rsidR="00461428" w:rsidRPr="009B2F97">
        <w:t>y</w:t>
      </w:r>
      <w:r w:rsidR="007A256D" w:rsidRPr="009B2F97">
        <w:t>ing racially</w:t>
      </w:r>
      <w:r w:rsidR="009104DB" w:rsidRPr="009B2F97">
        <w:t xml:space="preserve"> as </w:t>
      </w:r>
      <w:r w:rsidR="007A256D" w:rsidRPr="009B2F97">
        <w:t>B</w:t>
      </w:r>
      <w:r w:rsidR="009104DB" w:rsidRPr="009B2F97">
        <w:t xml:space="preserve">lack or </w:t>
      </w:r>
      <w:r w:rsidR="006F69C7" w:rsidRPr="009B2F97">
        <w:t>other</w:t>
      </w:r>
      <w:r w:rsidR="00C17E6E" w:rsidRPr="009B2F97">
        <w:t>,</w:t>
      </w:r>
      <w:r w:rsidR="006F69C7" w:rsidRPr="009B2F97">
        <w:t xml:space="preserve"> or </w:t>
      </w:r>
      <w:r w:rsidR="00C17E6E" w:rsidRPr="009B2F97">
        <w:t xml:space="preserve">ethnically </w:t>
      </w:r>
      <w:r w:rsidR="006F69C7" w:rsidRPr="009B2F97">
        <w:t>as Hispanic</w:t>
      </w:r>
      <w:r w:rsidR="00C17E6E" w:rsidRPr="009B2F97">
        <w:t>,</w:t>
      </w:r>
      <w:r w:rsidR="006F69C7" w:rsidRPr="009B2F97">
        <w:t xml:space="preserve"> tend to </w:t>
      </w:r>
      <w:r w:rsidR="00C17E6E" w:rsidRPr="009B2F97">
        <w:t>reside in</w:t>
      </w:r>
      <w:r w:rsidR="006F69C7" w:rsidRPr="009B2F97">
        <w:t xml:space="preserve"> apartments rather than single</w:t>
      </w:r>
      <w:r w:rsidR="005A0257" w:rsidRPr="009B2F97">
        <w:t>-</w:t>
      </w:r>
      <w:r w:rsidR="006F69C7" w:rsidRPr="009B2F97">
        <w:t>family homes</w:t>
      </w:r>
      <w:r w:rsidR="005A0257" w:rsidRPr="009B2F97">
        <w:t>. Additionally, B</w:t>
      </w:r>
      <w:r w:rsidR="0071444B" w:rsidRPr="009B2F97">
        <w:t>lack families are more likely to rent than own</w:t>
      </w:r>
      <w:r w:rsidR="001349B0" w:rsidRPr="009B2F97">
        <w:t xml:space="preserve"> </w:t>
      </w:r>
      <w:r>
        <w:t xml:space="preserve">relative to white </w:t>
      </w:r>
      <w:r w:rsidR="00EE0609">
        <w:t xml:space="preserve">and other non-Black </w:t>
      </w:r>
      <w:r>
        <w:t>families, attributable</w:t>
      </w:r>
      <w:r w:rsidR="00511155" w:rsidRPr="009B2F97">
        <w:t>,</w:t>
      </w:r>
      <w:r w:rsidR="00BE468D" w:rsidRPr="009B2F97">
        <w:t xml:space="preserve"> at least in part</w:t>
      </w:r>
      <w:r w:rsidR="00511155" w:rsidRPr="009B2F97">
        <w:t>, to</w:t>
      </w:r>
      <w:r w:rsidR="00BE468D" w:rsidRPr="009B2F97">
        <w:t xml:space="preserve"> the </w:t>
      </w:r>
      <w:r w:rsidR="008D52E5" w:rsidRPr="009B2F97">
        <w:t>long history of r</w:t>
      </w:r>
      <w:r w:rsidR="00815C03" w:rsidRPr="009B2F97">
        <w:t>acial discrimination in</w:t>
      </w:r>
      <w:r w:rsidR="00511155" w:rsidRPr="009B2F97">
        <w:t xml:space="preserve"> the</w:t>
      </w:r>
      <w:r w:rsidR="00815C03" w:rsidRPr="009B2F97">
        <w:t xml:space="preserve"> housing</w:t>
      </w:r>
      <w:r w:rsidR="00BE468D" w:rsidRPr="009B2F97">
        <w:t xml:space="preserve"> </w:t>
      </w:r>
      <w:r w:rsidR="00511155" w:rsidRPr="009B2F97">
        <w:t xml:space="preserve">sector </w:t>
      </w:r>
      <w:r w:rsidR="00BE468D" w:rsidRPr="009B2F97">
        <w:t>in the U</w:t>
      </w:r>
      <w:r w:rsidR="00511155" w:rsidRPr="009B2F97">
        <w:t xml:space="preserve">nited </w:t>
      </w:r>
      <w:r w:rsidR="00BE468D" w:rsidRPr="009B2F97">
        <w:t>S</w:t>
      </w:r>
      <w:r w:rsidR="00511155" w:rsidRPr="009B2F97">
        <w:t>tates</w:t>
      </w:r>
      <w:r w:rsidR="00BE468D" w:rsidRPr="009B2F97">
        <w:t xml:space="preserve">. </w:t>
      </w:r>
      <w:r>
        <w:t xml:space="preserve">For instance, </w:t>
      </w:r>
      <w:r w:rsidR="00656D4A" w:rsidRPr="009179E5">
        <w:t xml:space="preserve">New Deal policies in the </w:t>
      </w:r>
      <w:r w:rsidR="00B11520" w:rsidRPr="009179E5">
        <w:t>1930s</w:t>
      </w:r>
      <w:r w:rsidR="00656D4A" w:rsidRPr="009179E5">
        <w:t xml:space="preserve"> offered the possibility of homeownership to white families</w:t>
      </w:r>
      <w:r w:rsidR="00846448" w:rsidRPr="00AD7085">
        <w:t xml:space="preserve"> through government</w:t>
      </w:r>
      <w:r w:rsidR="00CA38C0" w:rsidRPr="009B2F97">
        <w:t>-</w:t>
      </w:r>
      <w:r w:rsidR="00846448" w:rsidRPr="009B2F97">
        <w:t>insure</w:t>
      </w:r>
      <w:r w:rsidR="00846448" w:rsidRPr="00FA4865">
        <w:t xml:space="preserve">d mortgages, but </w:t>
      </w:r>
      <w:r w:rsidR="00CA38C0" w:rsidRPr="00FA4865">
        <w:t>B</w:t>
      </w:r>
      <w:r w:rsidR="00846448" w:rsidRPr="00FA4865">
        <w:t xml:space="preserve">lack families </w:t>
      </w:r>
      <w:r w:rsidR="00402D45" w:rsidRPr="00FA4865">
        <w:t>were denied these benefits because their</w:t>
      </w:r>
      <w:r w:rsidR="00846448" w:rsidRPr="00FA4865">
        <w:t xml:space="preserve"> neighborhoods were deemed too risky</w:t>
      </w:r>
      <w:r w:rsidR="007E2FB9" w:rsidRPr="00FA4865">
        <w:rPr>
          <w:b/>
          <w:bCs/>
        </w:rPr>
        <w:t xml:space="preserve"> </w:t>
      </w:r>
      <w:r w:rsidR="007E2FB9" w:rsidRPr="00FA4865">
        <w:rPr>
          <w:b/>
          <w:bCs/>
        </w:rPr>
        <w:fldChar w:fldCharType="begin"/>
      </w:r>
      <w:r w:rsidR="000C4AE3">
        <w:rPr>
          <w:b/>
          <w:bCs/>
        </w:rPr>
        <w:instrText xml:space="preserve"> ADDIN ZOTERO_ITEM CSL_CITATION {"citationID":"Q64Bgwrm","properties":{"unsorted":true,"formattedCitation":"(Faber, 2020; Bhat et al., 2022)","plainCitation":"(Faber, 2020; Bhat et al., 2022)","noteIndex":0},"citationItems":[{"id":735,"uris":["http://zotero.org/users/local/1ztI2Oc6/items/DAMLH326","http://zotero.org/users/12832277/items/DAMLH326"],"itemData":{"id":735,"type":"article-journal","container-title":"American Sociological Review","issue":"5","note":"publisher: SAGE Publications Sage CA: Los Angeles, CA","page":"739–775","source":"Google Scholar","title":"We Built This: Consequences of New Deal Era Intervention in America’s Racial Geography","title-short":"We Built This","volume":"85","author":[{"family":"Faber","given":"Jacob W."}],"issued":{"date-parts":[["2020"]]}}},{"id":1232,"uris":["http://zotero.org/users/12832277/items/N7K6NXBL"],"itemData":{"id":1232,"type":"article-journal","abstract":"Rationale\nA large body of work demonstrates the impact of housing instability on health by exploring the effects of evictions and homelessness on psychological wellbeing of young adults and children. However, limited research leverages national longitudinal data to examine whether and how experiences of a range of housing insecurity events, rather than just eviction or homelessness, affect physical health among midlife and older adults.\nObjective\nThe current study examines (1) prevalence of housing insecurity among midlife and older adults by age and race, (2) linkages between housing insecurity experiences and facets of physical health, and (3) age and race moderations on these effects.\nMethod\nThis study employs regression models to examine whether experiences of housing insecurity affect self-rated physical health and chronic physical conditions among midlife and older adults (N = 2598) leveraging two waves of the National Study of Midlife in the United States (MIDUS).\nResults\nModels revealed that housing insecurity experiences predicted poorer self-rated physical health and additional chronic conditions, even when controlling for previous physical health. Moderation analyses indicated that housing insecurity has a stronger relationship with chronic conditions among midlife adults as compared to older adults, and among Black adults as compared to white adults. These results suggest that experiences of housing insecurity leave adults vulnerable to compromised physical health, and that housing insecurity experiences may be particularly detrimental to the health of midlife Black adults.\nConclusions\nThis research adds to the extant literature by introducing a comprehensive measure of housing insecurity experiences, and contributes to a life course perspective regarding how housing insecurity can affect physical health. This research has implications for policy that addresses housing insecurity as a public health concern, especially in the aftermath of the 2008 recession and the economic and housing crisis caused by the COVID-19 pandemic.","container-title":"SSM - Population Health","DOI":"10.1016/j.ssmph.2022.101128","ISSN":"2352-8273","source":"ScienceDirect","title":"A Longitudinal Analysis of the Relationship Between Housing Insecurity and Physical Health Among Midlife and Aging Adults in the United States","URL":"https://www.sciencedirect.com/science/article/pii/S2352827322001070","volume":"18","author":[{"family":"Bhat","given":"Aarti C."},{"family":"Almeida","given":"David M."},{"family":"Fenelon","given":"Andrew"},{"family":"Santos-Lozada","given":"Alexis R."}],"accessed":{"date-parts":[["2023",11,25]]},"issued":{"date-parts":[["2022",6,1]]}}}],"schema":"https://github.com/citation-style-language/schema/raw/master/csl-citation.json"} </w:instrText>
      </w:r>
      <w:r w:rsidR="007E2FB9" w:rsidRPr="00FA4865">
        <w:rPr>
          <w:b/>
          <w:bCs/>
        </w:rPr>
        <w:fldChar w:fldCharType="separate"/>
      </w:r>
      <w:r w:rsidR="00FA4865" w:rsidRPr="00FA4865">
        <w:t xml:space="preserve">(Faber, 2020; Bhat et </w:t>
      </w:r>
      <w:r w:rsidR="00FA4865" w:rsidRPr="00FA4865">
        <w:lastRenderedPageBreak/>
        <w:t>al., 2022)</w:t>
      </w:r>
      <w:r w:rsidR="007E2FB9" w:rsidRPr="00FA4865">
        <w:rPr>
          <w:b/>
          <w:bCs/>
        </w:rPr>
        <w:fldChar w:fldCharType="end"/>
      </w:r>
      <w:r w:rsidR="00846448" w:rsidRPr="00FA4865">
        <w:t xml:space="preserve">. </w:t>
      </w:r>
      <w:r w:rsidR="00CF2C9C" w:rsidRPr="00FA4865">
        <w:t xml:space="preserve">Continued </w:t>
      </w:r>
      <w:r w:rsidR="008B309A" w:rsidRPr="00FA4865">
        <w:t>system</w:t>
      </w:r>
      <w:r w:rsidR="008B309A" w:rsidRPr="004736A5">
        <w:t xml:space="preserve">atic </w:t>
      </w:r>
      <w:r w:rsidR="00CF2C9C" w:rsidRPr="004736A5">
        <w:t>racial segreg</w:t>
      </w:r>
      <w:r w:rsidR="00CF2C9C" w:rsidRPr="00DD68D6">
        <w:t xml:space="preserve">ation in housing has </w:t>
      </w:r>
      <w:r w:rsidR="005D3B60" w:rsidRPr="009434FD">
        <w:t xml:space="preserve">prevented many </w:t>
      </w:r>
      <w:r w:rsidR="009A4585" w:rsidRPr="009434FD">
        <w:t>B</w:t>
      </w:r>
      <w:r w:rsidR="005D3B60" w:rsidRPr="009434FD">
        <w:t xml:space="preserve">lack families from becoming </w:t>
      </w:r>
      <w:r w:rsidR="001B1D77" w:rsidRPr="009434FD">
        <w:t>homeowners and</w:t>
      </w:r>
      <w:r w:rsidR="00FB2363" w:rsidRPr="009434FD">
        <w:t xml:space="preserve"> constrained them to </w:t>
      </w:r>
      <w:r w:rsidR="001B1D77" w:rsidRPr="009434FD">
        <w:t>the rental market</w:t>
      </w:r>
      <w:r w:rsidR="00CC4706" w:rsidRPr="009434FD">
        <w:t xml:space="preserve"> </w:t>
      </w:r>
      <w:r w:rsidR="00CC4706" w:rsidRPr="00D21817">
        <w:fldChar w:fldCharType="begin"/>
      </w:r>
      <w:r w:rsidR="008912F0">
        <w:instrText xml:space="preserve"> ADDIN ZOTERO_ITEM CSL_CITATION {"citationID":"hEibMuV1","properties":{"formattedCitation":"(Desmond, 2016)","plainCitation":"(Desmond, 2016)","noteIndex":0},"citationItems":[{"id":693,"uris":["http://zotero.org/users/local/1ztI2Oc6/items/TSUVH8S6","http://zotero.org/users/12832277/items/TSUVH8S6"],"itemData":{"id":693,"type":"book","publisher":"Crown","source":"Google Scholar","title":"Evicted: Poverty and Profit in the American City","title-short":"Evicted","author":[{"family":"Desmond","given":"Matthew"}],"issued":{"date-parts":[["2016"]]}}}],"schema":"https://github.com/citation-style-language/schema/raw/master/csl-citation.json"} </w:instrText>
      </w:r>
      <w:r w:rsidR="00CC4706" w:rsidRPr="00D21817">
        <w:fldChar w:fldCharType="separate"/>
      </w:r>
      <w:r w:rsidR="00CC4706" w:rsidRPr="00D21817">
        <w:t>(Desmond, 2016)</w:t>
      </w:r>
      <w:r w:rsidR="00CC4706" w:rsidRPr="00D21817">
        <w:fldChar w:fldCharType="end"/>
      </w:r>
      <w:r w:rsidR="001B1D77" w:rsidRPr="009B2F97">
        <w:t>.</w:t>
      </w:r>
      <w:r w:rsidR="00CC4706" w:rsidRPr="00D21817">
        <w:t xml:space="preserve"> </w:t>
      </w:r>
      <w:r w:rsidR="00236ED6" w:rsidRPr="004736A5">
        <w:t xml:space="preserve">Black families are also more likely to live in </w:t>
      </w:r>
      <w:r>
        <w:t xml:space="preserve">constrained spaces with no patio or yard, and in </w:t>
      </w:r>
      <w:r w:rsidR="00236ED6" w:rsidRPr="004736A5">
        <w:t xml:space="preserve">areas with higher population densities, </w:t>
      </w:r>
      <w:r w:rsidR="00B862F9" w:rsidRPr="009434FD">
        <w:t>lower</w:t>
      </w:r>
      <w:r w:rsidR="00FB2363" w:rsidRPr="009434FD">
        <w:t>-q</w:t>
      </w:r>
      <w:r w:rsidR="00B862F9" w:rsidRPr="009434FD">
        <w:t xml:space="preserve">uality schools, and higher crime rates. </w:t>
      </w:r>
      <w:r>
        <w:t xml:space="preserve">This is consistent with </w:t>
      </w:r>
      <w:r w:rsidR="00B33D7A">
        <w:t>p</w:t>
      </w:r>
      <w:r w:rsidR="00A46699" w:rsidRPr="009434FD">
        <w:t xml:space="preserve">revious findings </w:t>
      </w:r>
      <w:r w:rsidR="008D34D7">
        <w:fldChar w:fldCharType="begin"/>
      </w:r>
      <w:r w:rsidR="008912F0">
        <w:instrText xml:space="preserve"> ADDIN ZOTERO_ITEM CSL_CITATION {"citationID":"ZLIf81Lt","properties":{"unsorted":true,"formattedCitation":"(Wood, 2014; Simms and Talbert, 2019; Cuddy et al., 2020)","plainCitation":"(Wood, 2014; Simms and Talbert, 2019; Cuddy et al., 2020)","dontUpdate":true,"noteIndex":0},"citationItems":[{"id":686,"uris":["http://zotero.org/users/local/1ztI2Oc6/items/EMIMQMCH","http://zotero.org/users/12832277/items/EMIMQMCH"],"itemData":{"id":686,"type":"article-journal","abstract":"The correlation between neighborhood poverty and poor life-course outcomes is well documented. However, when examining residential mobility, scholars frequently neglect the role of dwelling in housing decisions and its potential contribution to the reproduction of concentrated poverty. Based on in-depth interviews with 40 lower-income African American mothers residing in Baltimore, this article illustrates how resource-constrained households give priority to dwelling attributes (including size, type, and unit amenities) when conducting a housing search and then satisfice on neighborhood-level criteria. This elucidates why some households remain in resource-poor neighborhoods even when they acquire the means to live in more affluent areas. The mothers’ narratives further reveal the strategies they use to mitigate their perception of neighborhood danger, allowing their residential selection to pivot primarily on fulfilling perceived dwelling needs. This research widens sociological awareness to a broader range of mechanisms reproducing neighborhood inequality and also offers new insight as to why housing policy often fails to deconcentrate poverty.","container-title":"Social Service Review","DOI":"10.1086/676407","ISSN":"0037-7961","issue":"2","note":"publisher: The University of Chicago Press","page":"264-294","source":"journals.uchicago.edu (Atypon)","title":"When Only a House Makes a Home: How Home Selection Matters in the Residential Mobility Decisions of Lower-Income, Inner-City African American Families","title-short":"When Only a House Makes a Home","volume":"88","author":[{"family":"Wood","given":"Holly"}],"issued":{"date-parts":[["2014",6]]}}},{"id":141,"uris":["http://zotero.org/users/local/1ztI2Oc6/items/WXXFA4QR","http://zotero.org/users/12832277/items/WXXFA4QR"],"itemData":{"id":141,"type":"article-journal","abstract":"\"School choice\" proponents argue that offering parents public school options other than traditional neighborhood schools empowers them to secure an optimal school for their children. But choice does not remedy the core social problem: that racial residential segregation enables White parents to have a higher-quality choiceset of schools than their Black counterparts. In our study of the Cleveland, Ohio, Metropolitan Area, we find Black parents are more likely than White parents to live in neighborhoods where schools fail to meet state academic proficiency standards, motivating Black parents to pursue \"choice\" schools more often. While studies have shown how parents choose schools and whether their efforts lead to higher student achievement, parents' experiences of choosing a school and coordinating their child's attendance at that school is less well understood. We examine how choice is experienced day to day by comparing 26 Black and 15 White parents' processes for selecting a school and managing their children's daily routines. Given entrenched racial residential segregation in the Cleveland region, we find introducing choice schools imposes a \"parenting tax\" on Black parents because they expend resources—time and energy—to activate a public good most White parents can take for granted. Introducing \"choice\" into a highly-racialized K-12 system exacerbates Black parents' disadvantages, which largely stem from Black communities' inadequate access to high-quality public goods generally. Better schooling options for Black children requires developing an opportunity structure focused on equitable public resource distribution across racial groups irrespective of where those groups reside within a metropolitan area.","container-title":"Phylon (1960-)","ISSN":"0031-8906","issue":"1","note":"publisher: Clark Atlanta University","page":"33-57","source":"JSTOR","title":"Racial Residential Segregation and School Choice: How a Market-Based Policy for K-12 School Access Creates a \"Parenting Tax\" for Black Parents","title-short":"Racial Residential Segregation and School Choice","volume":"56","author":[{"family":"Simms","given":"Angela"},{"family":"Talbert","given":"Elizabeth"}],"issued":{"date-parts":[["2019"]]}}},{"id":143,"uris":["http://zotero.org/users/local/1ztI2Oc6/items/25WFHCDL","http://zotero.org/users/12832277/items/25WFHCDL"],"itemData":{"id":143,"type":"article-journal","abstract":"While many assume that families engaged in a housing search decide where to live at least in part based on the schools, there is surprisingly little research on how schools actually matter in the residential decision-making process. Drawing on interviews with a socioeconomically diverse sample of 110 parents in Chicago, we explore the connection between housing and schools. For the vast majority of our sample, schools did not loom large during their housing search. Instead, working families are faced with a range of competing demands and constraints making the housing search so challenging that even families who factor in schooling do so in ways that are neither direct nor straightforward. We conclude that while some past research suggests that urban school choice facilitates the decoupling of housing and school decisions, our data show that the “freedom” that derives from school choice can be more imaginary than real for many families.","container-title":"Journal of Urban Affairs","DOI":"10.1080/07352166.2020.1739537","ISSN":"0735-2166","issue":"8","note":"publisher: Routledge\n_eprint: https://doi.org/10.1080/07352166.2020.1739537","page":"1180-1201","source":"Taylor and Francis+NEJM","title":"Choosing Homes Without Choosing Schools? How Urban Parents Navigate Decisions About Neighborhoods and School Choice","title-short":"Choosing Homes Without Choosing Schools?","volume":"42","author":[{"family":"Cuddy","given":"Maximilian"},{"family":"Krysan","given":"Maria"},{"family":"Lewis","given":"Amanda"}],"issued":{"date-parts":[["2020",11,16]]}}}],"schema":"https://github.com/citation-style-language/schema/raw/master/csl-citation.json"} </w:instrText>
      </w:r>
      <w:r w:rsidR="008D34D7">
        <w:fldChar w:fldCharType="separate"/>
      </w:r>
      <w:r w:rsidR="008D34D7" w:rsidRPr="008D34D7">
        <w:t>(</w:t>
      </w:r>
      <w:r w:rsidR="008D34D7">
        <w:t xml:space="preserve">see, for example, </w:t>
      </w:r>
      <w:r w:rsidR="008D34D7" w:rsidRPr="008D34D7">
        <w:t>Wood, 2014; Simms and Talbert, 2019; Cuddy et al., 2020)</w:t>
      </w:r>
      <w:r w:rsidR="008D34D7">
        <w:fldChar w:fldCharType="end"/>
      </w:r>
      <w:r w:rsidR="00B33D7A">
        <w:t xml:space="preserve"> </w:t>
      </w:r>
      <w:r w:rsidR="00A46699" w:rsidRPr="009434FD">
        <w:t>indicat</w:t>
      </w:r>
      <w:r w:rsidR="00B33D7A">
        <w:t>ing</w:t>
      </w:r>
      <w:r w:rsidR="00A46699" w:rsidRPr="009434FD">
        <w:t xml:space="preserve"> that Black families </w:t>
      </w:r>
      <w:r w:rsidR="00733AA8" w:rsidRPr="009434FD">
        <w:t xml:space="preserve">prioritize dwelling unit attributes over neighborhood characteristics when choosing a home. </w:t>
      </w:r>
      <w:r w:rsidR="00085538" w:rsidRPr="00D21817">
        <w:t>Hispanic families seem to value neighborh</w:t>
      </w:r>
      <w:r w:rsidR="00085538" w:rsidRPr="00102073">
        <w:t xml:space="preserve">ood characteristics similar to non-Hispanic </w:t>
      </w:r>
      <w:r w:rsidR="008D34D7" w:rsidRPr="00102073">
        <w:t>families but</w:t>
      </w:r>
      <w:r w:rsidR="00085538" w:rsidRPr="00102073">
        <w:t xml:space="preserve"> </w:t>
      </w:r>
      <w:r w:rsidR="00B33D7A" w:rsidRPr="00102073">
        <w:t xml:space="preserve">appear to </w:t>
      </w:r>
      <w:r w:rsidR="008D34D7" w:rsidRPr="00102073">
        <w:t>have</w:t>
      </w:r>
      <w:r w:rsidR="00B33D7A" w:rsidRPr="00102073">
        <w:t xml:space="preserve"> </w:t>
      </w:r>
      <w:r w:rsidR="00521E42" w:rsidRPr="00102073">
        <w:t>a stronger preference for areas with high population densities</w:t>
      </w:r>
      <w:r w:rsidR="005017B9" w:rsidRPr="00102073">
        <w:t>.</w:t>
      </w:r>
      <w:r w:rsidR="00102073" w:rsidRPr="00102073">
        <w:t xml:space="preserve"> </w:t>
      </w:r>
      <w:r w:rsidR="005017B9" w:rsidRPr="00102073">
        <w:t xml:space="preserve">Finally, Asian families are more likely to live in </w:t>
      </w:r>
      <w:r w:rsidR="00B33D7A" w:rsidRPr="00102073">
        <w:t>dwelling units</w:t>
      </w:r>
      <w:r w:rsidR="005017B9" w:rsidRPr="00102073">
        <w:t xml:space="preserve"> with more bedrooms and in areas with a high median cost. </w:t>
      </w:r>
      <w:r w:rsidR="007445B1" w:rsidRPr="00102073">
        <w:t xml:space="preserve">One </w:t>
      </w:r>
      <w:r w:rsidR="00B33D7A" w:rsidRPr="00102073">
        <w:t xml:space="preserve">potential </w:t>
      </w:r>
      <w:r w:rsidR="007445B1" w:rsidRPr="00102073">
        <w:t xml:space="preserve">reason is that Asian </w:t>
      </w:r>
      <w:r w:rsidR="007445B1" w:rsidRPr="009B2F97">
        <w:t xml:space="preserve">households tend to be larger than other households, with more adults </w:t>
      </w:r>
      <w:r w:rsidR="00974FA7" w:rsidRPr="009B2F97">
        <w:t>and extended family members</w:t>
      </w:r>
      <w:r w:rsidR="00F43628" w:rsidRPr="009B2F97">
        <w:t xml:space="preserve"> </w:t>
      </w:r>
      <w:r w:rsidR="006A55AE" w:rsidRPr="00D21817">
        <w:fldChar w:fldCharType="begin"/>
      </w:r>
      <w:r w:rsidR="008912F0">
        <w:instrText xml:space="preserve"> ADDIN ZOTERO_ITEM CSL_CITATION {"citationID":"o2301ocL","properties":{"formattedCitation":"(Glick and Van Hook, 2002)","plainCitation":"(Glick and Van Hook, 2002)","noteIndex":0},"citationItems":[{"id":742,"uris":["http://zotero.org/users/local/1ztI2Oc6/items/VS2EPW9Y","http://zotero.org/users/12832277/items/VS2EPW9Y"],"itemData":{"id":742,"type":"article-journal","abstract":"There is considerable racial and ethnic variation in the prevalence of intergenerational coresidence in the United States. Using data from the Current Population Surveys, we demonstrate that much of this is attributable to recent immigration and the relative economic position of immigrant parents. Multinomial logistic regression results reveal that recent immigrant parents, particularly Asian and Central and South American immigrant parents, are more likely to live in households in which their adult children provide most of the household income. The likelihood of living in this “dependent” role decreases with duration of residence in the United States. The likelihood of living in an intergenerational household in which the parent provides the majority of the household income is not as tied to nativity.","container-title":"Journal of Marriage and Family","DOI":"10.1111/j.1741-3737.2002.00240.x","ISSN":"1741-3737","issue":"1","language":"en","note":"_eprint: https://onlinelibrary.wiley.com/doi/pdf/10.1111/j.1741-3737.2002.00240.x","page":"240-253","source":"Wiley Online Library","title":"Parents' Coresidence With Adult Children: Can Immigration Explain Racial and Ethnic Variation?","title-short":"Parents' Coresidence With Adult Children","volume":"64","author":[{"family":"Glick","given":"Jennifer E."},{"family":"Van Hook","given":"Jennifer"}],"issued":{"date-parts":[["2002"]]}}}],"schema":"https://github.com/citation-style-language/schema/raw/master/csl-citation.json"} </w:instrText>
      </w:r>
      <w:r w:rsidR="006A55AE" w:rsidRPr="00D21817">
        <w:fldChar w:fldCharType="separate"/>
      </w:r>
      <w:r w:rsidR="006A55AE" w:rsidRPr="00D21817">
        <w:t>(Glick and Van Hook, 2002)</w:t>
      </w:r>
      <w:r w:rsidR="006A55AE" w:rsidRPr="00D21817">
        <w:fldChar w:fldCharType="end"/>
      </w:r>
      <w:r w:rsidR="00974FA7" w:rsidRPr="009B2F97">
        <w:t>.</w:t>
      </w:r>
      <w:r w:rsidR="00974FA7" w:rsidRPr="00D21817">
        <w:t xml:space="preserve"> </w:t>
      </w:r>
    </w:p>
    <w:p w14:paraId="72CE5CDD" w14:textId="44C0BC73" w:rsidR="00FA491E" w:rsidRDefault="00B33D7A" w:rsidP="00CF2CA9">
      <w:pPr>
        <w:spacing w:after="0" w:line="240" w:lineRule="auto"/>
        <w:ind w:firstLine="720"/>
        <w:jc w:val="both"/>
      </w:pPr>
      <w:r>
        <w:t xml:space="preserve">The effect of </w:t>
      </w:r>
      <w:r w:rsidR="008D34D7">
        <w:t>the number</w:t>
      </w:r>
      <w:r>
        <w:t xml:space="preserve"> of</w:t>
      </w:r>
      <w:r w:rsidR="00ED625F">
        <w:t xml:space="preserve"> </w:t>
      </w:r>
      <w:r w:rsidR="00DA7A33">
        <w:t xml:space="preserve">motorized </w:t>
      </w:r>
      <w:r w:rsidR="00ED625F">
        <w:t>vehicles in the household on housing choices turn</w:t>
      </w:r>
      <w:r w:rsidR="00EE0609">
        <w:t>s</w:t>
      </w:r>
      <w:r w:rsidR="00ED625F">
        <w:t xml:space="preserve"> up some interesting (and not always expected</w:t>
      </w:r>
      <w:r w:rsidR="00FA491E">
        <w:t>)</w:t>
      </w:r>
      <w:r w:rsidR="00ED625F">
        <w:t xml:space="preserve"> results.</w:t>
      </w:r>
      <w:r>
        <w:t xml:space="preserve"> </w:t>
      </w:r>
      <w:r w:rsidR="0089378E" w:rsidRPr="009C5F54">
        <w:t>Households with more vehicles are more likely to live in apartments than single</w:t>
      </w:r>
      <w:r w:rsidR="00E9148B" w:rsidRPr="008253CB">
        <w:t>-</w:t>
      </w:r>
      <w:r w:rsidR="0089378E" w:rsidRPr="009179E5">
        <w:t>family homes</w:t>
      </w:r>
      <w:r w:rsidR="003F27DF" w:rsidRPr="009179E5">
        <w:t xml:space="preserve">, consistent with the explanation that those living in apartments </w:t>
      </w:r>
      <w:r w:rsidR="00D36334">
        <w:t xml:space="preserve">have a more socially active lifestyle and </w:t>
      </w:r>
      <w:r w:rsidR="003F27DF" w:rsidRPr="009179E5">
        <w:t>prefer a higher level of accessibility</w:t>
      </w:r>
      <w:r w:rsidR="00F83D39" w:rsidRPr="00AD7085">
        <w:rPr>
          <w:b/>
          <w:bCs/>
        </w:rPr>
        <w:t xml:space="preserve"> </w:t>
      </w:r>
      <w:r w:rsidR="00F83D39" w:rsidRPr="00D21817">
        <w:rPr>
          <w:b/>
          <w:bCs/>
        </w:rPr>
        <w:fldChar w:fldCharType="begin"/>
      </w:r>
      <w:r w:rsidR="00D36334">
        <w:rPr>
          <w:b/>
          <w:bCs/>
        </w:rPr>
        <w:instrText xml:space="preserve"> ADDIN ZOTERO_ITEM CSL_CITATION {"citationID":"mskT4qU3","properties":{"unsorted":true,"formattedCitation":"(Van Acker et al., 2014; Seo and Nam, 2019)","plainCitation":"(Van Acker et al., 2014; Seo and Nam, 2019)","noteIndex":0},"citationItems":[{"id":3071,"uris":["http://zotero.org/users/12832277/items/GHQGFMRG"],"itemData":{"id":3071,"type":"article-journal","abstract":"The majority of land use-travel behaviour studies only considers the direct influence of spatial characteristics on daily travel behaviour. However, this framework should be expanded. A first step is to explore the complex interdependencies of long-term lifestyle decisions, medium-term decisions about residential location and car ownership, and the underlying residential and travel attitudes. Travel behaviour should be considered within a hierarchy of decisions while considering the motivational background of these decisions. Using data from an Internet survey completed by +1800 respondents in Flanders, Belgium, this paper defines car ownership somewhat more broadly as car availability. Results of a structural equation model indicate a significant direct effect of the residential neighbourhood on car availability. However, effects are small compared to the influence of other variables such as stage of life and travel (mode) attitude, the latter referring to travel-related selfselection. Moreover, one should keep in mind that residential attitudes remain important in the initial selection of the residential neighbourhood and its spatial characteristics, indicating the need to control for residential self-selection.","container-title":"Transport Policy","DOI":"10.1016/j.tranpol.2014.05.006","ISSN":"0967-070X","page":"88-99","source":"ScienceDirect","title":"Car Availability Explained by the Structural Relationships Between Lifestyles, Residential Location, and Underlying Residential and Travel Attitudes","volume":"35","author":[{"family":"Van Acker","given":"Veronique"},{"family":"Mokhtarian","given":"Patricia L."},{"family":"Witlox","given":"Frank"}],"issued":{"date-parts":[["2014",9,1]]}}},{"id":739,"uris":["http://zotero.org/users/local/1ztI2Oc6/items/CGAPYQA5","http://zotero.org/users/12832277/items/CGAPYQA5"],"itemData":{"id":739,"type":"article-journal","abstract":"This study examines whether different income groups have different trade-off preferences between public transportation accessibility and income and economic power. In this study, apartments, the most typical housing type in Seoul, were categorized according to size (small, medium, and large) based on the premise that apartment size is a measure of the economic status of an individual or household. Subsequently, the effect of subway accessibility on apartment prices for the three types of apartments was examined through the conventional hedonic price model and the spatial autoregressive combined model, followed by an investigation of the spatial patterns of the effect with a focus on a geographically weighted regression. As a result, this study finds that, although subway accessibility serves as a positive factor in housing location decisions for most socioeconomic classes, the positive effect is not spatially unanimous, indicating that households with relatively robust economic stability preferred housing locations further away from subway stations in pursuit of a more attractive residential environment. Although high-income households trade greater accessibility to public transportation for a more attractive neighborhood environment, middle-income households more actively pursued convenience and the greenness of their neighborhoods. Households with less economic stability preferred neighborhoods featuring relatively low-cost housing and greater accessibility. These results confirm the prevalence of trade-off between public transportation accessibility and housing size in Seoul, Korea. This also verifies that the spatial division along economic class lines is intensifying, and that perspectives on subway accessibility vary depending on consumers' economic status. The results suggest the need for consumer-tailored public transportation policies that consider the residential location patterns of the socioeconomic classes that are dependent on public transportation. This perspective can improve our understanding of how to distribute mass transportation systems spaces in large cities, particularly where the wealth gap is relatively high.","container-title":"Cities","DOI":"10.1016/j.cities.2018.11.004","ISSN":"0264-2751","language":"en","page":"247-258","source":"ScienceDirect","title":"Trade-Off Relationship Between Public Transportation Accessibility and Household Economy: Analysis of Subway Access Values by Housing Size","title-short":"Trade-Off Relationship Between Public Transportation Accessibility and Household Economy","volume":"87","author":[{"family":"Seo","given":"Wonseok"},{"family":"Nam","given":"Hyung Kwon"}],"issued":{"date-parts":[["2019",4,1]]}}}],"schema":"https://github.com/citation-style-language/schema/raw/master/csl-citation.json"} </w:instrText>
      </w:r>
      <w:r w:rsidR="00F83D39" w:rsidRPr="00D21817">
        <w:rPr>
          <w:b/>
          <w:bCs/>
        </w:rPr>
        <w:fldChar w:fldCharType="separate"/>
      </w:r>
      <w:r w:rsidR="00D36334" w:rsidRPr="00D36334">
        <w:t>(Van Acker et al., 2014; Seo and Nam, 2019)</w:t>
      </w:r>
      <w:r w:rsidR="00F83D39" w:rsidRPr="00D21817">
        <w:rPr>
          <w:b/>
          <w:bCs/>
        </w:rPr>
        <w:fldChar w:fldCharType="end"/>
      </w:r>
      <w:r w:rsidR="0089378E" w:rsidRPr="009B2F97">
        <w:t>. Households with more vehicles also tend to live in areas</w:t>
      </w:r>
      <w:r w:rsidR="0089378E" w:rsidRPr="00D21817">
        <w:t xml:space="preserve"> with lower median housing costs</w:t>
      </w:r>
      <w:r w:rsidR="009A16CD" w:rsidRPr="009434FD">
        <w:t xml:space="preserve">, </w:t>
      </w:r>
      <w:r w:rsidR="00ED625F">
        <w:t>potentially a trad</w:t>
      </w:r>
      <w:r w:rsidR="00EE0609">
        <w:t>e</w:t>
      </w:r>
      <w:r w:rsidR="00ED625F">
        <w:t>-off between accessibility to activities and housing amenities/quality</w:t>
      </w:r>
      <w:r w:rsidR="00480951" w:rsidRPr="009434FD">
        <w:t xml:space="preserve"> </w:t>
      </w:r>
      <w:r w:rsidR="005861BC" w:rsidRPr="00D21817">
        <w:fldChar w:fldCharType="begin"/>
      </w:r>
      <w:r w:rsidR="000C4AE3">
        <w:instrText xml:space="preserve"> ADDIN ZOTERO_ITEM CSL_CITATION {"citationID":"2ZW82O7J","properties":{"formattedCitation":"(Huang et al., 2018)","plainCitation":"(Huang et al., 2018)","noteIndex":0},"citationItems":[{"id":706,"uris":["http://zotero.org/users/local/1ztI2Oc6/items/7R54NUQL","http://zotero.org/users/12832277/items/7R54NUQL"],"itemData":{"id":706,"type":"article-journal","abstract":"This paper examines the extent to which a change in the cost of car ownership affects the house price gradient with respect to distance from the central business district (CBD). Theory suggests that if the cost of owning a car increases, people will use other modes of transportation, thus reducing house prices farther away from the CBD and increasing house prices closer to the city center. However, in an empirical setting, the cost of car ownership is likely to be endogenous and correlated with various unobserved factors that also contribute to changes in the house price gradient. To obtain causal effects, we exploit a unique feature of Singapore's car registration process. All cars in Singapore must have a Certificate of Entitlement (COE), but the number available is restricted based on the traffic concerns of the government and are allocated through a competitive bidding process. We use the number of COEs available each quarter as an instrument for the price of a COE, as the quota is likely to be correlated with the price of the COE but not the price of housing at various distances from the CBD. We find that when the price of a COE increases, the price of housing closer to the city center increases, suggesting that increases in the price of a car cause individuals to increase their willingness to pay to locate closer to the CBD.","container-title":"Regional Science and Urban Economics","DOI":"10.1016/j.regsciurbeco.2017.10.009","ISSN":"0166-0462","language":"en","page":"160-171","source":"ScienceDirect","title":"The Impact of the Cost of Car Ownership on the House Price Gradient in Singapore","volume":"68","author":[{"family":"Huang","given":"Naqun"},{"family":"Li","given":"Jing"},{"family":"Ross","given":"Amanda"}],"issued":{"date-parts":[["2018",1,1]]}}}],"schema":"https://github.com/citation-style-language/schema/raw/master/csl-citation.json"} </w:instrText>
      </w:r>
      <w:r w:rsidR="005861BC" w:rsidRPr="00D21817">
        <w:fldChar w:fldCharType="separate"/>
      </w:r>
      <w:r w:rsidR="005861BC" w:rsidRPr="00D21817">
        <w:t>(Huang et al., 2018)</w:t>
      </w:r>
      <w:r w:rsidR="005861BC" w:rsidRPr="00D21817">
        <w:fldChar w:fldCharType="end"/>
      </w:r>
      <w:r w:rsidR="003500E6" w:rsidRPr="009B2F97">
        <w:t>.</w:t>
      </w:r>
      <w:r w:rsidR="006B2FE1">
        <w:t xml:space="preserve"> Additionally, recent research has found that vehicle ownership is becoming increasingly important to meet the needs of younger adults living in urban areas who are now less inclined towards public transportation than before the pandemic, helping to explain why those with more vehicles might exhibit a stronger preference for apartment living and may live in lower-cost areas</w:t>
      </w:r>
      <w:r w:rsidR="000C4AE3">
        <w:t xml:space="preserve"> </w:t>
      </w:r>
      <w:r w:rsidR="000C4AE3">
        <w:fldChar w:fldCharType="begin"/>
      </w:r>
      <w:r w:rsidR="000C4AE3">
        <w:instrText xml:space="preserve"> ADDIN ZOTERO_ITEM CSL_CITATION {"citationID":"1YxwEURc","properties":{"formattedCitation":"(Vega-Gonzalo et al., 2023)","plainCitation":"(Vega-Gonzalo et al., 2023)","noteIndex":0},"citationItems":[{"id":3074,"uris":["http://zotero.org/users/12832277/items/78UFX9N5"],"itemData":{"id":3074,"type":"article-journal","abstract":"The private car has been identified as the main winner among transport modes in urban areas during the COVID-19 pandemic. The fear of contagion when using public transport or the decrease in road congestion are likely to have induced changes in citizens’ travel habits with respect to cars. This work investigates the impact of the pandemic on individuals’ habits and preferences regarding their car ownership levels and car usage in the European urban context, with a special focus on the role played by individual socio-demographics and urban mobility patterns. For this purpose, a Path Analysis approach has been adopted to model car ownership and use before and after COVID-19. The main data source employed in this research is an EU-Wide Urban Mobility Survey that collects detailed information (individual and household socio-economic characteristics, built environment attributes and mobility habits) of 10,152 individuals from a total of 21 European urban areas of different sizes, geographical locations, and urban forms. The survey data has been complemented with city-level variables that account for differences across the cities that may explain changes in car-related behaviour. The results show that the pandemic has induced an increase in car use among socio-economic groups that are generally associated with low car-dependent behaviour, revealing that policy instruments that discourage the use of the private car in urban areas are needed to avoid reversing past trends in the reduction of urban transport emissions. High-income, well-educated teleworkers are observed to be the ones that have reduced their car use to a larger extent. On the contrary, low-income individuals are mostly maintaining similar levels of car mobility. Finally, frequent public transport users are more likely than occasional users to have substituted this mode by the private car.","container-title":"Transportation Research Part A: Policy and Practice","DOI":"10.1016/j.tra.2023.103679","ISSN":"0965-8564","source":"ScienceDirect","title":"How Has COVID-19 Changed Private Car Use in European Urban Areas? An Analysis of the Effect of Socio-Economic Characteristics and Mobility Habits","URL":"https://www.sciencedirect.com/science/article/pii/S096585642300099X","volume":"172","author":[{"family":"Vega-Gonzalo","given":"Maria"},{"family":"Gomez","given":"Juan"},{"family":"Christidis","given":"Panayotis"}],"accessed":{"date-parts":[["2024",5,2]]},"issued":{"date-parts":[["2023",6,1]]}}}],"schema":"https://github.com/citation-style-language/schema/raw/master/csl-citation.json"} </w:instrText>
      </w:r>
      <w:r w:rsidR="000C4AE3">
        <w:fldChar w:fldCharType="separate"/>
      </w:r>
      <w:r w:rsidR="000C4AE3" w:rsidRPr="000C4AE3">
        <w:t>(Vega-Gonzalo et al., 2023)</w:t>
      </w:r>
      <w:r w:rsidR="000C4AE3">
        <w:fldChar w:fldCharType="end"/>
      </w:r>
      <w:r w:rsidR="006B2FE1">
        <w:t xml:space="preserve">. </w:t>
      </w:r>
      <w:bookmarkStart w:id="24" w:name="_Hlk165469786"/>
      <w:r w:rsidR="00FA491E" w:rsidRPr="00E86303">
        <w:t xml:space="preserve">Importantly, </w:t>
      </w:r>
      <w:r w:rsidR="0037141E" w:rsidRPr="00E86303">
        <w:t>vehicle ownership is</w:t>
      </w:r>
      <w:r w:rsidR="0037141E">
        <w:t xml:space="preserve"> </w:t>
      </w:r>
      <w:r w:rsidR="00CF2CA9">
        <w:t>considered to exogenously affect housing choice in this analysis</w:t>
      </w:r>
      <w:bookmarkStart w:id="25" w:name="_Hlk165533675"/>
      <w:r w:rsidR="00270574">
        <w:t>, an assumption made in many housing choice models</w:t>
      </w:r>
      <w:r w:rsidR="000C4AE3">
        <w:t xml:space="preserve"> </w:t>
      </w:r>
      <w:r w:rsidR="000C4AE3">
        <w:fldChar w:fldCharType="begin"/>
      </w:r>
      <w:r w:rsidR="00943E45">
        <w:instrText xml:space="preserve"> ADDIN ZOTERO_ITEM CSL_CITATION {"citationID":"6DToI58d","properties":{"unsorted":true,"formattedCitation":"(Cho et al., 2008; Kim, 2011; Shin, 2012; Chen et al., 2013; Manoj et al., 2015; Yu et al., 2017; Huang et al., 2018; Jin and Lee, 2018; Gomaa, 2023)","plainCitation":"(Cho et al., 2008; Kim, 2011; Shin, 2012; Chen et al., 2013; Manoj et al., 2015; Yu et al., 2017; Huang et al., 2018; Jin and Lee, 2018; Gomaa, 2023)","noteIndex":0},"citationItems":[{"id":3065,"uris":["http://zotero.org/users/12832277/items/ANBREZLA"],"itemData":{"id":3065,"type":"article-journal","abstract":"Abstract: In this paper we employ Mecklenburg County, North Carolina, a polycentric city with 10 employment subcenters, as a case study to explore the role of employment subcenters in determining residential location decisions. We estimate discrete choice models of residential location decisions: conditional logit models and heteroscedastic logit models with both the full choice set and sampled choices. We find that access to certain employment subcenters, measured in terms of generalized cost, is an important determinant of households' residential location decisions. The proximity to specific employment subcenters varies across households with different income levels. These patterns can be explained by existing land use and transportation patterns, as well as by subcenters' economic specialization.","container-title":"Journal of Transport and Land Use","ISSN":"1938-7849","issue":"2","note":"publisher: Journal of Transport and Land Use","page":"121-151","source":"JSTOR","title":"The Role of Employment Subcenters in Residential Location Decisions","volume":"1","author":[{"family":"Cho","given":"Eun Joo"},{"family":"Rodriguez","given":"Daniel A."},{"family":"Song","given":"Yan"}],"issued":{"date-parts":[["2008"]]}}},{"id":3067,"uris":["http://zotero.org/users/12832277/items/7JKG549Y"],"itemData":{"id":3067,"type":"article-journal","abstract":"The majority of the elderly and soon-to-be retired baby boomers live in suburbs in the US. This paper empirically tested an intra-regional residential movement of elderly households, which is postulated based on life course theory. Using data from the Puget Sound Transportation Panel survey in Washington State in the US, this study found that elderly households are less likely to change their residential environments than younger households upon intra-regional residential movement. This study also found that elderly households tend to move from less urbanized neighborhoods to slightly more urbanized neighborhoods, while younger households tend to move from quite urban neighborhoods to substantially less urbanized neighborhoods.","container-title":"The Annals of Regional Science","DOI":"10.1007/s00168-009-0325-4","ISSN":"1432-0592","issue":"1","language":"en","page":"1-17","source":"Springer Link","title":"Intra-Regional Residential Movement of the Elderly: Testing a Suburban-to-Urban Migration Hypothesis","volume":"46","author":[{"family":"Kim","given":"Sungyop"}],"issued":{"date-parts":[["2011",2,1]]}}},{"id":3069,"uris":["http://zotero.org/users/12832277/items/DG9LHHSX"],"itemData":{"id":3069,"type":"thesis","abstract":"The factors that affect the urban/suburban residential location choice has long been of interest to the field of urban planning as it explains the distribution of both population and income in metropolitan areas. This study provides empirical evidence on whether the urban-centralization trends of population exist and how household income and urban opportunities are associated with urban/suburban locational choice in the Seattle metropolitan area in order to draw policy implications for urban revitalization.\nDescriptive statistics show that the net-flow of urban population is negative during the study period. Two sets of binomial logistic models are employed based on origins in order to understand the mechanisms underlying urban/suburban residential location choice. The role of income in explaining urban/suburban residential location choice becomes modest after controlling for other independent variables. Only high-income households are more likely to choose an urban-to-urban move over urban-to-suburban move as compared to middle-income households. In addition, increases in job and retail/services opportunities, as well as the median built-year of neighborhood structure, are positively all related to the log odds of choosing urban over suburban areas regardless of origins. Throughout the study, the classification of urban versus suburban neighborhood is based on the residents' perceptions of their neighborhood type as opposed to census criteria.\nFindings suggest that redistribution of population and income back to urban areas does not exist within the Seattle metropolitan area. Policies and programs creating more employment opportunities as well as higher retail/service land use in urban areas will help to increase the proportion of the urban population in the Seattle metropolitan area. Furthermore, solutions for urban revitalization should include strategies to provide newer housing in better condition in urban areas, which will keep both urban and suburban inhabitants from moving to the suburbs for better housing conditions.","event-place":"United States -- Washington","genre":"M.U.P.","language":"English","license":"Database copyright ProQuest LLC; ProQuest does not claim copyright in the individual underlying works.","note":"ISBN: 9781267530318","number-of-pages":"67","publisher":"University of Washington","publisher-place":"United States -- Washington","source":"ProQuest","title":"An Empirical Study of Urban/Suburban Residential Location Choice in the Seattle Metropolitan Area","URL":"https://www.proquest.com/docview/1035153540/abstract/B08FD05BB22F49AFPQ/1","author":[{"family":"Shin","given":"Eun Jin"}],"accessed":{"date-parts":[["2024",5,2]]},"issued":{"date-parts":[["2012"]]}}},{"id":126,"uris":["http://zotero.org/users/12832277/items/E4X4FRKA"],"itemData":{"id":126,"type":"article-journal","abstract":"Residential locations play an important role in the spatial distribution of household activities and travel decisions and, subsequently, in long-term forecasting models. This study examined the relationship between housing location choices, time allocation to out-of-home activities, and other socioeconomic attributes related to household life-cycle stages. A choice model of housing tenure and type was formulated and estimated to provide a methodological framework for examining the impacts of engagement in household activities and life-cycle stage. Engagement in household activities was represented by factor scores from a factor analysis on the proportion of time households spent on 14 activity types. The scores of the identified factors, in addition to other socioeconomic and travel characteristics of the household, were estimated in a nested-logit choice model of housing tenure and type. Furthermore, households were segmented into different life-cycle stages on the basis of household size and age of members. Results from this study revealed that the life-cycle stage of a household had a significant statistical impact on the tenure choice to rent relative to the choice to own a home. In relation to time allocation for household activities, the time allocated to eating, recreation, and social activities was found to have the strongest statistical significance with respect to the choice of tenure and housing type. Overall, estimation results revealed a relationship between the choice of housing tenure and type, attributes of the household, and the allocation of activity time among its members.","container-title":"Transportation Research Record","DOI":"10.3141/2344-08","ISSN":"0361-1981","issue":"1","note":"publisher: SAGE Publications Inc","page":"68-78","source":"SAGE Journals","title":"Exploring Engagement in Household Activities and Decisions on Residential Tenure and Household Type","volume":"2344","author":[{"family":"Chen","given":"Roger B."},{"family":"Gehrke","given":"Steven R."},{"family":"Liu","given":"Jenny H."},{"family":"Jang","given":"Yunemi"},{"family":"Clifton","given":"Kelly J."}],"issued":{"date-parts":[["2013",1,1]]}}},{"id":700,"uris":["http://zotero.org/users/local/1ztI2Oc6/items/FGLW5Y9J","http://zotero.org/users/12832277/items/FGLW5Y9J"],"itemData":{"id":700,"type":"article-journal","abstract":"This study attempts to identify various factors influencing individual’s choice of housing tenure with emphasis on the effect of commute trips on that choice. It also focuses on the sensitivity to various factors affecting the housing tenure choice between males and females of urban and rural areas. The study is based on both exploratory analysis and estimation of statistical models using a Household Travel Survey data collected for Bangalore Metropolitan Region in year 2010. The results indicate the role of both the land use attributes and commute travel characteristics on tenure choice and the behavioural difference between males and females. The sensitivity to various attributes is also observed to be varying between the individuals living in the urban and rural areas of the city. The finding that private mode use for commuting governs the housing tenure choice of individuals suggests that promotion of urban-transport policies such as Transit Oriented Development may be an effective strategy to curb the issues related to energy consumption and emission.","container-title":"Journal of Transport Geography","DOI":"10.1016/j.jtrangeo.2015.05.001","ISSN":"0966-6923","language":"en","page":"62-69","source":"ScienceDirect","title":"Commute Travel and Its Effect on Housing Tenure Choice of Males and Females Living in the Urban and Rural Areas of Bangalore City in India","volume":"45","author":[{"family":"Manoj","given":"M."},{"family":"Verma","given":"Ashish"},{"family":"Navyatha","given":"M."}],"issued":{"date-parts":[["2015",5,1]]}}},{"id":100,"uris":["http://zotero.org/users/local/1ztI2Oc6/items/E53QJ5YU","http://zotero.org/users/12832277/items/E53QJ5YU"],"itemData":{"id":100,"type":"article-journal","abstract":"From a behavioral viewpoint, people choose where to live based on various factors, including their current situations, past experience, and plans for the future. Some aspects of residential preference might be constant over time, inherited from the initial stage of life, and other parts might be responses to residential biography or other biographical domains like household structure, employment/education, and travel. Capturing these intertemporal dependences needs a life course analysis of residential location choices. However, a serious methodological gap exists between the perceived importance of dynamic life course analyses and quantitative modeling approaches. This study developed a dynamic choice model with cross-sectional and longitudinal heterogeneities as well as discounted utility (called the DU-DCLH model) to describe the decision-making process for residential relocation by incorporating various intertemporal dependences over the life course. Model parameters were estimated using data collected from a life history survey conducted in Japan in 2010. The estimation results firstly confirm the effectiveness of the DU-DCLH model for portraying the dynamics of residential mobility over a life course. Next, it was found that previous experiences dominate decisions on residential location choice and can explain more than 75% of the total variations in choice. It was also revealed that as the mobility age increases, the influence of the past on their choices increases continuously. In contrast, the influence of the present situation is small and almost negligible. Furthermore, the study empirically confirmed not only the influence of time-constant and time-varying preference for residential neighborhoods but also the specific influence of household biography, employment/education biography, and travel biography. This study enriches the existing research by providing a systematic modeling framework incorporating broader behavioral mechanisms for residential location choice over the life course.","container-title":"Transportation Research Part A: Policy and Practice","DOI":"10.1016/j.tra.2017.01.009","ISSN":"0965-8564","language":"en","page":"281-292","source":"ScienceDirect","title":"Dynamic Life Course Analysis on Residential Location Choice","volume":"104","author":[{"family":"Yu","given":"Biying"},{"family":"Zhang","given":"Junyi"},{"family":"Li","given":"Xia"}],"issued":{"date-parts":[["2017",10,1]]}}},{"id":706,"uris":["http://zotero.org/users/local/1ztI2Oc6/items/7R54NUQL","http://zotero.org/users/12832277/items/7R54NUQL"],"itemData":{"id":706,"type":"article-journal","abstract":"This paper examines the extent to which a change in the cost of car ownership affects the house price gradient with respect to distance from the central business district (CBD). Theory suggests that if the cost of owning a car increases, people will use other modes of transportation, thus reducing house prices farther away from the CBD and increasing house prices closer to the city center. However, in an empirical setting, the cost of car ownership is likely to be endogenous and correlated with various unobserved factors that also contribute to changes in the house price gradient. To obtain causal effects, we exploit a unique feature of Singapore's car registration process. All cars in Singapore must have a Certificate of Entitlement (COE), but the number available is restricted based on the traffic concerns of the government and are allocated through a competitive bidding process. We use the number of COEs available each quarter as an instrument for the price of a COE, as the quota is likely to be correlated with the price of the COE but not the price of housing at various distances from the CBD. We find that when the price of a COE increases, the price of housing closer to the city center increases, suggesting that increases in the price of a car cause individuals to increase their willingness to pay to locate closer to the CBD.","container-title":"Regional Science and Urban Economics","DOI":"10.1016/j.regsciurbeco.2017.10.009","ISSN":"0166-0462","language":"en","page":"160-171","source":"ScienceDirect","title":"The Impact of the Cost of Car Ownership on the House Price Gradient in Singapore","volume":"68","author":[{"family":"Huang","given":"Naqun"},{"family":"Li","given":"Jing"},{"family":"Ross","given":"Amanda"}],"issued":{"date-parts":[["2018",1,1]]}}},{"id":783,"uris":["http://zotero.org/users/local/1ztI2Oc6/items/CIH9HWCI","http://zotero.org/users/12832277/items/CIH9HWCI"],"itemData":{"id":783,"type":"article-journal","abstract":"The residential location choice model is an effective tool to analyze the actual household demand for housing and better living environments, and many researchers have developed various residential location choice models. In this study, a residential location choice model using a discrete choice modelling framework within UrbanSim is applied to Suwon, Korea with the following aims: (1) to investigate factors affecting residential location choice in Suwon, (2) to forecast changes in household residential locations, and (3) to derive policy implications for the local housing market. An extensive database of parcels, households, jobs, land prices, and transportation networks is geocoded on the basis of grid cells that measure 150 × 150 metres. The estimation results show that access to employment opportunities, the ratio of housing cost to income, mixed land use, and the year that housing was built are important factors in determining household residential locations in Suwon. In addition, different age and income groups have different residential location preferences. UrbanSim, a highly disaggregated microsimulation model, is employed to forecast changes in household residential locations using the estimation results of the residential location choice model. These suggest that different income groups show different migration patterns.","container-title":"International Journal of Urban Sciences","DOI":"10.1080/12265934.2017.1336469","ISSN":"1226-5934","issue":"2","note":"publisher: Routledge\n_eprint: https://doi.org/10.1080/12265934.2017.1336469","page":"216-235","source":"Taylor and Francis+NEJM","title":"Understanding Residential Location Choices: An Application of the UrbanSim Residential Location Model on Suwon, Korea","title-short":"Understanding Residential Location Choices","volume":"22","author":[{"family":"Jin","given":"Jangik"},{"family":"Lee","given":"Hee-Yeon"}],"issued":{"date-parts":[["2018",4,3]]}}},{"id":3126,"uris":["http://zotero.org/users/12832277/items/QGFWB2MG"],"itemData":{"id":3126,"type":"article-journal","abstract":"Many published papers have delved into the factors affecting the residential location choices of households using various logit models. Nonetheless, only a few pieces of literature have attempted to examine those associative attributes from a macroscopic view. Thus, this article investigates the factors that influence households’ preference to reside in densely populated locations or regions with a wide variety of land-use types using ordered choice models (ORM). This study proposes three indicators that are reflective of residential areas, namely population density, housing density, and land-use mix index, based on prior research. Population density and housing density are modeled at census block and tract levels to explore households’ sensitivity to different geographical scales. Regarding land use, this research classifies the diversity index into four categories: uniform, moderately diverse, more diverse, and the most diverse. Similarly, the study is predicated on 0.25-mile and 0.5-mile buffer zones. The findings are consistent with earlier research and highlight macro-level issues that influence residential location decisions. As for the residential preference for housing density, significant factors are the structure of households, the number of vehicles per household, and household income. Regarding the residential choices of population density, significant attributes refer to demographic characteristics, household income, and housing types. Concerning the residential choices based on land-use mix, the most influential factors turn out to be the interacting terms between demographics and housing-related index, household income, and housing-related indexes.","container-title":"Land","DOI":"10.3390/land12040748","ISSN":"2073-445X","issue":"4","language":"en","license":"http://creativecommons.org/licenses/by/3.0/","note":"number: 4\npublisher: Multidisciplinary Digital Publishing Institute","page":"748","source":"www.mdpi.com","title":"Macro-Level Factors Shaping Residential Location Choices: Examining the Impacts of Density and Land-Use Mix","volume":"12","author":[{"family":"Gomaa","given":"Mohammed M."}],"issued":{"date-parts":[["2023",4]]}}}],"schema":"https://github.com/citation-style-language/schema/raw/master/csl-citation.json"} </w:instrText>
      </w:r>
      <w:r w:rsidR="000C4AE3">
        <w:fldChar w:fldCharType="separate"/>
      </w:r>
      <w:r w:rsidR="00943E45" w:rsidRPr="00943E45">
        <w:t>(</w:t>
      </w:r>
      <w:r w:rsidR="00943E45">
        <w:t xml:space="preserve">see, </w:t>
      </w:r>
      <w:r w:rsidR="00943E45" w:rsidRPr="00943E45">
        <w:t>Cho et al., 2008; Kim, 2011; Shin, 2012; Chen et al., 2013; Manoj et al., 2015; Yu et al., 2017; Huang et al., 2018; Jin and Lee, 2018; Gomaa, 2023)</w:t>
      </w:r>
      <w:r w:rsidR="000C4AE3">
        <w:fldChar w:fldCharType="end"/>
      </w:r>
      <w:bookmarkEnd w:id="25"/>
      <w:r w:rsidR="00CF2CA9">
        <w:t>. We acknowledge</w:t>
      </w:r>
      <w:r w:rsidR="00BA097B">
        <w:t xml:space="preserve"> that travel attitudes impact both the selection of housing attributes and vehicle ownership decisions, and that vehicle ownership</w:t>
      </w:r>
      <w:r w:rsidR="00CF2CA9">
        <w:t xml:space="preserve"> </w:t>
      </w:r>
      <w:r w:rsidR="002C6CD0">
        <w:t>may itself</w:t>
      </w:r>
      <w:r w:rsidR="00CF2CA9">
        <w:t xml:space="preserve"> be affected by an individual’s existing housing status</w:t>
      </w:r>
      <w:r w:rsidR="00FA4865">
        <w:t xml:space="preserve"> </w:t>
      </w:r>
      <w:r w:rsidR="00FA4865">
        <w:fldChar w:fldCharType="begin"/>
      </w:r>
      <w:r w:rsidR="00943E45">
        <w:instrText xml:space="preserve"> ADDIN ZOTERO_ITEM CSL_CITATION {"citationID":"MewasPiO","properties":{"unsorted":true,"formattedCitation":"(Bhat and Guo, 2007; Paleti et al., 2013; Fatmi et al., 2017; Yu et al., 2017; Mondal and Bhat, 2023)","plainCitation":"(Bhat and Guo, 2007; Paleti et al., 2013; Fatmi et al., 2017; Yu et al., 2017; Mondal and Bhat, 2023)","noteIndex":0},"citationItems":[{"id":44,"uris":["http://zotero.org/users/local/1ztI2Oc6/items/9DL3Y3QX","http://zotero.org/users/12832277/items/9DL3Y3QX"],"itemData":{"id":44,"type":"article-journal","abstract":"There has been an increasing interest in the land use-transportation connection in the past decade, motivated by the possibility that design policies associated with the built environment can be used to control, manage, and shape individual traveler behavior and aggregate travel demand. In this line of research and application pursuit, it is critical to understand whether the empirically observed association between the built environment and travel behavior-related variables is a true reflection of underlying causality or simply a spurious correlation attributable to the intervening relationship between the built environment and the characteristics of people who choose to live in particular built environments. In this research paper, we identify the research designs and methodologies that may be used to test the presence of “true” causality versus residential sorting-based “spurious” associations in the land-use transportation connection. The paper then develops a methodological formulation to control for residential sorting effects in the analysis of the effect of built environment attributes on travel behavior-related choices. The formulation is applied to comprehensively examine the impact of the built environment, transportation network attributes, and demographic characteristics on residential choice and car ownership decisions. The model formulation takes the form of a joint mixed multinomial logit-ordered response structure that (a) accommodates differential sensitivity to the built environment and transportation network variables due to both demographic and unobserved household attributes and (b) controls for the self-selection of individuals into neighborhoods based on car ownership preferences stemming from both demographic characteristics and unobserved household factors. The analysis in the paper represents, to our knowledge, the first instance of the formulation and application of a unified mixed multinomial logit-ordered response structure in the econometric literature. The empirical analysis in the paper is based on the residential choice and car ownership decisions of San Francisco Bay area residents.","container-title":"Transportation Research Part B: Methodological","DOI":"10.1016/j.trb.2005.12.005","ISSN":"0191-2615","language":"en","page":"506-526","source":"ScienceDirect","title":"A Comprehensive Analysis of Built Environment Characteristics on Household Residential Choice and Auto Ownership Levels","volume":"41","author":[{"family":"Bhat","given":"Chandra R."},{"family":"Guo","given":"Jessica Y."}],"issued":{"date-parts":[["2007",6,1]]}}},{"id":1237,"uris":["http://zotero.org/users/12832277/items/BENIMVS3"],"itemData":{"id":1237,"type":"article-journal","abstract":"This paper offers an econometric model system that simultaneously considers six dimensions of activity-travel choices in a unifying framework. The six dimensions include residential location choice, work location choice, automobile ownership, commuting distance, commute mode, and number of stops on commute tours. The paper presents the modeling methodology in detail as well as estimation results for a joint model system estimated on a data set extracted from the 2009 National Household Travel Survey.","container-title":"Transportation Research Record","DOI":"10.3141/2382-18","ISSN":"0361-1981","issue":"1","language":"en","note":"publisher: SAGE Publications Inc","page":"162-172","source":"SAGE Journals","title":"Integrated Model of Residential Location, Work Location, Vehicle Ownership, and Commute Tour Characteristics","volume":"2382","author":[{"family":"Paleti","given":"Rajesh"},{"family":"Bhat","given":"Chandra R."},{"family":"Pendyala","given":"Ram M."}],"issued":{"date-parts":[["2013",1,1]]}}},{"id":96,"uris":["http://zotero.org/users/local/1ztI2Oc6/items/6Y98CZ7T","http://zotero.org/users/12832277/items/6Y98CZ7T"],"itemData":{"id":96,"type":"article-journal","abstract":"This paper presents a life history-oriented modeling framework to investigate residential location decisions as a two-tier process of location search and location choice. In the first tier, a stress-based location search model is developed by assuming that households search for a new location due to continual stress at different life-domains. The search model adopts a fuzzy logic-based modeling method that mimics the inter-dependencies between push and pull factors. In the second tier, a location choice model is developed that accommodates how location decisions interact with life-cycle events at different life-domains. The model utilizes a latent segmentation-based logit modeling technique to address the panel effect of the households’ housing career. The model results suggest that households in general show preference for larger lots, and locations closer to work place, transit stop, and health service. Location choice is found to be significantly influenced by the life-cycle events as well as the lead and lagged effects. For example, the birth of a child magnifies the need of larger lots. The life-history effects, however vary across two segments. Suburbanite households in segment two prefer larger lots following a job change; whereas, urbanite households in segment one show a negative relationship. The adjustment period for a job change is longer than that of addition of a new job. A longer adjustment time is also found in the case of the first time vehicle purchase than acquisition of a vehicle. Presence of children influences suburbanite households to reside closer to work place. Urbanite households with children prefer to live closer to school.","container-title":"Transportation Research Part A: Policy and Practice","DOI":"10.1016/j.tra.2017.06.006","ISSN":"0965-8564","language":"en","page":"293-307","source":"ScienceDirect","title":"Life History-Oriented Residential Location Choice Model: A Stress-Based Two-Tier Panel Modeling Approach","title-short":"Life History-Oriented Residential Location Choice Model","volume":"104","author":[{"family":"Fatmi","given":"Mahmudur Rahman"},{"family":"Chowdhury","given":"Subeh"},{"family":"Habib","given":"Muhammad Ahsanul"}],"issued":{"date-parts":[["2017",10,1]]}}},{"id":100,"uris":["http://zotero.org/users/local/1ztI2Oc6/items/E53QJ5YU","http://zotero.org/users/12832277/items/E53QJ5YU"],"itemData":{"id":100,"type":"article-journal","abstract":"From a behavioral viewpoint, people choose where to live based on various factors, including their current situations, past experience, and plans for the future. Some aspects of residential preference might be constant over time, inherited from the initial stage of life, and other parts might be responses to residential biography or other biographical domains like household structure, employment/education, and travel. Capturing these intertemporal dependences needs a life course analysis of residential location choices. However, a serious methodological gap exists between the perceived importance of dynamic life course analyses and quantitative modeling approaches. This study developed a dynamic choice model with cross-sectional and longitudinal heterogeneities as well as discounted utility (called the DU-DCLH model) to describe the decision-making process for residential relocation by incorporating various intertemporal dependences over the life course. Model parameters were estimated using data collected from a life history survey conducted in Japan in 2010. The estimation results firstly confirm the effectiveness of the DU-DCLH model for portraying the dynamics of residential mobility over a life course. Next, it was found that previous experiences dominate decisions on residential location choice and can explain more than 75% of the total variations in choice. It was also revealed that as the mobility age increases, the influence of the past on their choices increases continuously. In contrast, the influence of the present situation is small and almost negligible. Furthermore, the study empirically confirmed not only the influence of time-constant and time-varying preference for residential neighborhoods but also the specific influence of household biography, employment/education biography, and travel biography. This study enriches the existing research by providing a systematic modeling framework incorporating broader behavioral mechanisms for residential location choice over the life course.","container-title":"Transportation Research Part A: Policy and Practice","DOI":"10.1016/j.tra.2017.01.009","ISSN":"0965-8564","language":"en","page":"281-292","source":"ScienceDirect","title":"Dynamic Life Course Analysis on Residential Location Choice","volume":"104","author":[{"family":"Yu","given":"Biying"},{"family":"Zhang","given":"Junyi"},{"family":"Li","given":"Xia"}],"issued":{"date-parts":[["2017",10,1]]}}},{"id":1235,"uris":["http://zotero.org/users/12832277/items/UYP7II44"],"itemData":{"id":1235,"type":"article-journal","abstract":"Studies in the residential self-selection literature, which use attitudinal factors to model the jointness of residential and travel-related choices, assume a unidirectional impact from attitudes to behavior; however, such an assumption may be violated under several circumstances. In this current study, we allow the error terms of the attitudinal factors to be correlated with the main outcomes as we jointly model residential choice, auto-ownership level, and rank-based modal preferences. In our joint model, we use green lifestyle propensity and luxury lifestyle propensity as the two stochastic latent constructs. The empirical data for this study is drawn from the 2019 multi-city Transformative Technologies in Transportation survey for the city of Austin that elicited information with respect to individuals’ residential location, auto-ownership, and modal preferences through a stated preference experiment in a futuristic autonomous vehicle environment. Results indicate significant unobserved correlations between the latent constructs and the main outcomes; ignoring such endogeneity leads to underestimations of the “true” causal effect of high-density neighborhood (HDN) living on travel-related choices, which can have consequences for policy-making. In our analysis, the “true” causal effect of HDN living on auto-ownership suggests that, on average, the auto-ownership level would reduce by about 29% when an individual is shifted from a non-HDN to a HDN. Furthermore, the probability of using the bicycle mode for non-work pursuits is estimated to increase by 8%, and that of using a private vehicle is estimated to decrease by 3.1%, when individuals are moved from a non-HDN to a HDN.","container-title":"Transportation Research Record","DOI":"10.1177/03611981231163861","ISSN":"0361-1981","issue":"10","language":"en","note":"publisher: SAGE Publications Inc","page":"777-796","source":"SAGE Journals","title":"Investigating Residential Built Environment Effects on Rank-Based Modal Preferences and Auto-Ownership","volume":"2677","author":[{"family":"Mondal","given":"Aupal"},{"family":"Bhat","given":"Chandra R."}],"issued":{"date-parts":[["2023",10,1]]}}}],"schema":"https://github.com/citation-style-language/schema/raw/master/csl-citation.json"} </w:instrText>
      </w:r>
      <w:r w:rsidR="00FA4865">
        <w:fldChar w:fldCharType="separate"/>
      </w:r>
      <w:r w:rsidR="00943E45" w:rsidRPr="00943E45">
        <w:t>(</w:t>
      </w:r>
      <w:r w:rsidR="00943E45">
        <w:t>see</w:t>
      </w:r>
      <w:r w:rsidR="00193BDC">
        <w:t>, for example,</w:t>
      </w:r>
      <w:r w:rsidR="00943E45">
        <w:t xml:space="preserve"> </w:t>
      </w:r>
      <w:r w:rsidR="00943E45" w:rsidRPr="00943E45">
        <w:t>Bhat and Guo, 2007; Paleti et al., 2013; Fatmi et al., 2017; Yu et al., 2017; Mondal and Bhat, 2023)</w:t>
      </w:r>
      <w:r w:rsidR="00FA4865">
        <w:fldChar w:fldCharType="end"/>
      </w:r>
      <w:r w:rsidR="00BA097B">
        <w:t>. However, we focus here on the housing choice decision alone</w:t>
      </w:r>
      <w:r w:rsidR="00FA4865">
        <w:t>,</w:t>
      </w:r>
      <w:r w:rsidR="00CF2CA9">
        <w:t xml:space="preserve"> </w:t>
      </w:r>
      <w:r w:rsidR="00BA097B">
        <w:t>leaving</w:t>
      </w:r>
      <w:r w:rsidR="002C6CD0">
        <w:t xml:space="preserve"> the</w:t>
      </w:r>
      <w:r w:rsidR="00CF2CA9">
        <w:t xml:space="preserve"> additional joint modeling of decisions such as vehicle ownership alongside </w:t>
      </w:r>
      <w:r w:rsidR="002C6CD0">
        <w:t xml:space="preserve">the multidimensional </w:t>
      </w:r>
      <w:r w:rsidR="00CF2CA9">
        <w:t xml:space="preserve">housing choices </w:t>
      </w:r>
      <w:r w:rsidR="002C6CD0">
        <w:t xml:space="preserve">analyzed here </w:t>
      </w:r>
      <w:r w:rsidR="00CF2CA9">
        <w:t>to future efforts.</w:t>
      </w:r>
      <w:r w:rsidR="003A7202">
        <w:rPr>
          <w:rStyle w:val="FootnoteReference"/>
        </w:rPr>
        <w:footnoteReference w:id="5"/>
      </w:r>
      <w:r w:rsidR="00CF2CA9">
        <w:t xml:space="preserve"> </w:t>
      </w:r>
      <w:bookmarkEnd w:id="24"/>
    </w:p>
    <w:p w14:paraId="1413CAC5" w14:textId="12C11871" w:rsidR="0002447D" w:rsidRDefault="005D1827" w:rsidP="002C6CD0">
      <w:pPr>
        <w:spacing w:after="0" w:line="240" w:lineRule="auto"/>
        <w:ind w:firstLine="720"/>
        <w:jc w:val="both"/>
      </w:pPr>
      <w:r w:rsidRPr="00D21817">
        <w:t xml:space="preserve">Finally, </w:t>
      </w:r>
      <w:r w:rsidR="00ED625F">
        <w:t xml:space="preserve">there is </w:t>
      </w:r>
      <w:r w:rsidRPr="00D21817">
        <w:t xml:space="preserve">significant </w:t>
      </w:r>
      <w:r w:rsidR="00ED625F">
        <w:t xml:space="preserve">heterogeneity </w:t>
      </w:r>
      <w:r w:rsidRPr="004736A5">
        <w:t xml:space="preserve">in </w:t>
      </w:r>
      <w:r w:rsidR="00ED625F">
        <w:t xml:space="preserve">dwelling unit </w:t>
      </w:r>
      <w:r w:rsidRPr="004736A5">
        <w:t xml:space="preserve">and neighborhood characteristics based on </w:t>
      </w:r>
      <w:r w:rsidR="001313DE" w:rsidRPr="009434FD">
        <w:t xml:space="preserve">the </w:t>
      </w:r>
      <w:r w:rsidR="00E16AA3" w:rsidRPr="009434FD">
        <w:t xml:space="preserve">region of residence within the </w:t>
      </w:r>
      <w:r w:rsidR="00AF061F" w:rsidRPr="009434FD">
        <w:t>United</w:t>
      </w:r>
      <w:r w:rsidR="00E16AA3" w:rsidRPr="009434FD">
        <w:t xml:space="preserve"> States</w:t>
      </w:r>
      <w:r w:rsidR="00ED625F">
        <w:t xml:space="preserve">. </w:t>
      </w:r>
      <w:r w:rsidR="00C519A6">
        <w:t xml:space="preserve">Home ownership is more </w:t>
      </w:r>
      <w:r w:rsidR="000A6141">
        <w:t xml:space="preserve">prevalent </w:t>
      </w:r>
      <w:r w:rsidR="00C519A6">
        <w:t xml:space="preserve">in the Midwest relative to other regions, while </w:t>
      </w:r>
      <w:r w:rsidR="00DA7A33">
        <w:t>individuals</w:t>
      </w:r>
      <w:r w:rsidR="000A6141">
        <w:t xml:space="preserve"> in the Midwest </w:t>
      </w:r>
      <w:r w:rsidR="00DA7A33">
        <w:t xml:space="preserve">live in low population density areas with </w:t>
      </w:r>
      <w:r w:rsidR="000A6141">
        <w:t>low housing costs. In contrast, those residing in the West encounter high housing costs, and those living in the Northeast appear to be burdened with the highest crime rates</w:t>
      </w:r>
      <w:r w:rsidR="00473E8D">
        <w:t xml:space="preserve">. </w:t>
      </w:r>
      <w:r w:rsidR="00DA7A33">
        <w:t>Southern households are likely to live in low population density and low school quality areas.</w:t>
      </w:r>
      <w:bookmarkEnd w:id="22"/>
    </w:p>
    <w:p w14:paraId="05410C10" w14:textId="77777777" w:rsidR="005E7699" w:rsidRPr="008253CB" w:rsidRDefault="005E7699" w:rsidP="004502A1">
      <w:pPr>
        <w:spacing w:after="0" w:line="240" w:lineRule="auto"/>
        <w:ind w:firstLine="720"/>
        <w:jc w:val="both"/>
      </w:pPr>
    </w:p>
    <w:p w14:paraId="23AE23CB" w14:textId="53AC48B6" w:rsidR="009F7856" w:rsidRPr="009B2F97" w:rsidRDefault="009F7856" w:rsidP="00D13A32">
      <w:pPr>
        <w:keepNext/>
        <w:keepLines/>
        <w:spacing w:after="0" w:line="240" w:lineRule="auto"/>
        <w:jc w:val="both"/>
        <w:rPr>
          <w:b/>
          <w:bCs/>
          <w:i/>
          <w:iCs/>
        </w:rPr>
      </w:pPr>
      <w:r w:rsidRPr="009179E5">
        <w:rPr>
          <w:b/>
          <w:bCs/>
          <w:i/>
          <w:iCs/>
        </w:rPr>
        <w:lastRenderedPageBreak/>
        <w:t xml:space="preserve">4.2.3 </w:t>
      </w:r>
      <w:bookmarkStart w:id="26" w:name="_Hlk148694861"/>
      <w:r w:rsidR="00937097" w:rsidRPr="009179E5">
        <w:rPr>
          <w:b/>
          <w:bCs/>
          <w:i/>
          <w:iCs/>
        </w:rPr>
        <w:t>Endogenous</w:t>
      </w:r>
      <w:r w:rsidRPr="00AD7085">
        <w:rPr>
          <w:b/>
          <w:bCs/>
          <w:i/>
          <w:iCs/>
        </w:rPr>
        <w:t xml:space="preserve"> Effects of Dependent Variables</w:t>
      </w:r>
      <w:bookmarkEnd w:id="26"/>
    </w:p>
    <w:p w14:paraId="4874E55B" w14:textId="68759926" w:rsidR="00E92EE0" w:rsidRPr="009179E5" w:rsidRDefault="00864528" w:rsidP="00D13A32">
      <w:pPr>
        <w:keepNext/>
        <w:keepLines/>
        <w:spacing w:after="0" w:line="240" w:lineRule="auto"/>
        <w:jc w:val="both"/>
        <w:rPr>
          <w:b/>
          <w:bCs/>
        </w:rPr>
      </w:pPr>
      <w:bookmarkStart w:id="27" w:name="_Hlk148694874"/>
      <w:r w:rsidRPr="009B2F97">
        <w:t xml:space="preserve">After accounting for the </w:t>
      </w:r>
      <w:r w:rsidR="00C243E3" w:rsidRPr="009B2F97">
        <w:t xml:space="preserve">correlations between the </w:t>
      </w:r>
      <w:r w:rsidR="00CB7DC5" w:rsidRPr="009B2F97">
        <w:t xml:space="preserve">housing outcomes through the latent constructs, </w:t>
      </w:r>
      <w:r w:rsidR="00B43ACC" w:rsidRPr="009B2F97">
        <w:t xml:space="preserve">endogenous effects </w:t>
      </w:r>
      <w:r w:rsidR="00ED625F">
        <w:t>among the many</w:t>
      </w:r>
      <w:r w:rsidR="00B43ACC" w:rsidRPr="009B2F97">
        <w:t xml:space="preserve"> outcome</w:t>
      </w:r>
      <w:r w:rsidR="00ED625F">
        <w:t>s may</w:t>
      </w:r>
      <w:r w:rsidR="00B43ACC" w:rsidRPr="009B2F97">
        <w:t xml:space="preserve"> be considered. </w:t>
      </w:r>
      <w:r w:rsidR="00AA384C">
        <w:t xml:space="preserve">Note, however, that the model itself is a joint model of all housing outcomes. </w:t>
      </w:r>
      <w:r w:rsidR="00ED625F">
        <w:t>As indicated earlier in Figu</w:t>
      </w:r>
      <w:r w:rsidR="00ED625F" w:rsidRPr="008D34D7">
        <w:t xml:space="preserve">re </w:t>
      </w:r>
      <w:r w:rsidR="008D34D7" w:rsidRPr="008D34D7">
        <w:t>3</w:t>
      </w:r>
      <w:r w:rsidR="00ED625F" w:rsidRPr="008D34D7">
        <w:t>, th</w:t>
      </w:r>
      <w:r w:rsidR="00ED625F">
        <w:t xml:space="preserve">e recursive pathway of effects begins with </w:t>
      </w:r>
      <w:r w:rsidR="00AA384C">
        <w:t>commute distance</w:t>
      </w:r>
      <w:r w:rsidR="00CC5AD9">
        <w:t xml:space="preserve"> (see </w:t>
      </w:r>
      <w:r w:rsidR="00286EE0">
        <w:t xml:space="preserve">also </w:t>
      </w:r>
      <w:r w:rsidR="00CC5AD9">
        <w:t xml:space="preserve">the blank </w:t>
      </w:r>
      <w:r w:rsidR="006E6D66">
        <w:t xml:space="preserve">last </w:t>
      </w:r>
      <w:r w:rsidR="00CC5AD9">
        <w:t xml:space="preserve">column </w:t>
      </w:r>
      <w:r w:rsidR="006E6D66">
        <w:t xml:space="preserve">of Table 4 </w:t>
      </w:r>
      <w:r w:rsidR="00CC5AD9">
        <w:t xml:space="preserve">corresponding to commute distance under </w:t>
      </w:r>
      <w:r w:rsidR="006E6D66">
        <w:t xml:space="preserve">the row panel of </w:t>
      </w:r>
      <w:r w:rsidR="00CC5AD9">
        <w:t>“endogenous effects”</w:t>
      </w:r>
      <w:r w:rsidR="00EE0609">
        <w:t>)</w:t>
      </w:r>
      <w:r w:rsidR="00CC5AD9">
        <w:t>, followed by housing type (the only effect in the housing type column in Table 4 is the one from commute distance)</w:t>
      </w:r>
      <w:r w:rsidR="00AA384C">
        <w:t xml:space="preserve">. </w:t>
      </w:r>
      <w:r w:rsidR="00CC5AD9">
        <w:t xml:space="preserve">Both these outcomes have many impacts on other outcomes. </w:t>
      </w:r>
      <w:r w:rsidR="004F0690">
        <w:t xml:space="preserve">In terms of commute distance effects, individuals </w:t>
      </w:r>
      <w:r w:rsidR="004F0690" w:rsidRPr="009C5F54">
        <w:t xml:space="preserve">with long commute distances </w:t>
      </w:r>
      <w:r w:rsidR="004F0690">
        <w:t xml:space="preserve">typically prefer </w:t>
      </w:r>
      <w:r w:rsidR="004F0690" w:rsidRPr="009C5F54">
        <w:t>single-</w:t>
      </w:r>
      <w:r w:rsidR="004F0690" w:rsidRPr="008253CB">
        <w:t>family homes</w:t>
      </w:r>
      <w:r w:rsidR="004F0690">
        <w:t xml:space="preserve">, </w:t>
      </w:r>
      <w:r w:rsidR="004F0690" w:rsidRPr="009179E5">
        <w:t>own their dwelling unit</w:t>
      </w:r>
      <w:r w:rsidR="004F0690">
        <w:t>, and tend to be in neighborhoods with low population density and low crime rates, suggesting an overall “rural-type” housing preference</w:t>
      </w:r>
      <w:r w:rsidR="004F0690" w:rsidRPr="009179E5">
        <w:t xml:space="preserve">. </w:t>
      </w:r>
      <w:r w:rsidR="004F0690">
        <w:t xml:space="preserve">Such individuals also </w:t>
      </w:r>
      <w:r w:rsidR="004F0690" w:rsidRPr="00D21817">
        <w:t>are le</w:t>
      </w:r>
      <w:r w:rsidR="004F0690" w:rsidRPr="009434FD">
        <w:t>ss sensitive to school quality</w:t>
      </w:r>
      <w:r w:rsidR="004F0690">
        <w:t>. I</w:t>
      </w:r>
      <w:r w:rsidR="00CC5AD9">
        <w:t>n the context of housing type</w:t>
      </w:r>
      <w:r w:rsidR="004F0690">
        <w:t xml:space="preserve"> effects</w:t>
      </w:r>
      <w:r w:rsidR="00CC5AD9">
        <w:t xml:space="preserve">, </w:t>
      </w:r>
      <w:r w:rsidR="00EE0609">
        <w:t>individuals</w:t>
      </w:r>
      <w:r w:rsidR="00707C83" w:rsidRPr="009B2F97">
        <w:t xml:space="preserve"> </w:t>
      </w:r>
      <w:r w:rsidR="00EE0609">
        <w:t xml:space="preserve">living in </w:t>
      </w:r>
      <w:r w:rsidR="00707C83" w:rsidRPr="009B2F97">
        <w:t>apartment</w:t>
      </w:r>
      <w:r w:rsidR="00144E1A" w:rsidRPr="009B2F97">
        <w:t xml:space="preserve">s are more likely to be renters, </w:t>
      </w:r>
      <w:r w:rsidR="009D5C42" w:rsidRPr="009B2F97">
        <w:t>tend not to have patios or yards,</w:t>
      </w:r>
      <w:r w:rsidR="00CC5AD9">
        <w:t xml:space="preserve"> </w:t>
      </w:r>
      <w:r w:rsidR="009D5C42" w:rsidRPr="009B2F97">
        <w:t>have fewer bedrooms</w:t>
      </w:r>
      <w:r w:rsidR="00CC5AD9">
        <w:t xml:space="preserve">, </w:t>
      </w:r>
      <w:r w:rsidR="00EE0609">
        <w:t xml:space="preserve">and </w:t>
      </w:r>
      <w:r w:rsidR="00CC5AD9">
        <w:t>are more likely to be in</w:t>
      </w:r>
      <w:r w:rsidR="009D5C42" w:rsidRPr="009B2F97">
        <w:t xml:space="preserve"> </w:t>
      </w:r>
      <w:r w:rsidR="00D47B4B" w:rsidRPr="009B2F97">
        <w:t>high</w:t>
      </w:r>
      <w:r w:rsidR="005B0152" w:rsidRPr="009B2F97">
        <w:t xml:space="preserve"> population</w:t>
      </w:r>
      <w:r w:rsidR="00D47B4B" w:rsidRPr="009B2F97">
        <w:t xml:space="preserve"> density</w:t>
      </w:r>
      <w:r w:rsidR="00CC5AD9">
        <w:t xml:space="preserve"> neighborhoods with high</w:t>
      </w:r>
      <w:r w:rsidR="006E6C49" w:rsidRPr="009B2F97">
        <w:t xml:space="preserve"> housing costs and crime rates</w:t>
      </w:r>
      <w:r w:rsidR="00755B37" w:rsidRPr="009B2F97">
        <w:t xml:space="preserve">, consistent with </w:t>
      </w:r>
      <w:r w:rsidR="008A0A3A" w:rsidRPr="009B2F97">
        <w:t xml:space="preserve">the trends for </w:t>
      </w:r>
      <w:r w:rsidR="00550828" w:rsidRPr="009B2F97">
        <w:t>apartment living in high</w:t>
      </w:r>
      <w:r w:rsidR="005B0152" w:rsidRPr="009B2F97">
        <w:t>-</w:t>
      </w:r>
      <w:r w:rsidR="00550828" w:rsidRPr="009B2F97">
        <w:t>density urban centers</w:t>
      </w:r>
      <w:r w:rsidR="002735C1">
        <w:t>.</w:t>
      </w:r>
      <w:r w:rsidR="00CC5AD9">
        <w:t xml:space="preserve"> </w:t>
      </w:r>
    </w:p>
    <w:p w14:paraId="387F2C2D" w14:textId="69B25E28" w:rsidR="002D27B1" w:rsidRPr="009434FD" w:rsidRDefault="002D27B1" w:rsidP="000B6FD6">
      <w:pPr>
        <w:spacing w:after="0" w:line="240" w:lineRule="auto"/>
        <w:jc w:val="both"/>
        <w:rPr>
          <w:b/>
          <w:bCs/>
        </w:rPr>
      </w:pPr>
      <w:r w:rsidRPr="009B2F97">
        <w:tab/>
      </w:r>
      <w:r w:rsidR="006E6D66">
        <w:t>Population density and m</w:t>
      </w:r>
      <w:r w:rsidR="005B0152" w:rsidRPr="009B2F97">
        <w:t xml:space="preserve">edian housing costs </w:t>
      </w:r>
      <w:r w:rsidR="00CC5AD9">
        <w:t>are next in the recursive sequence, affecting</w:t>
      </w:r>
      <w:r w:rsidR="005B0152" w:rsidRPr="009B2F97">
        <w:t xml:space="preserve"> several dwelling unit attributes and neighborhood characteristics. </w:t>
      </w:r>
      <w:r w:rsidR="006E6D66">
        <w:t>H</w:t>
      </w:r>
      <w:r w:rsidR="006E6D66" w:rsidRPr="009C5F54">
        <w:t xml:space="preserve">ouseholds </w:t>
      </w:r>
      <w:r w:rsidR="006E6D66" w:rsidRPr="008253CB">
        <w:t>residing in densely populated areas tend to</w:t>
      </w:r>
      <w:r w:rsidR="006E6D66">
        <w:t xml:space="preserve"> </w:t>
      </w:r>
      <w:r w:rsidR="006E6D66" w:rsidRPr="001D5FAF">
        <w:t>prioritize access to amenities</w:t>
      </w:r>
      <w:r w:rsidR="006E6D66">
        <w:t xml:space="preserve"> but</w:t>
      </w:r>
      <w:r w:rsidR="006E6D66" w:rsidRPr="001D5FAF">
        <w:t xml:space="preserve"> are less sensitive to the quality of schools and to crime rates</w:t>
      </w:r>
      <w:r w:rsidR="006E6D66">
        <w:t>, while</w:t>
      </w:r>
      <w:r w:rsidR="006E6D66" w:rsidRPr="009179E5">
        <w:t xml:space="preserve"> </w:t>
      </w:r>
      <w:r w:rsidR="006E6D66" w:rsidRPr="00933723">
        <w:t>residence in a</w:t>
      </w:r>
      <w:r w:rsidR="00E94748" w:rsidRPr="009B2F97">
        <w:t xml:space="preserve"> higher</w:t>
      </w:r>
      <w:r w:rsidR="00BD2701" w:rsidRPr="009B2F97">
        <w:t xml:space="preserve"> median housing cost</w:t>
      </w:r>
      <w:r w:rsidR="00E94748" w:rsidRPr="009B2F97">
        <w:t xml:space="preserve"> </w:t>
      </w:r>
      <w:r w:rsidR="006E6D66">
        <w:t xml:space="preserve">area implies </w:t>
      </w:r>
      <w:r w:rsidR="00E94748" w:rsidRPr="009B2F97">
        <w:t>dwelling units that have</w:t>
      </w:r>
      <w:r w:rsidR="007876CF" w:rsidRPr="009B2F97">
        <w:t xml:space="preserve"> more bedrooms</w:t>
      </w:r>
      <w:r w:rsidR="009179E5">
        <w:t xml:space="preserve"> situated in </w:t>
      </w:r>
      <w:r w:rsidR="00E94748" w:rsidRPr="009B2F97">
        <w:t xml:space="preserve">areas with </w:t>
      </w:r>
      <w:r w:rsidR="007876CF" w:rsidRPr="009B2F97">
        <w:t xml:space="preserve">high population densities, high quality schools, and low crime rates. </w:t>
      </w:r>
      <w:r w:rsidR="00187B4A" w:rsidRPr="009B2F97">
        <w:t>The</w:t>
      </w:r>
      <w:r w:rsidR="009179E5">
        <w:t>se results are evidence of money being able to buy not only larger-sized ho</w:t>
      </w:r>
      <w:r w:rsidR="002735C1">
        <w:t>uses</w:t>
      </w:r>
      <w:r w:rsidR="009179E5">
        <w:t xml:space="preserve">, but also </w:t>
      </w:r>
      <w:r w:rsidR="002735C1">
        <w:t xml:space="preserve">dwelling </w:t>
      </w:r>
      <w:r w:rsidR="009179E5">
        <w:t xml:space="preserve">units situated in </w:t>
      </w:r>
      <w:r w:rsidR="002735C1">
        <w:t xml:space="preserve">safe </w:t>
      </w:r>
      <w:r w:rsidR="009179E5">
        <w:t xml:space="preserve">neighborhoods with </w:t>
      </w:r>
      <w:r w:rsidR="00187B4A" w:rsidRPr="009179E5">
        <w:t>high</w:t>
      </w:r>
      <w:r w:rsidR="00187B4A" w:rsidRPr="009B2F97">
        <w:t xml:space="preserve"> quality schools</w:t>
      </w:r>
      <w:r w:rsidR="002735C1">
        <w:t>.</w:t>
      </w:r>
      <w:r w:rsidR="0076392A" w:rsidRPr="009B2F97">
        <w:t xml:space="preserve"> </w:t>
      </w:r>
      <w:r w:rsidR="00D32196" w:rsidRPr="00D21817">
        <w:t>While th</w:t>
      </w:r>
      <w:r w:rsidR="002735C1">
        <w:t>ese</w:t>
      </w:r>
      <w:r w:rsidR="00D32196" w:rsidRPr="00D21817">
        <w:t xml:space="preserve"> effect</w:t>
      </w:r>
      <w:r w:rsidR="002735C1">
        <w:t>s</w:t>
      </w:r>
      <w:r w:rsidR="00D32196" w:rsidRPr="00D21817">
        <w:t xml:space="preserve"> </w:t>
      </w:r>
      <w:r w:rsidR="002735C1">
        <w:t>are</w:t>
      </w:r>
      <w:r w:rsidR="00D32196" w:rsidRPr="00D21817">
        <w:t xml:space="preserve"> similar to those found in</w:t>
      </w:r>
      <w:r w:rsidR="002735C1">
        <w:t xml:space="preserve"> earlier </w:t>
      </w:r>
      <w:r w:rsidR="00D32196" w:rsidRPr="009434FD">
        <w:t>studies</w:t>
      </w:r>
      <w:r w:rsidR="002735C1">
        <w:t xml:space="preserve"> </w:t>
      </w:r>
      <w:r w:rsidR="002735C1" w:rsidRPr="00D21817">
        <w:fldChar w:fldCharType="begin"/>
      </w:r>
      <w:r w:rsidR="000C4AE3">
        <w:instrText xml:space="preserve"> ADDIN ZOTERO_ITEM CSL_CITATION {"citationID":"jkBhCDn6","properties":{"formattedCitation":"(Hasan and Kumar, 2019; Kang, 2016)","plainCitation":"(Hasan and Kumar, 2019; Kang, 2016)","dontUpdate":true,"noteIndex":0},"citationItems":[{"id":745,"uris":["http://zotero.org/users/local/1ztI2Oc6/items/W6S6YQ78","http://zotero.org/users/12832277/items/W6S6YQ78"],"itemData":{"id":745,"type":"article","abstract":"We analyze whether widespread online access to school-performance information affected economic and social segregation in America. We leverage the staged rollout of GreatSchools.org school ratings from 2006--2015 to answer this question. Across a range of outcomes and specifications, we find that the mass availability of school ratings has accelerated divergence in housing values, income distributions and education levels as well as the racial and ethnic composition across communities. Affluent and more educated families were better positioned to leverage this new information to capture educational opportunities in communities with the best schools. An unintended consequence of better information was less, rather than more, equity in education.","DOI":"10.2139/ssrn.3265316","event-place":"Rochester, NY","genre":"SSRN Scholarly Paper","language":"en","number":"3265316","publisher-place":"Rochester, NY","source":"Social Science Research Network","title":"Digitization and Divergence: Online School Ratings and Segregation in America","title-short":"Digitization and Divergence","URL":"https://papers.ssrn.com/abstract=3265316","author":[{"family":"Hasan","given":"Sharique"},{"family":"Kumar","given":"Anuj"}],"accessed":{"date-parts":[["2023",5,16]]},"issued":{"date-parts":[["2019",7,23]]}}},{"id":747,"uris":["http://zotero.org/users/local/1ztI2Oc6/items/W2M3K8DM","http://zotero.org/users/12832277/items/W2M3K8DM"],"itemData":{"id":747,"type":"article-journal","abstract":"Economic inequality has long been considered an important determinant of crime. Existing evidence, however, is mostly based on inadequately aggregated data sets, making its interpretation less than straightforward. Using tract- and county-level U.S. Census panel data, I decompose county-level income inequality into its within- and across-tract components and examine the extent to which county-level crime rates are influenced by local inequality and economic segregation. I find that the previously reported positive correlation between violent crime and economic inequality is largely driven by economic segregation across neighborhoods instead of within-neighborhood inequality. Moreover, there is little evidence of a significant empirical link between overall inequality and crime when county- and time-fixed effects are controlled for. On the other hand, a particular form of economic inequality, namely, poverty concentration, remains an important predictor of county-level crime rates.","container-title":"Journal of Population Economics","DOI":"10.1007/s00148-015-0579-3","ISSN":"1432-1475","issue":"2","language":"en","page":"593-626","source":"Springer Link","title":"Inequality and Crime Revisited: Effects of Local Inequality and Economic Segregation on Crime","title-short":"Inequality and Crime Revisited","volume":"29","author":[{"family":"Kang","given":"Songman"}],"issued":{"date-parts":[["2016",4,1]]}}}],"schema":"https://github.com/citation-style-language/schema/raw/master/csl-citation.json"} </w:instrText>
      </w:r>
      <w:r w:rsidR="002735C1" w:rsidRPr="00D21817">
        <w:fldChar w:fldCharType="separate"/>
      </w:r>
      <w:r w:rsidR="002735C1" w:rsidRPr="00D21817">
        <w:t>(</w:t>
      </w:r>
      <w:r w:rsidR="002735C1">
        <w:t xml:space="preserve">see </w:t>
      </w:r>
      <w:r w:rsidR="002735C1" w:rsidRPr="00D21817">
        <w:t>Hasan and Kumar, 2019</w:t>
      </w:r>
      <w:r w:rsidR="002735C1">
        <w:t xml:space="preserve"> and</w:t>
      </w:r>
      <w:r w:rsidR="002735C1" w:rsidRPr="00D21817">
        <w:t xml:space="preserve"> Kang, 2016)</w:t>
      </w:r>
      <w:r w:rsidR="002735C1" w:rsidRPr="00D21817">
        <w:fldChar w:fldCharType="end"/>
      </w:r>
      <w:r w:rsidR="00D32196" w:rsidRPr="009434FD">
        <w:t xml:space="preserve">, </w:t>
      </w:r>
      <w:r w:rsidR="00E6497C" w:rsidRPr="009434FD">
        <w:t xml:space="preserve">the direction of causation is different. </w:t>
      </w:r>
      <w:r w:rsidR="002735C1">
        <w:t xml:space="preserve">Specifically, earlier studies </w:t>
      </w:r>
      <w:r w:rsidR="00E6497C" w:rsidRPr="009434FD">
        <w:t>have</w:t>
      </w:r>
      <w:r w:rsidR="009179E5">
        <w:t xml:space="preserve"> used neighborhood characteristics as determinants of neighborhood housing costs, </w:t>
      </w:r>
      <w:r w:rsidR="00E6497C" w:rsidRPr="009C5F54">
        <w:t>bu</w:t>
      </w:r>
      <w:r w:rsidR="00E6497C" w:rsidRPr="008253CB">
        <w:t xml:space="preserve">t we find that the </w:t>
      </w:r>
      <w:r w:rsidR="009179E5">
        <w:t xml:space="preserve">“true” </w:t>
      </w:r>
      <w:r w:rsidR="00E6497C" w:rsidRPr="008253CB">
        <w:t xml:space="preserve">causal direction </w:t>
      </w:r>
      <w:r w:rsidR="009179E5">
        <w:t xml:space="preserve">(after accommodating for the jointness) </w:t>
      </w:r>
      <w:r w:rsidR="00E6497C" w:rsidRPr="008253CB">
        <w:t xml:space="preserve">is from housing cost to </w:t>
      </w:r>
      <w:r w:rsidR="00F87032" w:rsidRPr="008253CB">
        <w:t>other neighborhood characteristics</w:t>
      </w:r>
      <w:r w:rsidR="009179E5">
        <w:t>.</w:t>
      </w:r>
      <w:r w:rsidR="00C326E7" w:rsidRPr="001D5FAF">
        <w:t xml:space="preserve"> </w:t>
      </w:r>
      <w:bookmarkEnd w:id="27"/>
      <w:r w:rsidR="00FA0A75" w:rsidRPr="009C5F54">
        <w:t xml:space="preserve"> </w:t>
      </w:r>
    </w:p>
    <w:p w14:paraId="12B78306" w14:textId="4CDD0907" w:rsidR="009C5F54" w:rsidRPr="009434FD" w:rsidRDefault="009C5F54" w:rsidP="000B6FD6">
      <w:pPr>
        <w:spacing w:after="0" w:line="240" w:lineRule="auto"/>
        <w:ind w:firstLine="720"/>
        <w:jc w:val="both"/>
      </w:pPr>
    </w:p>
    <w:p w14:paraId="6F9ACC9D" w14:textId="05E656C8" w:rsidR="00962A8D" w:rsidRPr="00946B00" w:rsidRDefault="00962A8D" w:rsidP="000B6FD6">
      <w:pPr>
        <w:spacing w:after="0" w:line="240" w:lineRule="auto"/>
        <w:jc w:val="both"/>
        <w:rPr>
          <w:b/>
          <w:bCs/>
          <w:i/>
          <w:iCs/>
        </w:rPr>
      </w:pPr>
      <w:r w:rsidRPr="009C5F54">
        <w:rPr>
          <w:b/>
          <w:bCs/>
          <w:i/>
          <w:iCs/>
        </w:rPr>
        <w:t xml:space="preserve">4.2.4 </w:t>
      </w:r>
      <w:bookmarkStart w:id="28" w:name="_Hlk148694902"/>
      <w:r w:rsidRPr="009C5F54">
        <w:rPr>
          <w:b/>
          <w:bCs/>
          <w:i/>
          <w:iCs/>
        </w:rPr>
        <w:t>Imp</w:t>
      </w:r>
      <w:r w:rsidRPr="00946B00">
        <w:rPr>
          <w:b/>
          <w:bCs/>
          <w:i/>
          <w:iCs/>
        </w:rPr>
        <w:t>lied Co</w:t>
      </w:r>
      <w:r w:rsidR="000B6FD6" w:rsidRPr="00946B00">
        <w:rPr>
          <w:b/>
          <w:bCs/>
          <w:i/>
          <w:iCs/>
        </w:rPr>
        <w:t>rrelations</w:t>
      </w:r>
      <w:r w:rsidRPr="00946B00">
        <w:rPr>
          <w:b/>
          <w:bCs/>
          <w:i/>
          <w:iCs/>
        </w:rPr>
        <w:t xml:space="preserve"> Among Main Outcomes</w:t>
      </w:r>
    </w:p>
    <w:p w14:paraId="35DF6B1D" w14:textId="5B845908" w:rsidR="00644C37" w:rsidRDefault="00644C37" w:rsidP="00644C37">
      <w:pPr>
        <w:spacing w:after="0" w:line="240" w:lineRule="auto"/>
        <w:jc w:val="both"/>
      </w:pPr>
      <w:bookmarkStart w:id="29" w:name="_Hlk148694917"/>
      <w:bookmarkEnd w:id="28"/>
      <w:r w:rsidRPr="00946B00">
        <w:t>As noted above, the endogenous eff</w:t>
      </w:r>
      <w:r>
        <w:t xml:space="preserve">ects discussed in the previous section represent the </w:t>
      </w:r>
      <w:r w:rsidR="00290FD1">
        <w:t>“</w:t>
      </w:r>
      <w:r>
        <w:t>true</w:t>
      </w:r>
      <w:r w:rsidR="00290FD1">
        <w:t>”</w:t>
      </w:r>
      <w:r>
        <w:t xml:space="preserve"> causal effects between housing outcomes, after accounting for the effects of correlations engendered by the latent constructs. </w:t>
      </w:r>
      <w:r w:rsidR="00290FD1">
        <w:tab/>
      </w:r>
      <w:r>
        <w:t>The correlatio</w:t>
      </w:r>
      <w:r w:rsidR="00290FD1">
        <w:t>n matrix among</w:t>
      </w:r>
      <w:r>
        <w:t xml:space="preserve"> </w:t>
      </w:r>
      <w:r w:rsidR="00290FD1">
        <w:t xml:space="preserve">the </w:t>
      </w:r>
      <w:r>
        <w:t xml:space="preserve">housing outcomes </w:t>
      </w:r>
      <w:r w:rsidR="00290FD1">
        <w:t>(</w:t>
      </w:r>
      <w:r>
        <w:t>corresponding to the covaria</w:t>
      </w:r>
      <w:r w:rsidR="00290FD1">
        <w:t>nce</w:t>
      </w:r>
      <w:r>
        <w:t xml:space="preserve"> matrix estimated in the GHDM</w:t>
      </w:r>
      <w:r w:rsidR="00290FD1">
        <w:t>)</w:t>
      </w:r>
      <w:r>
        <w:t xml:space="preserve"> </w:t>
      </w:r>
      <w:r w:rsidR="00A503EA">
        <w:t>is</w:t>
      </w:r>
      <w:r>
        <w:t xml:space="preserve"> presented in Table </w:t>
      </w:r>
      <w:r w:rsidR="00A503EA">
        <w:t>5</w:t>
      </w:r>
      <w:r w:rsidR="000A1CB7">
        <w:t xml:space="preserve"> (only the upper diagonal is shown because of the symmetric nature of the matrix)</w:t>
      </w:r>
      <w:r>
        <w:t xml:space="preserve">. Note that none of the three latent constructs have a significant impact on school quality, so no correlations are generated between school quality and any other housing outcomes. </w:t>
      </w:r>
    </w:p>
    <w:p w14:paraId="7EA38865" w14:textId="7DB60207" w:rsidR="009A48EC" w:rsidRDefault="00946B00" w:rsidP="00B22A01">
      <w:pPr>
        <w:spacing w:after="0" w:line="240" w:lineRule="auto"/>
        <w:jc w:val="both"/>
      </w:pPr>
      <w:r>
        <w:tab/>
      </w:r>
      <w:r w:rsidR="00961D5D">
        <w:t xml:space="preserve">The correlations shown in Table </w:t>
      </w:r>
      <w:r w:rsidR="00A503EA">
        <w:t>5</w:t>
      </w:r>
      <w:r w:rsidR="00961D5D">
        <w:t xml:space="preserve"> range from -0.318 to 0.227</w:t>
      </w:r>
      <w:r w:rsidR="00290FD1">
        <w:t>,</w:t>
      </w:r>
      <w:r w:rsidR="00961D5D">
        <w:t xml:space="preserve"> with the highest correlations between dwelling unit attributes. </w:t>
      </w:r>
      <w:r>
        <w:t>The</w:t>
      </w:r>
      <w:r w:rsidR="00961D5D">
        <w:t>se</w:t>
      </w:r>
      <w:r>
        <w:t xml:space="preserve"> high correlations are to be expected, as people who live in apartments are intrinsically more likely to rent, </w:t>
      </w:r>
      <w:r w:rsidR="009A48EC">
        <w:t xml:space="preserve">to live in a home without </w:t>
      </w:r>
      <w:r>
        <w:t xml:space="preserve">a patio or yard, and to have </w:t>
      </w:r>
      <w:r w:rsidR="009A48EC">
        <w:t>fewer</w:t>
      </w:r>
      <w:r>
        <w:t xml:space="preserve"> bedrooms. </w:t>
      </w:r>
      <w:r w:rsidR="00290FD1">
        <w:t xml:space="preserve">Apartment living </w:t>
      </w:r>
      <w:r>
        <w:t xml:space="preserve">is also </w:t>
      </w:r>
      <w:r w:rsidR="00664006">
        <w:t>positively</w:t>
      </w:r>
      <w:r>
        <w:t xml:space="preserve"> correlated with </w:t>
      </w:r>
      <w:r w:rsidR="00664006">
        <w:t xml:space="preserve">many </w:t>
      </w:r>
      <w:r>
        <w:t xml:space="preserve">neighborhood characteristics, particularly population density, which is also expected since apartment living is </w:t>
      </w:r>
      <w:r w:rsidR="00664006">
        <w:t xml:space="preserve">much more prevalent in </w:t>
      </w:r>
      <w:r>
        <w:t>hig</w:t>
      </w:r>
      <w:r w:rsidR="00664006">
        <w:t>h</w:t>
      </w:r>
      <w:r>
        <w:t xml:space="preserve"> density</w:t>
      </w:r>
      <w:r w:rsidR="00664006">
        <w:t xml:space="preserve"> areas</w:t>
      </w:r>
      <w:r>
        <w:t xml:space="preserve">. </w:t>
      </w:r>
      <w:r w:rsidR="00961D5D">
        <w:t>Correlations between neighborhood characteristics are much lower, ranging from -0.004 to 0.087, indicating that intrinsic valuations of these factors are less closely linked</w:t>
      </w:r>
      <w:r w:rsidR="004C5C77">
        <w:t xml:space="preserve">. </w:t>
      </w:r>
      <w:r w:rsidR="009A48EC">
        <w:t>Without controlling for these correlation</w:t>
      </w:r>
      <w:r w:rsidR="00664006">
        <w:t xml:space="preserve"> effects</w:t>
      </w:r>
      <w:r w:rsidR="009A48EC">
        <w:t xml:space="preserve">, estimates of endogenous effects would be biased. For instance, without accounting for the strong negative correlation </w:t>
      </w:r>
      <w:r w:rsidR="009A48EC">
        <w:lastRenderedPageBreak/>
        <w:t xml:space="preserve">between commute distance and housing type, we would overestimate the </w:t>
      </w:r>
      <w:r w:rsidR="00664006">
        <w:t xml:space="preserve">“true” causal </w:t>
      </w:r>
      <w:r w:rsidR="009A48EC">
        <w:t xml:space="preserve">impact of commute distance on preference for an apartment. </w:t>
      </w:r>
    </w:p>
    <w:bookmarkEnd w:id="29"/>
    <w:p w14:paraId="292EE098" w14:textId="77777777" w:rsidR="003162D2" w:rsidRPr="009179E5" w:rsidRDefault="003162D2" w:rsidP="00C516A0">
      <w:pPr>
        <w:spacing w:after="0" w:line="240" w:lineRule="auto"/>
        <w:jc w:val="both"/>
      </w:pPr>
    </w:p>
    <w:p w14:paraId="0FD6FF5B" w14:textId="14173C32" w:rsidR="00E84275" w:rsidRPr="0077513C" w:rsidRDefault="00DB69AE" w:rsidP="000B6FD6">
      <w:pPr>
        <w:spacing w:after="0" w:line="240" w:lineRule="auto"/>
        <w:jc w:val="both"/>
        <w:rPr>
          <w:b/>
          <w:bCs/>
        </w:rPr>
      </w:pPr>
      <w:r w:rsidRPr="00AD7085">
        <w:rPr>
          <w:b/>
          <w:bCs/>
        </w:rPr>
        <w:t>4.</w:t>
      </w:r>
      <w:r w:rsidR="002134FA" w:rsidRPr="0077513C">
        <w:rPr>
          <w:b/>
          <w:bCs/>
        </w:rPr>
        <w:t>3</w:t>
      </w:r>
      <w:r w:rsidRPr="0077513C">
        <w:rPr>
          <w:b/>
          <w:bCs/>
        </w:rPr>
        <w:t xml:space="preserve"> Model Fit</w:t>
      </w:r>
    </w:p>
    <w:p w14:paraId="01047CB2" w14:textId="62B7780C" w:rsidR="00197583" w:rsidRPr="001D5FAF" w:rsidRDefault="004F0690" w:rsidP="00D13A32">
      <w:pPr>
        <w:spacing w:after="120" w:line="240" w:lineRule="auto"/>
        <w:jc w:val="both"/>
      </w:pPr>
      <w:bookmarkStart w:id="30" w:name="_Hlk148695024"/>
      <w:r>
        <w:t xml:space="preserve">We assess the proposed joint GHDM </w:t>
      </w:r>
      <w:r w:rsidR="00723E48" w:rsidRPr="009B2F97">
        <w:t xml:space="preserve">with a restricted </w:t>
      </w:r>
      <w:r>
        <w:t xml:space="preserve">independent heterogeneous data </w:t>
      </w:r>
      <w:r w:rsidR="00723E48" w:rsidRPr="00AD7085">
        <w:t xml:space="preserve">model </w:t>
      </w:r>
      <w:r>
        <w:t xml:space="preserve">(IHDM) </w:t>
      </w:r>
      <w:r w:rsidR="00723E48" w:rsidRPr="00AD7085">
        <w:t xml:space="preserve">that </w:t>
      </w:r>
      <w:r>
        <w:t xml:space="preserve">ignores the jointness among the many housing outcomes. </w:t>
      </w:r>
      <w:r w:rsidR="00E468DB">
        <w:t xml:space="preserve">This entails ignoring the stochastic latent constructs and </w:t>
      </w:r>
      <w:r w:rsidR="00A437BC">
        <w:t>removing</w:t>
      </w:r>
      <w:r w:rsidR="00E468DB">
        <w:t xml:space="preserve"> the MEM component of the GHDM model that links exogenous variables to the latent constructs</w:t>
      </w:r>
      <w:r w:rsidR="00A437BC">
        <w:t>. Thus, the IHDM has</w:t>
      </w:r>
      <w:r w:rsidR="00E468DB">
        <w:t xml:space="preserve"> a diagonal </w:t>
      </w:r>
      <w:r w:rsidR="00A437BC">
        <w:t>covariance</w:t>
      </w:r>
      <w:r w:rsidR="00E468DB">
        <w:t xml:space="preserve"> matrix for the </w:t>
      </w:r>
      <w:r w:rsidR="00664006">
        <w:t xml:space="preserve">ten housing </w:t>
      </w:r>
      <w:r w:rsidR="00E468DB">
        <w:t>outcomes with unit entries along the diagonals</w:t>
      </w:r>
      <w:r w:rsidR="00A437BC">
        <w:t xml:space="preserve"> rather than the general covariance matrix used in the estimation of the GHDM (</w:t>
      </w:r>
      <w:r w:rsidR="00644C37">
        <w:t xml:space="preserve">corresponding to the correlation matrix shown in Table </w:t>
      </w:r>
      <w:r w:rsidR="00C17E30">
        <w:t>5</w:t>
      </w:r>
      <w:r w:rsidR="00644C37">
        <w:t xml:space="preserve"> and discussed in the previous section</w:t>
      </w:r>
      <w:r w:rsidR="00A437BC">
        <w:t>).</w:t>
      </w:r>
      <w:r w:rsidR="00E468DB">
        <w:t xml:space="preserve"> </w:t>
      </w:r>
      <w:r w:rsidR="00644C37">
        <w:t>However</w:t>
      </w:r>
      <w:r w:rsidR="00E468DB">
        <w:t>, t</w:t>
      </w:r>
      <w:r>
        <w:t xml:space="preserve">o </w:t>
      </w:r>
      <w:r w:rsidR="00E468DB">
        <w:t xml:space="preserve">ensure a fair comparison, </w:t>
      </w:r>
      <w:r>
        <w:t xml:space="preserve">we estimate </w:t>
      </w:r>
      <w:r w:rsidR="00E468DB">
        <w:t>the IHDM</w:t>
      </w:r>
      <w:r>
        <w:t xml:space="preserve"> including the determinants of the latent constructs</w:t>
      </w:r>
      <w:r w:rsidR="00E468DB">
        <w:t xml:space="preserve"> </w:t>
      </w:r>
      <w:r>
        <w:t xml:space="preserve">as explanatory variables, while maintaining the </w:t>
      </w:r>
      <w:proofErr w:type="spellStart"/>
      <w:r w:rsidR="00644C37">
        <w:t>recursivity</w:t>
      </w:r>
      <w:proofErr w:type="spellEnd"/>
      <w:r>
        <w:t xml:space="preserve"> in the </w:t>
      </w:r>
      <w:r w:rsidR="00E468DB">
        <w:t>outcomes</w:t>
      </w:r>
      <w:r>
        <w:t xml:space="preserve"> as obtained from </w:t>
      </w:r>
      <w:r w:rsidR="00E468DB">
        <w:t xml:space="preserve">the </w:t>
      </w:r>
      <w:r>
        <w:t xml:space="preserve">GHDM model. </w:t>
      </w:r>
      <w:r w:rsidR="00723E48" w:rsidRPr="009B2F97">
        <w:t xml:space="preserve">The GHDM </w:t>
      </w:r>
      <w:r w:rsidR="00E468DB">
        <w:t xml:space="preserve">and IHDM </w:t>
      </w:r>
      <w:r w:rsidR="00723E48" w:rsidRPr="00AD7085">
        <w:t>model</w:t>
      </w:r>
      <w:r w:rsidR="00E468DB">
        <w:t xml:space="preserve">s </w:t>
      </w:r>
      <w:r w:rsidR="00723E48" w:rsidRPr="009B2F97">
        <w:t xml:space="preserve">are not nested, as the latter lacks a mechanism to incorporate latent constructs. Thus, we </w:t>
      </w:r>
      <w:r w:rsidR="00E468DB">
        <w:t>use the Bayesian Information Criterion (BIC) and the</w:t>
      </w:r>
      <w:r w:rsidR="00AD7085">
        <w:t xml:space="preserve"> non-nested </w:t>
      </w:r>
      <w:r w:rsidR="00E468DB">
        <w:t xml:space="preserve">likelihood ratio index data fit measures for comparing the models. </w:t>
      </w:r>
      <w:r w:rsidR="00723E48" w:rsidRPr="009B2F97">
        <w:t xml:space="preserve">The BIC metric is </w:t>
      </w:r>
      <w:r w:rsidR="00E468DB">
        <w:t xml:space="preserve">computed </w:t>
      </w:r>
      <w:r w:rsidR="00723E48" w:rsidRPr="009B2F97">
        <w:t>as follows:</w:t>
      </w:r>
      <w:r w:rsidR="00AC2F4E" w:rsidRPr="009B2F97">
        <w:t xml:space="preserve"> (BIC) statistic [= –</w:t>
      </w:r>
      <w:bookmarkStart w:id="31" w:name="_Hlk148695067"/>
      <w:r w:rsidR="00D13A32" w:rsidRPr="0082409F">
        <w:rPr>
          <w:position w:val="-10"/>
        </w:rPr>
        <w:object w:dxaOrig="600" w:dyaOrig="380" w14:anchorId="310E8600">
          <v:shape id="_x0000_i1147" type="#_x0000_t75" style="width:30pt;height:18.85pt" o:ole="" o:preferrelative="f">
            <v:imagedata r:id="rId242" o:title=""/>
            <o:lock v:ext="edit" aspectratio="f"/>
          </v:shape>
          <o:OLEObject Type="Embed" ProgID="Equation.DSMT4" ShapeID="_x0000_i1147" DrawAspect="Content" ObjectID="_1776695143" r:id="rId243"/>
        </w:object>
      </w:r>
      <w:bookmarkEnd w:id="31"/>
      <w:r w:rsidR="00AC2F4E" w:rsidRPr="009B2F97">
        <w:t>+ 0.5 (# of model parameters) log (sample size)] (</w:t>
      </w:r>
      <w:bookmarkStart w:id="32" w:name="_Hlk148695082"/>
      <w:r w:rsidR="00D13A32" w:rsidRPr="0082409F">
        <w:rPr>
          <w:position w:val="-10"/>
        </w:rPr>
        <w:object w:dxaOrig="600" w:dyaOrig="380" w14:anchorId="1548A2A5">
          <v:shape id="_x0000_i1148" type="#_x0000_t75" style="width:30pt;height:18.85pt" o:ole="" o:preferrelative="f">
            <v:imagedata r:id="rId244" o:title=""/>
            <o:lock v:ext="edit" aspectratio="f"/>
          </v:shape>
          <o:OLEObject Type="Embed" ProgID="Equation.DSMT4" ShapeID="_x0000_i1148" DrawAspect="Content" ObjectID="_1776695144" r:id="rId245"/>
        </w:object>
      </w:r>
      <w:bookmarkEnd w:id="32"/>
      <w:r w:rsidR="00AC2F4E" w:rsidRPr="009B2F97">
        <w:t xml:space="preserve"> is the predictive log-likelihood at convergence)</w:t>
      </w:r>
      <w:r w:rsidR="00723E48" w:rsidRPr="009434FD">
        <w:t>. The model with a lower BIC statistic i</w:t>
      </w:r>
      <w:r w:rsidR="00E468DB">
        <w:t xml:space="preserve">s </w:t>
      </w:r>
      <w:r w:rsidR="00723E48" w:rsidRPr="009434FD">
        <w:t>the preferred model</w:t>
      </w:r>
      <w:r w:rsidR="00AD7085">
        <w:t xml:space="preserve">. </w:t>
      </w:r>
      <w:r w:rsidR="00644C37">
        <w:t>Additionally, t</w:t>
      </w:r>
      <w:r w:rsidR="00AD7085">
        <w:t>he</w:t>
      </w:r>
      <w:r w:rsidR="00723E48" w:rsidRPr="009434FD">
        <w:t xml:space="preserve"> non-nested likelihood ratio test </w:t>
      </w:r>
      <w:r w:rsidR="00AD7085">
        <w:t xml:space="preserve">uses </w:t>
      </w:r>
      <w:r w:rsidR="00723E48" w:rsidRPr="009434FD">
        <w:t>the adjusted likelihood ratio index for each model (joint and independent) relative to the log-</w:t>
      </w:r>
      <w:r w:rsidR="00723E48" w:rsidRPr="009C5F54">
        <w:t xml:space="preserve">likelihood obtained by considering only the constants in </w:t>
      </w:r>
      <w:r w:rsidR="000B6FD6">
        <w:t>each outcome</w:t>
      </w:r>
      <w:r w:rsidR="00723E48" w:rsidRPr="009C5F54">
        <w:t xml:space="preserve">. The adjusted likelihood ratio index is </w:t>
      </w:r>
      <w:r w:rsidR="00AD7085">
        <w:t xml:space="preserve">first </w:t>
      </w:r>
      <w:r w:rsidR="00723E48" w:rsidRPr="009C5F54">
        <w:t>calculated as</w:t>
      </w:r>
      <w:r w:rsidR="00197583" w:rsidRPr="008253CB">
        <w:t>:</w:t>
      </w:r>
    </w:p>
    <w:bookmarkStart w:id="33" w:name="_Hlk148695112"/>
    <w:p w14:paraId="243077D5" w14:textId="2FEF87EB" w:rsidR="00197583" w:rsidRPr="00DD68D6" w:rsidRDefault="00D13A32" w:rsidP="00311FBB">
      <w:pPr>
        <w:tabs>
          <w:tab w:val="right" w:pos="9360"/>
        </w:tabs>
        <w:spacing w:after="120" w:line="240" w:lineRule="auto"/>
        <w:jc w:val="both"/>
      </w:pPr>
      <w:r w:rsidRPr="0082409F">
        <w:rPr>
          <w:position w:val="-28"/>
        </w:rPr>
        <w:object w:dxaOrig="1800" w:dyaOrig="720" w14:anchorId="6AD8638C">
          <v:shape id="_x0000_i1149" type="#_x0000_t75" style="width:90pt;height:36pt" o:ole="" o:preferrelative="f">
            <v:imagedata r:id="rId246" o:title=""/>
            <o:lock v:ext="edit" aspectratio="f"/>
          </v:shape>
          <o:OLEObject Type="Embed" ProgID="Equation.DSMT4" ShapeID="_x0000_i1149" DrawAspect="Content" ObjectID="_1776695145" r:id="rId247"/>
        </w:object>
      </w:r>
      <w:bookmarkEnd w:id="33"/>
      <w:r w:rsidR="00304A34">
        <w:t>,</w:t>
      </w:r>
      <w:r w:rsidR="00197583" w:rsidRPr="009B2F97">
        <w:tab/>
        <w:t xml:space="preserve"> (1</w:t>
      </w:r>
      <w:r w:rsidR="00197583" w:rsidRPr="00D21817">
        <w:t>2</w:t>
      </w:r>
      <w:r w:rsidR="00197583" w:rsidRPr="004736A5">
        <w:t>)</w:t>
      </w:r>
    </w:p>
    <w:p w14:paraId="6EAE344C" w14:textId="25C476B1" w:rsidR="00693CE1" w:rsidRPr="009434FD" w:rsidRDefault="00D13A32" w:rsidP="000B6FD6">
      <w:pPr>
        <w:spacing w:after="0" w:line="240" w:lineRule="auto"/>
        <w:jc w:val="both"/>
      </w:pPr>
      <w:r>
        <w:t>w</w:t>
      </w:r>
      <w:r w:rsidR="00197583" w:rsidRPr="00DD68D6">
        <w:t>here</w:t>
      </w:r>
      <w:bookmarkStart w:id="34" w:name="_Hlk148695146"/>
      <w:r>
        <w:t xml:space="preserve"> </w:t>
      </w:r>
      <w:r w:rsidRPr="00D21817">
        <w:rPr>
          <w:position w:val="-10"/>
        </w:rPr>
        <w:object w:dxaOrig="520" w:dyaOrig="400" w14:anchorId="410A0C32">
          <v:shape id="_x0000_i1150" type="#_x0000_t75" style="width:26.15pt;height:20.15pt" o:ole="" o:preferrelative="f">
            <v:imagedata r:id="rId248" o:title=""/>
            <o:lock v:ext="edit" aspectratio="f"/>
          </v:shape>
          <o:OLEObject Type="Embed" ProgID="Equation.DSMT4" ShapeID="_x0000_i1150" DrawAspect="Content" ObjectID="_1776695146" r:id="rId249"/>
        </w:object>
      </w:r>
      <w:bookmarkEnd w:id="34"/>
      <w:r>
        <w:t xml:space="preserve"> </w:t>
      </w:r>
      <w:r w:rsidR="00723E48" w:rsidRPr="009B2F97">
        <w:t xml:space="preserve">corresponds to the predictive log-likelihood at convergence and </w:t>
      </w:r>
      <w:bookmarkStart w:id="35" w:name="_Hlk148695159"/>
      <w:r w:rsidRPr="0082409F">
        <w:rPr>
          <w:position w:val="-10"/>
        </w:rPr>
        <w:object w:dxaOrig="499" w:dyaOrig="320" w14:anchorId="5EA30A7F">
          <v:shape id="_x0000_i1151" type="#_x0000_t75" style="width:25.3pt;height:15.85pt" o:ole="" o:preferrelative="f">
            <v:imagedata r:id="rId250" o:title=""/>
            <o:lock v:ext="edit" aspectratio="f"/>
          </v:shape>
          <o:OLEObject Type="Embed" ProgID="Equation.DSMT4" ShapeID="_x0000_i1151" DrawAspect="Content" ObjectID="_1776695147" r:id="rId251"/>
        </w:object>
      </w:r>
      <w:bookmarkEnd w:id="35"/>
      <w:r w:rsidR="00723E48" w:rsidRPr="009B2F97">
        <w:t xml:space="preserve"> is </w:t>
      </w:r>
      <w:r w:rsidR="00DD60A8" w:rsidRPr="00D21817">
        <w:t xml:space="preserve">the </w:t>
      </w:r>
      <w:r w:rsidR="00723E48" w:rsidRPr="004736A5">
        <w:t>predictive log-likelihood for the constants-only model</w:t>
      </w:r>
      <w:r w:rsidR="00644C37">
        <w:t xml:space="preserve"> and</w:t>
      </w:r>
      <w:r w:rsidR="00723E48" w:rsidRPr="004736A5">
        <w:t xml:space="preserve"> </w:t>
      </w:r>
      <w:r w:rsidR="00693CE1" w:rsidRPr="009434FD">
        <w:rPr>
          <w:i/>
        </w:rPr>
        <w:t>M</w:t>
      </w:r>
      <w:r w:rsidR="00693CE1" w:rsidRPr="009434FD">
        <w:t xml:space="preserve"> is the number of parameters (excluding the constants) estimated in the GHDM model. Let the adjusted likelihood ratio indices for the GHDM and independent models be</w:t>
      </w:r>
      <w:bookmarkStart w:id="36" w:name="MTBlankEqn"/>
      <w:r w:rsidR="00693CE1" w:rsidRPr="009434FD">
        <w:t xml:space="preserve"> </w:t>
      </w:r>
      <w:bookmarkStart w:id="37" w:name="_Hlk148695187"/>
      <w:bookmarkEnd w:id="36"/>
      <w:r w:rsidRPr="0082409F">
        <w:rPr>
          <w:position w:val="-12"/>
        </w:rPr>
        <w:object w:dxaOrig="660" w:dyaOrig="380" w14:anchorId="03E774AA">
          <v:shape id="_x0000_i1152" type="#_x0000_t75" style="width:33pt;height:18.85pt" o:ole="" o:preferrelative="f">
            <v:imagedata r:id="rId252" o:title=""/>
            <o:lock v:ext="edit" aspectratio="f"/>
          </v:shape>
          <o:OLEObject Type="Embed" ProgID="Equation.DSMT4" ShapeID="_x0000_i1152" DrawAspect="Content" ObjectID="_1776695148" r:id="rId253"/>
        </w:object>
      </w:r>
      <w:bookmarkEnd w:id="37"/>
      <w:r w:rsidR="00693CE1" w:rsidRPr="009B2F97">
        <w:t xml:space="preserve"> and</w:t>
      </w:r>
      <w:r w:rsidR="00616865">
        <w:t xml:space="preserve"> </w:t>
      </w:r>
      <w:bookmarkStart w:id="38" w:name="_Hlk148695196"/>
      <w:r w:rsidRPr="0082409F">
        <w:rPr>
          <w:position w:val="-14"/>
        </w:rPr>
        <w:object w:dxaOrig="920" w:dyaOrig="400" w14:anchorId="4AF9F396">
          <v:shape id="_x0000_i1153" type="#_x0000_t75" style="width:45.85pt;height:20.15pt" o:ole="" o:preferrelative="f">
            <v:imagedata r:id="rId254" o:title=""/>
            <o:lock v:ext="edit" aspectratio="f"/>
          </v:shape>
          <o:OLEObject Type="Embed" ProgID="Equation.DSMT4" ShapeID="_x0000_i1153" DrawAspect="Content" ObjectID="_1776695149" r:id="rId255"/>
        </w:object>
      </w:r>
      <w:bookmarkEnd w:id="38"/>
      <w:r w:rsidR="00693CE1" w:rsidRPr="009B2F97">
        <w:t>, respectively</w:t>
      </w:r>
      <w:r w:rsidR="00693CE1" w:rsidRPr="00D21817">
        <w:t xml:space="preserve">. If the difference in the indices is </w:t>
      </w:r>
      <w:bookmarkStart w:id="39" w:name="_Hlk148695205"/>
      <w:r w:rsidRPr="0082409F">
        <w:rPr>
          <w:position w:val="-14"/>
        </w:rPr>
        <w:object w:dxaOrig="2200" w:dyaOrig="400" w14:anchorId="1AE84A28">
          <v:shape id="_x0000_i1154" type="#_x0000_t75" style="width:110.15pt;height:20.15pt" o:ole="" o:preferrelative="f">
            <v:imagedata r:id="rId256" o:title=""/>
            <o:lock v:ext="edit" aspectratio="f"/>
          </v:shape>
          <o:OLEObject Type="Embed" ProgID="Equation.DSMT4" ShapeID="_x0000_i1154" DrawAspect="Content" ObjectID="_1776695150" r:id="rId257"/>
        </w:object>
      </w:r>
      <w:bookmarkEnd w:id="39"/>
      <w:r w:rsidR="00693CE1" w:rsidRPr="009B2F97">
        <w:t>, then the probability that this difference could have occurred by chance is no larger than</w:t>
      </w:r>
      <w:bookmarkStart w:id="40" w:name="_Hlk148695216"/>
      <w:r>
        <w:t xml:space="preserve"> </w:t>
      </w:r>
      <w:r w:rsidRPr="0082409F">
        <w:rPr>
          <w:position w:val="-14"/>
        </w:rPr>
        <w:object w:dxaOrig="3940" w:dyaOrig="400" w14:anchorId="55445277">
          <v:shape id="_x0000_i1155" type="#_x0000_t75" style="width:197.15pt;height:20.15pt" o:ole="" o:preferrelative="f">
            <v:imagedata r:id="rId258" o:title=""/>
            <o:lock v:ext="edit" aspectratio="f"/>
          </v:shape>
          <o:OLEObject Type="Embed" ProgID="Equation.DSMT4" ShapeID="_x0000_i1155" DrawAspect="Content" ObjectID="_1776695151" r:id="rId259"/>
        </w:object>
      </w:r>
      <w:bookmarkEnd w:id="40"/>
      <w:r w:rsidR="00693CE1" w:rsidRPr="009B2F97">
        <w:t>, with a small value for the probability of chance occurrence suggesting that the difference is statistically significant and the model wi</w:t>
      </w:r>
      <w:r w:rsidR="00693CE1" w:rsidRPr="009434FD">
        <w:t>th the higher value for the adjusted likelihood ratio index is preferred.</w:t>
      </w:r>
    </w:p>
    <w:p w14:paraId="4FDFD319" w14:textId="4FA14540" w:rsidR="008A6DB0" w:rsidRDefault="00723E48" w:rsidP="00437257">
      <w:pPr>
        <w:spacing w:after="0" w:line="240" w:lineRule="auto"/>
        <w:ind w:firstLine="720"/>
        <w:jc w:val="both"/>
      </w:pPr>
      <w:r w:rsidRPr="009434FD">
        <w:t xml:space="preserve">Table </w:t>
      </w:r>
      <w:r w:rsidR="00C13AFB" w:rsidRPr="009434FD">
        <w:t>6</w:t>
      </w:r>
      <w:r w:rsidRPr="009C5F54">
        <w:t xml:space="preserve"> presents the findings of the goodness of fit assessment. The comparison includes BIC values, predictive adjusted likelihood ratio indices, informal non-nested likelihood ratio statistics, and the average probability of correct prediction. These results co</w:t>
      </w:r>
      <w:r w:rsidRPr="009179E5">
        <w:t>llectively demonstrate the superior fit of the GHDM model in comparison to the independent model.</w:t>
      </w:r>
    </w:p>
    <w:bookmarkEnd w:id="30"/>
    <w:p w14:paraId="339786D5" w14:textId="77777777" w:rsidR="00E76D15" w:rsidRDefault="00E76D15" w:rsidP="00E76D15">
      <w:pPr>
        <w:spacing w:after="0" w:line="240" w:lineRule="auto"/>
        <w:jc w:val="both"/>
      </w:pPr>
    </w:p>
    <w:p w14:paraId="70BCFD72" w14:textId="41557DB9" w:rsidR="00E76D15" w:rsidRPr="00E76D15" w:rsidRDefault="00E76D15" w:rsidP="00E76D15">
      <w:pPr>
        <w:spacing w:after="0" w:line="240" w:lineRule="auto"/>
        <w:jc w:val="both"/>
        <w:rPr>
          <w:b/>
          <w:bCs/>
        </w:rPr>
      </w:pPr>
      <w:r>
        <w:rPr>
          <w:b/>
          <w:bCs/>
        </w:rPr>
        <w:t xml:space="preserve">4.4 Average Treatment Effects </w:t>
      </w:r>
    </w:p>
    <w:p w14:paraId="6E760C73" w14:textId="0D047C7F" w:rsidR="009C68DC" w:rsidRDefault="00AB7CFD" w:rsidP="009C68DC">
      <w:pPr>
        <w:spacing w:after="0" w:line="240" w:lineRule="auto"/>
        <w:jc w:val="both"/>
      </w:pPr>
      <w:bookmarkStart w:id="41" w:name="_Hlk148695392"/>
      <w:r>
        <w:t xml:space="preserve">While the </w:t>
      </w:r>
      <w:r w:rsidR="008B3E16">
        <w:t xml:space="preserve">endogenous effects between outcomes </w:t>
      </w:r>
      <w:r w:rsidR="00F67299">
        <w:t xml:space="preserve">discussed in </w:t>
      </w:r>
      <w:r w:rsidR="00D13A32">
        <w:t>S</w:t>
      </w:r>
      <w:r w:rsidR="00F67299">
        <w:t xml:space="preserve">ection 4.2 allow us to track the pathway of </w:t>
      </w:r>
      <w:r w:rsidR="00236D8F">
        <w:t>“</w:t>
      </w:r>
      <w:r w:rsidR="00F67299">
        <w:t>true</w:t>
      </w:r>
      <w:r w:rsidR="00236D8F">
        <w:t>”</w:t>
      </w:r>
      <w:r w:rsidR="00F67299">
        <w:t xml:space="preserve"> causal effects </w:t>
      </w:r>
      <w:r w:rsidR="00236D8F">
        <w:t>among the many</w:t>
      </w:r>
      <w:r w:rsidR="00F67299">
        <w:t xml:space="preserve"> housing outcomes, </w:t>
      </w:r>
      <w:r w:rsidR="00297041">
        <w:t xml:space="preserve">they do not reveal the relative importance that is ascribed to each </w:t>
      </w:r>
      <w:r w:rsidR="00664006">
        <w:t>dimension</w:t>
      </w:r>
      <w:r w:rsidR="00297041">
        <w:t xml:space="preserve"> in the package housing decision. </w:t>
      </w:r>
      <w:r w:rsidR="00315E2F">
        <w:t>In this package decision, individuals face tradeoffs between the various dimensions</w:t>
      </w:r>
      <w:r w:rsidR="00B16FFF">
        <w:t xml:space="preserve"> </w:t>
      </w:r>
      <w:r w:rsidR="00315E2F">
        <w:t xml:space="preserve">(for instance </w:t>
      </w:r>
      <w:r w:rsidR="00D51251">
        <w:t>whether they are willing to accept an increase</w:t>
      </w:r>
      <w:r w:rsidR="005D61F8">
        <w:t>d</w:t>
      </w:r>
      <w:r w:rsidR="0082071B">
        <w:t xml:space="preserve"> commute distance </w:t>
      </w:r>
      <w:r w:rsidR="000D59C3">
        <w:t xml:space="preserve">to gain an additional bedroom in their home). </w:t>
      </w:r>
      <w:r w:rsidR="00DC3B5D">
        <w:t>To</w:t>
      </w:r>
      <w:r w:rsidR="007D71EE">
        <w:t xml:space="preserve"> compute </w:t>
      </w:r>
      <w:r w:rsidR="00664006">
        <w:t xml:space="preserve">such relative valuations across housing </w:t>
      </w:r>
      <w:r w:rsidR="007D71EE">
        <w:t>dimension</w:t>
      </w:r>
      <w:r w:rsidR="00664006">
        <w:t>s</w:t>
      </w:r>
      <w:r w:rsidR="002C6CD0">
        <w:t>,</w:t>
      </w:r>
      <w:r w:rsidR="007D71EE">
        <w:t xml:space="preserve"> we</w:t>
      </w:r>
      <w:r w:rsidR="00DC3B5D">
        <w:t xml:space="preserve"> use</w:t>
      </w:r>
      <w:r w:rsidR="00C3297E">
        <w:t xml:space="preserve"> the</w:t>
      </w:r>
      <w:r w:rsidR="00DC3B5D">
        <w:t xml:space="preserve"> average treatment effects </w:t>
      </w:r>
      <w:r w:rsidR="00DC3B5D">
        <w:lastRenderedPageBreak/>
        <w:t>(ATE)</w:t>
      </w:r>
      <w:r w:rsidR="007D71EE">
        <w:t xml:space="preserve"> </w:t>
      </w:r>
      <w:r w:rsidR="00C3297E">
        <w:t xml:space="preserve">for </w:t>
      </w:r>
      <w:r w:rsidR="00664006">
        <w:t xml:space="preserve">the </w:t>
      </w:r>
      <w:r w:rsidR="00555052">
        <w:t xml:space="preserve">endogenous outcomes. </w:t>
      </w:r>
      <w:r w:rsidR="00C021C2">
        <w:t xml:space="preserve">ATE is a metric that computes the impact on a downstream posterior </w:t>
      </w:r>
      <w:r w:rsidR="00664006">
        <w:t>outcome</w:t>
      </w:r>
      <w:r w:rsidR="00C021C2">
        <w:t xml:space="preserve"> of interest due to a treatment that changes the state of an antecedent </w:t>
      </w:r>
      <w:r w:rsidR="00664006">
        <w:t>outcome</w:t>
      </w:r>
      <w:r w:rsidR="00C021C2">
        <w:t xml:space="preserve"> from A to B. For example, if the intent is to estimate the “treatment” effect of </w:t>
      </w:r>
      <w:r w:rsidR="009C68DC">
        <w:t xml:space="preserve">commute distance on housing type, </w:t>
      </w:r>
      <w:r w:rsidR="00C021C2">
        <w:t xml:space="preserve">A </w:t>
      </w:r>
      <w:r w:rsidR="009C68DC">
        <w:t xml:space="preserve">(which is the “base” level) </w:t>
      </w:r>
      <w:r w:rsidR="00C021C2">
        <w:t xml:space="preserve">can be the state where an individual </w:t>
      </w:r>
      <w:r w:rsidR="009C68DC">
        <w:t>has a commute distance of less than 5 miles</w:t>
      </w:r>
      <w:r w:rsidR="00C021C2">
        <w:t>, and B</w:t>
      </w:r>
      <w:r w:rsidR="009C68DC">
        <w:t xml:space="preserve"> (which is the “treatment” level)</w:t>
      </w:r>
      <w:r w:rsidR="00C021C2">
        <w:t xml:space="preserve"> can be the state where the individual </w:t>
      </w:r>
      <w:r w:rsidR="009C68DC">
        <w:t>has a commute distance of more than 20 miles</w:t>
      </w:r>
      <w:r w:rsidR="00C021C2">
        <w:t xml:space="preserve">. The impact of this change in state is measured in terms of the change in the shares of the outcomes of interest </w:t>
      </w:r>
      <w:r w:rsidR="009C68DC">
        <w:t xml:space="preserve">(say, the “apartment” category of the housing type) </w:t>
      </w:r>
      <w:r w:rsidR="00C021C2">
        <w:t>between the case where all individuals in the dataset are in state A and the case where all the individuals in the dataset are in state B.</w:t>
      </w:r>
    </w:p>
    <w:p w14:paraId="4EAADC94" w14:textId="71A14F6F" w:rsidR="004460B2" w:rsidRDefault="004460B2" w:rsidP="004460B2">
      <w:pPr>
        <w:spacing w:after="0" w:line="240" w:lineRule="auto"/>
        <w:ind w:firstLine="720"/>
        <w:jc w:val="both"/>
      </w:pPr>
      <w:r>
        <w:t xml:space="preserve">To develop the methodology for computing the ATEs, </w:t>
      </w:r>
      <w:r w:rsidR="00236D8F">
        <w:t xml:space="preserve">following the notation in Section 3.1.1, denote the ordered outcomes (including the binary outcomes that are a special case of the ordered outcomes) as </w:t>
      </w:r>
      <w:r w:rsidR="00D13A32" w:rsidRPr="0082409F">
        <w:rPr>
          <w:position w:val="-12"/>
        </w:rPr>
        <w:object w:dxaOrig="279" w:dyaOrig="380" w14:anchorId="07E76593">
          <v:shape id="_x0000_i1156" type="#_x0000_t75" style="width:13.7pt;height:18.85pt" o:ole="" o:preferrelative="f">
            <v:imagedata r:id="rId260" o:title=""/>
            <o:lock v:ext="edit" aspectratio="f"/>
          </v:shape>
          <o:OLEObject Type="Embed" ProgID="Equation.DSMT4" ShapeID="_x0000_i1156" DrawAspect="Content" ObjectID="_1776695152" r:id="rId261"/>
        </w:object>
      </w:r>
      <w:r w:rsidR="00236D8F">
        <w:t xml:space="preserve">, with the possible ordered levels that </w:t>
      </w:r>
      <w:r w:rsidR="00D13A32" w:rsidRPr="00471D4A">
        <w:rPr>
          <w:position w:val="-12"/>
        </w:rPr>
        <w:object w:dxaOrig="279" w:dyaOrig="380" w14:anchorId="7A66142A">
          <v:shape id="_x0000_i1157" type="#_x0000_t75" style="width:13.7pt;height:18.85pt" o:ole="" o:preferrelative="f">
            <v:imagedata r:id="rId262" o:title=""/>
            <o:lock v:ext="edit" aspectratio="f"/>
          </v:shape>
          <o:OLEObject Type="Embed" ProgID="Equation.DSMT4" ShapeID="_x0000_i1157" DrawAspect="Content" ObjectID="_1776695153" r:id="rId263"/>
        </w:object>
      </w:r>
      <w:r w:rsidR="00236D8F">
        <w:t xml:space="preserve"> can take as </w:t>
      </w:r>
      <w:r w:rsidR="00D13A32" w:rsidRPr="0082409F">
        <w:rPr>
          <w:position w:val="-12"/>
        </w:rPr>
        <w:object w:dxaOrig="260" w:dyaOrig="360" w14:anchorId="3828011F">
          <v:shape id="_x0000_i1158" type="#_x0000_t75" style="width:12.85pt;height:18pt" o:ole="" o:preferrelative="f">
            <v:imagedata r:id="rId264" o:title=""/>
            <o:lock v:ext="edit" aspectratio="f"/>
          </v:shape>
          <o:OLEObject Type="Embed" ProgID="Equation.DSMT4" ShapeID="_x0000_i1158" DrawAspect="Content" ObjectID="_1776695154" r:id="rId265"/>
        </w:object>
      </w:r>
      <w:r w:rsidR="00616865">
        <w:t xml:space="preserve"> </w:t>
      </w:r>
      <w:r>
        <w:t>(</w:t>
      </w:r>
      <w:r w:rsidR="00D13A32" w:rsidRPr="0082409F">
        <w:rPr>
          <w:position w:val="-12"/>
        </w:rPr>
        <w:object w:dxaOrig="260" w:dyaOrig="360" w14:anchorId="10ADD759">
          <v:shape id="_x0000_i1159" type="#_x0000_t75" style="width:12.85pt;height:18pt" o:ole="" o:preferrelative="f">
            <v:imagedata r:id="rId266" o:title=""/>
            <o:lock v:ext="edit" aspectratio="f"/>
          </v:shape>
          <o:OLEObject Type="Embed" ProgID="Equation.DSMT4" ShapeID="_x0000_i1159" DrawAspect="Content" ObjectID="_1776695155" r:id="rId267"/>
        </w:object>
      </w:r>
      <w:r>
        <w:t>=1,2,3</w:t>
      </w:r>
      <w:r w:rsidR="00BF6DC8">
        <w:t>,</w:t>
      </w:r>
      <w:r>
        <w:t>…</w:t>
      </w:r>
      <w:r w:rsidR="00D13A32">
        <w:t xml:space="preserve">, </w:t>
      </w:r>
      <w:r w:rsidR="00062EA9">
        <w:rPr>
          <w:i/>
        </w:rPr>
        <w:t>J</w:t>
      </w:r>
      <w:r w:rsidRPr="00CB22A2">
        <w:rPr>
          <w:i/>
          <w:vertAlign w:val="subscript"/>
        </w:rPr>
        <w:t>n</w:t>
      </w:r>
      <w:r>
        <w:t>)</w:t>
      </w:r>
      <w:r w:rsidR="000E6910">
        <w:t>.</w:t>
      </w:r>
      <w:r>
        <w:t xml:space="preserve"> </w:t>
      </w:r>
      <w:r w:rsidR="00236D8F">
        <w:t>In this section, we will</w:t>
      </w:r>
      <w:r w:rsidR="00511D6B">
        <w:t xml:space="preserve"> confine our attention to only </w:t>
      </w:r>
      <w:r w:rsidR="00236D8F">
        <w:t>the ordered endogenous outcomes, while</w:t>
      </w:r>
      <w:r w:rsidR="00417A74">
        <w:t>,</w:t>
      </w:r>
      <w:r w:rsidR="00236D8F">
        <w:t xml:space="preserve"> in Section 3.1.1, the index </w:t>
      </w:r>
      <w:r w:rsidR="00236D8F" w:rsidRPr="00160DAC">
        <w:rPr>
          <w:i/>
          <w:iCs/>
        </w:rPr>
        <w:t>n</w:t>
      </w:r>
      <w:r w:rsidR="00236D8F">
        <w:t xml:space="preserve"> included the ordinal indicators of the latent constructs too.</w:t>
      </w:r>
      <w:r w:rsidR="00417A74">
        <w:rPr>
          <w:rStyle w:val="FootnoteReference"/>
        </w:rPr>
        <w:footnoteReference w:id="6"/>
      </w:r>
      <w:r w:rsidR="00236D8F">
        <w:t xml:space="preserve"> </w:t>
      </w:r>
      <w:r w:rsidR="00417A74">
        <w:t>W</w:t>
      </w:r>
      <w:r w:rsidR="00E34B27">
        <w:t xml:space="preserve">e will continue to denote the continuous outcome in our empirical analysis as </w:t>
      </w:r>
      <w:r w:rsidR="00E34B27" w:rsidRPr="00160DAC">
        <w:rPr>
          <w:i/>
          <w:iCs/>
        </w:rPr>
        <w:t>y</w:t>
      </w:r>
      <w:r w:rsidR="00E34B27">
        <w:t xml:space="preserve">. </w:t>
      </w:r>
      <w:r>
        <w:t xml:space="preserve">Since we only have one continuous outcome and because the continuous outcome (the </w:t>
      </w:r>
      <w:r w:rsidR="00E34B27">
        <w:t>natural logarithm of</w:t>
      </w:r>
      <w:r>
        <w:t xml:space="preserve"> commute distance), in our results, impacts other ordered variables but is not impacted by any other ordered variables in the causal structure adopted (i.e., the log commute distance variable is antecedent to all other variables), we can confine our ATE analysis to two antecedent/posterior variable structures: </w:t>
      </w:r>
    </w:p>
    <w:p w14:paraId="0BDD03CB" w14:textId="0FBABA89" w:rsidR="004460B2" w:rsidRDefault="004460B2" w:rsidP="00D13A32">
      <w:pPr>
        <w:pStyle w:val="ListParagraph"/>
        <w:numPr>
          <w:ilvl w:val="0"/>
          <w:numId w:val="9"/>
        </w:numPr>
        <w:spacing w:after="60" w:line="240" w:lineRule="auto"/>
        <w:contextualSpacing w:val="0"/>
        <w:jc w:val="both"/>
      </w:pPr>
      <w:r>
        <w:t xml:space="preserve">The first structure is when the continuous endogenous outcome is the antecedent </w:t>
      </w:r>
      <w:r w:rsidR="00C95F42">
        <w:t>variable,</w:t>
      </w:r>
      <w:r>
        <w:t xml:space="preserve"> and an ordered endogenous outcome is the posterior variable.</w:t>
      </w:r>
    </w:p>
    <w:p w14:paraId="38E7370C" w14:textId="7ED0A308" w:rsidR="004460B2" w:rsidRDefault="004460B2" w:rsidP="00D13A32">
      <w:pPr>
        <w:pStyle w:val="ListParagraph"/>
        <w:numPr>
          <w:ilvl w:val="0"/>
          <w:numId w:val="9"/>
        </w:numPr>
        <w:spacing w:after="120" w:line="240" w:lineRule="auto"/>
        <w:contextualSpacing w:val="0"/>
        <w:jc w:val="both"/>
      </w:pPr>
      <w:r>
        <w:t xml:space="preserve">The second structure is when an ordered endogenous outcome is the antecedent </w:t>
      </w:r>
      <w:r w:rsidR="00C95F42">
        <w:t>variable,</w:t>
      </w:r>
      <w:r>
        <w:t xml:space="preserve"> and another ordered endogenous outcome is the posterior variable.</w:t>
      </w:r>
    </w:p>
    <w:p w14:paraId="165044F2" w14:textId="26146D39" w:rsidR="004460B2" w:rsidRDefault="00E34B27" w:rsidP="00D13A32">
      <w:pPr>
        <w:spacing w:after="120" w:line="240" w:lineRule="auto"/>
        <w:ind w:firstLine="720"/>
        <w:jc w:val="both"/>
      </w:pPr>
      <w:r>
        <w:t xml:space="preserve">The formulation of the ATEs is not as straightforward as in a case where there are no recursive endogenous outcome effects. While one can develop ATE formulas for each specific case based on the length of the recursive order effects between the antecedent and posterior outcomes, we present a general formula that works regardless of the order length. To do so, define a vector </w:t>
      </w:r>
      <w:r w:rsidR="00D13A32" w:rsidRPr="0082409F">
        <w:rPr>
          <w:position w:val="-10"/>
        </w:rPr>
        <w:object w:dxaOrig="1400" w:dyaOrig="360" w14:anchorId="1B713BF3">
          <v:shape id="_x0000_i1160" type="#_x0000_t75" style="width:69.85pt;height:18pt" o:ole="" o:preferrelative="f">
            <v:imagedata r:id="rId268" o:title=""/>
            <o:lock v:ext="edit" aspectratio="f"/>
          </v:shape>
          <o:OLEObject Type="Embed" ProgID="Equation.DSMT4" ShapeID="_x0000_i1160" DrawAspect="Content" ObjectID="_1776695156" r:id="rId269"/>
        </w:object>
      </w:r>
      <w:r w:rsidR="00CE553F">
        <w:t xml:space="preserve">where </w:t>
      </w:r>
      <w:r w:rsidR="00D13A32" w:rsidRPr="0082409F">
        <w:rPr>
          <w:position w:val="-6"/>
        </w:rPr>
        <w:object w:dxaOrig="279" w:dyaOrig="320" w14:anchorId="2FE908A8">
          <v:shape id="_x0000_i1161" type="#_x0000_t75" style="width:13.7pt;height:15.85pt" o:ole="" o:preferrelative="f">
            <v:imagedata r:id="rId270" o:title=""/>
            <o:lock v:ext="edit" aspectratio="f"/>
          </v:shape>
          <o:OLEObject Type="Embed" ProgID="Equation.DSMT4" ShapeID="_x0000_i1161" DrawAspect="Content" ObjectID="_1776695157" r:id="rId271"/>
        </w:object>
      </w:r>
      <w:r w:rsidR="00CE553F">
        <w:t xml:space="preserve"> refers to the number of ordered endogenous outcomes (</w:t>
      </w:r>
      <w:r w:rsidR="00D13A32" w:rsidRPr="0082409F">
        <w:rPr>
          <w:position w:val="-6"/>
        </w:rPr>
        <w:object w:dxaOrig="279" w:dyaOrig="320" w14:anchorId="71E07A8C">
          <v:shape id="_x0000_i1162" type="#_x0000_t75" style="width:13.7pt;height:15.85pt" o:ole="" o:preferrelative="f">
            <v:imagedata r:id="rId272" o:title=""/>
            <o:lock v:ext="edit" aspectratio="f"/>
          </v:shape>
          <o:OLEObject Type="Embed" ProgID="Equation.DSMT4" ShapeID="_x0000_i1162" DrawAspect="Content" ObjectID="_1776695158" r:id="rId273"/>
        </w:object>
      </w:r>
      <w:r w:rsidR="00CE553F">
        <w:t>=</w:t>
      </w:r>
      <w:r w:rsidR="00D73320">
        <w:t>9</w:t>
      </w:r>
      <w:r w:rsidR="00CE553F">
        <w:t xml:space="preserve"> in our empirical case). Also, define the vector </w:t>
      </w:r>
      <w:r w:rsidR="00BF6DC8" w:rsidRPr="0082409F">
        <w:rPr>
          <w:position w:val="-12"/>
        </w:rPr>
        <w:object w:dxaOrig="440" w:dyaOrig="360" w14:anchorId="3A8101E2">
          <v:shape id="_x0000_i1163" type="#_x0000_t75" style="width:22.3pt;height:18pt" o:ole="" o:preferrelative="f">
            <v:imagedata r:id="rId274" o:title=""/>
            <o:lock v:ext="edit" aspectratio="f"/>
          </v:shape>
          <o:OLEObject Type="Embed" ProgID="Equation.DSMT4" ShapeID="_x0000_i1163" DrawAspect="Content" ObjectID="_1776695159" r:id="rId275"/>
        </w:object>
      </w:r>
      <w:r w:rsidR="00CE553F">
        <w:t xml:space="preserve"> as the vector </w:t>
      </w:r>
      <w:r w:rsidR="00CE553F" w:rsidRPr="00025596">
        <w:rPr>
          <w:i/>
          <w:iCs/>
        </w:rPr>
        <w:t>S</w:t>
      </w:r>
      <w:r w:rsidR="00CE553F">
        <w:t xml:space="preserve"> with the </w:t>
      </w:r>
      <w:r w:rsidR="00CE553F" w:rsidRPr="00025596">
        <w:rPr>
          <w:i/>
          <w:iCs/>
        </w:rPr>
        <w:t>n</w:t>
      </w:r>
      <w:r w:rsidR="00CE553F" w:rsidRPr="002275B9">
        <w:rPr>
          <w:i/>
          <w:iCs/>
          <w:vertAlign w:val="superscript"/>
        </w:rPr>
        <w:t>th</w:t>
      </w:r>
      <w:r w:rsidR="00CE553F">
        <w:t xml:space="preserve"> ordered outcome removed</w:t>
      </w:r>
      <w:r w:rsidR="00062EA9">
        <w:t xml:space="preserve">, and the vector </w:t>
      </w:r>
      <w:r w:rsidR="00BF6DC8" w:rsidRPr="0082409F">
        <w:rPr>
          <w:position w:val="-14"/>
        </w:rPr>
        <w:object w:dxaOrig="620" w:dyaOrig="380" w14:anchorId="25BC039D">
          <v:shape id="_x0000_i1164" type="#_x0000_t75" style="width:31.3pt;height:18.85pt" o:ole="" o:preferrelative="f">
            <v:imagedata r:id="rId276" o:title=""/>
            <o:lock v:ext="edit" aspectratio="f"/>
          </v:shape>
          <o:OLEObject Type="Embed" ProgID="Equation.DSMT4" ShapeID="_x0000_i1164" DrawAspect="Content" ObjectID="_1776695160" r:id="rId277"/>
        </w:object>
      </w:r>
      <w:r w:rsidR="00062EA9">
        <w:t xml:space="preserve"> as the vector </w:t>
      </w:r>
      <w:r w:rsidR="00062EA9" w:rsidRPr="00471D4A">
        <w:rPr>
          <w:i/>
          <w:iCs/>
        </w:rPr>
        <w:t>S</w:t>
      </w:r>
      <w:r w:rsidR="00062EA9">
        <w:t xml:space="preserve"> with the </w:t>
      </w:r>
      <w:r w:rsidR="00062EA9" w:rsidRPr="00471D4A">
        <w:rPr>
          <w:i/>
          <w:iCs/>
        </w:rPr>
        <w:t>n</w:t>
      </w:r>
      <w:r w:rsidR="00062EA9" w:rsidRPr="002275B9">
        <w:rPr>
          <w:i/>
          <w:iCs/>
          <w:vertAlign w:val="superscript"/>
        </w:rPr>
        <w:t>th</w:t>
      </w:r>
      <w:r w:rsidR="00062EA9">
        <w:t xml:space="preserve"> </w:t>
      </w:r>
      <w:r w:rsidR="00A43161">
        <w:t xml:space="preserve">and </w:t>
      </w:r>
      <w:proofErr w:type="spellStart"/>
      <w:r w:rsidR="00A43161" w:rsidRPr="00025596">
        <w:rPr>
          <w:i/>
          <w:iCs/>
        </w:rPr>
        <w:t>c</w:t>
      </w:r>
      <w:r w:rsidR="00A43161" w:rsidRPr="002275B9">
        <w:rPr>
          <w:i/>
          <w:iCs/>
          <w:vertAlign w:val="superscript"/>
        </w:rPr>
        <w:t>th</w:t>
      </w:r>
      <w:proofErr w:type="spellEnd"/>
      <w:r w:rsidR="00A43161">
        <w:t xml:space="preserve"> </w:t>
      </w:r>
      <w:r w:rsidR="00062EA9">
        <w:t>ordered outcome</w:t>
      </w:r>
      <w:r w:rsidR="00A43161">
        <w:t>s</w:t>
      </w:r>
      <w:r w:rsidR="00062EA9">
        <w:t xml:space="preserve"> removed.</w:t>
      </w:r>
      <w:r w:rsidR="003A75BE">
        <w:t xml:space="preserve"> </w:t>
      </w:r>
      <w:r w:rsidR="0007593E">
        <w:t xml:space="preserve">Let </w:t>
      </w:r>
      <w:r w:rsidR="00121024" w:rsidRPr="0082409F">
        <w:rPr>
          <w:position w:val="-12"/>
        </w:rPr>
        <w:object w:dxaOrig="300" w:dyaOrig="360" w14:anchorId="41DE997F">
          <v:shape id="_x0000_i1165" type="#_x0000_t75" style="width:15pt;height:18.45pt" o:ole="">
            <v:imagedata r:id="rId278" o:title=""/>
          </v:shape>
          <o:OLEObject Type="Embed" ProgID="Equation.DSMT4" ShapeID="_x0000_i1165" DrawAspect="Content" ObjectID="_1776695161" r:id="rId279"/>
        </w:object>
      </w:r>
      <w:r w:rsidR="0007593E">
        <w:t xml:space="preserve"> denote the </w:t>
      </w:r>
      <w:proofErr w:type="spellStart"/>
      <w:r w:rsidR="0007593E" w:rsidRPr="00025596">
        <w:rPr>
          <w:i/>
          <w:iCs/>
        </w:rPr>
        <w:t>d</w:t>
      </w:r>
      <w:r w:rsidR="0007593E" w:rsidRPr="002275B9">
        <w:rPr>
          <w:i/>
          <w:iCs/>
          <w:vertAlign w:val="superscript"/>
        </w:rPr>
        <w:t>th</w:t>
      </w:r>
      <w:proofErr w:type="spellEnd"/>
      <w:r w:rsidR="0007593E">
        <w:t xml:space="preserve"> element of the vector </w:t>
      </w:r>
      <w:r w:rsidR="0007593E" w:rsidRPr="00121024">
        <w:rPr>
          <w:i/>
          <w:iCs/>
        </w:rPr>
        <w:t>S</w:t>
      </w:r>
      <w:r w:rsidR="0007593E">
        <w:t xml:space="preserve">, </w:t>
      </w:r>
      <w:r w:rsidR="00121024" w:rsidRPr="0082409F">
        <w:rPr>
          <w:position w:val="-14"/>
        </w:rPr>
        <w:object w:dxaOrig="499" w:dyaOrig="380" w14:anchorId="4342BA48">
          <v:shape id="_x0000_i1166" type="#_x0000_t75" style="width:25.3pt;height:18.85pt" o:ole="" o:preferrelative="f">
            <v:imagedata r:id="rId280" o:title=""/>
            <o:lock v:ext="edit" aspectratio="f"/>
          </v:shape>
          <o:OLEObject Type="Embed" ProgID="Equation.DSMT4" ShapeID="_x0000_i1166" DrawAspect="Content" ObjectID="_1776695162" r:id="rId281"/>
        </w:object>
      </w:r>
      <w:r w:rsidR="00616865">
        <w:t xml:space="preserve"> </w:t>
      </w:r>
      <w:r w:rsidR="0007593E">
        <w:t xml:space="preserve">denote the </w:t>
      </w:r>
      <w:proofErr w:type="spellStart"/>
      <w:r w:rsidR="0007593E" w:rsidRPr="00471D4A">
        <w:rPr>
          <w:i/>
          <w:iCs/>
        </w:rPr>
        <w:t>d</w:t>
      </w:r>
      <w:r w:rsidR="0007593E" w:rsidRPr="002275B9">
        <w:rPr>
          <w:i/>
          <w:iCs/>
          <w:vertAlign w:val="superscript"/>
        </w:rPr>
        <w:t>th</w:t>
      </w:r>
      <w:proofErr w:type="spellEnd"/>
      <w:r w:rsidR="0007593E">
        <w:t xml:space="preserve"> element of the vector</w:t>
      </w:r>
      <w:r w:rsidR="00121024">
        <w:t xml:space="preserve"> </w:t>
      </w:r>
      <w:r w:rsidR="00121024" w:rsidRPr="0082409F">
        <w:rPr>
          <w:position w:val="-12"/>
        </w:rPr>
        <w:object w:dxaOrig="440" w:dyaOrig="360" w14:anchorId="1AD427C3">
          <v:shape id="_x0000_i1167" type="#_x0000_t75" style="width:22.3pt;height:18pt" o:ole="" o:preferrelative="f">
            <v:imagedata r:id="rId282" o:title=""/>
            <o:lock v:ext="edit" aspectratio="f"/>
          </v:shape>
          <o:OLEObject Type="Embed" ProgID="Equation.DSMT4" ShapeID="_x0000_i1167" DrawAspect="Content" ObjectID="_1776695163" r:id="rId283"/>
        </w:object>
      </w:r>
      <w:r w:rsidR="00A43161">
        <w:t xml:space="preserve">, and </w:t>
      </w:r>
      <w:r w:rsidR="00121024" w:rsidRPr="0082409F">
        <w:rPr>
          <w:position w:val="-14"/>
        </w:rPr>
        <w:object w:dxaOrig="700" w:dyaOrig="380" w14:anchorId="22DA4B3B">
          <v:shape id="_x0000_i1168" type="#_x0000_t75" style="width:35.15pt;height:18.85pt" o:ole="">
            <v:imagedata r:id="rId284" o:title=""/>
          </v:shape>
          <o:OLEObject Type="Embed" ProgID="Equation.DSMT4" ShapeID="_x0000_i1168" DrawAspect="Content" ObjectID="_1776695164" r:id="rId285"/>
        </w:object>
      </w:r>
      <w:r w:rsidR="00A43161">
        <w:t xml:space="preserve"> denote the </w:t>
      </w:r>
      <w:proofErr w:type="spellStart"/>
      <w:r w:rsidR="00A43161" w:rsidRPr="00471D4A">
        <w:rPr>
          <w:i/>
          <w:iCs/>
        </w:rPr>
        <w:t>d</w:t>
      </w:r>
      <w:r w:rsidR="00A43161" w:rsidRPr="002275B9">
        <w:rPr>
          <w:i/>
          <w:iCs/>
          <w:vertAlign w:val="superscript"/>
        </w:rPr>
        <w:t>th</w:t>
      </w:r>
      <w:proofErr w:type="spellEnd"/>
      <w:r w:rsidR="00A43161">
        <w:t xml:space="preserve"> element of the vector</w:t>
      </w:r>
      <w:r w:rsidR="00121024" w:rsidRPr="0082409F">
        <w:rPr>
          <w:position w:val="-14"/>
        </w:rPr>
        <w:object w:dxaOrig="639" w:dyaOrig="380" w14:anchorId="39ECBBFF">
          <v:shape id="_x0000_i1169" type="#_x0000_t75" style="width:31.7pt;height:18.85pt" o:ole="" o:preferrelative="f">
            <v:imagedata r:id="rId286" o:title=""/>
            <o:lock v:ext="edit" aspectratio="f"/>
          </v:shape>
          <o:OLEObject Type="Embed" ProgID="Equation.DSMT4" ShapeID="_x0000_i1169" DrawAspect="Content" ObjectID="_1776695165" r:id="rId287"/>
        </w:object>
      </w:r>
      <w:r w:rsidR="0007593E">
        <w:t xml:space="preserve"> </w:t>
      </w:r>
      <w:r w:rsidR="00CE553F">
        <w:t>Then, i</w:t>
      </w:r>
      <w:r w:rsidR="004460B2">
        <w:t>n the first structure, the</w:t>
      </w:r>
      <w:r w:rsidR="00CE553F">
        <w:t xml:space="preserve"> </w:t>
      </w:r>
      <w:r w:rsidR="004460B2">
        <w:t xml:space="preserve">probability of an ordered outcome </w:t>
      </w:r>
      <w:r w:rsidR="00121024" w:rsidRPr="0082409F">
        <w:rPr>
          <w:position w:val="-12"/>
        </w:rPr>
        <w:object w:dxaOrig="279" w:dyaOrig="380" w14:anchorId="23B4F409">
          <v:shape id="_x0000_i1170" type="#_x0000_t75" style="width:13.7pt;height:18.85pt" o:ole="" o:preferrelative="f">
            <v:imagedata r:id="rId288" o:title=""/>
            <o:lock v:ext="edit" aspectratio="f"/>
          </v:shape>
          <o:OLEObject Type="Embed" ProgID="Equation.DSMT4" ShapeID="_x0000_i1170" DrawAspect="Content" ObjectID="_1776695166" r:id="rId289"/>
        </w:object>
      </w:r>
      <w:r w:rsidR="004460B2">
        <w:t xml:space="preserve"> taking the ordered level of</w:t>
      </w:r>
      <w:r w:rsidR="00616865">
        <w:t xml:space="preserve"> </w:t>
      </w:r>
      <w:r w:rsidR="00121024" w:rsidRPr="0082409F">
        <w:rPr>
          <w:position w:val="-12"/>
        </w:rPr>
        <w:object w:dxaOrig="260" w:dyaOrig="360" w14:anchorId="5C7802A8">
          <v:shape id="_x0000_i1171" type="#_x0000_t75" style="width:12.85pt;height:18pt" o:ole="" o:preferrelative="f">
            <v:imagedata r:id="rId290" o:title=""/>
            <o:lock v:ext="edit" aspectratio="f"/>
          </v:shape>
          <o:OLEObject Type="Embed" ProgID="Equation.DSMT4" ShapeID="_x0000_i1171" DrawAspect="Content" ObjectID="_1776695167" r:id="rId291"/>
        </w:object>
      </w:r>
      <w:r w:rsidR="00CE553F">
        <w:t xml:space="preserve">, </w:t>
      </w:r>
      <w:r w:rsidR="004460B2">
        <w:t xml:space="preserve"> given the continuous outcome </w:t>
      </w:r>
      <w:r w:rsidR="00D13A32" w:rsidRPr="005434E5">
        <w:rPr>
          <w:i/>
        </w:rPr>
        <w:t>y</w:t>
      </w:r>
      <w:r w:rsidR="00D73320">
        <w:t xml:space="preserve"> </w:t>
      </w:r>
      <w:r w:rsidR="004460B2">
        <w:t>l</w:t>
      </w:r>
      <w:r w:rsidR="00CE553F">
        <w:t xml:space="preserve">ies </w:t>
      </w:r>
      <w:r w:rsidR="004460B2">
        <w:t xml:space="preserve">between a lower bound of </w:t>
      </w:r>
      <w:r w:rsidR="004460B2">
        <w:rPr>
          <w:i/>
        </w:rPr>
        <w:t xml:space="preserve">l </w:t>
      </w:r>
      <w:r w:rsidR="004460B2">
        <w:t xml:space="preserve">and an upper bound of </w:t>
      </w:r>
      <w:r w:rsidR="004460B2">
        <w:rPr>
          <w:i/>
        </w:rPr>
        <w:t>u</w:t>
      </w:r>
      <w:r w:rsidR="0007593E">
        <w:t>, i</w:t>
      </w:r>
      <w:r w:rsidR="00CE553F">
        <w:t>s</w:t>
      </w:r>
      <w:r w:rsidR="004460B2">
        <w:t>:</w:t>
      </w:r>
    </w:p>
    <w:p w14:paraId="475DE3BF" w14:textId="24B6C729" w:rsidR="004460B2" w:rsidRDefault="00F15507" w:rsidP="00F15507">
      <w:pPr>
        <w:tabs>
          <w:tab w:val="right" w:pos="9360"/>
        </w:tabs>
        <w:spacing w:after="120" w:line="240" w:lineRule="auto"/>
        <w:jc w:val="both"/>
      </w:pPr>
      <w:r w:rsidRPr="00F15507">
        <w:rPr>
          <w:position w:val="-88"/>
        </w:rPr>
        <w:object w:dxaOrig="9100" w:dyaOrig="1900" w14:anchorId="1015625F">
          <v:shape id="_x0000_i1172" type="#_x0000_t75" style="width:439.3pt;height:92.15pt" o:ole="">
            <v:imagedata r:id="rId292" o:title=""/>
          </v:shape>
          <o:OLEObject Type="Embed" ProgID="Equation.DSMT4" ShapeID="_x0000_i1172" DrawAspect="Content" ObjectID="_1776695168" r:id="rId293"/>
        </w:object>
      </w:r>
      <w:r>
        <w:t xml:space="preserve"> </w:t>
      </w:r>
      <w:r>
        <w:tab/>
      </w:r>
      <w:r w:rsidR="00062EA9">
        <w:t>(</w:t>
      </w:r>
      <w:r w:rsidR="00025596">
        <w:t>13</w:t>
      </w:r>
      <w:r w:rsidR="00062EA9">
        <w:t>)</w:t>
      </w:r>
    </w:p>
    <w:p w14:paraId="79DD4F9B" w14:textId="75E7713D" w:rsidR="004460B2" w:rsidRDefault="004460B2" w:rsidP="00D13A32">
      <w:pPr>
        <w:spacing w:after="120" w:line="240" w:lineRule="auto"/>
        <w:jc w:val="both"/>
      </w:pPr>
      <w:r>
        <w:t xml:space="preserve">For example, </w:t>
      </w:r>
      <w:r w:rsidR="00304A34" w:rsidRPr="0082409F">
        <w:rPr>
          <w:position w:val="-12"/>
        </w:rPr>
        <w:object w:dxaOrig="279" w:dyaOrig="360" w14:anchorId="34C4E7D5">
          <v:shape id="_x0000_i1173" type="#_x0000_t75" style="width:13.7pt;height:18pt" o:ole="" o:preferrelative="f">
            <v:imagedata r:id="rId294" o:title=""/>
            <o:lock v:ext="edit" aspectratio="f"/>
          </v:shape>
          <o:OLEObject Type="Embed" ProgID="Equation.DSMT4" ShapeID="_x0000_i1173" DrawAspect="Content" ObjectID="_1776695169" r:id="rId295"/>
        </w:object>
      </w:r>
      <w:r>
        <w:t xml:space="preserve"> could be the </w:t>
      </w:r>
      <w:r w:rsidR="000351C1">
        <w:t xml:space="preserve">neighborhood housing cost </w:t>
      </w:r>
      <w:r>
        <w:t xml:space="preserve">outcome with </w:t>
      </w:r>
      <w:r w:rsidR="00D13A32" w:rsidRPr="0082409F">
        <w:rPr>
          <w:position w:val="-12"/>
        </w:rPr>
        <w:object w:dxaOrig="260" w:dyaOrig="360" w14:anchorId="3F490D79">
          <v:shape id="_x0000_i1174" type="#_x0000_t75" style="width:12.85pt;height:18pt" o:ole="" o:preferrelative="f">
            <v:imagedata r:id="rId296" o:title=""/>
            <o:lock v:ext="edit" aspectratio="f"/>
          </v:shape>
          <o:OLEObject Type="Embed" ProgID="Equation.DSMT4" ShapeID="_x0000_i1174" DrawAspect="Content" ObjectID="_1776695170" r:id="rId297"/>
        </w:object>
      </w:r>
      <w:r>
        <w:t xml:space="preserve"> being the “</w:t>
      </w:r>
      <w:r w:rsidR="000351C1">
        <w:t>high (&gt;$2000 per month)</w:t>
      </w:r>
      <w:r>
        <w:t xml:space="preserve">” category, and </w:t>
      </w:r>
      <w:r>
        <w:rPr>
          <w:i/>
        </w:rPr>
        <w:t xml:space="preserve">l </w:t>
      </w:r>
      <w:r>
        <w:t xml:space="preserve">and </w:t>
      </w:r>
      <w:r>
        <w:rPr>
          <w:i/>
        </w:rPr>
        <w:t>u</w:t>
      </w:r>
      <w:r>
        <w:t xml:space="preserve"> could be </w:t>
      </w:r>
      <w:r w:rsidR="00D13A32" w:rsidRPr="0082409F">
        <w:rPr>
          <w:position w:val="-4"/>
        </w:rPr>
        <w:object w:dxaOrig="380" w:dyaOrig="200" w14:anchorId="2CC7A8D0">
          <v:shape id="_x0000_i1175" type="#_x0000_t75" style="width:18.85pt;height:10.7pt" o:ole="" o:preferrelative="f">
            <v:imagedata r:id="rId298" o:title=""/>
            <o:lock v:ext="edit" aspectratio="f"/>
          </v:shape>
          <o:OLEObject Type="Embed" ProgID="Equation.DSMT4" ShapeID="_x0000_i1175" DrawAspect="Content" ObjectID="_1776695171" r:id="rId299"/>
        </w:object>
      </w:r>
      <w:r w:rsidR="00A43161">
        <w:t xml:space="preserve"> </w:t>
      </w:r>
      <w:r>
        <w:t>and ln(5)</w:t>
      </w:r>
      <w:r w:rsidR="00A43161">
        <w:t xml:space="preserve">, </w:t>
      </w:r>
      <w:r>
        <w:t>respectively</w:t>
      </w:r>
      <w:r w:rsidR="00A43161">
        <w:t>,</w:t>
      </w:r>
      <w:r>
        <w:t xml:space="preserve"> for the log commute continuous outcome. Then, the equation above would provide the probability of choosing </w:t>
      </w:r>
      <w:r w:rsidR="000351C1">
        <w:t xml:space="preserve">an expensive residential neighborhood, </w:t>
      </w:r>
      <w:r>
        <w:t>given the commute distance is less than 5 miles for</w:t>
      </w:r>
      <w:r w:rsidR="00A43161">
        <w:t xml:space="preserve"> a specific</w:t>
      </w:r>
      <w:r>
        <w:t xml:space="preserve"> individual </w:t>
      </w:r>
      <w:r>
        <w:rPr>
          <w:i/>
        </w:rPr>
        <w:t xml:space="preserve">q. </w:t>
      </w:r>
      <w:r w:rsidR="000351C1">
        <w:t>The</w:t>
      </w:r>
      <w:r>
        <w:t xml:space="preserve"> average over all individuals would then provide the predicted share of </w:t>
      </w:r>
      <w:r w:rsidR="000351C1">
        <w:t xml:space="preserve">individuals living in expensive neighborhoods </w:t>
      </w:r>
      <w:r>
        <w:t xml:space="preserve">for </w:t>
      </w:r>
      <w:r w:rsidR="000351C1">
        <w:t xml:space="preserve">a </w:t>
      </w:r>
      <w:r>
        <w:t>commute distance less than 5 miles.</w:t>
      </w:r>
      <w:r w:rsidR="000351C1">
        <w:t xml:space="preserve"> </w:t>
      </w:r>
      <w:r>
        <w:t>Th</w:t>
      </w:r>
      <w:r w:rsidR="000351C1">
        <w:t>en</w:t>
      </w:r>
      <w:r>
        <w:t xml:space="preserve">, based on the earlier definition, the ATE (in this first scenario) may be computed as the difference in the conditional probability of </w:t>
      </w:r>
      <w:r w:rsidR="00D13A32" w:rsidRPr="0082409F">
        <w:rPr>
          <w:position w:val="-12"/>
        </w:rPr>
        <w:object w:dxaOrig="279" w:dyaOrig="360" w14:anchorId="0B6F7B1B">
          <v:shape id="_x0000_i1176" type="#_x0000_t75" style="width:13.7pt;height:18pt" o:ole="" o:preferrelative="f">
            <v:imagedata r:id="rId300" o:title=""/>
            <o:lock v:ext="edit" aspectratio="f"/>
          </v:shape>
          <o:OLEObject Type="Embed" ProgID="Equation.DSMT4" ShapeID="_x0000_i1176" DrawAspect="Content" ObjectID="_1776695172" r:id="rId301"/>
        </w:object>
      </w:r>
      <w:r>
        <w:t xml:space="preserve"> taking the value of </w:t>
      </w:r>
      <w:r w:rsidR="00D13A32" w:rsidRPr="0082409F">
        <w:rPr>
          <w:position w:val="-12"/>
        </w:rPr>
        <w:object w:dxaOrig="260" w:dyaOrig="360" w14:anchorId="431C4579">
          <v:shape id="_x0000_i1177" type="#_x0000_t75" style="width:12.85pt;height:18pt" o:ole="" o:preferrelative="f">
            <v:imagedata r:id="rId296" o:title=""/>
            <o:lock v:ext="edit" aspectratio="f"/>
          </v:shape>
          <o:OLEObject Type="Embed" ProgID="Equation.DSMT4" ShapeID="_x0000_i1177" DrawAspect="Content" ObjectID="_1776695173" r:id="rId302"/>
        </w:object>
      </w:r>
      <w:r>
        <w:t xml:space="preserve"> given the “base” bound of (</w:t>
      </w:r>
      <w:r w:rsidR="00D13A32" w:rsidRPr="0082409F">
        <w:rPr>
          <w:position w:val="-12"/>
        </w:rPr>
        <w:object w:dxaOrig="1140" w:dyaOrig="360" w14:anchorId="1C4E6989">
          <v:shape id="_x0000_i1178" type="#_x0000_t75" style="width:57pt;height:18pt" o:ole="" o:preferrelative="f">
            <v:imagedata r:id="rId303" o:title=""/>
            <o:lock v:ext="edit" aspectratio="f"/>
          </v:shape>
          <o:OLEObject Type="Embed" ProgID="Equation.DSMT4" ShapeID="_x0000_i1178" DrawAspect="Content" ObjectID="_1776695174" r:id="rId304"/>
        </w:object>
      </w:r>
      <w:r>
        <w:t xml:space="preserve">and the “treatment” bound of </w:t>
      </w:r>
      <w:r w:rsidR="00A43161">
        <w:t>(</w:t>
      </w:r>
      <w:r w:rsidR="00D13A32" w:rsidRPr="0082409F">
        <w:rPr>
          <w:position w:val="-12"/>
        </w:rPr>
        <w:object w:dxaOrig="980" w:dyaOrig="360" w14:anchorId="3D550A2D">
          <v:shape id="_x0000_i1179" type="#_x0000_t75" style="width:48.85pt;height:18pt" o:ole="" o:preferrelative="f">
            <v:imagedata r:id="rId305" o:title=""/>
            <o:lock v:ext="edit" aspectratio="f"/>
          </v:shape>
          <o:OLEObject Type="Embed" ProgID="Equation.DSMT4" ShapeID="_x0000_i1179" DrawAspect="Content" ObjectID="_1776695175" r:id="rId306"/>
        </w:object>
      </w:r>
      <w:r w:rsidR="00A43161">
        <w:t xml:space="preserve">) </w:t>
      </w:r>
      <w:r>
        <w:t>for the antecedent</w:t>
      </w:r>
      <w:r w:rsidR="00A43161">
        <w:t xml:space="preserve"> </w:t>
      </w:r>
      <w:r w:rsidR="00D13A32" w:rsidRPr="003A2B86">
        <w:rPr>
          <w:i/>
        </w:rPr>
        <w:t>y</w:t>
      </w:r>
      <w:r w:rsidR="00A43161">
        <w:t xml:space="preserve"> </w:t>
      </w:r>
      <w:r>
        <w:t xml:space="preserve">variable, </w:t>
      </w:r>
      <w:r w:rsidR="000351C1">
        <w:t xml:space="preserve">averaged </w:t>
      </w:r>
      <w:r>
        <w:t xml:space="preserve">over all individuals </w:t>
      </w:r>
      <w:r w:rsidR="00D13A32">
        <w:rPr>
          <w:i/>
        </w:rPr>
        <w:t xml:space="preserve">q </w:t>
      </w:r>
      <w:r w:rsidR="00D13A32" w:rsidRPr="003A2B86">
        <w:t>(</w:t>
      </w:r>
      <w:r w:rsidR="00D13A32">
        <w:rPr>
          <w:i/>
        </w:rPr>
        <w:t>q</w:t>
      </w:r>
      <w:r w:rsidR="00D13A32" w:rsidRPr="008D7E72">
        <w:rPr>
          <w:iCs/>
        </w:rPr>
        <w:t>=1,2</w:t>
      </w:r>
      <w:r w:rsidR="00D13A32" w:rsidRPr="003A2B86">
        <w:t>,…,</w:t>
      </w:r>
      <w:r w:rsidR="00D13A32">
        <w:rPr>
          <w:i/>
        </w:rPr>
        <w:t>Q</w:t>
      </w:r>
      <w:r w:rsidR="00D13A32" w:rsidRPr="003A2B86">
        <w:t>).</w:t>
      </w:r>
    </w:p>
    <w:p w14:paraId="58FBE35B" w14:textId="4AF016B0" w:rsidR="004460B2" w:rsidRDefault="00F15507" w:rsidP="00F15507">
      <w:pPr>
        <w:tabs>
          <w:tab w:val="right" w:pos="9360"/>
        </w:tabs>
        <w:spacing w:after="120" w:line="240" w:lineRule="auto"/>
        <w:jc w:val="both"/>
      </w:pPr>
      <w:r w:rsidRPr="0082409F">
        <w:rPr>
          <w:position w:val="-30"/>
        </w:rPr>
        <w:object w:dxaOrig="6240" w:dyaOrig="680" w14:anchorId="3188E9D8">
          <v:shape id="_x0000_i1180" type="#_x0000_t75" style="width:312pt;height:36pt" o:ole="">
            <v:imagedata r:id="rId307" o:title=""/>
          </v:shape>
          <o:OLEObject Type="Embed" ProgID="Equation.DSMT4" ShapeID="_x0000_i1180" DrawAspect="Content" ObjectID="_1776695176" r:id="rId308"/>
        </w:object>
      </w:r>
      <w:r w:rsidR="00304A34">
        <w:t>.</w:t>
      </w:r>
      <w:r w:rsidR="00BD4A23">
        <w:tab/>
        <w:t>(14)</w:t>
      </w:r>
    </w:p>
    <w:p w14:paraId="403C8865" w14:textId="13F5979E" w:rsidR="00A43161" w:rsidRDefault="004460B2" w:rsidP="00D13A32">
      <w:pPr>
        <w:spacing w:after="120" w:line="240" w:lineRule="auto"/>
        <w:ind w:firstLine="720"/>
        <w:jc w:val="both"/>
      </w:pPr>
      <w:r>
        <w:t xml:space="preserve">In the second structure, the probability of an ordered outcome </w:t>
      </w:r>
      <w:r w:rsidR="00D13A32" w:rsidRPr="0082409F">
        <w:rPr>
          <w:position w:val="-12"/>
        </w:rPr>
        <w:object w:dxaOrig="279" w:dyaOrig="360" w14:anchorId="1066157D">
          <v:shape id="_x0000_i1181" type="#_x0000_t75" style="width:13.7pt;height:18pt" o:ole="" o:preferrelative="f">
            <v:imagedata r:id="rId309" o:title=""/>
            <o:lock v:ext="edit" aspectratio="f"/>
          </v:shape>
          <o:OLEObject Type="Embed" ProgID="Equation.DSMT4" ShapeID="_x0000_i1181" DrawAspect="Content" ObjectID="_1776695177" r:id="rId310"/>
        </w:object>
      </w:r>
      <w:r>
        <w:t xml:space="preserve"> taking the ordered level of</w:t>
      </w:r>
      <w:r w:rsidR="00616865">
        <w:t xml:space="preserve"> </w:t>
      </w:r>
      <w:r w:rsidR="00D13A32" w:rsidRPr="0082409F">
        <w:rPr>
          <w:position w:val="-12"/>
        </w:rPr>
        <w:object w:dxaOrig="260" w:dyaOrig="360" w14:anchorId="33365D41">
          <v:shape id="_x0000_i1182" type="#_x0000_t75" style="width:12.85pt;height:19.3pt" o:ole="">
            <v:imagedata r:id="rId311" o:title=""/>
          </v:shape>
          <o:OLEObject Type="Embed" ProgID="Equation.DSMT4" ShapeID="_x0000_i1182" DrawAspect="Content" ObjectID="_1776695178" r:id="rId312"/>
        </w:object>
      </w:r>
      <w:r w:rsidR="00062EA9">
        <w:t xml:space="preserve">, </w:t>
      </w:r>
      <w:r>
        <w:t xml:space="preserve">given another ordered outcome </w:t>
      </w:r>
      <w:r w:rsidR="00D13A32" w:rsidRPr="0082409F">
        <w:rPr>
          <w:position w:val="-12"/>
        </w:rPr>
        <w:object w:dxaOrig="279" w:dyaOrig="360" w14:anchorId="043ACB9A">
          <v:shape id="_x0000_i1183" type="#_x0000_t75" style="width:13.7pt;height:18pt" o:ole="" o:preferrelative="f">
            <v:imagedata r:id="rId313" o:title=""/>
            <o:lock v:ext="edit" aspectratio="f"/>
          </v:shape>
          <o:OLEObject Type="Embed" ProgID="Equation.DSMT4" ShapeID="_x0000_i1183" DrawAspect="Content" ObjectID="_1776695179" r:id="rId314"/>
        </w:object>
      </w:r>
      <w:r>
        <w:t xml:space="preserve"> taking the ordered level of</w:t>
      </w:r>
      <w:r w:rsidR="00D13A32">
        <w:t xml:space="preserve"> </w:t>
      </w:r>
      <w:r w:rsidR="00D13A32" w:rsidRPr="0082409F">
        <w:rPr>
          <w:position w:val="-12"/>
        </w:rPr>
        <w:object w:dxaOrig="260" w:dyaOrig="360" w14:anchorId="63A724BA">
          <v:shape id="_x0000_i1184" type="#_x0000_t75" style="width:12.85pt;height:18pt" o:ole="" o:preferrelative="f">
            <v:imagedata r:id="rId315" o:title=""/>
            <o:lock v:ext="edit" aspectratio="f"/>
          </v:shape>
          <o:OLEObject Type="Embed" ProgID="Equation.DSMT4" ShapeID="_x0000_i1184" DrawAspect="Content" ObjectID="_1776695180" r:id="rId316"/>
        </w:object>
      </w:r>
      <w:r w:rsidR="00062EA9">
        <w:t>,</w:t>
      </w:r>
      <w:r>
        <w:rPr>
          <w:i/>
        </w:rPr>
        <w:t xml:space="preserve"> </w:t>
      </w:r>
      <w:r>
        <w:t>would be:</w:t>
      </w:r>
    </w:p>
    <w:p w14:paraId="333DEB9B" w14:textId="59A350FD" w:rsidR="00A43161" w:rsidRDefault="00554634" w:rsidP="00F15507">
      <w:pPr>
        <w:tabs>
          <w:tab w:val="right" w:pos="9360"/>
        </w:tabs>
        <w:spacing w:after="120" w:line="240" w:lineRule="auto"/>
        <w:jc w:val="both"/>
      </w:pPr>
      <w:r w:rsidRPr="00616865">
        <w:rPr>
          <w:position w:val="-108"/>
        </w:rPr>
        <w:object w:dxaOrig="8980" w:dyaOrig="2280" w14:anchorId="47E037B8">
          <v:shape id="_x0000_i1185" type="#_x0000_t75" style="width:440.55pt;height:111.85pt;mso-position-vertical:absolute" o:ole="">
            <v:imagedata r:id="rId317" o:title=""/>
          </v:shape>
          <o:OLEObject Type="Embed" ProgID="Equation.DSMT4" ShapeID="_x0000_i1185" DrawAspect="Content" ObjectID="_1776695181" r:id="rId318"/>
        </w:object>
      </w:r>
      <w:r w:rsidR="00616865">
        <w:t xml:space="preserve">  </w:t>
      </w:r>
      <w:r>
        <w:t xml:space="preserve"> </w:t>
      </w:r>
      <w:r w:rsidR="00113C36">
        <w:t>(</w:t>
      </w:r>
      <w:r w:rsidR="00BD4A23">
        <w:t>15</w:t>
      </w:r>
      <w:r w:rsidR="00113C36">
        <w:t>)</w:t>
      </w:r>
    </w:p>
    <w:p w14:paraId="2D2C90B9" w14:textId="2DB6952D" w:rsidR="004460B2" w:rsidRDefault="004460B2" w:rsidP="00554634">
      <w:pPr>
        <w:spacing w:after="120" w:line="240" w:lineRule="auto"/>
        <w:jc w:val="both"/>
      </w:pPr>
      <w:r>
        <w:t>Th</w:t>
      </w:r>
      <w:r w:rsidR="00113C36">
        <w:t>en</w:t>
      </w:r>
      <w:r>
        <w:t xml:space="preserve">, the ATE (in this second scenario) may be computed as </w:t>
      </w:r>
      <w:r w:rsidR="00113C36">
        <w:t xml:space="preserve">(introducing the index </w:t>
      </w:r>
      <w:r w:rsidR="00113C36" w:rsidRPr="00BD4A23">
        <w:rPr>
          <w:i/>
          <w:iCs/>
        </w:rPr>
        <w:t>q</w:t>
      </w:r>
      <w:r w:rsidR="00113C36">
        <w:t xml:space="preserve"> for individuals) as </w:t>
      </w:r>
      <w:r>
        <w:t xml:space="preserve">the difference in the conditional </w:t>
      </w:r>
      <w:r w:rsidR="00554634">
        <w:t xml:space="preserve">probability of </w:t>
      </w:r>
      <w:r w:rsidR="00554634" w:rsidRPr="0082409F">
        <w:rPr>
          <w:position w:val="-12"/>
        </w:rPr>
        <w:object w:dxaOrig="279" w:dyaOrig="360" w14:anchorId="5DCAF45C">
          <v:shape id="_x0000_i1186" type="#_x0000_t75" style="width:13.7pt;height:18pt" o:ole="" o:preferrelative="f">
            <v:imagedata r:id="rId319" o:title=""/>
            <o:lock v:ext="edit" aspectratio="f"/>
          </v:shape>
          <o:OLEObject Type="Embed" ProgID="Equation.DSMT4" ShapeID="_x0000_i1186" DrawAspect="Content" ObjectID="_1776695182" r:id="rId320"/>
        </w:object>
      </w:r>
      <w:r w:rsidR="00554634">
        <w:t xml:space="preserve"> taking the value of </w:t>
      </w:r>
      <w:r w:rsidR="00554634" w:rsidRPr="0082409F">
        <w:rPr>
          <w:position w:val="-12"/>
        </w:rPr>
        <w:object w:dxaOrig="260" w:dyaOrig="360" w14:anchorId="4E0D5D84">
          <v:shape id="_x0000_i1187" type="#_x0000_t75" style="width:12.85pt;height:18pt" o:ole="" o:preferrelative="f">
            <v:imagedata r:id="rId321" o:title=""/>
            <o:lock v:ext="edit" aspectratio="f"/>
          </v:shape>
          <o:OLEObject Type="Embed" ProgID="Equation.DSMT4" ShapeID="_x0000_i1187" DrawAspect="Content" ObjectID="_1776695183" r:id="rId322"/>
        </w:object>
      </w:r>
      <w:r w:rsidR="00554634">
        <w:t xml:space="preserve"> between the “base” state when </w:t>
      </w:r>
      <w:r w:rsidR="00554634" w:rsidRPr="0082409F">
        <w:rPr>
          <w:position w:val="-12"/>
        </w:rPr>
        <w:object w:dxaOrig="279" w:dyaOrig="360" w14:anchorId="71C96099">
          <v:shape id="_x0000_i1188" type="#_x0000_t75" style="width:13.7pt;height:18pt" o:ole="" o:preferrelative="f">
            <v:imagedata r:id="rId323" o:title=""/>
            <o:lock v:ext="edit" aspectratio="f"/>
          </v:shape>
          <o:OLEObject Type="Embed" ProgID="Equation.DSMT4" ShapeID="_x0000_i1188" DrawAspect="Content" ObjectID="_1776695184" r:id="rId324"/>
        </w:object>
      </w:r>
      <w:r w:rsidR="00554634">
        <w:t xml:space="preserve"> is </w:t>
      </w:r>
      <w:r w:rsidR="00554634" w:rsidRPr="0082409F">
        <w:rPr>
          <w:position w:val="-12"/>
        </w:rPr>
        <w:object w:dxaOrig="240" w:dyaOrig="360" w14:anchorId="558BD101">
          <v:shape id="_x0000_i1189" type="#_x0000_t75" style="width:12pt;height:18pt" o:ole="" o:preferrelative="f">
            <v:imagedata r:id="rId325" o:title=""/>
            <o:lock v:ext="edit" aspectratio="f"/>
          </v:shape>
          <o:OLEObject Type="Embed" ProgID="Equation.DSMT4" ShapeID="_x0000_i1189" DrawAspect="Content" ObjectID="_1776695185" r:id="rId326"/>
        </w:object>
      </w:r>
      <w:r w:rsidR="00554634">
        <w:t xml:space="preserve"> and the “treatment” state when </w:t>
      </w:r>
      <w:r w:rsidR="00554634" w:rsidRPr="0082409F">
        <w:rPr>
          <w:position w:val="-12"/>
        </w:rPr>
        <w:object w:dxaOrig="279" w:dyaOrig="360" w14:anchorId="6FDE0447">
          <v:shape id="_x0000_i1190" type="#_x0000_t75" style="width:13.7pt;height:18pt" o:ole="" o:preferrelative="f">
            <v:imagedata r:id="rId327" o:title=""/>
            <o:lock v:ext="edit" aspectratio="f"/>
          </v:shape>
          <o:OLEObject Type="Embed" ProgID="Equation.DSMT4" ShapeID="_x0000_i1190" DrawAspect="Content" ObjectID="_1776695186" r:id="rId328"/>
        </w:object>
      </w:r>
      <w:r w:rsidR="00554634">
        <w:t xml:space="preserve"> is </w:t>
      </w:r>
      <w:r w:rsidR="00554634" w:rsidRPr="0082409F">
        <w:rPr>
          <w:position w:val="-12"/>
        </w:rPr>
        <w:object w:dxaOrig="200" w:dyaOrig="360" w14:anchorId="33570DBB">
          <v:shape id="_x0000_i1191" type="#_x0000_t75" style="width:9.85pt;height:18pt" o:ole="" o:preferrelative="f">
            <v:imagedata r:id="rId329" o:title=""/>
            <o:lock v:ext="edit" aspectratio="f"/>
          </v:shape>
          <o:OLEObject Type="Embed" ProgID="Equation.DSMT4" ShapeID="_x0000_i1191" DrawAspect="Content" ObjectID="_1776695187" r:id="rId330"/>
        </w:object>
      </w:r>
      <w:r w:rsidR="00554634">
        <w:t xml:space="preserve"> (as </w:t>
      </w:r>
      <w:r>
        <w:t>shown below).</w:t>
      </w:r>
    </w:p>
    <w:p w14:paraId="49E2F7F3" w14:textId="77A33C92" w:rsidR="004460B2" w:rsidRDefault="00F15507" w:rsidP="00F15507">
      <w:pPr>
        <w:tabs>
          <w:tab w:val="right" w:pos="9360"/>
        </w:tabs>
        <w:spacing w:after="120" w:line="240" w:lineRule="auto"/>
        <w:jc w:val="both"/>
      </w:pPr>
      <w:r w:rsidRPr="0082409F">
        <w:rPr>
          <w:position w:val="-30"/>
        </w:rPr>
        <w:object w:dxaOrig="5400" w:dyaOrig="680" w14:anchorId="0C263026">
          <v:shape id="_x0000_i1192" type="#_x0000_t75" style="width:269.55pt;height:33.85pt" o:ole="" o:preferrelative="f">
            <v:imagedata r:id="rId331" o:title=""/>
            <o:lock v:ext="edit" aspectratio="f"/>
          </v:shape>
          <o:OLEObject Type="Embed" ProgID="Equation.DSMT4" ShapeID="_x0000_i1192" DrawAspect="Content" ObjectID="_1776695188" r:id="rId332"/>
        </w:object>
      </w:r>
      <w:r w:rsidR="00304A34">
        <w:t>.</w:t>
      </w:r>
      <w:r w:rsidR="00BD4A23">
        <w:tab/>
        <w:t>(16)</w:t>
      </w:r>
    </w:p>
    <w:p w14:paraId="157FBE9C" w14:textId="2469E1BF" w:rsidR="0091185C" w:rsidRDefault="00C03646" w:rsidP="004460B2">
      <w:pPr>
        <w:spacing w:after="0" w:line="240" w:lineRule="auto"/>
        <w:ind w:firstLine="720"/>
        <w:jc w:val="both"/>
      </w:pPr>
      <w:r>
        <w:t>To keep the presentation simple</w:t>
      </w:r>
      <w:r w:rsidR="004460B2">
        <w:t xml:space="preserve">, in this paper, </w:t>
      </w:r>
      <w:r>
        <w:t xml:space="preserve">for ordered response outcomes with more than two categories, </w:t>
      </w:r>
      <w:r w:rsidR="004460B2">
        <w:t xml:space="preserve">we only report the ATEs for a change from the lowest extreme to the highest extreme for the antecedent variables. For the posterior variable, we compute the shares for the highest categorical level. </w:t>
      </w:r>
      <w:r>
        <w:t xml:space="preserve">Further, we only compute the ATE effects for antecedent-posterior variable pairs where there is a causal pathway of effect. Based on Section 4.2.3, that leaves four antecedent variables for employed individuals (commute distance, housing type, population </w:t>
      </w:r>
      <w:r>
        <w:lastRenderedPageBreak/>
        <w:t xml:space="preserve">density, and median housing cost) and three for unemployed individuals (housing type, </w:t>
      </w:r>
      <w:r w:rsidR="003A75BE">
        <w:t>p</w:t>
      </w:r>
      <w:r>
        <w:t>opulation density, and median housing costs). Additionally, in computing the ATEs for commute distance</w:t>
      </w:r>
      <w:r w:rsidR="00417A74">
        <w:t xml:space="preserve"> for employed individuals</w:t>
      </w:r>
      <w:r>
        <w:t xml:space="preserve">, we only consider those individuals who have a physical </w:t>
      </w:r>
      <w:r w:rsidR="00582567">
        <w:t>workplace</w:t>
      </w:r>
      <w:r>
        <w:t xml:space="preserve"> outside their home and in the local area of their residence. </w:t>
      </w:r>
      <w:r w:rsidR="004460B2">
        <w:t>T</w:t>
      </w:r>
      <w:r w:rsidR="00F40397">
        <w:t xml:space="preserve">he results of these </w:t>
      </w:r>
      <w:r>
        <w:t>ATEs</w:t>
      </w:r>
      <w:r w:rsidR="00693EB1">
        <w:t>, computed as percentage changes from the base,</w:t>
      </w:r>
      <w:r>
        <w:t xml:space="preserve"> </w:t>
      </w:r>
      <w:r w:rsidR="00F40397">
        <w:t xml:space="preserve">are presented in Table 7. </w:t>
      </w:r>
      <w:r w:rsidR="00693EB1">
        <w:t>For example, the first numeric of -31.3% indicates that, among employed individuals with a commute distance of more than 20 miles, the share of those living in an apartment is 31.3% lower than the corresponding share among employed individuals living within 5 miles of their office. Another way to interpret this figure is that employed individuals living more than 20 miles away fro</w:t>
      </w:r>
      <w:r w:rsidR="00693EB1" w:rsidRPr="00B15185">
        <w:t xml:space="preserve">m their office are </w:t>
      </w:r>
      <w:r w:rsidR="00620EDB" w:rsidRPr="00B15185">
        <w:t xml:space="preserve">31.3% </w:t>
      </w:r>
      <w:r w:rsidR="00417A74">
        <w:t xml:space="preserve">(0.687 times) </w:t>
      </w:r>
      <w:r w:rsidR="00693EB1" w:rsidRPr="00B15185">
        <w:t>less likely to be i</w:t>
      </w:r>
      <w:r w:rsidR="00693EB1">
        <w:t xml:space="preserve">n an apartment than those living within 5 miles of their office. </w:t>
      </w:r>
      <w:r w:rsidR="00957931">
        <w:t>The</w:t>
      </w:r>
      <w:r w:rsidR="00114219">
        <w:t xml:space="preserve"> results for</w:t>
      </w:r>
      <w:r w:rsidR="00FE409B">
        <w:t xml:space="preserve"> employed</w:t>
      </w:r>
      <w:r w:rsidR="00114219">
        <w:t xml:space="preserve"> individuals </w:t>
      </w:r>
      <w:r w:rsidR="00957931">
        <w:t>reveal that a</w:t>
      </w:r>
      <w:r w:rsidR="004B1F1D">
        <w:t>n</w:t>
      </w:r>
      <w:r w:rsidR="00957931">
        <w:t xml:space="preserve"> increase</w:t>
      </w:r>
      <w:r w:rsidR="00CE47FB">
        <w:t xml:space="preserve"> in</w:t>
      </w:r>
      <w:r w:rsidR="00957931">
        <w:t xml:space="preserve"> commute distance </w:t>
      </w:r>
      <w:r w:rsidR="004B1F1D">
        <w:t>from less than f</w:t>
      </w:r>
      <w:r w:rsidR="004B1F1D" w:rsidRPr="00336468">
        <w:t xml:space="preserve">ive miles to </w:t>
      </w:r>
      <w:r w:rsidR="00CE47FB" w:rsidRPr="00336468">
        <w:t xml:space="preserve">more than 20 miles </w:t>
      </w:r>
      <w:r w:rsidR="00F370CA" w:rsidRPr="00336468">
        <w:t>would lead to</w:t>
      </w:r>
      <w:r w:rsidR="009C47EC" w:rsidRPr="00336468">
        <w:t xml:space="preserve"> a reduction in the likelihood of</w:t>
      </w:r>
      <w:r w:rsidR="00042353" w:rsidRPr="00336468">
        <w:t xml:space="preserve"> choosing an apartment and reductio</w:t>
      </w:r>
      <w:r w:rsidR="00042353">
        <w:t>n in the likelihood of renting.</w:t>
      </w:r>
      <w:r w:rsidR="00AA0FC5">
        <w:t xml:space="preserve"> In other words, to counterbalance the inconvenience of longer commute distances, individuals place greater importance on the ownership of a single-family home. Additionally, a significant increase in commute distance results in a </w:t>
      </w:r>
      <w:r w:rsidR="00B441AC">
        <w:t>greater</w:t>
      </w:r>
      <w:r w:rsidR="00AA0FC5">
        <w:t xml:space="preserve"> preference for </w:t>
      </w:r>
      <w:r w:rsidR="00CC431B">
        <w:t xml:space="preserve">having more bedrooms and a </w:t>
      </w:r>
      <w:r w:rsidR="00B441AC">
        <w:t>reduced likelihood</w:t>
      </w:r>
      <w:r w:rsidR="00CC431B">
        <w:t xml:space="preserve"> of living in a high population density </w:t>
      </w:r>
      <w:r w:rsidR="009B6320">
        <w:t xml:space="preserve">area with a very high crime rate. The results also reveal that living in an apartment, rather than a single-family home, </w:t>
      </w:r>
      <w:r w:rsidR="00285AC9">
        <w:t xml:space="preserve">and living in an </w:t>
      </w:r>
      <w:r w:rsidR="00B441AC">
        <w:t>area</w:t>
      </w:r>
      <w:r w:rsidR="00285AC9">
        <w:t xml:space="preserve"> with a high population density both contribute to a compromise in terms of school quality and crime rate. This is evidenced by the negative ATE observed for housing type and population density variables </w:t>
      </w:r>
      <w:r w:rsidR="00870E17">
        <w:t xml:space="preserve">on school quality (reflected in the second and third rows of the school quality column in Table 7) as well as the positive ATE observed for these variables on crime rate (found in the second and third rows of the crime rate column in Table 7). </w:t>
      </w:r>
      <w:r w:rsidR="00A808D1">
        <w:t xml:space="preserve">The </w:t>
      </w:r>
      <w:r w:rsidR="00D163E7">
        <w:t xml:space="preserve">effect of </w:t>
      </w:r>
      <w:r w:rsidR="00870E17">
        <w:t>moving</w:t>
      </w:r>
      <w:r w:rsidR="00D163E7">
        <w:t xml:space="preserve"> from an area with </w:t>
      </w:r>
      <w:r w:rsidR="00593FC0">
        <w:t xml:space="preserve">a </w:t>
      </w:r>
      <w:r w:rsidR="00D163E7">
        <w:t>low median housing cost to</w:t>
      </w:r>
      <w:r w:rsidR="00593FC0">
        <w:t xml:space="preserve"> one with a</w:t>
      </w:r>
      <w:r w:rsidR="00D163E7">
        <w:t xml:space="preserve"> high median housing cost results in </w:t>
      </w:r>
      <w:r w:rsidR="00716C53">
        <w:t xml:space="preserve">a 386.8% increase in the likelihood of living in an area with excellent school quality. </w:t>
      </w:r>
      <w:r w:rsidR="00BC7050">
        <w:t>Similar</w:t>
      </w:r>
      <w:r w:rsidR="00FA3E60">
        <w:t xml:space="preserve"> treatment effects are found for </w:t>
      </w:r>
      <w:r w:rsidR="0074545B">
        <w:t xml:space="preserve">unemployed </w:t>
      </w:r>
      <w:r w:rsidR="00FA3E60">
        <w:t xml:space="preserve">individuals </w:t>
      </w:r>
      <w:r w:rsidR="00001DBC">
        <w:t xml:space="preserve">(shown in the bottom panel of Table 7). The </w:t>
      </w:r>
      <w:r w:rsidR="00417A74">
        <w:t xml:space="preserve">most significant </w:t>
      </w:r>
      <w:r w:rsidR="00001DBC">
        <w:t xml:space="preserve">difference </w:t>
      </w:r>
      <w:r w:rsidR="00417A74">
        <w:t xml:space="preserve">between employed and unemployed individuals </w:t>
      </w:r>
      <w:r w:rsidR="00001DBC">
        <w:t>i</w:t>
      </w:r>
      <w:r w:rsidR="00BC7050">
        <w:t xml:space="preserve">s that the </w:t>
      </w:r>
      <w:r w:rsidR="00F14A88">
        <w:t xml:space="preserve">effect of </w:t>
      </w:r>
      <w:r w:rsidR="00417A74">
        <w:t>li</w:t>
      </w:r>
      <w:r w:rsidR="00F14A88">
        <w:t xml:space="preserve">ving an apartment rather than a single-family home leads to a smaller increase in the likelihood of renting </w:t>
      </w:r>
      <w:r w:rsidR="00512061">
        <w:t xml:space="preserve">and a larger reduction in the likelihood of having a patio or yard for unemployed individuals. </w:t>
      </w:r>
      <w:r w:rsidR="00955C6D">
        <w:t xml:space="preserve">This is likely because unemployed individuals are less willing to commit to the long-term investment of buying a home </w:t>
      </w:r>
      <w:r w:rsidR="00382827">
        <w:t>without stable employment, even if they li</w:t>
      </w:r>
      <w:r w:rsidR="00DE789C">
        <w:t>v</w:t>
      </w:r>
      <w:r w:rsidR="00382827">
        <w:t xml:space="preserve">e in a single-family home. </w:t>
      </w:r>
      <w:bookmarkEnd w:id="41"/>
    </w:p>
    <w:p w14:paraId="29610C28" w14:textId="77777777" w:rsidR="003211B8" w:rsidRPr="0077513C" w:rsidRDefault="003211B8" w:rsidP="000B6FD6">
      <w:pPr>
        <w:spacing w:after="0" w:line="240" w:lineRule="auto"/>
        <w:jc w:val="both"/>
      </w:pPr>
    </w:p>
    <w:p w14:paraId="44FE1E68" w14:textId="6879C26D" w:rsidR="002134FA" w:rsidRPr="009B2F97" w:rsidRDefault="002E27D1" w:rsidP="000B6FD6">
      <w:pPr>
        <w:spacing w:after="0" w:line="240" w:lineRule="auto"/>
        <w:jc w:val="both"/>
        <w:rPr>
          <w:b/>
          <w:bCs/>
        </w:rPr>
      </w:pPr>
      <w:r w:rsidRPr="009B2F97">
        <w:rPr>
          <w:b/>
          <w:bCs/>
        </w:rPr>
        <w:t>5</w:t>
      </w:r>
      <w:r w:rsidR="00FE0016" w:rsidRPr="009B2F97">
        <w:rPr>
          <w:b/>
          <w:bCs/>
        </w:rPr>
        <w:t>.</w:t>
      </w:r>
      <w:r w:rsidRPr="009B2F97">
        <w:rPr>
          <w:b/>
          <w:bCs/>
        </w:rPr>
        <w:t xml:space="preserve"> </w:t>
      </w:r>
      <w:r w:rsidR="00930BBC">
        <w:rPr>
          <w:b/>
          <w:bCs/>
        </w:rPr>
        <w:t>IMPLICATIONS</w:t>
      </w:r>
      <w:r w:rsidR="00FE0016" w:rsidRPr="009B2F97">
        <w:rPr>
          <w:b/>
          <w:bCs/>
        </w:rPr>
        <w:t xml:space="preserve"> </w:t>
      </w:r>
    </w:p>
    <w:p w14:paraId="6A3278C7" w14:textId="25AC8B90" w:rsidR="00521853" w:rsidRDefault="00521853" w:rsidP="000B6FD6">
      <w:pPr>
        <w:spacing w:after="0" w:line="240" w:lineRule="auto"/>
        <w:jc w:val="both"/>
        <w:rPr>
          <w:b/>
          <w:bCs/>
        </w:rPr>
      </w:pPr>
      <w:r>
        <w:rPr>
          <w:b/>
          <w:bCs/>
        </w:rPr>
        <w:t xml:space="preserve">5.1 </w:t>
      </w:r>
      <w:bookmarkStart w:id="43" w:name="_Hlk148696090"/>
      <w:r w:rsidR="004838F5">
        <w:rPr>
          <w:b/>
          <w:bCs/>
        </w:rPr>
        <w:t>Land Use Policies</w:t>
      </w:r>
      <w:r w:rsidR="00973F35">
        <w:rPr>
          <w:b/>
          <w:bCs/>
        </w:rPr>
        <w:t xml:space="preserve"> and Planning</w:t>
      </w:r>
      <w:bookmarkEnd w:id="43"/>
    </w:p>
    <w:p w14:paraId="281534BE" w14:textId="4E352223" w:rsidR="00827FD1" w:rsidRDefault="000E3DEF" w:rsidP="000B6FD6">
      <w:pPr>
        <w:spacing w:after="0" w:line="240" w:lineRule="auto"/>
        <w:jc w:val="both"/>
      </w:pPr>
      <w:bookmarkStart w:id="44" w:name="_Hlk148696102"/>
      <w:r>
        <w:t xml:space="preserve">The ATEs shown in Table 7 </w:t>
      </w:r>
      <w:r w:rsidR="00A5617C">
        <w:t xml:space="preserve">demonstrate the relationships between housing outcomes that have important implications for land use policies. </w:t>
      </w:r>
      <w:r w:rsidR="0050495F">
        <w:t>Longer commute distances</w:t>
      </w:r>
      <w:r w:rsidR="00951604">
        <w:t xml:space="preserve"> lead</w:t>
      </w:r>
      <w:r w:rsidR="0050495F">
        <w:t xml:space="preserve"> to </w:t>
      </w:r>
      <w:r w:rsidR="00147124">
        <w:t xml:space="preserve">housing choices favoring locations </w:t>
      </w:r>
      <w:r w:rsidR="00D479A5">
        <w:t xml:space="preserve">with </w:t>
      </w:r>
      <w:r w:rsidR="00147124">
        <w:t xml:space="preserve">low </w:t>
      </w:r>
      <w:r w:rsidR="0050495F">
        <w:t xml:space="preserve">population densities and </w:t>
      </w:r>
      <w:r w:rsidR="00737209">
        <w:t>large</w:t>
      </w:r>
      <w:r w:rsidR="0050495F">
        <w:t xml:space="preserve"> </w:t>
      </w:r>
      <w:r w:rsidR="004C4E61">
        <w:t>single-family</w:t>
      </w:r>
      <w:r w:rsidR="00737209">
        <w:t xml:space="preserve"> homes</w:t>
      </w:r>
      <w:r w:rsidR="00951604">
        <w:t xml:space="preserve">, </w:t>
      </w:r>
      <w:r w:rsidR="003F5909">
        <w:t>both</w:t>
      </w:r>
      <w:r w:rsidR="00951604">
        <w:t xml:space="preserve"> of which contribute to </w:t>
      </w:r>
      <w:r w:rsidR="00803923">
        <w:t>suburbanization and urban sprawl.</w:t>
      </w:r>
      <w:r w:rsidR="00140A4C">
        <w:t xml:space="preserve"> </w:t>
      </w:r>
      <w:r w:rsidR="00B22BBB">
        <w:t>This type of increased suburbanization can have negative impacts</w:t>
      </w:r>
      <w:r w:rsidR="00147124">
        <w:t>,</w:t>
      </w:r>
      <w:r w:rsidR="00B22BBB">
        <w:t xml:space="preserve"> including </w:t>
      </w:r>
      <w:r w:rsidR="00A73431">
        <w:t xml:space="preserve">environmental degradation from the increased consumption of land, </w:t>
      </w:r>
      <w:r w:rsidR="003E6422">
        <w:t xml:space="preserve">negative economic consequences due to higher transportation costs and </w:t>
      </w:r>
      <w:r w:rsidR="00C90DA9">
        <w:t xml:space="preserve">real estate prices, and increased social vulnerability because of segregated land uses and </w:t>
      </w:r>
      <w:r w:rsidR="009B7DEC">
        <w:t>unequal distribution of public infrastructure</w:t>
      </w:r>
      <w:r w:rsidR="00362A0D">
        <w:t xml:space="preserve"> </w:t>
      </w:r>
      <w:r w:rsidR="00362A0D">
        <w:fldChar w:fldCharType="begin"/>
      </w:r>
      <w:r w:rsidR="008912F0">
        <w:instrText xml:space="preserve"> ADDIN ZOTERO_ITEM CSL_CITATION {"citationID":"zjVHX3s1","properties":{"formattedCitation":"(Cocheci and Petrisor, 2023)","plainCitation":"(Cocheci and Petrisor, 2023)","noteIndex":0},"citationItems":[{"id":832,"uris":["http://zotero.org/users/local/1ztI2Oc6/items/9XDRAMN3","http://zotero.org/users/12832277/items/9XDRAMN3"],"itemData":{"id":832,"type":"article-journal","abstract":"Urban sprawl is widely considered to be a major issue for the functioning of urban areas, threatening long-term sustainability and affecting the quality of living. The aim of this research is to develop a methodology for assessing the negative effects of uncontrolled suburbanization in metropolitan areas through a multicriterial approach. Based on the existing body of knowledge, we have defined a set of indicators for assessing the impact of suburbanization, covering themes such as land use, water, biodiversity and economy or social issues. A questionnaire was applied to experts in the field in order to find out the final set of indicators and their perceived importance. The product of our research is an urban sprawl restrictiveness index at the local level, tested on five of the most dynamic metropolitan areas in Romania. The results highlight the concentration of negative effects of urban sprawl in the areas most accessible from the city core, where additional in-depth analyses were performed for validation. This study thus proposes a novel method for assessing the negative impacts of urban sprawl. The index could be used in other comparative studies at the national or international level while also aiding policymakers in better managing metropolitan areas.","container-title":"Land","DOI":"10.3390/land12050966","ISSN":"2073-445X","issue":"5","language":"en","license":"http://creativecommons.org/licenses/by/3.0/","note":"number: 5\npublisher: Multidisciplinary Digital Publishing Institute","page":"966","source":"www.mdpi.com","title":"Assessing the Negative Effects of Suburbanization: The Urban Sprawl Restrictiveness Index in Romania’s Metropolitan Areas","title-short":"Assessing the Negative Effects of Suburbanization","volume":"12","author":[{"family":"Cocheci","given":"Radu-Matei"},{"family":"Petrisor","given":"Alexandru-Ionut"}],"issued":{"date-parts":[["2023",5]]}}}],"schema":"https://github.com/citation-style-language/schema/raw/master/csl-citation.json"} </w:instrText>
      </w:r>
      <w:r w:rsidR="00362A0D">
        <w:fldChar w:fldCharType="separate"/>
      </w:r>
      <w:r w:rsidR="00362A0D" w:rsidRPr="00362A0D">
        <w:t>(Cocheci and Petrisor, 2023)</w:t>
      </w:r>
      <w:r w:rsidR="00362A0D">
        <w:fldChar w:fldCharType="end"/>
      </w:r>
      <w:r w:rsidR="009B7DEC">
        <w:t xml:space="preserve">. </w:t>
      </w:r>
      <w:r w:rsidR="00836E1E">
        <w:t xml:space="preserve">Policies that reduce the spatial mismatch between </w:t>
      </w:r>
      <w:r w:rsidR="001D1F81">
        <w:t xml:space="preserve">housing and </w:t>
      </w:r>
      <w:r w:rsidR="00836E1E">
        <w:t>employment</w:t>
      </w:r>
      <w:r w:rsidR="00742301">
        <w:t xml:space="preserve">, including promoting affordable housing </w:t>
      </w:r>
      <w:r w:rsidR="00795512">
        <w:t xml:space="preserve">near employment centers and </w:t>
      </w:r>
      <w:r w:rsidR="00444FAC">
        <w:t>zoning for higher</w:t>
      </w:r>
      <w:r w:rsidR="000646B4">
        <w:t>-</w:t>
      </w:r>
      <w:r w:rsidR="00444FAC">
        <w:t>density residential developments,</w:t>
      </w:r>
      <w:r w:rsidR="005C03A1">
        <w:t xml:space="preserve"> can effectively reduce commute distances </w:t>
      </w:r>
      <w:r w:rsidR="00A911B9">
        <w:t xml:space="preserve">and lead to </w:t>
      </w:r>
      <w:r w:rsidR="001664F0">
        <w:t xml:space="preserve">less suburbanization. </w:t>
      </w:r>
      <w:r w:rsidR="002573CB">
        <w:t xml:space="preserve">Relatedly, </w:t>
      </w:r>
      <w:bookmarkStart w:id="45" w:name="_Hlk165619579"/>
      <w:r w:rsidR="002573CB">
        <w:t>those who choose areas with lower median housing costs tend to live in low population density areas</w:t>
      </w:r>
      <w:bookmarkEnd w:id="45"/>
      <w:r w:rsidR="002573CB">
        <w:t>, indicating that budget considerations also</w:t>
      </w:r>
      <w:r w:rsidR="00381119">
        <w:t xml:space="preserve"> </w:t>
      </w:r>
      <w:r w:rsidR="002573CB">
        <w:t xml:space="preserve">play an </w:t>
      </w:r>
      <w:r w:rsidR="002573CB">
        <w:lastRenderedPageBreak/>
        <w:t xml:space="preserve">important role in considerations of </w:t>
      </w:r>
      <w:r w:rsidR="00381119">
        <w:t xml:space="preserve">residential </w:t>
      </w:r>
      <w:r w:rsidR="002573CB">
        <w:t>density</w:t>
      </w:r>
      <w:r w:rsidR="00381119">
        <w:t xml:space="preserve"> of living</w:t>
      </w:r>
      <w:r w:rsidR="002D6440">
        <w:t>,</w:t>
      </w:r>
      <w:r w:rsidR="002573CB">
        <w:t xml:space="preserve"> reinforcing the benefits of providing low-income housing near employment centers. </w:t>
      </w:r>
    </w:p>
    <w:p w14:paraId="6EE6476D" w14:textId="179C511A" w:rsidR="00A47181" w:rsidRDefault="007E0569" w:rsidP="000B6FD6">
      <w:pPr>
        <w:spacing w:after="0" w:line="240" w:lineRule="auto"/>
        <w:jc w:val="both"/>
      </w:pPr>
      <w:r>
        <w:tab/>
      </w:r>
      <w:r w:rsidR="00EF1CC4">
        <w:t xml:space="preserve">Although Table 7 reveals an overall reduction in access to amenities </w:t>
      </w:r>
      <w:r w:rsidR="007B6A9E">
        <w:t xml:space="preserve">with increasing commute distance, the results in Table 4 indicate that those with a high TLP </w:t>
      </w:r>
      <w:r w:rsidR="00532263">
        <w:t>have longer commute distance</w:t>
      </w:r>
      <w:r w:rsidR="000646B4">
        <w:t>s</w:t>
      </w:r>
      <w:r w:rsidR="00532263">
        <w:t xml:space="preserve"> and </w:t>
      </w:r>
      <w:r w:rsidR="007B6A9E">
        <w:t xml:space="preserve">prefer to have greater access to amenities. </w:t>
      </w:r>
      <w:r w:rsidR="00BC7793">
        <w:t>This distinction indicates that</w:t>
      </w:r>
      <w:r w:rsidR="00F500EB">
        <w:t xml:space="preserve"> teleworker</w:t>
      </w:r>
      <w:r w:rsidR="000802FA">
        <w:t>s</w:t>
      </w:r>
      <w:r w:rsidR="00147124">
        <w:t>, relative to non-teleworkers,</w:t>
      </w:r>
      <w:r w:rsidR="000802FA">
        <w:t xml:space="preserve"> are more inclined to live in </w:t>
      </w:r>
      <w:r w:rsidR="00304E10">
        <w:t xml:space="preserve">mixed-use </w:t>
      </w:r>
      <w:r w:rsidR="000802FA">
        <w:t xml:space="preserve">areas where they have easy access to </w:t>
      </w:r>
      <w:r w:rsidR="00304E10">
        <w:t>non-work activities</w:t>
      </w:r>
      <w:r w:rsidR="00147124">
        <w:t xml:space="preserve">, </w:t>
      </w:r>
      <w:r w:rsidR="002E42AA">
        <w:t xml:space="preserve">consistent with </w:t>
      </w:r>
      <w:r w:rsidR="00147124">
        <w:t xml:space="preserve">the results in </w:t>
      </w:r>
      <w:proofErr w:type="spellStart"/>
      <w:r w:rsidR="000367EA">
        <w:t>Zenkteler</w:t>
      </w:r>
      <w:proofErr w:type="spellEnd"/>
      <w:r w:rsidR="000367EA">
        <w:t xml:space="preserve"> et al.</w:t>
      </w:r>
      <w:r w:rsidR="00346A4E">
        <w:t xml:space="preserve"> </w:t>
      </w:r>
      <w:r w:rsidR="00346A4E">
        <w:fldChar w:fldCharType="begin"/>
      </w:r>
      <w:r w:rsidR="000C4AE3">
        <w:instrText xml:space="preserve"> ADDIN ZOTERO_ITEM CSL_CITATION {"citationID":"6WnDUojk","properties":{"formattedCitation":"(2022)","plainCitation":"(2022)","noteIndex":0},"citationItems":[{"id":817,"uris":["http://zotero.org/users/local/1ztI2Oc6/items/ZAVAGXCH","http://zotero.org/users/12832277/items/ZAVAGXCH"],"itemData":{"id":817,"type":"article-journal","abstract":"Home-based work is becoming an increasingly popular form of work in cities, fuelled by technological advances, lifestyle preferences, demographical change and rapid evolution of the knowledge economy. In many cities, particularly those planned and developed with intentional separation of land uses, this return of economic activities to residential neighbourhoods brings along both lifestyle opportunities and spatial challenges. Attempts to formulate appropriate urban planning responses are hindered by the limited understanding of home-based workers’ needs and aspirations, as well as their impacts on the built environment. Responding to this knowledge gap, this paper presents the results of a survey focused on urban planning implications of home-based work within the City of Gold Coast (Queensland, Australia). The findings provide strong evidence of home-based workers’ preferences for neighbourhoods that integrate residential amenities with place-making initiatives to enhance economic performance, networking and collaboration. Several urban planning recommendations are provided in three separate scenarios to facilitate the formulation of strategies prompting a gradual evolution of residential neighbourhoods towards live/work urban environments.","container-title":"Futures","DOI":"10.1016/j.futures.2019.102494","ISSN":"0016-3287","language":"en","page":"102494","source":"ScienceDirect","title":"Home-Based Work in Cities: In Search of an Appropriate Urban Planning Response","title-short":"Home-Based Work in Cities","volume":"135","author":[{"family":"Zenkteler","given":"Matthew"},{"family":"Darchen","given":"Sebastien"},{"family":"Mateo-Babiano","given":"Iderlina"},{"family":"Baffour","given":"Bernard"}],"issued":{"date-parts":[["2022",1,1]]}},"label":"page","suppress-author":true}],"schema":"https://github.com/citation-style-language/schema/raw/master/csl-citation.json"} </w:instrText>
      </w:r>
      <w:r w:rsidR="00346A4E">
        <w:fldChar w:fldCharType="separate"/>
      </w:r>
      <w:r w:rsidR="00346A4E" w:rsidRPr="00346A4E">
        <w:t>(2022)</w:t>
      </w:r>
      <w:r w:rsidR="00346A4E">
        <w:fldChar w:fldCharType="end"/>
      </w:r>
      <w:r w:rsidR="0050572D">
        <w:t>.</w:t>
      </w:r>
      <w:r w:rsidR="009464F2">
        <w:t xml:space="preserve"> The implications of these changing preferences are</w:t>
      </w:r>
      <w:r w:rsidR="003849A2">
        <w:t xml:space="preserve"> wide</w:t>
      </w:r>
      <w:r w:rsidR="000646B4">
        <w:t>-</w:t>
      </w:r>
      <w:r w:rsidR="003849A2">
        <w:t>ranging. For urban planners</w:t>
      </w:r>
      <w:r w:rsidR="00CC6E0A">
        <w:t>,</w:t>
      </w:r>
      <w:r w:rsidR="003849A2">
        <w:t xml:space="preserve"> this means designing new developments tha</w:t>
      </w:r>
      <w:r w:rsidR="005A63FE">
        <w:t xml:space="preserve">t incorporate both residential and retail spaces as well as </w:t>
      </w:r>
      <w:r w:rsidR="001D412D">
        <w:t xml:space="preserve">transportation systems that promote </w:t>
      </w:r>
      <w:r w:rsidR="000F2913">
        <w:t>active transportation for shorter trips</w:t>
      </w:r>
      <w:r w:rsidR="00CC6E0A">
        <w:t xml:space="preserve">. Retailers, on the other hand, </w:t>
      </w:r>
      <w:r w:rsidR="00147124">
        <w:t xml:space="preserve">may want to </w:t>
      </w:r>
      <w:r w:rsidR="00CC6E0A">
        <w:t>consider</w:t>
      </w:r>
      <w:r w:rsidR="00B36D3E">
        <w:t xml:space="preserve"> </w:t>
      </w:r>
      <w:r w:rsidR="00330B1F">
        <w:t>moving away from larger shopping centers</w:t>
      </w:r>
      <w:r w:rsidR="00777B02">
        <w:t xml:space="preserve"> to instead include a mix of online options and smaller neighborhood locations </w:t>
      </w:r>
      <w:r w:rsidR="004012B7">
        <w:t>that are more suited to the local needs of teleworkers</w:t>
      </w:r>
      <w:r w:rsidR="00BF4B9C">
        <w:t>. As for</w:t>
      </w:r>
      <w:r w:rsidR="00652182">
        <w:t xml:space="preserve"> </w:t>
      </w:r>
      <w:r w:rsidR="004F1258">
        <w:t>cities and government officials</w:t>
      </w:r>
      <w:r w:rsidR="00BF4B9C">
        <w:t>, the</w:t>
      </w:r>
      <w:r w:rsidR="00147124">
        <w:t xml:space="preserve">re is a suggestion to promote developments that </w:t>
      </w:r>
      <w:r w:rsidR="00BF4B9C">
        <w:t>foster</w:t>
      </w:r>
      <w:r w:rsidR="00CD56CA">
        <w:t xml:space="preserve"> </w:t>
      </w:r>
      <w:r w:rsidR="00CC236A">
        <w:t xml:space="preserve">social connectivity </w:t>
      </w:r>
      <w:r w:rsidR="006C7278">
        <w:t xml:space="preserve">and </w:t>
      </w:r>
      <w:r w:rsidR="007A7746">
        <w:t>promot</w:t>
      </w:r>
      <w:r w:rsidR="00147124">
        <w:t>e</w:t>
      </w:r>
      <w:r w:rsidR="007A7746">
        <w:t xml:space="preserve"> </w:t>
      </w:r>
      <w:r w:rsidR="006C7278">
        <w:t>positive lifestyle</w:t>
      </w:r>
      <w:r w:rsidR="007A7746">
        <w:t>s</w:t>
      </w:r>
      <w:r w:rsidR="006C7278">
        <w:t xml:space="preserve"> to generate an influx of teleworkers</w:t>
      </w:r>
      <w:r w:rsidR="007A7746">
        <w:t>, who will bring in additional capital investments and economic growth,</w:t>
      </w:r>
      <w:r w:rsidR="006C7278">
        <w:t xml:space="preserve"> </w:t>
      </w:r>
      <w:r w:rsidR="00CD56CA">
        <w:t xml:space="preserve">rather than </w:t>
      </w:r>
      <w:r w:rsidR="007A7746">
        <w:t>prioriti</w:t>
      </w:r>
      <w:r w:rsidR="00147124">
        <w:t>ze</w:t>
      </w:r>
      <w:r w:rsidR="007A7746">
        <w:t xml:space="preserve"> the further development of</w:t>
      </w:r>
      <w:r w:rsidR="00CD56CA">
        <w:t xml:space="preserve"> commercial centers</w:t>
      </w:r>
      <w:r w:rsidR="004012B7">
        <w:t xml:space="preserve">. </w:t>
      </w:r>
    </w:p>
    <w:bookmarkEnd w:id="44"/>
    <w:p w14:paraId="66E30C21" w14:textId="77777777" w:rsidR="00817D62" w:rsidRDefault="00817D62" w:rsidP="000B6FD6">
      <w:pPr>
        <w:spacing w:after="0" w:line="240" w:lineRule="auto"/>
        <w:jc w:val="both"/>
        <w:rPr>
          <w:b/>
          <w:bCs/>
        </w:rPr>
      </w:pPr>
    </w:p>
    <w:p w14:paraId="0FF98430" w14:textId="4C8347FE" w:rsidR="004838F5" w:rsidRDefault="004838F5" w:rsidP="000B6FD6">
      <w:pPr>
        <w:spacing w:after="0" w:line="240" w:lineRule="auto"/>
        <w:jc w:val="both"/>
        <w:rPr>
          <w:b/>
          <w:bCs/>
        </w:rPr>
      </w:pPr>
      <w:r>
        <w:rPr>
          <w:b/>
          <w:bCs/>
        </w:rPr>
        <w:t xml:space="preserve">5.2 </w:t>
      </w:r>
      <w:r w:rsidR="00525978">
        <w:rPr>
          <w:b/>
          <w:bCs/>
        </w:rPr>
        <w:t xml:space="preserve">Travel Demand </w:t>
      </w:r>
      <w:r w:rsidR="000238F6">
        <w:rPr>
          <w:b/>
          <w:bCs/>
        </w:rPr>
        <w:t>Shifts</w:t>
      </w:r>
    </w:p>
    <w:p w14:paraId="5E26E997" w14:textId="5BCCAACD" w:rsidR="000F17EC" w:rsidRDefault="005D6172" w:rsidP="00B10EB6">
      <w:pPr>
        <w:spacing w:after="0" w:line="240" w:lineRule="auto"/>
        <w:jc w:val="both"/>
      </w:pPr>
      <w:bookmarkStart w:id="46" w:name="_Hlk148696137"/>
      <w:r>
        <w:t xml:space="preserve">The growth of commute distances for teleworkers also has important implications for </w:t>
      </w:r>
      <w:r w:rsidR="00474236">
        <w:t xml:space="preserve">individual </w:t>
      </w:r>
      <w:r w:rsidR="00330446">
        <w:t xml:space="preserve">activity-travel patterns and broader travel demand patterns. </w:t>
      </w:r>
      <w:r w:rsidR="005D14A4">
        <w:t xml:space="preserve">Many teleworkers </w:t>
      </w:r>
      <w:r w:rsidR="003742DF">
        <w:t>have begun splitting their time between their home</w:t>
      </w:r>
      <w:r w:rsidR="001B492D">
        <w:t xml:space="preserve"> and physical workplace</w:t>
      </w:r>
      <w:r w:rsidR="000E2C12">
        <w:t xml:space="preserve"> </w:t>
      </w:r>
      <w:r w:rsidR="000E2C12">
        <w:fldChar w:fldCharType="begin"/>
      </w:r>
      <w:r w:rsidR="003A265F">
        <w:instrText xml:space="preserve"> ADDIN ZOTERO_ITEM CSL_CITATION {"citationID":"ix1VhWgL","properties":{"formattedCitation":"(Asmussen et al., 2024)","plainCitation":"(Asmussen et al., 2024)","noteIndex":0},"citationItems":[{"id":1620,"uris":["http://zotero.org/users/12832277/items/U7G522IF"],"itemData":{"id":1620,"type":"article-journal","abstract":"With work arrangements experiencing dramatic changes over the past three years due to the COVID-19 pandemic, and the possibility that altered work arrangements may persist well into the future, the implications of teleworking on activity-travel behavior are potentially profound. This paper aims to substantially add to the body of knowledge about the present and future of telework in the wake of the pandemic through a rigorous analysis of telework arrangements between two distinct time periods. The paper focuses on three key aspects of telework, including whether to telework or not, frequency of telework, and location of telework. Behavioral data for this study is derived from a workplace location choice survey conducted across Texas in February-March 2022, which included a recall component to obtain workplace location choice information in the pre-pandemic period. The evolution of telework arrangements between the pre-and after-pandemic periods is explored through a joint model system estimated using a joint multivariate methodology. Results show that, After COVID, the population of workers is generally inclined toward a hybrid work arrangement, with an overall tendency to engage in a higher frequency of teleworking than Before COVID. Finally, teleworkers have a higher propensity to work only from home as opposed to working only from a third workplace or from a combination of home and a third workplace. Overall, our results indicate that telework arrangements may remain at an elevated level into the future, with home serving as the dominant telework location. These findings suggest that transportation demand forecasting models need to be updated to reflect higher levels of teleworking, as well as the heterogeneity across individuals in teleworking adoption, frequency, and location.","container-title":"Transportation Research Part A: Policy and Practice","DOI":"10.1016/j.tra.2023.103888","ISSN":"0965-8564","source":"ScienceDirect","title":"An Investigation of Individual-Level Telework Arrangements in the COVID-Era","URL":"https://www.sciencedirect.com/science/article/pii/S0965856423003087","volume":"179","author":[{"family":"Asmussen","given":"Katherine E."},{"family":"Mondal","given":"Aupal"},{"family":"Batur","given":"Irfan"},{"family":"Dirks","given":"Abbie"},{"family":"Pendyala","given":"Ram M."},{"family":"Bhat","given":"Chandra R."}],"accessed":{"date-parts":[["2023",12,6]]},"issued":{"date-parts":[["2024",1,1]]}}}],"schema":"https://github.com/citation-style-language/schema/raw/master/csl-citation.json"} </w:instrText>
      </w:r>
      <w:r w:rsidR="000E2C12">
        <w:fldChar w:fldCharType="separate"/>
      </w:r>
      <w:r w:rsidR="003A265F" w:rsidRPr="003A265F">
        <w:t>(</w:t>
      </w:r>
      <w:r w:rsidR="003A265F">
        <w:t xml:space="preserve">see </w:t>
      </w:r>
      <w:r w:rsidR="003A265F" w:rsidRPr="003A265F">
        <w:t>Asmussen et al., 2024)</w:t>
      </w:r>
      <w:r w:rsidR="000E2C12">
        <w:fldChar w:fldCharType="end"/>
      </w:r>
      <w:r w:rsidR="001B492D">
        <w:t>.</w:t>
      </w:r>
      <w:r w:rsidR="002C00F6">
        <w:t xml:space="preserve"> The greater commute distances </w:t>
      </w:r>
      <w:r w:rsidR="008C3C0D">
        <w:t xml:space="preserve">facilitated by the reduction in trips to the office </w:t>
      </w:r>
      <w:r w:rsidR="00A0687D">
        <w:t xml:space="preserve">lead to increased </w:t>
      </w:r>
      <w:r w:rsidR="006C5AB2">
        <w:t xml:space="preserve">travel </w:t>
      </w:r>
      <w:r w:rsidR="00A0687D">
        <w:t xml:space="preserve">distances for any remaining commute trips. </w:t>
      </w:r>
      <w:r w:rsidR="00367823">
        <w:t xml:space="preserve">At an individual level, </w:t>
      </w:r>
      <w:r w:rsidR="00BF552F">
        <w:t xml:space="preserve">these new commuting patterns </w:t>
      </w:r>
      <w:r w:rsidR="00147124">
        <w:t>imply</w:t>
      </w:r>
      <w:r w:rsidR="006472DB">
        <w:t xml:space="preserve"> daily variations in work location and timing, as well as </w:t>
      </w:r>
      <w:r w:rsidR="001C2DC6">
        <w:t>significant daily variations in travel investment for work activities</w:t>
      </w:r>
      <w:r w:rsidR="00F32600">
        <w:t xml:space="preserve"> and different time allocations for work and non-work activities</w:t>
      </w:r>
      <w:r w:rsidR="001C2DC6">
        <w:t xml:space="preserve">. </w:t>
      </w:r>
      <w:r w:rsidR="00147124">
        <w:t xml:space="preserve">This, of course, raises </w:t>
      </w:r>
      <w:r w:rsidR="00B266F1">
        <w:t xml:space="preserve">the need for more </w:t>
      </w:r>
      <w:r w:rsidR="00147124">
        <w:t xml:space="preserve">serious consideration of </w:t>
      </w:r>
      <w:r w:rsidR="00B266F1">
        <w:t xml:space="preserve">multi-day activity-travel demand models rather than current models that predict travel for an “average” weekday. </w:t>
      </w:r>
      <w:r w:rsidR="00147124">
        <w:t xml:space="preserve">These and related considerations offer intriguing new challenges, as the profession works toward adapting travel demand models to a new era of work arrangements. </w:t>
      </w:r>
      <w:r w:rsidR="00B266F1">
        <w:t xml:space="preserve">This is particularly the case because our results show </w:t>
      </w:r>
      <w:r w:rsidR="008C71BE">
        <w:t xml:space="preserve">that teleworkers self-select </w:t>
      </w:r>
      <w:r w:rsidR="00B763C5">
        <w:t xml:space="preserve">dwelling units and neighborhoods that fit their lifestyle, </w:t>
      </w:r>
      <w:r w:rsidR="00847D30">
        <w:t>which may lead</w:t>
      </w:r>
      <w:r w:rsidR="00544320">
        <w:t xml:space="preserve"> to changing commuting patterns in some areas but not </w:t>
      </w:r>
      <w:r w:rsidR="007B34A0">
        <w:t>in</w:t>
      </w:r>
      <w:r w:rsidR="00544320">
        <w:t xml:space="preserve"> others. </w:t>
      </w:r>
    </w:p>
    <w:p w14:paraId="344A51EC" w14:textId="5D5B9A35" w:rsidR="00C954BE" w:rsidRDefault="00DF249F">
      <w:pPr>
        <w:spacing w:after="0" w:line="240" w:lineRule="auto"/>
        <w:ind w:firstLine="720"/>
        <w:jc w:val="both"/>
      </w:pPr>
      <w:r>
        <w:t xml:space="preserve">In addition to the </w:t>
      </w:r>
      <w:r w:rsidR="003F0DAF">
        <w:t>impacts of teleworking</w:t>
      </w:r>
      <w:r w:rsidR="00425BB9">
        <w:t xml:space="preserve">, the land use changes discussed </w:t>
      </w:r>
      <w:r w:rsidR="00B261C4">
        <w:t xml:space="preserve">in </w:t>
      </w:r>
      <w:r w:rsidR="00BF6DC8">
        <w:t>S</w:t>
      </w:r>
      <w:r w:rsidR="00B261C4">
        <w:t>ection 5.1 impact both commut</w:t>
      </w:r>
      <w:r w:rsidR="00D622FC">
        <w:t xml:space="preserve">e patterns and non-work travel behaviors. </w:t>
      </w:r>
      <w:r w:rsidR="00AD46F5">
        <w:t>Mixed-use developments</w:t>
      </w:r>
      <w:r w:rsidR="00B266F1">
        <w:t>,</w:t>
      </w:r>
      <w:r w:rsidR="00AD46F5">
        <w:t xml:space="preserve"> </w:t>
      </w:r>
      <w:r w:rsidR="0094241F">
        <w:t xml:space="preserve">along with </w:t>
      </w:r>
      <w:r w:rsidR="003F0DAF" w:rsidRPr="00652561">
        <w:t xml:space="preserve">smaller and </w:t>
      </w:r>
      <w:r w:rsidR="0094241F" w:rsidRPr="00652561">
        <w:t xml:space="preserve">more </w:t>
      </w:r>
      <w:r w:rsidR="003F0DAF" w:rsidRPr="00652561">
        <w:t xml:space="preserve">distributed </w:t>
      </w:r>
      <w:r w:rsidR="0094241F" w:rsidRPr="00652561">
        <w:t>office sites</w:t>
      </w:r>
      <w:r w:rsidR="00B266F1">
        <w:t>,</w:t>
      </w:r>
      <w:r w:rsidR="0007126A" w:rsidRPr="00652561">
        <w:t xml:space="preserve"> </w:t>
      </w:r>
      <w:r w:rsidR="00B266F1">
        <w:t>can</w:t>
      </w:r>
      <w:r w:rsidR="0007126A" w:rsidRPr="00652561">
        <w:t xml:space="preserve"> lead to new distributions of commute patterns</w:t>
      </w:r>
      <w:r w:rsidR="00DE2AAC" w:rsidRPr="00652561">
        <w:t xml:space="preserve">. </w:t>
      </w:r>
      <w:r w:rsidR="00B266F1">
        <w:t>For example, J</w:t>
      </w:r>
      <w:r w:rsidR="004E1485" w:rsidRPr="00652561">
        <w:t xml:space="preserve">un </w:t>
      </w:r>
      <w:r w:rsidR="00652561" w:rsidRPr="00652561">
        <w:fldChar w:fldCharType="begin"/>
      </w:r>
      <w:r w:rsidR="000C4AE3">
        <w:instrText xml:space="preserve"> ADDIN ZOTERO_ITEM CSL_CITATION {"citationID":"4B2GmcDi","properties":{"formattedCitation":"(2020)","plainCitation":"(2020)","noteIndex":0},"citationItems":[{"id":822,"uris":["http://zotero.org/users/local/1ztI2Oc6/items/RKU49L6Y","http://zotero.org/users/12832277/items/RKU49L6Y"],"itemData":{"id":822,"type":"article-journal","abstract":"This study attempts to investigate the dynamics of polycentric evolution and the changing roles of existing and new employment centers in determining commuting patterns. For this purpose, we analyze temporal changes in urban form and individual commuting behavior between 2000 and 2015 for the Seoul Metropolitan Area (SMA)—an area that has experienced rapid employment growth and changes in urban form over the last half-century. Results reveal both positive and negative effects on commuting efficiency. On the positive side, inner-city subcenter commuters have significantly reduced commute times over the last 15 years, possibly due to locational adjustment (i.e., the reduction of commute distance), improvement in public transit accessibility, and the emergence of new suburban subcenters that attract workers who previously traveled to inner-city subcenters. On the negative side, these new suburban subcenters have also attracted more workers from a wider job market, resulting in longer commute times for suburban subcenter commuters. The evidence suggests that mixed land use for development and improvements in public transit accessibility are important drivers of commuting efficiency, while improving public transport directly leads to shorter commute times in high-density urban areas.","container-title":"Cities","DOI":"10.1016/j.cities.2019.102587","ISSN":"0264-2751","language":"en","source":"ScienceDirect","title":"The Effects of Polycentric Evolution on Commute Times in a Polycentric Compact City: A Case of the Seoul Metropolitan Area","title-short":"The Effects of Polycentric Evolution on Commute Times in a Polycentric Compact City","URL":"https://www.sciencedirect.com/science/article/pii/S0264275118317207","volume":"98","author":[{"family":"Jun","given":"Myung-Jin"}],"accessed":{"date-parts":[["2023",6,29]]},"issued":{"date-parts":[["2020",3,1]]}},"label":"page","suppress-author":true}],"schema":"https://github.com/citation-style-language/schema/raw/master/csl-citation.json"} </w:instrText>
      </w:r>
      <w:r w:rsidR="00652561" w:rsidRPr="00652561">
        <w:fldChar w:fldCharType="separate"/>
      </w:r>
      <w:r w:rsidR="00652561" w:rsidRPr="00652561">
        <w:t>(2020)</w:t>
      </w:r>
      <w:r w:rsidR="00652561" w:rsidRPr="00652561">
        <w:fldChar w:fldCharType="end"/>
      </w:r>
      <w:r w:rsidR="004E1485" w:rsidRPr="00652561">
        <w:t xml:space="preserve"> found that </w:t>
      </w:r>
      <w:r w:rsidR="00686C8C" w:rsidRPr="00652561">
        <w:t>mixed-use</w:t>
      </w:r>
      <w:r w:rsidR="004E1485" w:rsidRPr="00652561">
        <w:t xml:space="preserve"> developments </w:t>
      </w:r>
      <w:r w:rsidR="002D322E" w:rsidRPr="00652561">
        <w:t xml:space="preserve">can help </w:t>
      </w:r>
      <w:r w:rsidR="00686C8C" w:rsidRPr="00652561">
        <w:t>reduce</w:t>
      </w:r>
      <w:r w:rsidR="002D322E" w:rsidRPr="00652561">
        <w:t xml:space="preserve"> commute distances</w:t>
      </w:r>
      <w:r w:rsidR="00FA043F" w:rsidRPr="00652561">
        <w:t xml:space="preserve"> and commute t</w:t>
      </w:r>
      <w:r w:rsidR="00FA043F">
        <w:t xml:space="preserve">imes by </w:t>
      </w:r>
      <w:r w:rsidR="00686C8C">
        <w:t>providing</w:t>
      </w:r>
      <w:r w:rsidR="00FA043F">
        <w:t xml:space="preserve"> more jobs near residential</w:t>
      </w:r>
      <w:r w:rsidR="00686C8C">
        <w:t xml:space="preserve"> areas. They can also make public transportation more economically feasible, providing additional improvements to commuting times.</w:t>
      </w:r>
      <w:r w:rsidR="00EA41F3">
        <w:t xml:space="preserve"> </w:t>
      </w:r>
      <w:r w:rsidR="00652561">
        <w:t>Changing land use patterns</w:t>
      </w:r>
      <w:r w:rsidR="005F189E">
        <w:t xml:space="preserve"> will also impact non-work travel</w:t>
      </w:r>
      <w:r w:rsidR="00C80938">
        <w:t xml:space="preserve">. </w:t>
      </w:r>
      <w:r w:rsidR="001B4ABC">
        <w:t>Mixed-use</w:t>
      </w:r>
      <w:r w:rsidR="00C80938">
        <w:t xml:space="preserve"> areas </w:t>
      </w:r>
      <w:r w:rsidR="001B4ABC">
        <w:t>that provide</w:t>
      </w:r>
      <w:r w:rsidR="00C80938">
        <w:t xml:space="preserve"> access to amenities</w:t>
      </w:r>
      <w:r w:rsidR="00B266F1">
        <w:t>,</w:t>
      </w:r>
      <w:r w:rsidR="00C80938">
        <w:t xml:space="preserve"> </w:t>
      </w:r>
      <w:r w:rsidR="00B266F1">
        <w:t>such as</w:t>
      </w:r>
      <w:r w:rsidR="00C80938">
        <w:t xml:space="preserve"> shopping centers, gyms, and parks </w:t>
      </w:r>
      <w:r w:rsidR="00C0430C">
        <w:t xml:space="preserve">near their homes, </w:t>
      </w:r>
      <w:r w:rsidR="001B4ABC">
        <w:t>allow individuals to</w:t>
      </w:r>
      <w:r w:rsidR="00C0430C">
        <w:t xml:space="preserve"> reduce their travel for these non-work activities. In fact, several recent studies have found that teleworkers take more recreational trips than office workers</w:t>
      </w:r>
      <w:r w:rsidR="00B266F1">
        <w:t xml:space="preserve"> </w:t>
      </w:r>
      <w:r w:rsidR="00B266F1">
        <w:fldChar w:fldCharType="begin"/>
      </w:r>
      <w:r w:rsidR="000C4AE3">
        <w:instrText xml:space="preserve"> ADDIN ZOTERO_ITEM CSL_CITATION {"citationID":"xCE0OsdM","properties":{"formattedCitation":"(Asgari and Jin, 2017; Chakrabarti, 2018; W\\uc0\\u246{}hner, 2022)","plainCitation":"(Asgari and Jin, 2017; Chakrabarti, 2018; Wöhner, 2022)","noteIndex":0},"citationItems":[{"id":827,"uris":["http://zotero.org/users/local/1ztI2Oc6/items/A3RTJ3XX","http://zotero.org/users/12832277/items/A3RTJ3XX"],"itemData":{"id":827,"type":"article-journal","abstract":"Telecommuting has been regarded as an alternative work arrangement that provides higher levels of resilience and flexibility for the workforce. To provide a robust estimation of telecommuting activity, it is important to understand the extent of telecommuting and the underlying factors that contribute to telecommuters’ decisions. One line of discussion in behavioral decisions (including telecommuting) is the endogeneity issue, also referred to as simultaneity in cause and effect. The question is whether certain activity travel behaviors are the causes of telecommuting adoption or telecommuters are manifesting such behaviors because they telecommute. For instance, are people traveling more or farther because of the higher spatial–temporal freedom brought by telecommuting, or are they choosing to or having to telecommute because they already have those activity arrangements (e.g., take care of kids) in place. Exploring such interrelationships between the choice to telecommute, activity travel plans, and other personal and household decisions is the major motivation for this research. Structural equation models were developed. Results showed that adding feedback effects to the full model improved the goodness of fit of the model, and this improvement is statistically significant (P-value = .032). Furthermore, it could be inferred that a decision to participate in nonmandatory activities has significant positive impact on propensity to telecommute, and it is more in favor of a full-day telecommuting arrangement (versus a part-day arrangement). This study used the 2010–2011 regional household travel survey data from the New York metropolitan region.","container-title":"Transportation Research Record","DOI":"10.3141/2666-06","ISSN":"0361-1981","issue":"1","language":"en","note":"publisher: SAGE Publications Inc","page":"47-57","source":"SAGE Journals","title":"Impacts of Telecommuting on Nonmandatory Activity Participation: Role of Endogeneity","title-short":"Impacts of Telecommuting on Nonmandatory Activity Participation","volume":"2666","author":[{"family":"Asgari","given":"Hamidreza"},{"family":"Jin","given":"Xia"}],"issued":{"date-parts":[["2017",1,1]]}}},{"id":829,"uris":["http://zotero.org/users/local/1ztI2Oc6/items/XHM3VCIQ","http://zotero.org/users/12832277/items/XHM3VCIQ"],"itemData":{"id":829,"type":"article-journal","abstract":"Researchers have explored the efficacy of telecommuting as a travel demand management strategy in the U.S. Conditions under which telecommuting can reduce VMT (vehicle miles traveled) and ease peak-period traffic congestion have been extensively investigated; empirical findings are well documented in the literature. Analysis of the impact of telecommuting on non-motorized travel, public transit use, and physical activity, however, has received relatively less attention in the past. In this paper, I use the 2009 U.S. National Household Travel Survey to explore how telecommuting is associated with usual travel behavior, i.e. walking/bicycling, transit use and driving, as well as with average time spent in daily physical activity. I also compare telecommuters’ travel behavior and physical activity on a typical workday in telecommuting vs. non-telecommuting scenarios. I find that frequent telecommuting (4+ times/month) is associated with 15% more walk trips per week, 56% higher odds of 1+ transit trip per month, 44% higher odds of 30+ minutes of physical activity per day, and 27% higher odds of driving 20,000+ miles per year compared to no-telecommuting scenario. On a typical workday, telecommuting is associated with 41% higher odds of walking/bicycling &gt; 1 mile, 71% higher odds of 30+ minutes of physical activity, 71% lower odds of riding transit, and 3.58 times greater odds of driving &lt; 10 miles. Findings suggest that telecommuting can increase non-motorized travel and physical activity in the presence of latent demand for active living. Increase in transit ridership and reduction in VMT are not automatic. Planning and policy implications are discussed.","container-title":"Journal of Transport &amp; Health","DOI":"10.1016/j.jth.2018.03.008","ISSN":"2214-1405","language":"en","page":"19-33","source":"ScienceDirect","title":"Does Telecommuting Promote Sustainable Travel and Physical Activity?","volume":"9","author":[{"family":"Chakrabarti","given":"Sandip"}],"issued":{"date-parts":[["2018",6,1]]}}},{"id":"3uDzk8p3/blYTYA5R","uris":["http://zotero.org/users/local/1ztI2Oc6/items/YA6AII93","http://zotero.org/users/12832277/items/YA6AII93"],"itemData":{"id":195,"type":"article-journal","abstract":"There is an ongoing discussion about the impact of flexible forms of work on travel behavior. Though it is generally accepted that telework decreases distance commuted, there are mixed conclusions about the notion that non-work-related journeys could be offsetting any saved commute. This paper investigates the influence of two flexible working arrangements – namely telework and flextime – on commutes, non-work traffic, and peak-period travel in Switzerland. Using the 2015 Swiss Mobility and Transport Microcensus (MTMC), this study analyzes flexible working arrangements with respect to their effects on traffic. The results show that people who work partly from home – compared to those who never telework – do indeed commute less; however, their non-work travel increases. This rebound effect completely offsets the saved commutes, resulting in a zero impact on the total distances covered. Only people who work exclusively remotely show less total mobility compared to those who never telework. However, only a small minority of people work only from home, with most teleworkers combining working on-site with some degree of working from home. Moreover, this study finds only slight potential for relieving traffic congestion through flexible working arrangements: Whereas teleworkers are less likely to commute during evening peak periods, people working flextime are even more likely to commute during morning rush hours. Hence, the distinction between morning and evening peak periods should be taken into account in future studies. Furthermore, research on flexible working arrangements and travel behavior benefits from the consideration of both non-work travel and total travel as well as the separation of part-time from full-time telework.","container-title":"Journal of Transport Geography","DOI":"10.1016/j.jtrangeo.2022.103390","ISSN":"0966-6923","journalAbbreviation":"Journal of Transport Geography","language":"en","page":"103390","source":"ScienceDirect","title":"Work flexibly, travel less? The impact of telework and flextime on mobility behavior in Switzerland","title-short":"Work flexibly, travel less?","volume":"102","author":[{"family":"Wöhner","given":"Fabienne"}],"issued":{"date-parts":[["2022",6,1]]}}}],"schema":"https://github.com/citation-style-language/schema/raw/master/csl-citation.json"} </w:instrText>
      </w:r>
      <w:r w:rsidR="00B266F1">
        <w:fldChar w:fldCharType="separate"/>
      </w:r>
      <w:r w:rsidR="00B266F1" w:rsidRPr="000D378F">
        <w:t>(Asgari and Jin, 2017; Chakrabarti, 2018; Wöhner, 2022)</w:t>
      </w:r>
      <w:r w:rsidR="00B266F1">
        <w:fldChar w:fldCharType="end"/>
      </w:r>
      <w:r w:rsidR="00C0430C">
        <w:t>, indicating that the</w:t>
      </w:r>
      <w:r w:rsidR="00B266F1">
        <w:t xml:space="preserve"> promotion</w:t>
      </w:r>
      <w:r w:rsidR="00C0430C">
        <w:t xml:space="preserve"> of mixed-use developments </w:t>
      </w:r>
      <w:r w:rsidR="00B266F1">
        <w:t xml:space="preserve">in the increasing </w:t>
      </w:r>
      <w:r w:rsidR="00805C56">
        <w:t>era</w:t>
      </w:r>
      <w:r w:rsidR="00B266F1">
        <w:t xml:space="preserve"> of </w:t>
      </w:r>
      <w:r w:rsidR="00512AD4">
        <w:t>telework</w:t>
      </w:r>
      <w:r w:rsidR="00B266F1">
        <w:t xml:space="preserve">ing </w:t>
      </w:r>
      <w:r w:rsidR="00512AD4">
        <w:t xml:space="preserve">may be </w:t>
      </w:r>
      <w:r w:rsidR="00B266F1">
        <w:t>particularly beneficial to curtail motorized travel.</w:t>
      </w:r>
      <w:r w:rsidR="00031040">
        <w:t xml:space="preserve"> </w:t>
      </w:r>
    </w:p>
    <w:bookmarkEnd w:id="46"/>
    <w:p w14:paraId="2586AE5C" w14:textId="77777777" w:rsidR="0075216D" w:rsidRDefault="0075216D" w:rsidP="000B6FD6">
      <w:pPr>
        <w:spacing w:after="0" w:line="240" w:lineRule="auto"/>
        <w:jc w:val="both"/>
      </w:pPr>
    </w:p>
    <w:p w14:paraId="1ECEB527" w14:textId="446A2C3B" w:rsidR="0075216D" w:rsidRDefault="0075216D" w:rsidP="00554634">
      <w:pPr>
        <w:keepNext/>
        <w:keepLines/>
        <w:spacing w:after="0" w:line="240" w:lineRule="auto"/>
        <w:jc w:val="both"/>
        <w:rPr>
          <w:b/>
          <w:bCs/>
        </w:rPr>
      </w:pPr>
      <w:r>
        <w:rPr>
          <w:b/>
          <w:bCs/>
        </w:rPr>
        <w:lastRenderedPageBreak/>
        <w:t>5.</w:t>
      </w:r>
      <w:r w:rsidR="00C846EE">
        <w:rPr>
          <w:b/>
          <w:bCs/>
        </w:rPr>
        <w:t>3</w:t>
      </w:r>
      <w:r>
        <w:rPr>
          <w:b/>
          <w:bCs/>
        </w:rPr>
        <w:t xml:space="preserve"> </w:t>
      </w:r>
      <w:r w:rsidR="00ED1C73">
        <w:rPr>
          <w:b/>
          <w:bCs/>
        </w:rPr>
        <w:t>Equity Implications</w:t>
      </w:r>
    </w:p>
    <w:p w14:paraId="4D72B0BF" w14:textId="5D4C7D25" w:rsidR="00EE435C" w:rsidRPr="00146810" w:rsidRDefault="00516D25" w:rsidP="00554634">
      <w:pPr>
        <w:keepNext/>
        <w:keepLines/>
        <w:spacing w:after="0" w:line="240" w:lineRule="auto"/>
        <w:jc w:val="both"/>
        <w:rPr>
          <w:b/>
          <w:bCs/>
        </w:rPr>
      </w:pPr>
      <w:bookmarkStart w:id="47" w:name="_Hlk148696474"/>
      <w:r>
        <w:t xml:space="preserve">The </w:t>
      </w:r>
      <w:r w:rsidR="00B10EB6">
        <w:t xml:space="preserve">tradeoffs captured by the </w:t>
      </w:r>
      <w:r>
        <w:t xml:space="preserve">ATEs presented in </w:t>
      </w:r>
      <w:r w:rsidR="000E3DEF">
        <w:t>T</w:t>
      </w:r>
      <w:r w:rsidR="0075216D">
        <w:t xml:space="preserve">able 7 </w:t>
      </w:r>
      <w:r w:rsidR="00B10EB6">
        <w:t>have</w:t>
      </w:r>
      <w:r w:rsidR="008A4D76">
        <w:t xml:space="preserve"> significant</w:t>
      </w:r>
      <w:r w:rsidR="00D26C8F">
        <w:t xml:space="preserve"> equity implications, particularly </w:t>
      </w:r>
      <w:r w:rsidR="009977DA">
        <w:t>since not all families have the</w:t>
      </w:r>
      <w:r w:rsidR="002C2D78">
        <w:t xml:space="preserve"> </w:t>
      </w:r>
      <w:r w:rsidR="00852B96">
        <w:t>financial means</w:t>
      </w:r>
      <w:r w:rsidR="002C2D78">
        <w:t xml:space="preserve"> to </w:t>
      </w:r>
      <w:r w:rsidR="00BB2169">
        <w:t xml:space="preserve">choose locations with </w:t>
      </w:r>
      <w:r w:rsidR="0068146F">
        <w:t>high quality</w:t>
      </w:r>
      <w:r w:rsidR="00BB2169">
        <w:t xml:space="preserve"> schools and low crime rates. </w:t>
      </w:r>
      <w:r w:rsidR="00EE3835">
        <w:t>For instance</w:t>
      </w:r>
      <w:r w:rsidR="0075216D">
        <w:t xml:space="preserve">, those who </w:t>
      </w:r>
      <w:r w:rsidR="00417D8E">
        <w:t>possess the f</w:t>
      </w:r>
      <w:r w:rsidR="00B10EB6">
        <w:t xml:space="preserve">inancial wherewithal to live in </w:t>
      </w:r>
      <w:r w:rsidR="0075216D">
        <w:t xml:space="preserve">neighborhoods with high median housing costs </w:t>
      </w:r>
      <w:r w:rsidR="001C01D6">
        <w:t>reap the benefits of</w:t>
      </w:r>
      <w:r w:rsidR="0075216D">
        <w:t xml:space="preserve"> significant</w:t>
      </w:r>
      <w:r w:rsidR="0068146F">
        <w:t>ly</w:t>
      </w:r>
      <w:r w:rsidR="0075216D">
        <w:t xml:space="preserve"> </w:t>
      </w:r>
      <w:r w:rsidR="0068146F">
        <w:t>higher</w:t>
      </w:r>
      <w:r w:rsidR="0075216D">
        <w:t xml:space="preserve"> school quality. </w:t>
      </w:r>
      <w:r w:rsidR="007E6E84">
        <w:t xml:space="preserve">The ability to move from a neighborhood with a low median housing cost to a high median housing cost </w:t>
      </w:r>
      <w:r w:rsidR="008A1395">
        <w:t xml:space="preserve">results in a </w:t>
      </w:r>
      <w:r w:rsidR="005570CE">
        <w:t>3</w:t>
      </w:r>
      <w:r w:rsidR="00FC276E">
        <w:t>86.8% increase in the likelihood of living in a neighborhood with excellent school quality for employed individuals (</w:t>
      </w:r>
      <w:r w:rsidR="005570CE">
        <w:t xml:space="preserve">372.2% for unemployed individuals). </w:t>
      </w:r>
      <w:r w:rsidR="00AF0E9B">
        <w:t xml:space="preserve">This premium on school quality </w:t>
      </w:r>
      <w:r w:rsidR="00A94CC7">
        <w:t xml:space="preserve">is </w:t>
      </w:r>
      <w:r w:rsidR="00AC5E87">
        <w:t xml:space="preserve">directly tied to </w:t>
      </w:r>
      <w:r w:rsidR="0068146F">
        <w:t>the</w:t>
      </w:r>
      <w:r w:rsidR="00AC5E87">
        <w:t xml:space="preserve"> funding</w:t>
      </w:r>
      <w:r w:rsidR="0068146F">
        <w:t xml:space="preserve"> of schools</w:t>
      </w:r>
      <w:r w:rsidR="00AC5E87">
        <w:t xml:space="preserve"> through property taxes, leading schools i</w:t>
      </w:r>
      <w:r w:rsidR="00AC5E87" w:rsidRPr="00FD5450">
        <w:t xml:space="preserve">n areas with high property values to </w:t>
      </w:r>
      <w:r w:rsidR="008756F9" w:rsidRPr="00FD5450">
        <w:t>have increased funding</w:t>
      </w:r>
      <w:r w:rsidR="00362DAC" w:rsidRPr="00FD5450">
        <w:t xml:space="preserve"> </w:t>
      </w:r>
      <w:r w:rsidR="00362DAC" w:rsidRPr="00FD5450">
        <w:fldChar w:fldCharType="begin"/>
      </w:r>
      <w:r w:rsidR="000C4AE3">
        <w:instrText xml:space="preserve"> ADDIN ZOTERO_ITEM CSL_CITATION {"citationID":"glTcCRq5","properties":{"formattedCitation":"(Chetty and Friedman, 2010)","plainCitation":"(Chetty and Friedman, 2010)","noteIndex":0},"citationItems":[{"id":831,"uris":["http://zotero.org/users/local/1ztI2Oc6/items/K7D93JWE","http://zotero.org/users/12832277/items/K7D93JWE"],"itemData":{"id":831,"type":"paper-conference","container-title":"Proceedings, Annual Conference on Taxation","event-title":"Annual Meeting of the National Tax Association","page":"112-118","publisher":"National Tax Association","source":"JSTOR","title":"Does Local Tax Financing of Public Schools Perpetuate Inequality?","URL":"https://www.jstor.org/stable/prancotamamnta.103.112","volume":"103","author":[{"family":"Chetty","given":"Raj"},{"family":"Friedman","given":"John N."}],"accessed":{"date-parts":[["2023",6,29]]},"issued":{"date-parts":[["2010"]]}}}],"schema":"https://github.com/citation-style-language/schema/raw/master/csl-citation.json"} </w:instrText>
      </w:r>
      <w:r w:rsidR="00362DAC" w:rsidRPr="00FD5450">
        <w:fldChar w:fldCharType="separate"/>
      </w:r>
      <w:r w:rsidR="00362DAC" w:rsidRPr="00FD5450">
        <w:t>(Chetty and Friedman, 2010)</w:t>
      </w:r>
      <w:r w:rsidR="00362DAC" w:rsidRPr="00FD5450">
        <w:fldChar w:fldCharType="end"/>
      </w:r>
      <w:r w:rsidR="008756F9" w:rsidRPr="00FD5450">
        <w:t xml:space="preserve">. The result, however, is that families without the financial means to acquire </w:t>
      </w:r>
      <w:r w:rsidR="00F93FC2" w:rsidRPr="00FD5450">
        <w:t>homes</w:t>
      </w:r>
      <w:r w:rsidR="008756F9" w:rsidRPr="00FD5450">
        <w:t xml:space="preserve"> in these </w:t>
      </w:r>
      <w:r w:rsidR="00B10EB6">
        <w:t xml:space="preserve">expensive neighborhoods </w:t>
      </w:r>
      <w:r w:rsidR="008756F9" w:rsidRPr="00FD5450">
        <w:t xml:space="preserve">are unable to access the highest quality schools, even if they </w:t>
      </w:r>
      <w:r w:rsidR="00F66AEB" w:rsidRPr="00FD5450">
        <w:t>have school-aged chil</w:t>
      </w:r>
      <w:r w:rsidR="00F66AEB">
        <w:t>dr</w:t>
      </w:r>
      <w:r w:rsidR="00F66AEB" w:rsidRPr="001F1CE9">
        <w:t xml:space="preserve">en and </w:t>
      </w:r>
      <w:r w:rsidR="00F2633A" w:rsidRPr="001F1CE9">
        <w:t xml:space="preserve">place significant value on school quality. </w:t>
      </w:r>
      <w:r w:rsidR="00C02A83">
        <w:t xml:space="preserve">This feature of the housing market has far-reaching implications, as </w:t>
      </w:r>
      <w:r w:rsidR="00183E21">
        <w:t xml:space="preserve">low-income families are constrained to send their children to lower quality schools, </w:t>
      </w:r>
      <w:r w:rsidR="00FB7A2D">
        <w:t xml:space="preserve">which </w:t>
      </w:r>
      <w:r w:rsidR="0067008E">
        <w:t>in turn</w:t>
      </w:r>
      <w:r w:rsidR="00FB7A2D">
        <w:t xml:space="preserve"> limit</w:t>
      </w:r>
      <w:r w:rsidR="0067008E">
        <w:t>s</w:t>
      </w:r>
      <w:r w:rsidR="00FB7A2D">
        <w:t xml:space="preserve"> their life-chances and earning potential, </w:t>
      </w:r>
      <w:r w:rsidR="0067008E">
        <w:t>perpetuating a cycle of income inequality</w:t>
      </w:r>
      <w:r w:rsidR="00C26C9E">
        <w:t xml:space="preserve"> </w:t>
      </w:r>
      <w:r w:rsidR="00C26C9E">
        <w:fldChar w:fldCharType="begin"/>
      </w:r>
      <w:r w:rsidR="000C4AE3">
        <w:instrText xml:space="preserve"> ADDIN ZOTERO_ITEM CSL_CITATION {"citationID":"7KCb4qTj","properties":{"formattedCitation":"(Rothstein, 2015)","plainCitation":"(Rothstein, 2015)","noteIndex":0},"citationItems":[{"id":834,"uris":["http://zotero.org/users/local/1ztI2Oc6/items/ZKHGI3FT","http://zotero.org/users/12832277/items/ZKHGI3FT"],"itemData":{"id":834,"type":"article-journal","abstract":"Social and economic disadvantage—not only poverty, but a host of associated conditions—depresses student performance. Concentrating students with these disadvantages in racially and economically homogenous schools depresses it further. Schools that the most disadvantaged black children attend are segregated because they are located in segregated high-poverty neighborhoods, far distant from truly middle-class neighborhoods. Living in such high-poverty neighborhoods for multiple generations adds an additional barrier to achievement, and multigenerational segregated poverty characterizes many African American children today. Education policy is constrained by housing policy: it is not possible to desegregate schools without desegregating both low-income and affluent neighborhoods. However, the policy motivation to desegregate neighborhoods is hobbled by a growing ignorance of the nation’s racial history. It has become conventional for policymakers to assert that the residential isolation of low-income black children is now “de facto,” the accident of economic circumstance, demographic trends, personal preference, and private discrimination. But the historical record demonstrates that residential segregation is “de jure,” resulting from racially motivated and explicit public policy whose effects endure to the present. Without awareness of the history of state-sponsored residential segregation, policymakers are unlikely to take meaningful steps to understand or fulfill the constitutional mandate to remedy the racial isolation of neighborhoods, or the school segregation that flows from it.","container-title":"Race and Social Problems","DOI":"10.1007/s12552-014-9134-1","ISSN":"1867-1756","issue":"1","language":"en","page":"21-30","source":"Springer Link","title":"The Racial Achievement Gap, Segregated Schools, and Segregated Neighborhoods: A Constitutional Insult","title-short":"The Racial Achievement Gap, Segregated Schools, and Segregated Neighborhoods","volume":"7","author":[{"family":"Rothstein","given":"Richard"}],"issued":{"date-parts":[["2015",3,1]]}}}],"schema":"https://github.com/citation-style-language/schema/raw/master/csl-citation.json"} </w:instrText>
      </w:r>
      <w:r w:rsidR="00C26C9E">
        <w:fldChar w:fldCharType="separate"/>
      </w:r>
      <w:r w:rsidR="00C26C9E" w:rsidRPr="00C26C9E">
        <w:t>(Rothstein, 2015)</w:t>
      </w:r>
      <w:r w:rsidR="00C26C9E">
        <w:fldChar w:fldCharType="end"/>
      </w:r>
      <w:r w:rsidR="0067008E">
        <w:t xml:space="preserve">. </w:t>
      </w:r>
      <w:r w:rsidR="00EE3835" w:rsidRPr="001F1CE9">
        <w:t xml:space="preserve">Additionally, </w:t>
      </w:r>
      <w:r w:rsidR="003E609F" w:rsidRPr="001F1CE9">
        <w:t>families</w:t>
      </w:r>
      <w:r w:rsidR="00EE3835" w:rsidRPr="001F1CE9">
        <w:t xml:space="preserve"> living in apartments in </w:t>
      </w:r>
      <w:r w:rsidR="001C01D6">
        <w:t>densely populated</w:t>
      </w:r>
      <w:r w:rsidR="00EE3835" w:rsidRPr="001F1CE9">
        <w:t xml:space="preserve"> neighborhoods are faced with reduced school quality and higher crime rates.</w:t>
      </w:r>
      <w:r w:rsidR="00D3410F" w:rsidRPr="001F1CE9">
        <w:t xml:space="preserve"> </w:t>
      </w:r>
      <w:r w:rsidR="00E95DDD">
        <w:t>For instance, th</w:t>
      </w:r>
      <w:r w:rsidR="00DC0724" w:rsidRPr="001F1CE9">
        <w:t xml:space="preserve">e effect of </w:t>
      </w:r>
      <w:r w:rsidR="00925450" w:rsidRPr="001F1CE9">
        <w:t xml:space="preserve">living in an apartment rather than </w:t>
      </w:r>
      <w:r w:rsidR="00B10EB6">
        <w:t xml:space="preserve">a </w:t>
      </w:r>
      <w:r w:rsidR="006208EE" w:rsidRPr="001F1CE9">
        <w:t>single-family</w:t>
      </w:r>
      <w:r w:rsidR="00925450" w:rsidRPr="001F1CE9">
        <w:t xml:space="preserve"> home is to reduce the likelihood of living in a neighborhood with excellent school qualit</w:t>
      </w:r>
      <w:r w:rsidR="00925450" w:rsidRPr="00A56FFE">
        <w:t>y by 24.9%</w:t>
      </w:r>
      <w:r w:rsidR="000662A8">
        <w:t xml:space="preserve"> (29.3%) for employed (unemployed) individuals </w:t>
      </w:r>
      <w:r w:rsidR="00C75F60" w:rsidRPr="001F1CE9">
        <w:t xml:space="preserve">and to increase the likelihood of living </w:t>
      </w:r>
      <w:r w:rsidR="00722518" w:rsidRPr="001F1CE9">
        <w:t xml:space="preserve">in a </w:t>
      </w:r>
      <w:r w:rsidR="00951B23" w:rsidRPr="001F1CE9">
        <w:t>neighborhood</w:t>
      </w:r>
      <w:r w:rsidR="00722518" w:rsidRPr="001F1CE9">
        <w:t xml:space="preserve"> with a very high crime rate by </w:t>
      </w:r>
      <w:r w:rsidR="00951B23" w:rsidRPr="001F1CE9">
        <w:t xml:space="preserve">203.5% </w:t>
      </w:r>
      <w:r w:rsidR="00A56FFE">
        <w:t>(</w:t>
      </w:r>
      <w:r w:rsidR="00951B23" w:rsidRPr="001F1CE9">
        <w:t>218%</w:t>
      </w:r>
      <w:r w:rsidR="00A56FFE">
        <w:t>)</w:t>
      </w:r>
      <w:r w:rsidR="00951B23" w:rsidRPr="001F1CE9">
        <w:t>.</w:t>
      </w:r>
      <w:r w:rsidR="00722518" w:rsidRPr="001F1CE9">
        <w:t xml:space="preserve"> </w:t>
      </w:r>
      <w:r w:rsidR="00951B23" w:rsidRPr="001F1CE9">
        <w:t>The effect of li</w:t>
      </w:r>
      <w:r w:rsidR="003A1F53" w:rsidRPr="001F1CE9">
        <w:t xml:space="preserve">ving in a high population density neighborhood is even larger, reducing </w:t>
      </w:r>
      <w:r w:rsidR="00DE5B61" w:rsidRPr="001F1CE9">
        <w:t xml:space="preserve">the likelihood of living in a neighborhood with excellent </w:t>
      </w:r>
      <w:r w:rsidR="003A1F53" w:rsidRPr="001F1CE9">
        <w:t>school quality by 36.9%</w:t>
      </w:r>
      <w:r w:rsidR="00160F7E" w:rsidRPr="001F1CE9">
        <w:t xml:space="preserve"> </w:t>
      </w:r>
      <w:r w:rsidR="00FB4E8D">
        <w:t>(</w:t>
      </w:r>
      <w:r w:rsidR="00160F7E" w:rsidRPr="001F1CE9">
        <w:t>43.7%</w:t>
      </w:r>
      <w:r w:rsidR="00FB4E8D">
        <w:t>)</w:t>
      </w:r>
      <w:r w:rsidR="00160F7E" w:rsidRPr="001F1CE9">
        <w:t xml:space="preserve"> and increasing </w:t>
      </w:r>
      <w:r w:rsidR="00DE5B61" w:rsidRPr="001F1CE9">
        <w:t xml:space="preserve">the likelihood of living in a neighborhood with a very high </w:t>
      </w:r>
      <w:r w:rsidR="00160F7E" w:rsidRPr="001F1CE9">
        <w:t xml:space="preserve">crime </w:t>
      </w:r>
      <w:r w:rsidR="00DE5B61" w:rsidRPr="001F1CE9">
        <w:t xml:space="preserve">rate </w:t>
      </w:r>
      <w:r w:rsidR="00160F7E" w:rsidRPr="001F1CE9">
        <w:t xml:space="preserve">by 533.7% </w:t>
      </w:r>
      <w:r w:rsidR="00FB4E8D">
        <w:t>(</w:t>
      </w:r>
      <w:r w:rsidR="00160F7E" w:rsidRPr="001F1CE9">
        <w:t>531.2%</w:t>
      </w:r>
      <w:r w:rsidR="00FB4E8D">
        <w:t>)</w:t>
      </w:r>
      <w:r w:rsidR="00160F7E" w:rsidRPr="001F1CE9">
        <w:t xml:space="preserve">. </w:t>
      </w:r>
      <w:r w:rsidR="00AD60DE">
        <w:t xml:space="preserve">However, the disadvantages associated with living in apartments are not distributed equitably across households based on income and race. </w:t>
      </w:r>
      <w:r w:rsidR="00B40A81">
        <w:t>Black and low-income</w:t>
      </w:r>
      <w:r w:rsidR="00551E19">
        <w:t xml:space="preserve"> </w:t>
      </w:r>
      <w:r w:rsidR="001E4116">
        <w:t xml:space="preserve">households, </w:t>
      </w:r>
      <w:r w:rsidR="00474236">
        <w:t xml:space="preserve">in particular, </w:t>
      </w:r>
      <w:r w:rsidR="001E4116">
        <w:t xml:space="preserve">are </w:t>
      </w:r>
      <w:r w:rsidR="00421369">
        <w:t>significantly</w:t>
      </w:r>
      <w:r w:rsidR="00EA5742">
        <w:t xml:space="preserve"> more likely to rent apartments than own </w:t>
      </w:r>
      <w:r w:rsidR="008C6ADB">
        <w:t>single-family</w:t>
      </w:r>
      <w:r w:rsidR="00EA5742">
        <w:t xml:space="preserve"> homes</w:t>
      </w:r>
      <w:r w:rsidR="003E609F">
        <w:t xml:space="preserve">, </w:t>
      </w:r>
      <w:r w:rsidR="001E4116">
        <w:t xml:space="preserve">as discussed in </w:t>
      </w:r>
      <w:r w:rsidR="00BF6DC8">
        <w:t>S</w:t>
      </w:r>
      <w:r w:rsidR="001E4116">
        <w:t xml:space="preserve">ection 4.2.2. Consequently, these groups are disproportionately exposed to </w:t>
      </w:r>
      <w:r w:rsidR="00421369">
        <w:t xml:space="preserve">lower quality schools and high crime rates. </w:t>
      </w:r>
      <w:r w:rsidR="00A42B13">
        <w:t xml:space="preserve">The </w:t>
      </w:r>
      <w:r w:rsidR="004534F1">
        <w:t>strong connections between these housing dimensions provide</w:t>
      </w:r>
      <w:r w:rsidR="00A42B13">
        <w:t xml:space="preserve"> one mechanism through which existing</w:t>
      </w:r>
      <w:r w:rsidR="00BF4D1D">
        <w:t xml:space="preserve"> racial</w:t>
      </w:r>
      <w:r w:rsidR="00A42B13">
        <w:t xml:space="preserve"> inequalities continue to be perpetuated in the housing market.</w:t>
      </w:r>
      <w:r w:rsidR="00775FE6">
        <w:t xml:space="preserve"> </w:t>
      </w:r>
      <w:r w:rsidR="00492045">
        <w:t xml:space="preserve">Continued systematic segregation </w:t>
      </w:r>
      <w:r w:rsidR="006E5E33">
        <w:t xml:space="preserve">and the lack of capital accumulation </w:t>
      </w:r>
      <w:r w:rsidR="00ED4FE6">
        <w:t xml:space="preserve">gained from homeownership </w:t>
      </w:r>
      <w:r w:rsidR="006E5E33">
        <w:t>restricts</w:t>
      </w:r>
      <w:r w:rsidR="00842E32">
        <w:t xml:space="preserve"> </w:t>
      </w:r>
      <w:r w:rsidR="001A2E8B">
        <w:t>many Black</w:t>
      </w:r>
      <w:r w:rsidR="00842E32">
        <w:t xml:space="preserve"> families to the rental market </w:t>
      </w:r>
      <w:r w:rsidR="00F7142A">
        <w:t>where they face the additional challenges of low</w:t>
      </w:r>
      <w:r w:rsidR="004B51F3">
        <w:t>-</w:t>
      </w:r>
      <w:r w:rsidR="00F7142A">
        <w:t xml:space="preserve">quality schools and high crime rates </w:t>
      </w:r>
      <w:r w:rsidR="00F7142A">
        <w:fldChar w:fldCharType="begin"/>
      </w:r>
      <w:r w:rsidR="000C4AE3">
        <w:instrText xml:space="preserve"> ADDIN ZOTERO_ITEM CSL_CITATION {"citationID":"VUeZcKXY","properties":{"unsorted":true,"formattedCitation":"(Rothstein, 2015; Desmond, 2016)","plainCitation":"(Rothstein, 2015; Desmond, 2016)","noteIndex":0},"citationItems":[{"id":834,"uris":["http://zotero.org/users/local/1ztI2Oc6/items/ZKHGI3FT","http://zotero.org/users/12832277/items/ZKHGI3FT"],"itemData":{"id":834,"type":"article-journal","abstract":"Social and economic disadvantage—not only poverty, but a host of associated conditions—depresses student performance. Concentrating students with these disadvantages in racially and economically homogenous schools depresses it further. Schools that the most disadvantaged black children attend are segregated because they are located in segregated high-poverty neighborhoods, far distant from truly middle-class neighborhoods. Living in such high-poverty neighborhoods for multiple generations adds an additional barrier to achievement, and multigenerational segregated poverty characterizes many African American children today. Education policy is constrained by housing policy: it is not possible to desegregate schools without desegregating both low-income and affluent neighborhoods. However, the policy motivation to desegregate neighborhoods is hobbled by a growing ignorance of the nation’s racial history. It has become conventional for policymakers to assert that the residential isolation of low-income black children is now “de facto,” the accident of economic circumstance, demographic trends, personal preference, and private discrimination. But the historical record demonstrates that residential segregation is “de jure,” resulting from racially motivated and explicit public policy whose effects endure to the present. Without awareness of the history of state-sponsored residential segregation, policymakers are unlikely to take meaningful steps to understand or fulfill the constitutional mandate to remedy the racial isolation of neighborhoods, or the school segregation that flows from it.","container-title":"Race and Social Problems","DOI":"10.1007/s12552-014-9134-1","ISSN":"1867-1756","issue":"1","language":"en","page":"21-30","source":"Springer Link","title":"The Racial Achievement Gap, Segregated Schools, and Segregated Neighborhoods: A Constitutional Insult","title-short":"The Racial Achievement Gap, Segregated Schools, and Segregated Neighborhoods","volume":"7","author":[{"family":"Rothstein","given":"Richard"}],"issued":{"date-parts":[["2015",3,1]]}}},{"id":693,"uris":["http://zotero.org/users/local/1ztI2Oc6/items/TSUVH8S6","http://zotero.org/users/12832277/items/TSUVH8S6"],"itemData":{"id":693,"type":"book","publisher":"Crown","source":"Google Scholar","title":"Evicted: Poverty and Profit in the American City","title-short":"Evicted","author":[{"family":"Desmond","given":"Matthew"}],"issued":{"date-parts":[["2016"]]}}}],"schema":"https://github.com/citation-style-language/schema/raw/master/csl-citation.json"} </w:instrText>
      </w:r>
      <w:r w:rsidR="00F7142A">
        <w:fldChar w:fldCharType="separate"/>
      </w:r>
      <w:r w:rsidR="004F62AD" w:rsidRPr="004F62AD">
        <w:t>(Rothstein, 2015; Desmond, 2016)</w:t>
      </w:r>
      <w:r w:rsidR="00F7142A">
        <w:fldChar w:fldCharType="end"/>
      </w:r>
      <w:r w:rsidR="00F7142A">
        <w:t>.</w:t>
      </w:r>
      <w:r w:rsidR="0082066A">
        <w:t xml:space="preserve"> </w:t>
      </w:r>
      <w:r w:rsidR="008C4A9E">
        <w:t xml:space="preserve">Based on our results, there are multiple possible avenues to reduce this cycle of inequality. The first would be to prioritize </w:t>
      </w:r>
      <w:r w:rsidR="001763DB">
        <w:t xml:space="preserve">investments for safety and education in low-income </w:t>
      </w:r>
      <w:r w:rsidR="007B23D6">
        <w:t xml:space="preserve">and high-density </w:t>
      </w:r>
      <w:r w:rsidR="001763DB">
        <w:t>neighborhoods</w:t>
      </w:r>
      <w:r w:rsidR="00A703F7">
        <w:t xml:space="preserve">, thereby </w:t>
      </w:r>
      <w:r w:rsidR="00207E6F">
        <w:t xml:space="preserve">improving </w:t>
      </w:r>
      <w:r w:rsidR="000F15B6">
        <w:t>school qualit</w:t>
      </w:r>
      <w:r w:rsidR="00417A74">
        <w:t>y</w:t>
      </w:r>
      <w:r w:rsidR="000F15B6">
        <w:t xml:space="preserve"> for those without the capital to pay premiums to move elsewhere</w:t>
      </w:r>
      <w:r w:rsidR="001763DB">
        <w:t xml:space="preserve">. </w:t>
      </w:r>
      <w:r w:rsidR="000F15B6">
        <w:t>A second strategy would be to plan</w:t>
      </w:r>
      <w:r w:rsidR="00735F65">
        <w:t xml:space="preserve"> more balanced neighborhoods with a mix of apartments and larger single-family homes</w:t>
      </w:r>
      <w:r w:rsidR="003E5226">
        <w:t xml:space="preserve">. </w:t>
      </w:r>
      <w:r w:rsidR="005A43B6">
        <w:t xml:space="preserve">Reducing </w:t>
      </w:r>
      <w:r w:rsidR="00223599">
        <w:t xml:space="preserve">the existing </w:t>
      </w:r>
      <w:r w:rsidR="005A43B6">
        <w:t xml:space="preserve">geographic segregation of housing types and </w:t>
      </w:r>
      <w:r w:rsidR="00ED1BC4">
        <w:t xml:space="preserve">income distributions </w:t>
      </w:r>
      <w:r w:rsidR="00EE7585">
        <w:t xml:space="preserve">could help </w:t>
      </w:r>
      <w:r w:rsidR="00223599">
        <w:t>limit</w:t>
      </w:r>
      <w:r w:rsidR="00EE7585">
        <w:t xml:space="preserve"> the </w:t>
      </w:r>
      <w:r w:rsidR="008D7851">
        <w:t xml:space="preserve">associated geographic disparities in </w:t>
      </w:r>
      <w:r w:rsidR="00A33AF8">
        <w:t xml:space="preserve">access to quality schools and safe neighborhoods. </w:t>
      </w:r>
      <w:bookmarkEnd w:id="47"/>
    </w:p>
    <w:p w14:paraId="74ED0F16" w14:textId="77777777" w:rsidR="003B6456" w:rsidRPr="009B2F97" w:rsidRDefault="003B6456" w:rsidP="000B6FD6">
      <w:pPr>
        <w:spacing w:after="0" w:line="240" w:lineRule="auto"/>
        <w:jc w:val="both"/>
        <w:rPr>
          <w:b/>
          <w:bCs/>
        </w:rPr>
      </w:pPr>
    </w:p>
    <w:p w14:paraId="559A3B8D" w14:textId="1A6A2284" w:rsidR="00BF5FF7" w:rsidRPr="009B2F97" w:rsidRDefault="002E27D1" w:rsidP="000B6FD6">
      <w:pPr>
        <w:spacing w:after="0" w:line="240" w:lineRule="auto"/>
        <w:jc w:val="both"/>
        <w:rPr>
          <w:b/>
          <w:bCs/>
        </w:rPr>
      </w:pPr>
      <w:r w:rsidRPr="009B2F97">
        <w:rPr>
          <w:b/>
          <w:bCs/>
        </w:rPr>
        <w:t>6</w:t>
      </w:r>
      <w:r w:rsidR="00BF5FF7" w:rsidRPr="009B2F97">
        <w:rPr>
          <w:b/>
          <w:bCs/>
        </w:rPr>
        <w:t xml:space="preserve">. </w:t>
      </w:r>
      <w:r w:rsidR="00930BBC">
        <w:rPr>
          <w:b/>
          <w:bCs/>
        </w:rPr>
        <w:t>CONCLUSIONS</w:t>
      </w:r>
      <w:r w:rsidR="00BF5FF7" w:rsidRPr="009B2F97">
        <w:rPr>
          <w:b/>
          <w:bCs/>
        </w:rPr>
        <w:t xml:space="preserve"> </w:t>
      </w:r>
    </w:p>
    <w:p w14:paraId="64FDC745" w14:textId="43C96799" w:rsidR="000A6141" w:rsidRPr="009B2F97" w:rsidRDefault="001F0C9E" w:rsidP="000A6141">
      <w:pPr>
        <w:spacing w:after="0" w:line="240" w:lineRule="auto"/>
        <w:jc w:val="both"/>
      </w:pPr>
      <w:bookmarkStart w:id="48" w:name="_Hlk148696513"/>
      <w:r w:rsidRPr="009B2F97">
        <w:t xml:space="preserve">In this paper, we have examined the </w:t>
      </w:r>
      <w:r w:rsidR="002C6617" w:rsidRPr="009B2F97">
        <w:t xml:space="preserve">housing choice decision as a joint </w:t>
      </w:r>
      <w:r w:rsidR="00581D5D" w:rsidRPr="009B2F97">
        <w:t xml:space="preserve">decision across a range of dwelling unit attributes and neighborhood socioeconomic characteristics. </w:t>
      </w:r>
      <w:r w:rsidR="00CF7A70" w:rsidRPr="009B2F97">
        <w:t xml:space="preserve">The focus on a broader range of housing outcomes is driven by the changing role of the </w:t>
      </w:r>
      <w:r w:rsidR="00E72559" w:rsidRPr="009B2F97">
        <w:t>home</w:t>
      </w:r>
      <w:r w:rsidR="00CF7A70" w:rsidRPr="009B2F97">
        <w:t xml:space="preserve"> </w:t>
      </w:r>
      <w:r w:rsidR="00C01F84" w:rsidRPr="009B2F97">
        <w:t xml:space="preserve">due to the growth of </w:t>
      </w:r>
      <w:r w:rsidR="00E72559" w:rsidRPr="009B2F97">
        <w:t xml:space="preserve">remote work opportunities. </w:t>
      </w:r>
      <w:r w:rsidR="00C519A6">
        <w:t xml:space="preserve">Our analysis framework enables the </w:t>
      </w:r>
      <w:r w:rsidR="000507DD" w:rsidRPr="009B2F97">
        <w:t>consider</w:t>
      </w:r>
      <w:r w:rsidR="00C519A6">
        <w:t xml:space="preserve">ation of </w:t>
      </w:r>
      <w:r w:rsidR="002C03AC" w:rsidRPr="009B2F97">
        <w:t>m</w:t>
      </w:r>
      <w:r w:rsidR="00C519A6">
        <w:t xml:space="preserve">ultiple </w:t>
      </w:r>
      <w:r w:rsidR="000507DD" w:rsidRPr="009B2F97">
        <w:t>dimensions of housing choice</w:t>
      </w:r>
      <w:r w:rsidR="002C03AC" w:rsidRPr="009B2F97">
        <w:t xml:space="preserve"> as a package </w:t>
      </w:r>
      <w:r w:rsidR="00983692" w:rsidRPr="009B2F97">
        <w:t xml:space="preserve">decision and to understand the tradeoffs </w:t>
      </w:r>
      <w:r w:rsidR="00C519A6">
        <w:t>among the many dimensions</w:t>
      </w:r>
      <w:r w:rsidR="00983692" w:rsidRPr="009B2F97">
        <w:t>.</w:t>
      </w:r>
      <w:r w:rsidR="00F51A4A">
        <w:t xml:space="preserve"> </w:t>
      </w:r>
      <w:r w:rsidR="00983692" w:rsidRPr="009B2F97">
        <w:lastRenderedPageBreak/>
        <w:t>Th</w:t>
      </w:r>
      <w:r w:rsidR="00F226D2" w:rsidRPr="009B2F97">
        <w:t xml:space="preserve">e </w:t>
      </w:r>
      <w:r w:rsidR="00C519A6">
        <w:t xml:space="preserve">approach incorporates </w:t>
      </w:r>
      <w:r w:rsidR="006029DF" w:rsidRPr="009B2F97">
        <w:t>household demographic</w:t>
      </w:r>
      <w:r w:rsidR="000A6141">
        <w:t xml:space="preserve">, regional variables, </w:t>
      </w:r>
      <w:r w:rsidR="008D26ED" w:rsidRPr="009B2F97">
        <w:t xml:space="preserve">and latent psycho-social constructs within the behavioral framework. </w:t>
      </w:r>
      <w:r w:rsidR="00DB37FA" w:rsidRPr="009B2F97">
        <w:t xml:space="preserve">The estimation results indicate that </w:t>
      </w:r>
      <w:r w:rsidR="00A304C4" w:rsidRPr="009B2F97">
        <w:t>individuals with different attitudes and lifestyle</w:t>
      </w:r>
      <w:r w:rsidR="00277DC6" w:rsidRPr="009B2F97">
        <w:t xml:space="preserve">s make different housing decisions, both in terms of the attributes of the dwelling unit and the characteristics of the neighborhood. </w:t>
      </w:r>
      <w:r w:rsidR="000A6141">
        <w:t xml:space="preserve">The results also point to the significant impacts of </w:t>
      </w:r>
      <w:r w:rsidR="000A6141" w:rsidRPr="009B2F97">
        <w:t xml:space="preserve">changing commute distances on the characteristics of the dwelling unit and </w:t>
      </w:r>
      <w:r w:rsidR="000A6141">
        <w:t>the</w:t>
      </w:r>
      <w:r w:rsidR="000A6141" w:rsidRPr="009B2F97">
        <w:t xml:space="preserve"> sensitivity to various neighborhood characteristics</w:t>
      </w:r>
      <w:r w:rsidR="000A6141">
        <w:t>, which, in turn,</w:t>
      </w:r>
      <w:r w:rsidR="000A6141" w:rsidRPr="009B2F97">
        <w:t xml:space="preserve"> have implications for understanding evolving mobility patterns and real estate demands. Telework preferences and changing commuting patterns also impact urban planning as we consider evolving housing needs</w:t>
      </w:r>
      <w:r w:rsidR="000A6141">
        <w:t xml:space="preserve"> and the increased preference for mixed-land use developments among teleworkers</w:t>
      </w:r>
      <w:r w:rsidR="000A6141" w:rsidRPr="009B2F97">
        <w:t xml:space="preserve">. </w:t>
      </w:r>
    </w:p>
    <w:p w14:paraId="54D97773" w14:textId="460A2E87" w:rsidR="0041100F" w:rsidRDefault="003A75BE" w:rsidP="00A33AF8">
      <w:pPr>
        <w:spacing w:after="0" w:line="240" w:lineRule="auto"/>
        <w:ind w:firstLine="720"/>
        <w:jc w:val="both"/>
      </w:pPr>
      <w:r>
        <w:t>There are, of course,</w:t>
      </w:r>
      <w:r w:rsidR="00D808D3" w:rsidRPr="009B2F97">
        <w:t xml:space="preserve"> several avenues for additional research. </w:t>
      </w:r>
      <w:r w:rsidR="00E30EA8" w:rsidRPr="009B2F97">
        <w:t xml:space="preserve">First, </w:t>
      </w:r>
      <w:r w:rsidR="003C5B34" w:rsidRPr="009B2F97">
        <w:t xml:space="preserve">although this study includes a comprehensive set of outcome variables, there are many more that </w:t>
      </w:r>
      <w:r w:rsidR="002C6CD0">
        <w:t>can</w:t>
      </w:r>
      <w:r w:rsidR="003C5B34" w:rsidRPr="009B2F97">
        <w:t xml:space="preserve"> be considered in a joint model</w:t>
      </w:r>
      <w:r w:rsidR="002C6CD0">
        <w:t>, including t</w:t>
      </w:r>
      <w:r w:rsidR="003C5B34" w:rsidRPr="009B2F97">
        <w:t>he availability of various transportation alternatives,</w:t>
      </w:r>
      <w:r w:rsidR="000027E0" w:rsidRPr="009B2F97">
        <w:t xml:space="preserve"> access to public spaces, </w:t>
      </w:r>
      <w:r w:rsidR="00F33F44" w:rsidRPr="009B2F97">
        <w:t xml:space="preserve">and additional dwelling unit features. </w:t>
      </w:r>
      <w:bookmarkStart w:id="49" w:name="_Hlk165471300"/>
      <w:bookmarkStart w:id="50" w:name="_Hlk165910328"/>
      <w:r w:rsidR="00381119">
        <w:t>Additionally</w:t>
      </w:r>
      <w:r w:rsidR="00D0442A">
        <w:t>, a</w:t>
      </w:r>
      <w:r w:rsidR="00A16CF7">
        <w:t xml:space="preserve"> </w:t>
      </w:r>
      <w:r w:rsidR="00D0442A">
        <w:t xml:space="preserve">detailed </w:t>
      </w:r>
      <w:r w:rsidR="00A16CF7">
        <w:t xml:space="preserve">investigation of the </w:t>
      </w:r>
      <w:r w:rsidR="00D0442A">
        <w:t xml:space="preserve">preferences for </w:t>
      </w:r>
      <w:r w:rsidR="00A16CF7">
        <w:t xml:space="preserve">different </w:t>
      </w:r>
      <w:r w:rsidR="00D0442A">
        <w:t xml:space="preserve">types of amenities (such as access to parks and sports activities, museums and cultural activities, restaurants, grocery stores, and medical facilities) </w:t>
      </w:r>
      <w:r w:rsidR="00A16CF7">
        <w:t xml:space="preserve">in residential neighborhoods, rather than an aggregate amenities metric as used in the current paper, </w:t>
      </w:r>
      <w:r w:rsidR="00D0442A">
        <w:t xml:space="preserve">would be a valuable </w:t>
      </w:r>
      <w:r w:rsidR="00A16CF7">
        <w:t>direction for future research</w:t>
      </w:r>
      <w:r w:rsidR="00D0442A">
        <w:t>.</w:t>
      </w:r>
      <w:bookmarkEnd w:id="49"/>
      <w:r w:rsidR="00D0442A">
        <w:t xml:space="preserve"> </w:t>
      </w:r>
      <w:bookmarkEnd w:id="50"/>
      <w:r w:rsidR="0019339F" w:rsidRPr="009B2F97">
        <w:t xml:space="preserve">Second, an </w:t>
      </w:r>
      <w:bookmarkStart w:id="51" w:name="_Hlk149823196"/>
      <w:r w:rsidR="0019339F" w:rsidRPr="009B2F97">
        <w:t>analysis o</w:t>
      </w:r>
      <w:r w:rsidR="002E0DFA" w:rsidRPr="009B2F97">
        <w:t>f</w:t>
      </w:r>
      <w:r w:rsidR="0019339F" w:rsidRPr="009B2F97">
        <w:t xml:space="preserve"> housing choices along with </w:t>
      </w:r>
      <w:r w:rsidR="00FC3195" w:rsidRPr="009B2F97">
        <w:t>other major life decisions, such as vehicle purchases</w:t>
      </w:r>
      <w:r w:rsidR="002C6CD0">
        <w:t>/ownership</w:t>
      </w:r>
      <w:r w:rsidR="00FC3195" w:rsidRPr="009B2F97">
        <w:t xml:space="preserve"> and employment</w:t>
      </w:r>
      <w:r w:rsidR="002C6CD0">
        <w:t>/</w:t>
      </w:r>
      <w:r>
        <w:t xml:space="preserve">telework </w:t>
      </w:r>
      <w:r w:rsidR="00FC3195" w:rsidRPr="009B2F97">
        <w:t>decisions</w:t>
      </w:r>
      <w:bookmarkEnd w:id="51"/>
      <w:r w:rsidR="00FC3195" w:rsidRPr="009B2F97">
        <w:t xml:space="preserve">, </w:t>
      </w:r>
      <w:r w:rsidR="002E0DFA" w:rsidRPr="009B2F97">
        <w:t xml:space="preserve">could reveal the </w:t>
      </w:r>
      <w:r w:rsidR="003A5852" w:rsidRPr="009B2F97">
        <w:t xml:space="preserve">relationships between these major decisions that were not considered here. </w:t>
      </w:r>
      <w:r w:rsidR="006F2B48">
        <w:t xml:space="preserve">In this context, it is also important to consider the interactions among household members rather than modeling the decision based on individual level data. </w:t>
      </w:r>
      <w:bookmarkStart w:id="52" w:name="_Hlk165921672"/>
      <w:bookmarkStart w:id="53" w:name="_Hlk165548690"/>
      <w:r w:rsidR="00A80EF2">
        <w:t>Third, additional research into the causal relationships between the many factors at play in housing decisions</w:t>
      </w:r>
      <w:r w:rsidR="008415C1">
        <w:t xml:space="preserve"> would be fruitful</w:t>
      </w:r>
      <w:r w:rsidR="00A80EF2">
        <w:t xml:space="preserve">. While our model accounts for unobserved correlation effects </w:t>
      </w:r>
      <w:r w:rsidR="008415C1">
        <w:t xml:space="preserve">across </w:t>
      </w:r>
      <w:r w:rsidR="00A80EF2">
        <w:t>many dimensions</w:t>
      </w:r>
      <w:r w:rsidR="008415C1">
        <w:t xml:space="preserve"> and controls for aggregate regions of the U.S.</w:t>
      </w:r>
      <w:r w:rsidR="00A80EF2">
        <w:t xml:space="preserve">, </w:t>
      </w:r>
      <w:r w:rsidR="008415C1">
        <w:t xml:space="preserve">additional research </w:t>
      </w:r>
      <w:r w:rsidR="00C65B94">
        <w:t>with</w:t>
      </w:r>
      <w:r w:rsidR="008415C1">
        <w:t xml:space="preserve">in </w:t>
      </w:r>
      <w:r w:rsidR="00C65B94">
        <w:t xml:space="preserve">specific disaggregate housing markets </w:t>
      </w:r>
      <w:r w:rsidR="008415C1">
        <w:t>of the U.S</w:t>
      </w:r>
      <w:r w:rsidR="00C65B94">
        <w:t xml:space="preserve">. </w:t>
      </w:r>
      <w:r w:rsidR="008415C1">
        <w:t xml:space="preserve">would be helpful to examine the spatial stability of the causal pathway effects found in the current study. </w:t>
      </w:r>
      <w:r w:rsidR="00C65B94">
        <w:t xml:space="preserve"> This would require adequate sample sizes from the specific housing markets. Also, additional research that examines potential heterogeneity in the causal pathway relationships across </w:t>
      </w:r>
      <w:r w:rsidR="0041100F">
        <w:t xml:space="preserve">different sociodemographic groups </w:t>
      </w:r>
      <w:r w:rsidR="00C65B94">
        <w:t xml:space="preserve">is another direction for research. </w:t>
      </w:r>
      <w:bookmarkEnd w:id="52"/>
      <w:bookmarkEnd w:id="53"/>
      <w:r w:rsidR="00E60A13" w:rsidRPr="009B2F97">
        <w:t xml:space="preserve">Finally, </w:t>
      </w:r>
      <w:r>
        <w:t xml:space="preserve">continued analysis of </w:t>
      </w:r>
      <w:r w:rsidR="00E60A13" w:rsidRPr="009B2F97">
        <w:t>housing choice</w:t>
      </w:r>
      <w:r>
        <w:t xml:space="preserve">s </w:t>
      </w:r>
      <w:r w:rsidR="00E60A13" w:rsidRPr="009B2F97">
        <w:t>with</w:t>
      </w:r>
      <w:r>
        <w:t xml:space="preserve"> </w:t>
      </w:r>
      <w:r w:rsidR="00E60A13" w:rsidRPr="009B2F97">
        <w:t>recent data</w:t>
      </w:r>
      <w:r>
        <w:t>sets</w:t>
      </w:r>
      <w:r w:rsidR="00E60A13" w:rsidRPr="009B2F97">
        <w:t xml:space="preserve"> would </w:t>
      </w:r>
      <w:r>
        <w:t xml:space="preserve">provide important insights on the </w:t>
      </w:r>
      <w:r w:rsidR="00E60A13" w:rsidRPr="009B2F97">
        <w:t xml:space="preserve">changing </w:t>
      </w:r>
      <w:r>
        <w:t xml:space="preserve">housing choice </w:t>
      </w:r>
      <w:r w:rsidR="00E60A13" w:rsidRPr="009B2F97">
        <w:t xml:space="preserve">patterns since the pandemic. </w:t>
      </w:r>
      <w:r>
        <w:t>After all,</w:t>
      </w:r>
      <w:r w:rsidR="00E60A13" w:rsidRPr="009B2F97">
        <w:t xml:space="preserve"> housing </w:t>
      </w:r>
      <w:r>
        <w:t>choices</w:t>
      </w:r>
      <w:r w:rsidR="00E60A13" w:rsidRPr="009B2F97">
        <w:t xml:space="preserve"> are long-term </w:t>
      </w:r>
      <w:r w:rsidR="001F44BD" w:rsidRPr="009B2F97">
        <w:t>decisions</w:t>
      </w:r>
      <w:r>
        <w:t>, and</w:t>
      </w:r>
      <w:r w:rsidR="001F44BD" w:rsidRPr="009B2F97">
        <w:t xml:space="preserve"> </w:t>
      </w:r>
      <w:r>
        <w:t xml:space="preserve">behavioral shifts in these brought about by the pandemic may not </w:t>
      </w:r>
      <w:r w:rsidR="00C861A7">
        <w:t xml:space="preserve">yet </w:t>
      </w:r>
      <w:r>
        <w:t>be completely manifested</w:t>
      </w:r>
      <w:r w:rsidR="006C125C" w:rsidRPr="009B2F97">
        <w:t>.</w:t>
      </w:r>
      <w:bookmarkEnd w:id="48"/>
      <w:r w:rsidR="006C125C" w:rsidRPr="009B2F97">
        <w:t xml:space="preserve"> </w:t>
      </w:r>
      <w:bookmarkStart w:id="54" w:name="_Hlk149830203"/>
      <w:r w:rsidR="00DA044F">
        <w:t xml:space="preserve">Subsequent studies should continue to consider the impacts of the pandemic as well as the broader </w:t>
      </w:r>
      <w:r w:rsidR="002C6CD0">
        <w:t>interlinkages between</w:t>
      </w:r>
      <w:r w:rsidR="00DA044F">
        <w:t xml:space="preserve"> remote work </w:t>
      </w:r>
      <w:r w:rsidR="002C6CD0">
        <w:t xml:space="preserve">trends and </w:t>
      </w:r>
      <w:r w:rsidR="00DA044F">
        <w:t>housing choices.</w:t>
      </w:r>
      <w:bookmarkEnd w:id="54"/>
      <w:r w:rsidR="0041100F">
        <w:t xml:space="preserve"> </w:t>
      </w:r>
    </w:p>
    <w:p w14:paraId="54F2654C" w14:textId="6067D18A" w:rsidR="00582567" w:rsidRDefault="0041100F" w:rsidP="00A33AF8">
      <w:pPr>
        <w:spacing w:after="0" w:line="240" w:lineRule="auto"/>
        <w:ind w:firstLine="720"/>
        <w:jc w:val="both"/>
      </w:pPr>
      <w:r>
        <w:t xml:space="preserve">In conclusion, while there remain many areas for future investigations, the research has highlighted the intricate inter-relationships among the multiple </w:t>
      </w:r>
      <w:r w:rsidR="001867AE">
        <w:t xml:space="preserve">choice dimensions characterizing housing </w:t>
      </w:r>
      <w:r>
        <w:t>decisions, and</w:t>
      </w:r>
      <w:r w:rsidR="009E76DF">
        <w:t xml:space="preserve"> </w:t>
      </w:r>
      <w:r w:rsidR="001867AE">
        <w:t>established</w:t>
      </w:r>
      <w:r w:rsidR="009E76DF">
        <w:t xml:space="preserve"> </w:t>
      </w:r>
      <w:r>
        <w:t>a</w:t>
      </w:r>
      <w:r w:rsidR="009E76DF">
        <w:t xml:space="preserve"> </w:t>
      </w:r>
      <w:r w:rsidR="00805C56">
        <w:t xml:space="preserve">methodological and empirical </w:t>
      </w:r>
      <w:r>
        <w:t xml:space="preserve">foundation for </w:t>
      </w:r>
      <w:r w:rsidR="00805C56">
        <w:t xml:space="preserve">studying the housing-transportation nexus within a fast evolving technological, demographic, and remote work landscape. </w:t>
      </w:r>
    </w:p>
    <w:p w14:paraId="7C63874E" w14:textId="77777777" w:rsidR="0031134E" w:rsidRDefault="0031134E" w:rsidP="0031134E">
      <w:pPr>
        <w:spacing w:after="0" w:line="240" w:lineRule="auto"/>
        <w:jc w:val="both"/>
      </w:pPr>
    </w:p>
    <w:p w14:paraId="6BEDE90B" w14:textId="5E407868" w:rsidR="0031134E" w:rsidRDefault="0031134E" w:rsidP="0031134E">
      <w:pPr>
        <w:spacing w:after="0" w:line="240" w:lineRule="auto"/>
        <w:jc w:val="both"/>
        <w:rPr>
          <w:b/>
          <w:bCs/>
        </w:rPr>
      </w:pPr>
      <w:r>
        <w:rPr>
          <w:b/>
          <w:bCs/>
        </w:rPr>
        <w:t>ACK</w:t>
      </w:r>
      <w:r w:rsidR="00747B7D">
        <w:rPr>
          <w:b/>
          <w:bCs/>
        </w:rPr>
        <w:t xml:space="preserve">NOWLEDGMENTS </w:t>
      </w:r>
    </w:p>
    <w:p w14:paraId="4EB04A5B" w14:textId="47F2739A" w:rsidR="00747B7D" w:rsidRPr="00747B7D" w:rsidRDefault="00C861A7" w:rsidP="001658FB">
      <w:pPr>
        <w:spacing w:after="0" w:line="240" w:lineRule="auto"/>
        <w:jc w:val="both"/>
      </w:pPr>
      <w:r>
        <w:t>This research was partially supported by the U.S. Department of Transportation through the Center for Understanding Future Travel Behavior and Demand (TBD) (Grant No. 69A3552344815 and No. 69A3552348320), and the UT Good Systems Grand Challenge through the Good Systems Core Research Project entitled “Artificial Intelligence and the Future of Racial Justice.” The authors are grateful to Lisa Macias for her help in formatting this document.</w:t>
      </w:r>
      <w:r w:rsidR="00747B7D">
        <w:t xml:space="preserve"> </w:t>
      </w:r>
      <w:r w:rsidR="001658FB">
        <w:t>Three anonymous reviewers provided useful comments and suggestions on an earlier version of this paper.</w:t>
      </w:r>
    </w:p>
    <w:p w14:paraId="09CD8AA0" w14:textId="77777777" w:rsidR="00930BBC" w:rsidRDefault="00930BBC" w:rsidP="00A33AF8">
      <w:pPr>
        <w:spacing w:after="0" w:line="240" w:lineRule="auto"/>
        <w:ind w:firstLine="720"/>
        <w:jc w:val="both"/>
      </w:pPr>
    </w:p>
    <w:p w14:paraId="504BA79C" w14:textId="6114908C" w:rsidR="0092695E" w:rsidRPr="009B2F97" w:rsidRDefault="00930BBC" w:rsidP="000B6FD6">
      <w:pPr>
        <w:spacing w:after="0" w:line="240" w:lineRule="auto"/>
        <w:jc w:val="both"/>
        <w:rPr>
          <w:b/>
          <w:bCs/>
        </w:rPr>
      </w:pPr>
      <w:r>
        <w:rPr>
          <w:b/>
          <w:bCs/>
        </w:rPr>
        <w:t>REFERENCES</w:t>
      </w:r>
    </w:p>
    <w:p w14:paraId="03BB85BC" w14:textId="77777777" w:rsidR="00C516A0" w:rsidRDefault="00FC7021" w:rsidP="00554634">
      <w:pPr>
        <w:pStyle w:val="Bibliography"/>
        <w:jc w:val="both"/>
      </w:pPr>
      <w:r w:rsidRPr="009B2F97">
        <w:fldChar w:fldCharType="begin"/>
      </w:r>
      <w:r w:rsidR="001003AB">
        <w:instrText xml:space="preserve"> ADDIN ZOTERO_BIBL {"uncited":[],"omitted":[],"custom":[]} CSL_BIBLIOGRAPHY </w:instrText>
      </w:r>
      <w:r w:rsidRPr="009B2F97">
        <w:fldChar w:fldCharType="separate"/>
      </w:r>
      <w:r w:rsidR="00C516A0">
        <w:t>Abramsson, M., Andersson, E., 2016. Changing Preferences with Ageing – Housing Choices and Housing Plans of Older People. Hous. Theory Soc. 33, 217–241. https://doi.org/10.1080/14036096.2015.1104385</w:t>
      </w:r>
    </w:p>
    <w:p w14:paraId="4C0630EC" w14:textId="5A83F041" w:rsidR="00C516A0" w:rsidRDefault="00C516A0" w:rsidP="00C516A0">
      <w:pPr>
        <w:pStyle w:val="Bibliography"/>
      </w:pPr>
      <w:r>
        <w:t>Acheampong, R.A., 2018. Towards Incorporating Location Choice into Integrated Land Use and Transport Planning and Policy: A Multi-Scale Analysis of Residential and Job Location Choice Behaviour. Land Use Policy 78, 397–409.</w:t>
      </w:r>
      <w:r w:rsidR="00554634">
        <w:t xml:space="preserve"> </w:t>
      </w:r>
      <w:r>
        <w:t>https://doi.org/10.1016/j.landusepol.2018.07.007</w:t>
      </w:r>
    </w:p>
    <w:p w14:paraId="248FAD58" w14:textId="330D3A96" w:rsidR="00C516A0" w:rsidRDefault="00C516A0" w:rsidP="00C516A0">
      <w:pPr>
        <w:pStyle w:val="Bibliography"/>
      </w:pPr>
      <w:r>
        <w:t>Adobati, F., Debernardi, A., 2022. The Breath of the Metropolis: Smart Working and New Urban Geographies. Sustainability 14</w:t>
      </w:r>
      <w:r w:rsidR="00554634">
        <w:t>, 1028</w:t>
      </w:r>
      <w:r>
        <w:t>. https://doi.org/10.3390/su14021028</w:t>
      </w:r>
    </w:p>
    <w:p w14:paraId="36F9DA1E" w14:textId="77777777" w:rsidR="00C516A0" w:rsidRDefault="00C516A0" w:rsidP="00C516A0">
      <w:pPr>
        <w:pStyle w:val="Bibliography"/>
      </w:pPr>
      <w:r>
        <w:t>Aklin, M., Bayer, P., Harish, S.P., Urpelainen, J., 2013. Understanding Environmental Policy Preferences: New Evidence from Brazil. Ecol. Econ. 94, 28–36. https://doi.org/10.1016/j.ecolecon.2013.05.012</w:t>
      </w:r>
    </w:p>
    <w:p w14:paraId="2A317FE0" w14:textId="77777777" w:rsidR="00C516A0" w:rsidRDefault="00C516A0" w:rsidP="00C516A0">
      <w:pPr>
        <w:pStyle w:val="Bibliography"/>
      </w:pPr>
      <w:r>
        <w:t>Alonso, W., 1964. Location and Land Use: Toward a General Theory of Land Rent, Location and Land Use. Harvard University Press. https://doi.org/10.4159/harvard.9780674730854</w:t>
      </w:r>
    </w:p>
    <w:p w14:paraId="48037916" w14:textId="77777777" w:rsidR="00C516A0" w:rsidRDefault="00C516A0" w:rsidP="00C516A0">
      <w:pPr>
        <w:pStyle w:val="Bibliography"/>
      </w:pPr>
      <w:r>
        <w:t>Alonso, W., 1960. A Theory of the Urban Land Market. Pap. Reg. Sci. 6, 149–157.</w:t>
      </w:r>
    </w:p>
    <w:p w14:paraId="48490A1F" w14:textId="77777777" w:rsidR="00C516A0" w:rsidRDefault="00C516A0" w:rsidP="00C516A0">
      <w:pPr>
        <w:pStyle w:val="Bibliography"/>
      </w:pPr>
      <w:r>
        <w:t>Andrew, M., Meen, G., 2006. Population Structure and Location Choice: A Study of London and South East England. Pap. Reg. Sci. 85, 401–419. https://doi.org/10.1111/j.1435-5957.2006.00092.x</w:t>
      </w:r>
    </w:p>
    <w:p w14:paraId="35162BE4" w14:textId="77777777" w:rsidR="00C516A0" w:rsidRDefault="00C516A0" w:rsidP="00C516A0">
      <w:pPr>
        <w:pStyle w:val="Bibliography"/>
      </w:pPr>
      <w:r>
        <w:t>Asgari, H., Jin, X., 2017. Impacts of Telecommuting on Nonmandatory Activity Participation: Role of Endogeneity. Transp. Res. Rec. 2666, 47–57. https://doi.org/10.3141/2666-06</w:t>
      </w:r>
    </w:p>
    <w:p w14:paraId="2E9EA17F" w14:textId="510EE534" w:rsidR="00C516A0" w:rsidRDefault="00C516A0" w:rsidP="00C516A0">
      <w:pPr>
        <w:pStyle w:val="Bibliography"/>
      </w:pPr>
      <w:r>
        <w:t>Asmussen, K., Mondal, A., Bhat, C.R., Pendyala, R.M., 2023. On Modeling Future Workplace Location Decisions: An Analysis of Texas Employees. Transp. Res. Part Policy Pract. 172</w:t>
      </w:r>
      <w:r w:rsidR="00554634">
        <w:t>,</w:t>
      </w:r>
      <w:r w:rsidR="00554634" w:rsidRPr="00554634">
        <w:t xml:space="preserve"> </w:t>
      </w:r>
      <w:r w:rsidR="00554634" w:rsidRPr="00554634">
        <w:rPr>
          <w:color w:val="1F1F1F"/>
        </w:rPr>
        <w:t>103671</w:t>
      </w:r>
      <w:r>
        <w:t>. https://doi.org/10.1016/j.tra.2023.103671</w:t>
      </w:r>
    </w:p>
    <w:p w14:paraId="16A64C8C" w14:textId="74C14741" w:rsidR="00C516A0" w:rsidRDefault="00C516A0" w:rsidP="00C516A0">
      <w:pPr>
        <w:pStyle w:val="Bibliography"/>
      </w:pPr>
      <w:r>
        <w:t>Asmussen, K.E., Mondal, A., Batur, I., Dirks, A., Pendyala, R.M., Bhat, C.R., 2024. An Investigation of Individual-Level Telework Arrangements in the COVID-Era. Transp. Res. Part Policy Pract. 179</w:t>
      </w:r>
      <w:r w:rsidR="00554634">
        <w:t xml:space="preserve">, </w:t>
      </w:r>
      <w:r w:rsidR="00554634" w:rsidRPr="00554634">
        <w:rPr>
          <w:color w:val="1F1F1F"/>
        </w:rPr>
        <w:t>103888</w:t>
      </w:r>
      <w:r>
        <w:t>. https://doi.org/10.1016/j.tra.2023.103888</w:t>
      </w:r>
    </w:p>
    <w:p w14:paraId="04D34E4F" w14:textId="77777777" w:rsidR="00C516A0" w:rsidRDefault="00C516A0" w:rsidP="00C516A0">
      <w:pPr>
        <w:pStyle w:val="Bibliography"/>
      </w:pPr>
      <w:r>
        <w:t>Bakens, J., Florax, R.J.G.M., Mulder, P., 2018. Ethnic Drift and White Flight: A Gravity Model of Neighborhood Formation. J. Reg. Sci. 58, 921–948. https://doi.org/10.1111/jors.12390</w:t>
      </w:r>
    </w:p>
    <w:p w14:paraId="396FF00F" w14:textId="77777777" w:rsidR="00C516A0" w:rsidRDefault="00C516A0" w:rsidP="00C516A0">
      <w:pPr>
        <w:pStyle w:val="Bibliography"/>
      </w:pPr>
      <w:r>
        <w:t>Best Places to Live In the US &amp; Canada [WWW Document], 2023. . AreaVibes. URL https://www.areavibes.com/ (accessed 3.27.23).</w:t>
      </w:r>
    </w:p>
    <w:p w14:paraId="1659549B" w14:textId="43B0F181" w:rsidR="00C516A0" w:rsidRDefault="00C516A0" w:rsidP="00C516A0">
      <w:pPr>
        <w:pStyle w:val="Bibliography"/>
      </w:pPr>
      <w:r>
        <w:t>Bhat, A.C., Almeida, D.M., Fenelon, A., Santos-Lozada, A.R., 2022. A Longitudinal Analysis of the Relationship Between Housing Insecurity and Physical Health Among Midlife and Aging Adults in the United States. SSM - Popul. Health 18</w:t>
      </w:r>
      <w:r w:rsidR="00554634">
        <w:t>, 101128</w:t>
      </w:r>
      <w:r>
        <w:t>. https://doi.org/10.1016/j.ssmph.2022.101128</w:t>
      </w:r>
    </w:p>
    <w:p w14:paraId="7C0F7A06" w14:textId="77777777" w:rsidR="00C516A0" w:rsidRDefault="00C516A0" w:rsidP="00C516A0">
      <w:pPr>
        <w:pStyle w:val="Bibliography"/>
      </w:pPr>
      <w:r>
        <w:t>Bhat, C.R., 2015a. A Comprehensive Dwelling Unit Choice Model Accommodating Psychological Constructs Within a Search Strategy for Consideration Set Formation. Transp. Res. Part B Methodol. 79, 161–188. https://doi.org/10.1016/j.trb.2015.05.021</w:t>
      </w:r>
    </w:p>
    <w:p w14:paraId="78C92F76" w14:textId="77777777" w:rsidR="00C516A0" w:rsidRDefault="00C516A0" w:rsidP="00C516A0">
      <w:pPr>
        <w:pStyle w:val="Bibliography"/>
      </w:pPr>
      <w:r>
        <w:t>Bhat, C.R., 2015b. A New Generalized Heterogeneous Data Model (GHDM) to Jointly Model Mixed Types of Dependent Variables. Transp. Res. Part B Methodol. 79, 50–77. https://doi.org/10.1016/j.trb.2015.05.017</w:t>
      </w:r>
    </w:p>
    <w:p w14:paraId="592EC8A9" w14:textId="77777777" w:rsidR="00C516A0" w:rsidRDefault="00C516A0" w:rsidP="00C516A0">
      <w:pPr>
        <w:pStyle w:val="Bibliography"/>
      </w:pPr>
      <w:r>
        <w:t>Bhat, C.R., Guo, J., 2004. A Mixed Spatially Correlated Logit Model: Formulation and Application to Residential Choice Modeling. Transp. Res. Part B Methodol. 38, 147–168. https://doi.org/10.1016/S0191-2615(03)00005-5</w:t>
      </w:r>
    </w:p>
    <w:p w14:paraId="72D4F2E7" w14:textId="77777777" w:rsidR="00C516A0" w:rsidRDefault="00C516A0" w:rsidP="00C516A0">
      <w:pPr>
        <w:pStyle w:val="Bibliography"/>
      </w:pPr>
      <w:r>
        <w:lastRenderedPageBreak/>
        <w:t>Bhat, C.R., Guo, J.Y., 2007. A Comprehensive Analysis of Built Environment Characteristics on Household Residential Choice and Auto Ownership Levels. Transp. Res. Part B Methodol. 41, 506–526. https://doi.org/10.1016/j.trb.2005.12.005</w:t>
      </w:r>
    </w:p>
    <w:p w14:paraId="6E777D41" w14:textId="77777777" w:rsidR="00C516A0" w:rsidRDefault="00C516A0" w:rsidP="00C516A0">
      <w:pPr>
        <w:pStyle w:val="Bibliography"/>
      </w:pPr>
      <w:r>
        <w:t>Bhat, C.R., Pendyala, R.M., 2005. Modeling Intra-Household Interactions and Group Decision-Making. Transportation 32, 443–448. https://doi.org/10.1007/s11116-005-6789-x</w:t>
      </w:r>
    </w:p>
    <w:p w14:paraId="790D11D5" w14:textId="77777777" w:rsidR="00C516A0" w:rsidRDefault="00C516A0" w:rsidP="00C516A0">
      <w:pPr>
        <w:pStyle w:val="Bibliography"/>
      </w:pPr>
      <w:r>
        <w:t>Bhat, C.R., Zhao, H., 2002. The Spatial Analysis of Activity Stop Generation. Transp. Res. Part B Methodol. 36, 557–575. https://doi.org/10.1016/S0191-2615(01)00019-4</w:t>
      </w:r>
    </w:p>
    <w:p w14:paraId="057215E3" w14:textId="11F917C6" w:rsidR="00C516A0" w:rsidRDefault="00C516A0" w:rsidP="00C516A0">
      <w:pPr>
        <w:pStyle w:val="Bibliography"/>
      </w:pPr>
      <w:r>
        <w:t xml:space="preserve">Blumenberg, E., Wander, M., 2022. Housing Affordability and Commute Distance. Urban Geogr. </w:t>
      </w:r>
      <w:r w:rsidR="00554634">
        <w:t xml:space="preserve">44(7), 1454–1473. </w:t>
      </w:r>
      <w:r>
        <w:t>https://doi.org/10.1080/02723638.2022.2087319</w:t>
      </w:r>
    </w:p>
    <w:p w14:paraId="04BE6289" w14:textId="77777777" w:rsidR="00C516A0" w:rsidRDefault="00C516A0" w:rsidP="00C516A0">
      <w:pPr>
        <w:pStyle w:val="Bibliography"/>
      </w:pPr>
      <w:r>
        <w:t>Borgers, A., Timmermans, H., 1993. Transport Facilities and Residential Choice Behavior: A Model of Multi-Person Choice Processes. Pap. Reg. Sci. 72, 45–61. https://doi.org/10.1007/BF01538349</w:t>
      </w:r>
    </w:p>
    <w:p w14:paraId="16D6D6AC" w14:textId="77777777" w:rsidR="00C516A0" w:rsidRDefault="00C516A0" w:rsidP="00C516A0">
      <w:pPr>
        <w:pStyle w:val="Bibliography"/>
      </w:pPr>
      <w:r>
        <w:t>Bratter, J., Casarez, R.S., Farrell, A., Mehta, S.K., Zhang, X., Carroll, M., 2022. Counting Families, Counting Race: Assessing Visible Family Structural Change among Multiracial Families, 1980–2018. J. Child Fam. Stud. 31, 609–622. https://doi.org/10.1007/s10826-022-02244-x</w:t>
      </w:r>
    </w:p>
    <w:p w14:paraId="4AF6411A" w14:textId="77777777" w:rsidR="00C516A0" w:rsidRDefault="00C516A0" w:rsidP="00C516A0">
      <w:pPr>
        <w:pStyle w:val="Bibliography"/>
      </w:pPr>
      <w:r>
        <w:t>Bureau of Labor Statistics, 2022. National Compensation Survey - Benefits. US Department of Labor.</w:t>
      </w:r>
    </w:p>
    <w:p w14:paraId="642C5A42" w14:textId="77777777" w:rsidR="00C516A0" w:rsidRDefault="00C516A0" w:rsidP="00C516A0">
      <w:pPr>
        <w:pStyle w:val="Bibliography"/>
      </w:pPr>
      <w:r>
        <w:t>Caldarola, B., Sorrell, S., 2022. Do Teleworkers Travel Less? Evidence from the English National Travel Survey. Transp. Res. Part Policy Pract. 159, 282–303. https://doi.org/10.1016/j.tra.2022.03.026</w:t>
      </w:r>
    </w:p>
    <w:p w14:paraId="148F91B0" w14:textId="77777777" w:rsidR="00C516A0" w:rsidRDefault="00C516A0" w:rsidP="00C516A0">
      <w:pPr>
        <w:pStyle w:val="Bibliography"/>
      </w:pPr>
      <w:r>
        <w:t>Carter, S., 2011. Housing Tenure Choice and the Dual Income Household. J. Hous. Econ. 20, 159–170. https://doi.org/10.1016/j.jhe.2011.06.002</w:t>
      </w:r>
    </w:p>
    <w:p w14:paraId="62D4BC24" w14:textId="77777777" w:rsidR="00C516A0" w:rsidRDefault="00C516A0" w:rsidP="00C516A0">
      <w:pPr>
        <w:pStyle w:val="Bibliography"/>
      </w:pPr>
      <w:r>
        <w:t>Cervantes, R.C., Koutantos, E., Cristo, M., Gonzalez-Guarda, R., Fuentes, D., Gutierrez, N., 2021. Optimism and the American Dream: Latino Perspectives on Opportunities and Challenges Toward Reaching Personal and Family Goals. Hisp. J. Behav. Sci. 43, 135–154.</w:t>
      </w:r>
    </w:p>
    <w:p w14:paraId="16429B8E" w14:textId="77777777" w:rsidR="00C516A0" w:rsidRDefault="00C516A0" w:rsidP="00C516A0">
      <w:pPr>
        <w:pStyle w:val="Bibliography"/>
      </w:pPr>
      <w:r>
        <w:t>Chakrabarti, S., 2018. Does Telecommuting Promote Sustainable Travel and Physical Activity? J. Transp. Health 9, 19–33. https://doi.org/10.1016/j.jth.2018.03.008</w:t>
      </w:r>
    </w:p>
    <w:p w14:paraId="14564E56" w14:textId="77777777" w:rsidR="00C516A0" w:rsidRDefault="00C516A0" w:rsidP="00C516A0">
      <w:pPr>
        <w:pStyle w:val="Bibliography"/>
      </w:pPr>
      <w:r>
        <w:t>Chambers, D., Gracia, P., 2021. A Sociology of Family Life: Change and Diversity in Intimate Relations. John Wiley &amp; Sons.</w:t>
      </w:r>
    </w:p>
    <w:p w14:paraId="4E07F21D" w14:textId="77777777" w:rsidR="00C516A0" w:rsidRDefault="00C516A0" w:rsidP="00C516A0">
      <w:pPr>
        <w:pStyle w:val="Bibliography"/>
      </w:pPr>
      <w:r>
        <w:t>Chankrajang, T., Muttarak, R., 2017. Green Returns to Education: Does Schooling Contribute to Pro-Environmental Behaviours? Evidence from Thailand. Ecol. Econ. 131, 434–448. https://doi.org/10.1016/j.ecolecon.2016.09.015</w:t>
      </w:r>
    </w:p>
    <w:p w14:paraId="21E01735" w14:textId="77777777" w:rsidR="00C516A0" w:rsidRDefault="00C516A0" w:rsidP="00C516A0">
      <w:pPr>
        <w:pStyle w:val="Bibliography"/>
      </w:pPr>
      <w:r>
        <w:t>Charron-Chénier, R., Fink, J.J., Keister, L.A., 2017. Race and Consumption: Black and White Disparities in Household Spending. Sociol. Race Ethn. 3, 50–67. https://doi.org/10.1177/2332649216647748</w:t>
      </w:r>
    </w:p>
    <w:p w14:paraId="2CE70979" w14:textId="77777777" w:rsidR="00C516A0" w:rsidRDefault="00C516A0" w:rsidP="00C516A0">
      <w:pPr>
        <w:pStyle w:val="Bibliography"/>
      </w:pPr>
      <w:r>
        <w:t>Chauhan, R.S., Bhagat-Conway, M.W., Capasso da Silva, D., Salon, D., Shamshiripour, A., Rahimi, E., Khoeini, S., Mohammadian, A. (Kouros), Derrible, S., Pendyala, R., 2021. A Database of Travel-Related Behaviors and Attitudes Before, During, and After COVID-19 in the United States. Sci. Data 8, 245. https://doi.org/10.1038/s41597-021-01020-8</w:t>
      </w:r>
    </w:p>
    <w:p w14:paraId="366329CB" w14:textId="77777777" w:rsidR="00C516A0" w:rsidRDefault="00C516A0" w:rsidP="00C516A0">
      <w:pPr>
        <w:pStyle w:val="Bibliography"/>
      </w:pPr>
      <w:r>
        <w:t>Chauhan, R.S., Bhagat-Conway, M.W., Magassy, T., Corcoran, N., Rahimi, E., Dirks, A., Pendyala, R., Mohammadian, A., Derrible, S., Salon, D., 2022. Covid Future Panel Survey: A Unique Public Dataset Documenting How U.S. Residents’ Travel Related Choices Changed During the COVID-19 Pandemic. https://doi.org/10.48550/arXiv.2208.12618</w:t>
      </w:r>
    </w:p>
    <w:p w14:paraId="15472B7D" w14:textId="77777777" w:rsidR="00C516A0" w:rsidRDefault="00C516A0" w:rsidP="00C516A0">
      <w:pPr>
        <w:pStyle w:val="Bibliography"/>
      </w:pPr>
      <w:r>
        <w:lastRenderedPageBreak/>
        <w:t>Chen, J., Chen, C., Timmermans, H.J.P., 2008. Accessibility Trade-Offs in Household Residential Location Decisions. Transp. Res. Rec. 2077, 71–79. https://doi.org/10.3141/2077-10</w:t>
      </w:r>
    </w:p>
    <w:p w14:paraId="665C0C9C" w14:textId="77777777" w:rsidR="00C516A0" w:rsidRDefault="00C516A0" w:rsidP="00C516A0">
      <w:pPr>
        <w:pStyle w:val="Bibliography"/>
      </w:pPr>
      <w:r>
        <w:t>Chen, R.B., Gehrke, S.R., Liu, J.H., Jang, Y., Clifton, K.J., 2013. Exploring Engagement in Household Activities and Decisions on Residential Tenure and Household Type. Transp. Res. Rec. 2344, 68–78. https://doi.org/10.3141/2344-08</w:t>
      </w:r>
    </w:p>
    <w:p w14:paraId="745CB155" w14:textId="77777777" w:rsidR="00C516A0" w:rsidRDefault="00C516A0" w:rsidP="00C516A0">
      <w:pPr>
        <w:pStyle w:val="Bibliography"/>
      </w:pPr>
      <w:r>
        <w:t>Chetty, R., Friedman, J.N., 2010. Does Local Tax Financing of Public Schools Perpetuate Inequality?, in: Proceedings, Annual Conference on Taxation. Presented at the Annual Meeting of the National Tax Association, National Tax Association, pp. 112–118.</w:t>
      </w:r>
    </w:p>
    <w:p w14:paraId="230C02F7" w14:textId="77777777" w:rsidR="00C516A0" w:rsidRDefault="00C516A0" w:rsidP="00C516A0">
      <w:pPr>
        <w:pStyle w:val="Bibliography"/>
      </w:pPr>
      <w:r>
        <w:t>Chevalier, M., Gutsatz, M., 2012. Luxury Retail Management: How the World’s Top Brands Provide Quality Product and Service Support. Wiley, Singapore.</w:t>
      </w:r>
    </w:p>
    <w:p w14:paraId="1EDA8597" w14:textId="77777777" w:rsidR="00C516A0" w:rsidRDefault="00C516A0" w:rsidP="00C516A0">
      <w:pPr>
        <w:pStyle w:val="Bibliography"/>
      </w:pPr>
      <w:r>
        <w:t>Cho, E.J., Rodriguez, D.A., Song, Y., 2008. The Role of Employment Subcenters in Residential Location Decisions. J. Transp. Land Use 1, 121–151.</w:t>
      </w:r>
    </w:p>
    <w:p w14:paraId="4043ACC0" w14:textId="77777777" w:rsidR="00C516A0" w:rsidRDefault="00C516A0" w:rsidP="00C516A0">
      <w:pPr>
        <w:pStyle w:val="Bibliography"/>
      </w:pPr>
      <w:r>
        <w:t>Clark, W.A.V., Wang, W.W., 2005. Job Access and Commute Penalties: Balancing Work and Residence in Los Angeles. Urban Geogr. 26, 610–626. https://doi.org/10.2747/0272-3638.26.7.610</w:t>
      </w:r>
    </w:p>
    <w:p w14:paraId="7F4712BE" w14:textId="77777777" w:rsidR="00C516A0" w:rsidRDefault="00C516A0" w:rsidP="00C516A0">
      <w:pPr>
        <w:pStyle w:val="Bibliography"/>
      </w:pPr>
      <w:r>
        <w:t>Cocheci, R.-M., Petrisor, A.-I., 2023. Assessing the Negative Effects of Suburbanization: The Urban Sprawl Restrictiveness Index in Romania’s Metropolitan Areas. Land 12, 966. https://doi.org/10.3390/land12050966</w:t>
      </w:r>
    </w:p>
    <w:p w14:paraId="64A710C9" w14:textId="77777777" w:rsidR="00C516A0" w:rsidRDefault="00C516A0" w:rsidP="00C516A0">
      <w:pPr>
        <w:pStyle w:val="Bibliography"/>
      </w:pPr>
      <w:r>
        <w:t>Cox, T., Hurtubia, R., 2021. Latent Segmentation of Urban Space Through Residential Location Choice. Netw. Spat. Econ. 21, 199–228. https://doi.org/10.1007/s11067-021-09520-1</w:t>
      </w:r>
    </w:p>
    <w:p w14:paraId="783BE255" w14:textId="77777777" w:rsidR="00C516A0" w:rsidRDefault="00C516A0" w:rsidP="00C516A0">
      <w:pPr>
        <w:pStyle w:val="Bibliography"/>
      </w:pPr>
      <w:r>
        <w:t>Cuddy, M., Krysan, M., Lewis, A., 2020. Choosing Homes Without Choosing Schools? How Urban Parents Navigate Decisions About Neighborhoods and School Choice. J. Urban Aff. 42, 1180–1201. https://doi.org/10.1080/07352166.2020.1739537</w:t>
      </w:r>
    </w:p>
    <w:p w14:paraId="2C66C5A0" w14:textId="77777777" w:rsidR="00C516A0" w:rsidRDefault="00C516A0" w:rsidP="00C516A0">
      <w:pPr>
        <w:pStyle w:val="Bibliography"/>
      </w:pPr>
      <w:r>
        <w:t>Davis-Kean, P.E., Tighe, L.A., Waters, N.E., 2021. The Role of Parent Educational Attainment in Parenting and Children’s Development. Curr. Dir. Psychol. Sci. 30, 186–192. https://doi.org/10.1177/0963721421993116</w:t>
      </w:r>
    </w:p>
    <w:p w14:paraId="7DB85095" w14:textId="77777777" w:rsidR="00C516A0" w:rsidRDefault="00C516A0" w:rsidP="00C516A0">
      <w:pPr>
        <w:pStyle w:val="Bibliography"/>
      </w:pPr>
      <w:r>
        <w:t>de Abreu e Silva, J., 2022. Residential Preferences, Telework Perceptions, and the Intention to Telework: Insights from the Lisbon Metropolitan Area During the COVID-19 Pandemic. Reg. Sci. Policy Pract. 14, 142–161. https://doi.org/10.1111/rsp3.12558</w:t>
      </w:r>
    </w:p>
    <w:p w14:paraId="22F84C95" w14:textId="77777777" w:rsidR="00C516A0" w:rsidRDefault="00C516A0" w:rsidP="00C516A0">
      <w:pPr>
        <w:pStyle w:val="Bibliography"/>
      </w:pPr>
      <w:r>
        <w:t>de Abreu e Silva, J., Melo, P.C., 2018. Home Telework, Travel Behavior, and Land-Use Patterns: A Path Analysis of British Single-Worker Households. J. Transp. Land Use 11. https://doi.org/10.5198/jtlu.2018.1134</w:t>
      </w:r>
    </w:p>
    <w:p w14:paraId="2A9EABB3" w14:textId="77777777" w:rsidR="00C516A0" w:rsidRDefault="00C516A0" w:rsidP="00C516A0">
      <w:pPr>
        <w:pStyle w:val="Bibliography"/>
      </w:pPr>
      <w:r>
        <w:t>de Palma, A., Picard, N., Waddell, P., 2007. Discrete Choice Models with Capacity Constraints: An Empirical Analysis of the Housing Market of the Greater Paris Region. J. Urban Econ. 62, 204–230. https://doi.org/10.1016/j.jue.2007.02.007</w:t>
      </w:r>
    </w:p>
    <w:p w14:paraId="242DB504" w14:textId="77777777" w:rsidR="00C516A0" w:rsidRDefault="00C516A0" w:rsidP="00C516A0">
      <w:pPr>
        <w:pStyle w:val="Bibliography"/>
      </w:pPr>
      <w:r>
        <w:t>de Vos, D., Meijers, E., van Ham, M., 2018. Working from Home and the Willingness to Accept a Longer Commute. Ann. Reg. Sci. 61, 375–398. https://doi.org/10.1007/s00168-018-0873-6</w:t>
      </w:r>
    </w:p>
    <w:p w14:paraId="08861CC5" w14:textId="77777777" w:rsidR="00C516A0" w:rsidRDefault="00C516A0" w:rsidP="00C516A0">
      <w:pPr>
        <w:pStyle w:val="Bibliography"/>
      </w:pPr>
      <w:r>
        <w:t>de Vos, D., van Ham, M., Meijers, E.J. (Evert), 2019. Working from Home and Commuting: Heterogeneity Over Time, Space, and Occupations. https://doi.org/10.2139/ssrn.3449572</w:t>
      </w:r>
    </w:p>
    <w:p w14:paraId="1C0A5B87" w14:textId="77777777" w:rsidR="00C516A0" w:rsidRDefault="00C516A0" w:rsidP="00C516A0">
      <w:pPr>
        <w:pStyle w:val="Bibliography"/>
      </w:pPr>
      <w:r>
        <w:t>DeLuca, S., Jang–Trettien, C., 2020. “Not Just a Lateral Move”: Residential Decisions and the Reproduction of Urban Inequality. City Community 19, 451–488. https://doi.org/10.1111/cico.12515</w:t>
      </w:r>
    </w:p>
    <w:p w14:paraId="54661917" w14:textId="77777777" w:rsidR="00C516A0" w:rsidRDefault="00C516A0" w:rsidP="00C516A0">
      <w:pPr>
        <w:pStyle w:val="Bibliography"/>
      </w:pPr>
      <w:r>
        <w:lastRenderedPageBreak/>
        <w:t>Deng, J., Walker, G.J., Swinnerton, G., 2006. A Comparison of Environmental Values and Attitudes Between Chinese in Canada and Anglo-Canadians. Environ. Behav. 38, 22–47. https://doi.org/10.1177/0013916505278458</w:t>
      </w:r>
    </w:p>
    <w:p w14:paraId="6BDD7965" w14:textId="77777777" w:rsidR="00C516A0" w:rsidRDefault="00C516A0" w:rsidP="00C516A0">
      <w:pPr>
        <w:pStyle w:val="Bibliography"/>
      </w:pPr>
      <w:r>
        <w:t>Desmond, M., 2016. Evicted: Poverty and Profit in the American City. Crown.</w:t>
      </w:r>
    </w:p>
    <w:p w14:paraId="2A870311" w14:textId="77777777" w:rsidR="00C516A0" w:rsidRDefault="00C516A0" w:rsidP="00C516A0">
      <w:pPr>
        <w:pStyle w:val="Bibliography"/>
      </w:pPr>
      <w:r>
        <w:t>Doling, J., Arundel, R., 2022. The Home as Workplace: A Challenge for Housing Research. Hous. Theory Soc. 39, 1–20. https://doi.org/10.1080/14036096.2020.1846611</w:t>
      </w:r>
    </w:p>
    <w:p w14:paraId="188D61E5" w14:textId="77777777" w:rsidR="00C516A0" w:rsidRDefault="00C516A0" w:rsidP="00C516A0">
      <w:pPr>
        <w:pStyle w:val="Bibliography"/>
      </w:pPr>
      <w:r>
        <w:t>Eliasson, J., 2010. The Influence of Accessibility on Residential Location, in: Pagliara, F., Preston, J., Simmonds, D. (Eds.), Residential Location Choice: Models and Applications, Advances in Spatial Science. Springer, Berlin, Heidelberg, pp. 137–164. https://doi.org/10.1007/978-3-642-12788-5_7</w:t>
      </w:r>
    </w:p>
    <w:p w14:paraId="02F142F2" w14:textId="77777777" w:rsidR="00C516A0" w:rsidRDefault="00C516A0" w:rsidP="00C516A0">
      <w:pPr>
        <w:pStyle w:val="Bibliography"/>
      </w:pPr>
      <w:r>
        <w:t>Ellickson, B., 1981. An Alternative Test of the Hedonic Theory of Housing Markets. J. Urban Econ. 9, 56–79. https://doi.org/10.1016/0094-1190(81)90048-6</w:t>
      </w:r>
    </w:p>
    <w:p w14:paraId="7CA1EC97" w14:textId="77777777" w:rsidR="00C516A0" w:rsidRDefault="00C516A0" w:rsidP="00C516A0">
      <w:pPr>
        <w:pStyle w:val="Bibliography"/>
      </w:pPr>
      <w:r>
        <w:t>Faber, J.W., 2020. We Built This: Consequences of New Deal Era Intervention in America’s Racial Geography. Am. Sociol. Rev. 85, 739–775.</w:t>
      </w:r>
    </w:p>
    <w:p w14:paraId="6AFE6347" w14:textId="77777777" w:rsidR="00C516A0" w:rsidRDefault="00C516A0" w:rsidP="00C516A0">
      <w:pPr>
        <w:pStyle w:val="Bibliography"/>
      </w:pPr>
      <w:r>
        <w:t>Fatmi, M.R., Chowdhury, S., Habib, M.A., 2017. Life History-Oriented Residential Location Choice Model: A Stress-Based Two-Tier Panel Modeling Approach. Transp. Res. Part Policy Pract. 104, 293–307. https://doi.org/10.1016/j.tra.2017.06.006</w:t>
      </w:r>
    </w:p>
    <w:p w14:paraId="3C338677" w14:textId="0897D59C" w:rsidR="00C516A0" w:rsidRDefault="00C516A0" w:rsidP="00C516A0">
      <w:pPr>
        <w:pStyle w:val="Bibliography"/>
      </w:pPr>
      <w:r>
        <w:t>Fatmi, M.R., Orvin, M.M., Thirkell, C.E., 2022. The Future of Telecommuting Post COVID-19 Pandemic. Transp. Res. Interdiscip. Perspect. 16</w:t>
      </w:r>
      <w:r w:rsidR="00165947">
        <w:t>, 100685</w:t>
      </w:r>
      <w:r>
        <w:t>. https://doi.org/10.1016/j.trip.2022.100685</w:t>
      </w:r>
    </w:p>
    <w:p w14:paraId="1FBA5DD2" w14:textId="0A91E2B2" w:rsidR="00C516A0" w:rsidRDefault="00C516A0" w:rsidP="00C516A0">
      <w:pPr>
        <w:pStyle w:val="Bibliography"/>
      </w:pPr>
      <w:r>
        <w:t>Find the Safest Areas [WWW Document], 2023. Crime Grade. URL https://crimegrade.org/ (accessed 3.27.23).</w:t>
      </w:r>
    </w:p>
    <w:p w14:paraId="4BAE0BEB" w14:textId="77777777" w:rsidR="00C516A0" w:rsidRDefault="00C516A0" w:rsidP="00C516A0">
      <w:pPr>
        <w:pStyle w:val="Bibliography"/>
      </w:pPr>
      <w:r>
        <w:t>Fleischer, F., 2007. “To Choose a House Means to Choose a Lifestyle.” The Consumption of Housing and Class-Structuration in Urban China. City Soc. 19, 287–311. https://doi.org/10.1525/city.2007.19.2.287</w:t>
      </w:r>
    </w:p>
    <w:p w14:paraId="6F0C0CE9" w14:textId="77777777" w:rsidR="00C516A0" w:rsidRDefault="00C516A0" w:rsidP="00C516A0">
      <w:pPr>
        <w:pStyle w:val="Bibliography"/>
      </w:pPr>
      <w:r>
        <w:t>Florida, R., Rodríguez-Pose, A., Storper, M., 2021. Cities in a Post-COVID World. Urban Stud. 00420980211018072. https://doi.org/10.1177/00420980211018072</w:t>
      </w:r>
    </w:p>
    <w:p w14:paraId="3C583EFB" w14:textId="77777777" w:rsidR="00C516A0" w:rsidRDefault="00C516A0" w:rsidP="00C516A0">
      <w:pPr>
        <w:pStyle w:val="Bibliography"/>
      </w:pPr>
      <w:r>
        <w:t>Franzen, A., Vogl, D., 2013. Two Decades of Measuring Environmental Attitudes: A Comparative Analysis of 33 Countries. Glob. Environ. Change 23, 1001–1008. https://doi.org/10.1016/j.gloenvcha.2013.03.009</w:t>
      </w:r>
    </w:p>
    <w:p w14:paraId="2074F23C" w14:textId="77777777" w:rsidR="00C516A0" w:rsidRDefault="00C516A0" w:rsidP="00C516A0">
      <w:pPr>
        <w:pStyle w:val="Bibliography"/>
      </w:pPr>
      <w:r>
        <w:t>Frenkel, A., Kaplan, S., 2015. The Joint Choice of Tenure, Dwelling Type, Size and Location: The Effect of Home-Oriented Versus Culture-Oriented Lifestyle. Lett. Spat. Resour. Sci. 8, 233–251. https://doi.org/10.1007/s12076-014-0131-1</w:t>
      </w:r>
    </w:p>
    <w:p w14:paraId="417DB37A" w14:textId="77777777" w:rsidR="00C516A0" w:rsidRDefault="00C516A0" w:rsidP="00C516A0">
      <w:pPr>
        <w:pStyle w:val="Bibliography"/>
      </w:pPr>
      <w:r>
        <w:t>Frost, R., 2023. Did More People Move During the Pandemic? Joint Center for Housing Studies of Harvard University.</w:t>
      </w:r>
    </w:p>
    <w:p w14:paraId="0E5B1455" w14:textId="77777777" w:rsidR="00C516A0" w:rsidRDefault="00C516A0" w:rsidP="00C516A0">
      <w:pPr>
        <w:pStyle w:val="Bibliography"/>
      </w:pPr>
      <w:r>
        <w:t>Frost, R., 2020. Are Americans Stuck in Place? Declining Residential Mobility in the US. https://www.jchs.harvard.edu/sites/default/files/research/files/harvard_jchs_pandemic_mobility_frost_2023.pdf.</w:t>
      </w:r>
    </w:p>
    <w:p w14:paraId="5727BF85" w14:textId="77777777" w:rsidR="00C516A0" w:rsidRDefault="00C516A0" w:rsidP="00C516A0">
      <w:pPr>
        <w:pStyle w:val="Bibliography"/>
      </w:pPr>
      <w:r>
        <w:t>Glass, J., Bengtson, V.L., Dunham, C.C., 1986. Attitude Similarity in Three-Generation Families: Socialization, Status Inheritance, or Reciprocal Influence? Am. Sociol. Rev. 51, 685–698. https://doi.org/10.2307/2095493</w:t>
      </w:r>
    </w:p>
    <w:p w14:paraId="2AEB2576" w14:textId="77777777" w:rsidR="00C516A0" w:rsidRDefault="00C516A0" w:rsidP="00C516A0">
      <w:pPr>
        <w:pStyle w:val="Bibliography"/>
      </w:pPr>
      <w:r>
        <w:t>Glick, J.E., Van Hook, J., 2002. Parents’ Coresidence With Adult Children: Can Immigration Explain Racial and Ethnic Variation? J. Marriage Fam. 64, 240–253. https://doi.org/10.1111/j.1741-3737.2002.00240.x</w:t>
      </w:r>
    </w:p>
    <w:p w14:paraId="1A08F909" w14:textId="32F4AF7B" w:rsidR="00C516A0" w:rsidRDefault="00C516A0" w:rsidP="00C516A0">
      <w:pPr>
        <w:pStyle w:val="Bibliography"/>
      </w:pPr>
      <w:r>
        <w:lastRenderedPageBreak/>
        <w:t>Gomaa, M.M., 2023. Macro-Level Factors Shaping Residential Location Choices: Examining the Impacts of Density and Land-Use Mix. Land 12</w:t>
      </w:r>
      <w:r w:rsidR="00165947">
        <w:t>(4)</w:t>
      </w:r>
      <w:r>
        <w:t>, 748. https://doi.org/10.3390/land12040748</w:t>
      </w:r>
    </w:p>
    <w:p w14:paraId="65468796" w14:textId="1DA6D23A" w:rsidR="00C516A0" w:rsidRDefault="00C516A0" w:rsidP="00C516A0">
      <w:pPr>
        <w:pStyle w:val="Bibliography"/>
      </w:pPr>
      <w:r>
        <w:t>Grębosz-Krawczyk, M., Zakrzewska-Bielawska, A., Glinka, B., Glińska-Neweś, A., 2021. Why Do Consumers Choose Photovoltaic Panels? Identification of the Factors Influencing Consumers’ Choice Behavior regarding Photovoltaic Panel Installations. Energies 14</w:t>
      </w:r>
      <w:r w:rsidR="00165947">
        <w:t>, 2674</w:t>
      </w:r>
      <w:r>
        <w:t>. https://doi.org/10.3390/en14092674</w:t>
      </w:r>
    </w:p>
    <w:p w14:paraId="5DCC83F8" w14:textId="77777777" w:rsidR="00C516A0" w:rsidRDefault="00C516A0" w:rsidP="00C516A0">
      <w:pPr>
        <w:pStyle w:val="Bibliography"/>
      </w:pPr>
      <w:r>
        <w:t>Greenwood, D.T., Holt, R.P.F., 2010. Growth, Inequality and Negative Trickle Down. J. Econ. Issues 44, 403–410. https://doi.org/10.2753/JEI0021-3624440212</w:t>
      </w:r>
    </w:p>
    <w:p w14:paraId="09EFB250" w14:textId="038A8F2C" w:rsidR="00C516A0" w:rsidRDefault="00C516A0" w:rsidP="00C516A0">
      <w:pPr>
        <w:pStyle w:val="Bibliography"/>
      </w:pPr>
      <w:r>
        <w:t>Guan, X., Wang, D., 2020. The Multiplicity of Self-Selection: What Do Travel Attitudes Influence First, Residential Location or Work Place? J. Transp. Geogr. 87</w:t>
      </w:r>
      <w:r w:rsidR="00165947">
        <w:t>, 102809</w:t>
      </w:r>
      <w:r>
        <w:t>. https://doi.org/10.1016/j.jtrangeo.2020.102809</w:t>
      </w:r>
    </w:p>
    <w:p w14:paraId="4B986C25" w14:textId="77777777" w:rsidR="00C516A0" w:rsidRDefault="00C516A0" w:rsidP="00C516A0">
      <w:pPr>
        <w:pStyle w:val="Bibliography"/>
      </w:pPr>
      <w:r>
        <w:t>Guevara, C.A., Ben-Akiva, M.E., 2013a. Sampling of Alternatives in Logit Mixture Models. Transp. Res. Part B Methodol. 58, 185–198. https://doi.org/10.1016/j.trb.2013.08.011</w:t>
      </w:r>
    </w:p>
    <w:p w14:paraId="3179B36A" w14:textId="77777777" w:rsidR="00C516A0" w:rsidRDefault="00C516A0" w:rsidP="00C516A0">
      <w:pPr>
        <w:pStyle w:val="Bibliography"/>
      </w:pPr>
      <w:r>
        <w:t>Guevara, C.A., Ben-Akiva, M.E., 2013b. Sampling of Alternatives in Multivariate Extreme Value (MEV) Models. Transp. Res. Part B Methodol. 48, 31–52. https://doi.org/10.1016/j.trb.2012.11.001</w:t>
      </w:r>
    </w:p>
    <w:p w14:paraId="24E4B989" w14:textId="77777777" w:rsidR="00C516A0" w:rsidRDefault="00C516A0" w:rsidP="00C516A0">
      <w:pPr>
        <w:pStyle w:val="Bibliography"/>
      </w:pPr>
      <w:r>
        <w:t>Gupta, A., Mittal, V., Peeters, J., Van Nieuwerburgh, S., 2022. Flattening the Curve: Pandemic-Induced Revaluation of Urban Real Estate. J. Financ. Econ. 146, 594–636. https://doi.org/10.1016/j.jfineco.2021.10.008</w:t>
      </w:r>
    </w:p>
    <w:p w14:paraId="75AE6FF1" w14:textId="77777777" w:rsidR="00C516A0" w:rsidRDefault="00C516A0" w:rsidP="00C516A0">
      <w:pPr>
        <w:pStyle w:val="Bibliography"/>
      </w:pPr>
      <w:r>
        <w:t>Habib, M.A., Miller, E.J., 2009. Reference-Dependent Residential Location Choice Model within a Relocation Context. Transp. Res. Rec. 2133, 92–99. https://doi.org/10.3141/2133-10</w:t>
      </w:r>
    </w:p>
    <w:p w14:paraId="40097314" w14:textId="77777777" w:rsidR="00C516A0" w:rsidRDefault="00C516A0" w:rsidP="00C516A0">
      <w:pPr>
        <w:pStyle w:val="Bibliography"/>
      </w:pPr>
      <w:r>
        <w:t>Habib, M.A., Miller, E.J., 2007. Modeling Residential and Spatial Search Behaviour: Evidence from the Greater Toronto Area. Presented at the Sixth Triennial Symposium on Transportation Analysis, Phuket Island, Thailand.</w:t>
      </w:r>
    </w:p>
    <w:p w14:paraId="459089ED" w14:textId="77777777" w:rsidR="00C516A0" w:rsidRDefault="00C516A0" w:rsidP="00C516A0">
      <w:pPr>
        <w:pStyle w:val="Bibliography"/>
      </w:pPr>
      <w:r>
        <w:t>Haque, M.B., Choudhury, C., Hess, S., 2019. Modelling Residential Location Choices with Implicit Availability of Alternatives. J. Transp. Land Use 12, 597–618.</w:t>
      </w:r>
    </w:p>
    <w:p w14:paraId="550823C3" w14:textId="77777777" w:rsidR="00C516A0" w:rsidRDefault="00C516A0" w:rsidP="00C516A0">
      <w:pPr>
        <w:pStyle w:val="Bibliography"/>
      </w:pPr>
      <w:r>
        <w:t>Hartono, D., Budiman, R.A., Hastuti, S.H., 2020. Housing Tenure Choice of Low-Income Household in Jabodetabek. Econ. Dev. Anal. J. 9, 76–86. https://doi.org/10.15294/edaj.v9i1.37503</w:t>
      </w:r>
    </w:p>
    <w:p w14:paraId="3450C170" w14:textId="77777777" w:rsidR="00C516A0" w:rsidRDefault="00C516A0" w:rsidP="00C516A0">
      <w:pPr>
        <w:pStyle w:val="Bibliography"/>
      </w:pPr>
      <w:r>
        <w:t>Hasan, S., Kumar, A., 2019. Digitization and Divergence: Online School Ratings and Segregation in America. https://doi.org/10.2139/ssrn.3265316</w:t>
      </w:r>
    </w:p>
    <w:p w14:paraId="1919B81C" w14:textId="77777777" w:rsidR="00C516A0" w:rsidRDefault="00C516A0" w:rsidP="00C516A0">
      <w:pPr>
        <w:pStyle w:val="Bibliography"/>
      </w:pPr>
      <w:r>
        <w:t>He, S.Y., Hu, L., 2015. Telecommuting, Income, and Out-of-Home Activities. Travel Behav. Soc. 2, 131–147. https://doi.org/10.1016/j.tbs.2014.12.003</w:t>
      </w:r>
    </w:p>
    <w:p w14:paraId="0AB8DC86" w14:textId="77777777" w:rsidR="00C516A0" w:rsidRDefault="00C516A0" w:rsidP="00C516A0">
      <w:pPr>
        <w:pStyle w:val="Bibliography"/>
      </w:pPr>
      <w:r>
        <w:t>Heinen, E., Bohte, W., 2014. Multimodal Commuting to Work by Public Transport and Bicycle: Attitudes Toward Mode Choice. Transp. Res. Rec. 2468, 111–122.</w:t>
      </w:r>
    </w:p>
    <w:p w14:paraId="70F0A5B1" w14:textId="77777777" w:rsidR="00C516A0" w:rsidRDefault="00C516A0" w:rsidP="00C516A0">
      <w:pPr>
        <w:pStyle w:val="Bibliography"/>
      </w:pPr>
      <w:r>
        <w:t>Heldt, B., Donoso, P., Bahamonde-Birke, F., Heinrichs, D., 2018. Estimating Bid-Auction Models of Residential Location Using Census Data with Imputed Household Income. J. Transp. Land Use 11, 1101–1123.</w:t>
      </w:r>
    </w:p>
    <w:p w14:paraId="5B116D29" w14:textId="77777777" w:rsidR="00C516A0" w:rsidRDefault="00C516A0" w:rsidP="00C516A0">
      <w:pPr>
        <w:pStyle w:val="Bibliography"/>
      </w:pPr>
      <w:r>
        <w:t>Hipp, J.R., Boessen, A., 2017. The Shape of Mobility: Measuring the Distance Decay Function of Household Mobility. Prof. Geogr. 69, 32–44. https://doi.org/10.1080/00330124.2016.1157495</w:t>
      </w:r>
    </w:p>
    <w:p w14:paraId="4695B375" w14:textId="77777777" w:rsidR="00C516A0" w:rsidRDefault="00C516A0" w:rsidP="00C516A0">
      <w:pPr>
        <w:pStyle w:val="Bibliography"/>
      </w:pPr>
      <w:r>
        <w:t>Ho, C., Mulley, C., 2015. Intra-Household Interactions in Transport Research: A Review. Transp. Rev. 35, 33–55. https://doi.org/10.1080/01441647.2014.993745</w:t>
      </w:r>
    </w:p>
    <w:p w14:paraId="7812691D" w14:textId="77777777" w:rsidR="00C516A0" w:rsidRDefault="00C516A0" w:rsidP="00C516A0">
      <w:pPr>
        <w:pStyle w:val="Bibliography"/>
      </w:pPr>
      <w:r>
        <w:lastRenderedPageBreak/>
        <w:t>Hu, L., Wang, L., 2019. Housing Location Choices of the Poor: Does Access to Jobs Matter? Hous. Stud. 34, 1721–1745. https://doi.org/10.1080/02673037.2017.1364354</w:t>
      </w:r>
    </w:p>
    <w:p w14:paraId="75578707" w14:textId="77777777" w:rsidR="00C516A0" w:rsidRDefault="00C516A0" w:rsidP="00C516A0">
      <w:pPr>
        <w:pStyle w:val="Bibliography"/>
      </w:pPr>
      <w:r>
        <w:t>Huai, Y., Lo, H.K., Ng, K.F., 2021. Monocentric Versus Polycentric Urban Structure: Case Study in Hong Kong. Transp. Res. Part Policy Pract. 151, 99–118. https://doi.org/10.1016/j.tra.2021.05.004</w:t>
      </w:r>
    </w:p>
    <w:p w14:paraId="39E3FD5F" w14:textId="77777777" w:rsidR="00C516A0" w:rsidRDefault="00C516A0" w:rsidP="00C516A0">
      <w:pPr>
        <w:pStyle w:val="Bibliography"/>
      </w:pPr>
      <w:r>
        <w:t>Huang, N., Li, J., Ross, A., 2018. The Impact of the Cost of Car Ownership on the House Price Gradient in Singapore. Reg. Sci. Urban Econ. 68, 160–171. https://doi.org/10.1016/j.regsciurbeco.2017.10.009</w:t>
      </w:r>
    </w:p>
    <w:p w14:paraId="7A7BF9A7" w14:textId="78971C0C" w:rsidR="00C516A0" w:rsidRDefault="00C516A0" w:rsidP="00C516A0">
      <w:pPr>
        <w:pStyle w:val="Bibliography"/>
      </w:pPr>
      <w:r>
        <w:t>Huang, N., Pang, J., Yang, Y., 2023. COVID-19 and Household Preference for Urban Density in China. J. Urban Econ. 133</w:t>
      </w:r>
      <w:r w:rsidR="00165947">
        <w:t>, 103487</w:t>
      </w:r>
      <w:r>
        <w:t>. https://doi.org/10.1016/j.jue.2022.103487</w:t>
      </w:r>
    </w:p>
    <w:p w14:paraId="01257B33" w14:textId="77777777" w:rsidR="00C516A0" w:rsidRDefault="00C516A0" w:rsidP="00C516A0">
      <w:pPr>
        <w:pStyle w:val="Bibliography"/>
      </w:pPr>
      <w:r>
        <w:t>Husic, M., Cicic, M., 2009. Luxury Consumption Factors. J. Fash. Mark. Manag. Int. J. 13, 231–245. https://doi.org/10.1108/13612020910957734</w:t>
      </w:r>
    </w:p>
    <w:p w14:paraId="15F40D00" w14:textId="77777777" w:rsidR="00C516A0" w:rsidRDefault="00C516A0" w:rsidP="00C516A0">
      <w:pPr>
        <w:pStyle w:val="Bibliography"/>
      </w:pPr>
      <w:r>
        <w:t>Jaikumar, S., Sharma, Y., 2021. Consuming Beyond Means: Debt Trap of Conspicuous Consumption in an Emerging Economy. J. Mark. Theory Pract. 29, 233–249. https://doi.org/10.1080/10696679.2020.1816476</w:t>
      </w:r>
    </w:p>
    <w:p w14:paraId="4EA378B1" w14:textId="77777777" w:rsidR="00C516A0" w:rsidRDefault="00C516A0" w:rsidP="00C516A0">
      <w:pPr>
        <w:pStyle w:val="Bibliography"/>
      </w:pPr>
      <w:r>
        <w:t>Janke, J., 2021. Re-Visiting Residential Self-Selection and Dissonance: Does Intra-Household Decision-Making Change the Results? Transp. Res. Part Policy Pract. 148, 379–401. https://doi.org/10.1016/j.tra.2021.03.018</w:t>
      </w:r>
    </w:p>
    <w:p w14:paraId="7059EC69" w14:textId="77777777" w:rsidR="00C516A0" w:rsidRDefault="00C516A0" w:rsidP="00C516A0">
      <w:pPr>
        <w:pStyle w:val="Bibliography"/>
      </w:pPr>
      <w:r>
        <w:t>Jansen, S.J.T., 2012. What Is the Worth of Values in Guiding Residential Preferences and Choices? J. Hous. Built Environ. 27, 273–300. https://doi.org/10.1007/s10901-012-9270-0</w:t>
      </w:r>
    </w:p>
    <w:p w14:paraId="44CF7307" w14:textId="77777777" w:rsidR="00C516A0" w:rsidRDefault="00C516A0" w:rsidP="00C516A0">
      <w:pPr>
        <w:pStyle w:val="Bibliography"/>
      </w:pPr>
      <w:r>
        <w:t>Jin, J., Lee, H.-Y., 2018. Understanding Residential Location Choices: An Application of the UrbanSim Residential Location Model on Suwon, Korea. Int. J. Urban Sci. 22, 216–235. https://doi.org/10.1080/12265934.2017.1336469</w:t>
      </w:r>
    </w:p>
    <w:p w14:paraId="657CA92F" w14:textId="1D76DB7B" w:rsidR="00C516A0" w:rsidRDefault="00C516A0" w:rsidP="00C516A0">
      <w:pPr>
        <w:pStyle w:val="Bibliography"/>
      </w:pPr>
      <w:r>
        <w:t>Jun, M.-J., 2020. The Effects of Polycentric Evolution on Commute Times in a Polycentric Compact City: A Case of the Seoul Metropolitan Area. Cities 98</w:t>
      </w:r>
      <w:r w:rsidR="00165947">
        <w:t>, 102587</w:t>
      </w:r>
      <w:r>
        <w:t>. https://doi.org/10.1016/j.cities.2019.102587</w:t>
      </w:r>
    </w:p>
    <w:p w14:paraId="7A736183" w14:textId="77777777" w:rsidR="00C516A0" w:rsidRDefault="00C516A0" w:rsidP="00C516A0">
      <w:pPr>
        <w:pStyle w:val="Bibliography"/>
      </w:pPr>
      <w:r>
        <w:t>Kang, S., 2016. Inequality and Crime Revisited: Effects of Local Inequality and Economic Segregation on Crime. J. Popul. Econ. 29, 593–626. https://doi.org/10.1007/s00148-015-0579-3</w:t>
      </w:r>
    </w:p>
    <w:p w14:paraId="3770DEF1" w14:textId="77777777" w:rsidR="00C516A0" w:rsidRDefault="00C516A0" w:rsidP="00C516A0">
      <w:pPr>
        <w:pStyle w:val="Bibliography"/>
      </w:pPr>
      <w:r>
        <w:t>Kaplan, S., Bekhor, S., Shiftan, Y., 2011. Development and Estimation of a Semi-Compensatory Residential Choice Model Based on Explicit Choice Protocols. Ann. Reg. Sci. 47, 51–80. https://doi.org/10.1007/s00168-009-0350-3</w:t>
      </w:r>
    </w:p>
    <w:p w14:paraId="0025A33D" w14:textId="77777777" w:rsidR="00C516A0" w:rsidRDefault="00C516A0" w:rsidP="00C516A0">
      <w:pPr>
        <w:pStyle w:val="Bibliography"/>
      </w:pPr>
      <w:r>
        <w:t>Kim, S., 2011. Intra-Regional Residential Movement of the Elderly: Testing a Suburban-to-Urban Migration Hypothesis. Ann. Reg. Sci. 46, 1–17. https://doi.org/10.1007/s00168-009-0325-4</w:t>
      </w:r>
    </w:p>
    <w:p w14:paraId="3EF40CEA" w14:textId="717FE9E1" w:rsidR="00C516A0" w:rsidRDefault="00C516A0" w:rsidP="00C516A0">
      <w:pPr>
        <w:pStyle w:val="Bibliography"/>
      </w:pPr>
      <w:r>
        <w:t>Kim, S.H., Mokhtarian, P.L., Circella, G., 2020. Will Autonomous Vehicles Change Residential Location and Vehicle Ownership? Glimpses from Georgia. Transp. Res. Part Transp. Environ. 82</w:t>
      </w:r>
      <w:r w:rsidR="00165947">
        <w:t>, 102291</w:t>
      </w:r>
      <w:r>
        <w:t>. https://doi.org/10.1016/j.trd.2020.102291</w:t>
      </w:r>
    </w:p>
    <w:p w14:paraId="33A037DD" w14:textId="3861333E" w:rsidR="00C516A0" w:rsidRDefault="00C516A0" w:rsidP="00C516A0">
      <w:pPr>
        <w:pStyle w:val="Bibliography"/>
      </w:pPr>
      <w:r>
        <w:t>Kocur-Bera, K., 2022. Impact of the COVID-19 Pandemic Era on Residential Property Features: Pilot Studies in Poland. Int. J. Environ. Res. Public. Health 19</w:t>
      </w:r>
      <w:r w:rsidR="00165947">
        <w:t>, 5665</w:t>
      </w:r>
      <w:r>
        <w:t>. https://doi.org/10.3390/ijerph19095665</w:t>
      </w:r>
    </w:p>
    <w:p w14:paraId="248BECC2" w14:textId="77777777" w:rsidR="00C516A0" w:rsidRDefault="00C516A0" w:rsidP="00C516A0">
      <w:pPr>
        <w:pStyle w:val="Bibliography"/>
      </w:pPr>
      <w:r>
        <w:t>Lee, B.H.Y., Waddell, P., 2010. Residential Mobility and Location Choice: A Nested Logit Model with Sampling of Alternatives. Transportation 37, 587–601. https://doi.org/10.1007/s11116-010-9270-4</w:t>
      </w:r>
    </w:p>
    <w:p w14:paraId="27068F4B" w14:textId="77777777" w:rsidR="00C516A0" w:rsidRDefault="00C516A0" w:rsidP="00C516A0">
      <w:pPr>
        <w:pStyle w:val="Bibliography"/>
      </w:pPr>
      <w:r>
        <w:lastRenderedPageBreak/>
        <w:t>Lee, B.H.Y., Waddell, P., Wang, L., Pendyala, R.M., 2010. Reexamining the Influence of Work and Nonwork Accessibility on Residential Location Choices with a Microanalytic Framework. Environ. Plan. Econ. Space 42, 913–930. https://doi.org/10.1068/a4291</w:t>
      </w:r>
    </w:p>
    <w:p w14:paraId="41B3E84B" w14:textId="77777777" w:rsidR="00C516A0" w:rsidRDefault="00C516A0" w:rsidP="00C516A0">
      <w:pPr>
        <w:pStyle w:val="Bibliography"/>
      </w:pPr>
      <w:r>
        <w:t>Lee, Y., Circella, G., Mokhtarian, P.L., Guhathakurta, S., 2019. Heterogeneous Residential Preferences Among Millennials and Members of Generation X in California: A Latent-Class Approach. Transp. Res. Part Transp. Environ. 76, 289–304. https://doi.org/10.1016/j.trd.2019.08.001</w:t>
      </w:r>
    </w:p>
    <w:p w14:paraId="2DE359FE" w14:textId="77777777" w:rsidR="00C516A0" w:rsidRDefault="00C516A0" w:rsidP="00C516A0">
      <w:pPr>
        <w:pStyle w:val="Bibliography"/>
      </w:pPr>
      <w:r>
        <w:t>Lennox, J., 2020. More Working From Home Will Change the Shape and Size of Cities.</w:t>
      </w:r>
    </w:p>
    <w:p w14:paraId="06002976" w14:textId="77777777" w:rsidR="00C516A0" w:rsidRDefault="00C516A0" w:rsidP="00C516A0">
      <w:pPr>
        <w:pStyle w:val="Bibliography"/>
      </w:pPr>
      <w:r>
        <w:t>Lerman, S.R., 1976. Location, Housing, Automobile Ownership, and Mode to Work: A Joint Choice Model. Transp. Res. Rec. 610, 6–11.</w:t>
      </w:r>
    </w:p>
    <w:p w14:paraId="4F435295" w14:textId="77777777" w:rsidR="00C516A0" w:rsidRDefault="00C516A0" w:rsidP="00C516A0">
      <w:pPr>
        <w:pStyle w:val="Bibliography"/>
      </w:pPr>
      <w:r>
        <w:t>Li, H., Wei, Y.D., Wu, Y., Tian, G., 2019. Analyzing Housing Prices in Shanghai with Open Data: Amenity, Accessibility and Urban Structure. Cities 91, 165–179. https://doi.org/10.1016/j.cities.2018.11.016</w:t>
      </w:r>
    </w:p>
    <w:p w14:paraId="64C3F93D" w14:textId="44A93CFA" w:rsidR="00C516A0" w:rsidRDefault="00C516A0" w:rsidP="00C516A0">
      <w:pPr>
        <w:pStyle w:val="Bibliography"/>
      </w:pPr>
      <w:r>
        <w:t>Li, L., Wan, W.X., He, S., 2021. The Heightened ‘Security Zone’ Function of Gated Communities during the COVID-19 Pandemic and the Changing Housing Market Dynamic: Evidence from Beijing, China. Land 10</w:t>
      </w:r>
      <w:r w:rsidR="00165947">
        <w:t>, 983</w:t>
      </w:r>
      <w:r>
        <w:t>. https://doi.org/10.3390/land10090983</w:t>
      </w:r>
    </w:p>
    <w:p w14:paraId="4D3D9491" w14:textId="77777777" w:rsidR="00C516A0" w:rsidRDefault="00C516A0" w:rsidP="00C516A0">
      <w:pPr>
        <w:pStyle w:val="Bibliography"/>
      </w:pPr>
      <w:r>
        <w:t>Liang, J., Miwa, T., Wang, J., Morikawa, T., 2023. Impact of telecommuting on Japanese Citizen’s travel, activities, and residential locations: Experiences and future expectations under COVID-19 pandemic. Asian Transp. Stud. 9, 100105. https://doi.org/10.1016/j.eastsj.2023.100105</w:t>
      </w:r>
    </w:p>
    <w:p w14:paraId="4E795EBC" w14:textId="4CC5CE71" w:rsidR="00C516A0" w:rsidRDefault="00C516A0" w:rsidP="00C516A0">
      <w:pPr>
        <w:pStyle w:val="Bibliography"/>
      </w:pPr>
      <w:r>
        <w:t>Liu, P., Teng, M., Han, C., 2020. How Does Environmental Knowledge Translate into Pro-Environmental Behaviors?: The Mediating Role of Environmental Attitudes and Behavioral Intentions. Sci. Total Environ. 728</w:t>
      </w:r>
      <w:r w:rsidR="00165947">
        <w:t>, 138126</w:t>
      </w:r>
      <w:r>
        <w:t>. https://doi.org/10.1016/j.scitotenv.2020.138126</w:t>
      </w:r>
    </w:p>
    <w:p w14:paraId="213426E5" w14:textId="57BC3A80" w:rsidR="00C516A0" w:rsidRDefault="00C516A0" w:rsidP="00C516A0">
      <w:pPr>
        <w:pStyle w:val="Bibliography"/>
      </w:pPr>
      <w:r>
        <w:t>Liu, S., Su, Y., 2021. The Impact of the COVID-19 Pandemic on the Demand for Density: Evidence from the U.S. Housing Market. Econ. Lett. 207</w:t>
      </w:r>
      <w:r w:rsidR="00165947">
        <w:t>, 110010</w:t>
      </w:r>
      <w:r>
        <w:t>. https://doi.org/10.1016/j.econlet.2021.110010</w:t>
      </w:r>
    </w:p>
    <w:p w14:paraId="68C4D570" w14:textId="77777777" w:rsidR="00C516A0" w:rsidRDefault="00C516A0" w:rsidP="00C516A0">
      <w:pPr>
        <w:pStyle w:val="Bibliography"/>
      </w:pPr>
      <w:r>
        <w:t>Lopez, E., Greenlee, A., 2016. An Ex-Ante Analysis of Housing Location Choices Due to Housing Displacement: The Case of Bristol Place. Appl. Geogr. 75, 156–175. https://doi.org/10.1016/j.apgeog.2016.08.013</w:t>
      </w:r>
    </w:p>
    <w:p w14:paraId="623D1702" w14:textId="77777777" w:rsidR="00C516A0" w:rsidRDefault="00C516A0" w:rsidP="00C516A0">
      <w:pPr>
        <w:pStyle w:val="Bibliography"/>
      </w:pPr>
      <w:r>
        <w:t>Maddala, G.S., 1983. Limited-Dependent and Qualitative Variables in Econometrics. Cambridge University Press.</w:t>
      </w:r>
    </w:p>
    <w:p w14:paraId="5CA88217" w14:textId="77777777" w:rsidR="00C516A0" w:rsidRDefault="00C516A0" w:rsidP="00C516A0">
      <w:pPr>
        <w:pStyle w:val="Bibliography"/>
      </w:pPr>
      <w:r>
        <w:t>Manoj, M., Verma, A., Navyatha, M., 2015. Commute Travel and Its Effect on Housing Tenure Choice of Males and Females Living in the Urban and Rural Areas of Bangalore City in India. J. Transp. Geogr. 45, 62–69. https://doi.org/10.1016/j.jtrangeo.2015.05.001</w:t>
      </w:r>
    </w:p>
    <w:p w14:paraId="47938871" w14:textId="77777777" w:rsidR="00C516A0" w:rsidRDefault="00C516A0" w:rsidP="00C516A0">
      <w:pPr>
        <w:pStyle w:val="Bibliography"/>
      </w:pPr>
      <w:r>
        <w:t>Marois, G., Lord, S., Morency, C., 2019. A Mixed Logit Model Analysis of Residential Choices of the Young-Elderly in the Montreal Metropolitan Area. J. Hous. Econ. 44, 141–149. https://doi.org/10.1016/j.jhe.2018.08.004</w:t>
      </w:r>
    </w:p>
    <w:p w14:paraId="01E639F6" w14:textId="33848B44" w:rsidR="00C516A0" w:rsidRDefault="00C516A0" w:rsidP="00C516A0">
      <w:pPr>
        <w:pStyle w:val="Bibliography"/>
      </w:pPr>
      <w:r>
        <w:t>Maslova, S., King, R., 2020. Residential Trajectories of High-Skilled Transnational Migrants in a Global City: Exploring the Housing Choices of Russian and Italian Professionals in London. Cities 96</w:t>
      </w:r>
      <w:r w:rsidR="00EF1B95">
        <w:t>, 102421</w:t>
      </w:r>
      <w:r>
        <w:t>. https://doi.org/10.1016/j.cities.2019.102421</w:t>
      </w:r>
    </w:p>
    <w:p w14:paraId="784A3CD9" w14:textId="77777777" w:rsidR="00C516A0" w:rsidRDefault="00C516A0" w:rsidP="00C516A0">
      <w:pPr>
        <w:pStyle w:val="Bibliography"/>
      </w:pPr>
      <w:r>
        <w:t>Maslow, A.H., 1943. A Theory of Human Motivation. Psychol. Rev. 50, 370–396. https://doi.org/10.1037/h0054346</w:t>
      </w:r>
    </w:p>
    <w:p w14:paraId="530D50A9" w14:textId="77777777" w:rsidR="00C516A0" w:rsidRDefault="00C516A0" w:rsidP="00C516A0">
      <w:pPr>
        <w:pStyle w:val="Bibliography"/>
      </w:pPr>
      <w:r>
        <w:lastRenderedPageBreak/>
        <w:t>McCord, M., Lo, D., McCord, J., Davis, P., Haran, M., Turley, P., 2022. The Impact of COVID-19 on House Prices in Northern Ireland: Price Persistence, yet Divergent? J. Prop. Res. 39, 237–267. https://doi.org/10.1080/09599916.2021.2023610</w:t>
      </w:r>
    </w:p>
    <w:p w14:paraId="40DC4FAB" w14:textId="77777777" w:rsidR="00C516A0" w:rsidRDefault="00C516A0" w:rsidP="00C516A0">
      <w:pPr>
        <w:pStyle w:val="Bibliography"/>
      </w:pPr>
      <w:r>
        <w:t>McFadden, D., 1978. Modelling the Choice of Residential Location. Inst. Transp. Stud. Univ. Calif. 72–77.</w:t>
      </w:r>
    </w:p>
    <w:p w14:paraId="5EE918A7" w14:textId="77777777" w:rsidR="00C516A0" w:rsidRDefault="00C516A0" w:rsidP="00C516A0">
      <w:pPr>
        <w:pStyle w:val="Bibliography"/>
      </w:pPr>
      <w:r>
        <w:t>McKinsey, 2022. American Opportunity Survey.</w:t>
      </w:r>
    </w:p>
    <w:p w14:paraId="2F63AE16" w14:textId="77777777" w:rsidR="00C516A0" w:rsidRDefault="00C516A0" w:rsidP="00C516A0">
      <w:pPr>
        <w:pStyle w:val="Bibliography"/>
      </w:pPr>
      <w:r>
        <w:t>Mehta, V., 2020. The New Proxemics: COVID-19, Social Distancing, and Sociable Space. J. Urban Des. 25, 669–674. https://doi.org/10.1080/13574809.2020.1785283</w:t>
      </w:r>
    </w:p>
    <w:p w14:paraId="1E1A5FA8" w14:textId="77777777" w:rsidR="00C516A0" w:rsidRDefault="00C516A0" w:rsidP="00C516A0">
      <w:pPr>
        <w:pStyle w:val="Bibliography"/>
      </w:pPr>
      <w:r>
        <w:t>Melo, P.C., de Abreu e Silva, J., 2017. Home Telework and Household Commuting Patterns in Great Britain. Transp. Res. Part Policy Pract. 103, 1–24. https://doi.org/10.1016/j.tra.2017.05.011</w:t>
      </w:r>
    </w:p>
    <w:p w14:paraId="74D46574" w14:textId="77777777" w:rsidR="00C516A0" w:rsidRDefault="00C516A0" w:rsidP="00C516A0">
      <w:pPr>
        <w:pStyle w:val="Bibliography"/>
      </w:pPr>
      <w:r>
        <w:t>Memushi, A., 2014. Conspicuous Consumption and Albanians: Determinant Factors. South-East. Eur. J. Econ. 12.</w:t>
      </w:r>
    </w:p>
    <w:p w14:paraId="1345008A" w14:textId="77777777" w:rsidR="00C516A0" w:rsidRDefault="00C516A0" w:rsidP="00C516A0">
      <w:pPr>
        <w:pStyle w:val="Bibliography"/>
      </w:pPr>
      <w:r>
        <w:t>Mokhtarian, P.L., 1991. Telecommuting and Travel: State of the Practice, State of the Art. Transportation 18, 319–342. https://doi.org/10.1007/BF00186563</w:t>
      </w:r>
    </w:p>
    <w:p w14:paraId="5932691A" w14:textId="77777777" w:rsidR="00C516A0" w:rsidRDefault="00C516A0" w:rsidP="00C516A0">
      <w:pPr>
        <w:pStyle w:val="Bibliography"/>
      </w:pPr>
      <w:r>
        <w:t>Mondal, A., Bhat, C.R., 2023. Investigating Residential Built Environment Effects on Rank-Based Modal Preferences and Auto-Ownership. Transp. Res. Rec. 2677, 777–796. https://doi.org/10.1177/03611981231163861</w:t>
      </w:r>
    </w:p>
    <w:p w14:paraId="7DF6E268" w14:textId="54B245C4" w:rsidR="00C516A0" w:rsidRDefault="00C516A0" w:rsidP="00C516A0">
      <w:pPr>
        <w:pStyle w:val="Bibliography"/>
      </w:pPr>
      <w:r>
        <w:t>Navas-Martín, M.Á., Oteiza, I., Cuerdo-Vilches, T., 2022. Dwelling in Times of COVID-19: An Analysis on Habitability and Environmental Factors of Spanish Housing. J. Build. Eng. 60</w:t>
      </w:r>
      <w:r w:rsidR="00EF1B95">
        <w:t>, 105012</w:t>
      </w:r>
      <w:r>
        <w:t>. https://doi.org/10.1016/j.jobe.2022.105012</w:t>
      </w:r>
    </w:p>
    <w:p w14:paraId="0358B96E" w14:textId="77777777" w:rsidR="00C516A0" w:rsidRDefault="00C516A0" w:rsidP="00C516A0">
      <w:pPr>
        <w:pStyle w:val="Bibliography"/>
      </w:pPr>
      <w:r>
        <w:t>Nilles, J.M., 1991. Telecommuting and Urban Sprawl: Mitigator or Inciter? Transportation 18, 411–432. https://doi.org/10.1007/BF00186567</w:t>
      </w:r>
    </w:p>
    <w:p w14:paraId="7DCE57FF" w14:textId="77777777" w:rsidR="00C516A0" w:rsidRDefault="00C516A0" w:rsidP="00C516A0">
      <w:pPr>
        <w:pStyle w:val="Bibliography"/>
      </w:pPr>
      <w:r>
        <w:t>Oliver, M.L., Shapiro, T.M., 1997. Black Wealth/White Wealth: A New Perspective on Racial Inequality. Psychology Press.</w:t>
      </w:r>
    </w:p>
    <w:p w14:paraId="7012C3D3" w14:textId="77777777" w:rsidR="00C516A0" w:rsidRDefault="00C516A0" w:rsidP="00C516A0">
      <w:pPr>
        <w:pStyle w:val="Bibliography"/>
      </w:pPr>
      <w:r>
        <w:t>Openshaw, S., 1978. An Empirical Study of Some Zone-Design Criteria. Environ. Plan. Econ. Space 10, 781–794.</w:t>
      </w:r>
    </w:p>
    <w:p w14:paraId="1AEF6EF7" w14:textId="77777777" w:rsidR="00C516A0" w:rsidRDefault="00C516A0" w:rsidP="00C516A0">
      <w:pPr>
        <w:pStyle w:val="Bibliography"/>
      </w:pPr>
      <w:r>
        <w:t>Pagliara, F., Wilson, A., 2010. The State-of-the-Art in Building Residential Location Models, in: Pagliara, F., Preston, J., Simmonds, D. (Eds.), Residential Location Choice: Models and Applications, Advances in Spatial Science. Springer, Berlin, Heidelberg, pp. 1–20. https://doi.org/10.1007/978-3-642-12788-5_1</w:t>
      </w:r>
    </w:p>
    <w:p w14:paraId="6E80B033" w14:textId="77777777" w:rsidR="00C516A0" w:rsidRDefault="00C516A0" w:rsidP="00C516A0">
      <w:pPr>
        <w:pStyle w:val="Bibliography"/>
      </w:pPr>
      <w:r>
        <w:t>Paleti, R., Bhat, C.R., Pendyala, R.M., 2013. Integrated Model of Residential Location, Work Location, Vehicle Ownership, and Commute Tour Characteristics. Transp. Res. Rec. 2382, 162–172. https://doi.org/10.3141/2382-18</w:t>
      </w:r>
    </w:p>
    <w:p w14:paraId="59F496C0" w14:textId="77777777" w:rsidR="00C516A0" w:rsidRDefault="00C516A0" w:rsidP="00C516A0">
      <w:pPr>
        <w:pStyle w:val="Bibliography"/>
      </w:pPr>
      <w:r>
        <w:t>Picard, N., de Palma, A., Inoa, I.A., 2015. Intra-household Decision Models of Residential and Job Location, in: Bierlaire, M., de Palma, A., Hurtubia, R., Waddell, P. (Eds.), Integrated Transport and Land Use Modeling for Sustainable Cities. EPFL Press.</w:t>
      </w:r>
    </w:p>
    <w:p w14:paraId="17483844" w14:textId="77777777" w:rsidR="00C516A0" w:rsidRDefault="00C516A0" w:rsidP="00C516A0">
      <w:pPr>
        <w:pStyle w:val="Bibliography"/>
      </w:pPr>
      <w:r>
        <w:t>Pinjari, A.R., Pendyala, R.M., Bhat, C.R., Waddell, P.A., 2011. Modeling the Choice Continuum: An Integrated Model of Residential Location, Auto Ownership, Bicycle Ownership, and Commute Tour Mode Choice Decisions. Transportation 38, 933–958. https://doi.org/10.1007/s11116-011-9360-y</w:t>
      </w:r>
    </w:p>
    <w:p w14:paraId="48A34D7D" w14:textId="77777777" w:rsidR="00C516A0" w:rsidRDefault="00C516A0" w:rsidP="00C516A0">
      <w:pPr>
        <w:pStyle w:val="Bibliography"/>
      </w:pPr>
      <w:r>
        <w:t>Puppateravanit, C., Sano, K., Hatoyama, K., 2022. Attitude-Based Segmentation of Residential Self-Selection and Travel Behavior Changes Affected by COVID-19. Future Transp. 2, 541–566. https://doi.org/10.3390/futuretransp2020030</w:t>
      </w:r>
    </w:p>
    <w:p w14:paraId="3BE08482" w14:textId="77777777" w:rsidR="00C516A0" w:rsidRDefault="00C516A0" w:rsidP="00EF1B95">
      <w:pPr>
        <w:pStyle w:val="Bibliography"/>
        <w:keepLines/>
      </w:pPr>
      <w:r>
        <w:lastRenderedPageBreak/>
        <w:t>Rashidi, T.H., Auld, J., Mohammadian, A. (Kouros), 2012. A Behavioral Housing Search Model: Two-Stage Hazard-Based and Multinomial Logit Approach to Choice-Set Formation and Location Selection. Transp. Res. Part Policy Pract. 46, 1097–1107. https://doi.org/10.1016/j.tra.2012.01.007</w:t>
      </w:r>
    </w:p>
    <w:p w14:paraId="2F484FBC" w14:textId="77777777" w:rsidR="00C516A0" w:rsidRDefault="00C516A0" w:rsidP="00C516A0">
      <w:pPr>
        <w:pStyle w:val="Bibliography"/>
      </w:pPr>
      <w:r>
        <w:t>Rothstein, R., 2015. The Racial Achievement Gap, Segregated Schools, and Segregated Neighborhoods: A Constitutional Insult. Race Soc. Probl. 7, 21–30. https://doi.org/10.1007/s12552-014-9134-1</w:t>
      </w:r>
    </w:p>
    <w:p w14:paraId="0427B757" w14:textId="77777777" w:rsidR="00C516A0" w:rsidRDefault="00C516A0" w:rsidP="00C516A0">
      <w:pPr>
        <w:pStyle w:val="Bibliography"/>
      </w:pPr>
      <w:r>
        <w:t>Roy, R.N., Rollins, A., James, A.G., Perry-Jenkins, M., 2022. An Introduction to the Special Section on Multiracial Families: The Challenges, Strengths, and Work that Remains. J. Child Fam. Stud. 31, 599–608. https://doi.org/10.1007/s10826-022-02260-x</w:t>
      </w:r>
    </w:p>
    <w:p w14:paraId="02B1487F" w14:textId="77777777" w:rsidR="00C516A0" w:rsidRDefault="00C516A0" w:rsidP="00C516A0">
      <w:pPr>
        <w:pStyle w:val="Bibliography"/>
      </w:pPr>
      <w:r>
        <w:t>Salon, D., Bhagat-Conway, M.W., Chauhan, R., Magassy, T., Mirtich, L., Rahimi, E., Costello, A., Derrible, S., Mohammadian, K., Pendyala, R., 2022. COVID Future Wave 3 Survey Data v1.1.0. ASU Library Research Data Repository.</w:t>
      </w:r>
    </w:p>
    <w:p w14:paraId="6636D2FA" w14:textId="77777777" w:rsidR="00C516A0" w:rsidRDefault="00C516A0" w:rsidP="00C516A0">
      <w:pPr>
        <w:pStyle w:val="Bibliography"/>
      </w:pPr>
      <w:r>
        <w:t>Salon, D., Conway, M., 2022. Investigating Attitudinal and Behavioral Changes in U.S. Households Before, During, and After the COVID-19 Pandemic. Arizona State University, Tempe, AZ.</w:t>
      </w:r>
    </w:p>
    <w:p w14:paraId="6048AC6B" w14:textId="77777777" w:rsidR="00C516A0" w:rsidRDefault="00C516A0" w:rsidP="00C516A0">
      <w:pPr>
        <w:pStyle w:val="Bibliography"/>
      </w:pPr>
      <w:r>
        <w:t>Seo, W., Nam, H.K., 2019. Trade-Off Relationship Between Public Transportation Accessibility and Household Economy: Analysis of Subway Access Values by Housing Size. Cities 87, 247–258. https://doi.org/10.1016/j.cities.2018.11.004</w:t>
      </w:r>
    </w:p>
    <w:p w14:paraId="5F0B6F6B" w14:textId="77777777" w:rsidR="00C516A0" w:rsidRDefault="00C516A0" w:rsidP="00C516A0">
      <w:pPr>
        <w:pStyle w:val="Bibliography"/>
      </w:pPr>
      <w:r>
        <w:t>Shi, J., Visschers, V.H.M., Siegrist, M., Arvai, J., 2016. Knowledge as a Driver of Public Perceptions About Climate Change Reassessed. Nat. Clim. Change 6, 759–762. https://doi.org/10.1038/nclimate2997</w:t>
      </w:r>
    </w:p>
    <w:p w14:paraId="54BE40F3" w14:textId="77777777" w:rsidR="00C516A0" w:rsidRDefault="00C516A0" w:rsidP="00C516A0">
      <w:pPr>
        <w:pStyle w:val="Bibliography"/>
      </w:pPr>
      <w:r>
        <w:t>Shin, E.J., 2012. An Empirical Study of Urban/Suburban Residential Location Choice in the Seattle Metropolitan Area (M.U.P.). University of Washington, United States -- Washington.</w:t>
      </w:r>
    </w:p>
    <w:p w14:paraId="21CE8564" w14:textId="77777777" w:rsidR="00C516A0" w:rsidRDefault="00C516A0" w:rsidP="00C516A0">
      <w:pPr>
        <w:pStyle w:val="Bibliography"/>
      </w:pPr>
      <w:r>
        <w:t>Shukla, P., 2008. Conspicuous Consumption Among Middle Age Consumers: Psychological and Brand Antecedents. J. Prod. Brand Manag. 17, 25–36. https://doi.org/10.1108/10610420810856495</w:t>
      </w:r>
    </w:p>
    <w:p w14:paraId="0AE02260" w14:textId="77777777" w:rsidR="00C516A0" w:rsidRDefault="00C516A0" w:rsidP="00C516A0">
      <w:pPr>
        <w:pStyle w:val="Bibliography"/>
      </w:pPr>
      <w:r>
        <w:t>Simms, A., Talbert, E., 2019. Racial Residential Segregation and School Choice: How a Market-Based Policy for K-12 School Access Creates a “Parenting Tax” for Black Parents. Phylon 1960- 56, 33–57.</w:t>
      </w:r>
    </w:p>
    <w:p w14:paraId="53937692" w14:textId="77777777" w:rsidR="00C516A0" w:rsidRDefault="00C516A0" w:rsidP="00C516A0">
      <w:pPr>
        <w:pStyle w:val="Bibliography"/>
      </w:pPr>
      <w:r>
        <w:t>Simon, H.A., 1986. Rationality in Psychology and Economics. J. Bus. 59, S209–S224.</w:t>
      </w:r>
    </w:p>
    <w:p w14:paraId="5B3893A2" w14:textId="3404C236" w:rsidR="00C516A0" w:rsidRDefault="00C516A0" w:rsidP="00C516A0">
      <w:pPr>
        <w:pStyle w:val="Bibliography"/>
      </w:pPr>
      <w:r>
        <w:t>Smite, D., Moe, N.B., Hildrum, J., Gonzalez-Huerta, J., Mendez, D., 2023. Work-from-Home Is Here to Stay: Call for Flexibility in Post-Pandemic Work Policies. J. Syst. Softw. 195</w:t>
      </w:r>
      <w:r w:rsidR="00926421">
        <w:t>, 111552</w:t>
      </w:r>
      <w:r>
        <w:t>. https://doi.org/10.1016/j.jss.2022.111552</w:t>
      </w:r>
    </w:p>
    <w:p w14:paraId="24848A77" w14:textId="77777777" w:rsidR="00C516A0" w:rsidRDefault="00C516A0" w:rsidP="00C516A0">
      <w:pPr>
        <w:pStyle w:val="Bibliography"/>
      </w:pPr>
      <w:r>
        <w:t>Smith, K.T., Brower, T.R., 2012. Longitudinal study of green marketing strategies that influence Millennials. J. Strateg. Mark. 20, 535–551. https://doi.org/10.1080/0965254X.2012.711345</w:t>
      </w:r>
    </w:p>
    <w:p w14:paraId="0BC0BE31" w14:textId="77777777" w:rsidR="00C516A0" w:rsidRDefault="00C516A0" w:rsidP="00C516A0">
      <w:pPr>
        <w:pStyle w:val="Bibliography"/>
      </w:pPr>
      <w:r>
        <w:t>Solon, G., Haider, S.J., Wooldridge, J.M., 2015. What Are We Weighting For? J. Hum. Resour. 50, 301–316. https://doi.org/10.3368/jhr.50.2.301</w:t>
      </w:r>
    </w:p>
    <w:p w14:paraId="7C4D11CC" w14:textId="5D2FF77F" w:rsidR="00C516A0" w:rsidRDefault="00C516A0" w:rsidP="00C516A0">
      <w:pPr>
        <w:pStyle w:val="Bibliography"/>
      </w:pPr>
      <w:r>
        <w:t>Song, Q., Dou, Z., Qiu, W., Li, W., Wang, J., van Ameijde, J., Luo, D., 2023. The Evaluation of Urban Spatial Quality and Utility Trade-Offs for Post-COVID Working Preferences: A Case Study of Hong Kong. Archit. Intell. 2</w:t>
      </w:r>
      <w:r w:rsidR="00926421">
        <w:t>, 1</w:t>
      </w:r>
      <w:r>
        <w:t>. https://doi.org/10.1007/s44223-022-00020-x</w:t>
      </w:r>
    </w:p>
    <w:p w14:paraId="33B0C190" w14:textId="77777777" w:rsidR="00C516A0" w:rsidRDefault="00C516A0" w:rsidP="00926421">
      <w:pPr>
        <w:pStyle w:val="Bibliography"/>
        <w:keepLines/>
      </w:pPr>
      <w:r>
        <w:lastRenderedPageBreak/>
        <w:t>Tahlyan, D., Said, M., Mahmassani, H., Stathopoulos, A., Walker, J., Shaheen, S., 2022. For Whom Did Telework Not Work During the Pandemic? Understanding the Factors Impacting Telework Satisfaction in the US Using a Multiple Indicator Multiple Cause (MIMIC) Model. Transp. Res. Part Policy Pract. 155, 387–402. https://doi.org/10.1016/j.tra.2021.11.025</w:t>
      </w:r>
    </w:p>
    <w:p w14:paraId="1EFE6DEF" w14:textId="77777777" w:rsidR="00C516A0" w:rsidRDefault="00C516A0" w:rsidP="00C516A0">
      <w:pPr>
        <w:pStyle w:val="Bibliography"/>
      </w:pPr>
      <w:r>
        <w:t>Tan, W.-L., Goh, Y.-N., 2018. The Role of Psychological Factors in Influencing Consumer Purchase Intention Towards Green Residential Building. Int. J. Hous. Mark. Anal. 11, 788–807. https://doi.org/10.1108/IJHMA-11-2017-0097</w:t>
      </w:r>
    </w:p>
    <w:p w14:paraId="21CC1B47" w14:textId="77777777" w:rsidR="00C516A0" w:rsidRDefault="00C516A0" w:rsidP="00C516A0">
      <w:pPr>
        <w:pStyle w:val="Bibliography"/>
      </w:pPr>
      <w:r>
        <w:t>Tang, S., Feng, J., Li, M., 2017. Housing Tenure Choices of Rural Migrants in Urban Destinations: A Case Study of Jiangsu Province, China. Hous. Stud. 32, 361–378. https://doi.org/10.1080/02673037.2016.1210096</w:t>
      </w:r>
    </w:p>
    <w:p w14:paraId="2E3F4823" w14:textId="77777777" w:rsidR="00C516A0" w:rsidRDefault="00C516A0" w:rsidP="00C516A0">
      <w:pPr>
        <w:pStyle w:val="Bibliography"/>
      </w:pPr>
      <w:r>
        <w:t>Thill, J.-C., Horowitz, J.L., 1997. Modelling Non-Work Destination Choices with Choice Sets Defined by Travel-Time Constraints, in: Fischer, M.M., Getis, A. (Eds.), Recent Developments in Spatial Analysis. Springer, Berlin, Heidelberg, pp. 186–208. https://doi.org/10.1007/978-3-662-03499-6_10</w:t>
      </w:r>
    </w:p>
    <w:p w14:paraId="4CBF3C48" w14:textId="77777777" w:rsidR="00C516A0" w:rsidRDefault="00C516A0" w:rsidP="00C516A0">
      <w:pPr>
        <w:pStyle w:val="Bibliography"/>
      </w:pPr>
      <w:r>
        <w:t>Timmermans, H.J.P., Zhang, J., 2009. Modeling Household Activity Travel Behavior: Examples of State of the Art Modeling Approaches and Research Agenda. Transp. Res. Part B Methodol., Modeling Household Activity Travel Behavior 43, 187–190. https://doi.org/10.1016/j.trb.2008.06.004</w:t>
      </w:r>
    </w:p>
    <w:p w14:paraId="5F7880A1" w14:textId="77777777" w:rsidR="00C516A0" w:rsidRDefault="00C516A0" w:rsidP="00C516A0">
      <w:pPr>
        <w:pStyle w:val="Bibliography"/>
      </w:pPr>
      <w:r>
        <w:t>U.S. Census Bureau, 2021. American Community Survey 2021 (5-Year Estimates).</w:t>
      </w:r>
    </w:p>
    <w:p w14:paraId="2CEB7E9A" w14:textId="77777777" w:rsidR="00C516A0" w:rsidRDefault="00C516A0" w:rsidP="00C516A0">
      <w:pPr>
        <w:pStyle w:val="Bibliography"/>
      </w:pPr>
      <w:r>
        <w:t>Van Acker, V., Mokhtarian, P.L., Witlox, F., 2014. Car Availability Explained by the Structural Relationships Between Lifestyles, Residential Location, and Underlying Residential and Travel Attitudes. Transp. Policy 35, 88–99. https://doi.org/10.1016/j.tranpol.2014.05.006</w:t>
      </w:r>
    </w:p>
    <w:p w14:paraId="616492D0" w14:textId="77777777" w:rsidR="00C516A0" w:rsidRDefault="00C516A0" w:rsidP="00C516A0">
      <w:pPr>
        <w:pStyle w:val="Bibliography"/>
      </w:pPr>
      <w:r>
        <w:t>van Wee, B., 2009. Self‐Selection: A Key to a Better Understanding of Location Choices, Travel Behaviour and Transport Externalities? Transp. Rev. 29, 279–292. https://doi.org/10.1080/01441640902752961</w:t>
      </w:r>
    </w:p>
    <w:p w14:paraId="6A613098" w14:textId="77777777" w:rsidR="00C516A0" w:rsidRDefault="00C516A0" w:rsidP="00C516A0">
      <w:pPr>
        <w:pStyle w:val="Bibliography"/>
      </w:pPr>
      <w:r>
        <w:t>Vandeviver, C., Neutens, T., van Daele, S., Geurts, D., Vander Beken, T., 2015. A Discrete Spatial Choice Model of Burglary Target Selection at the House-Level. Appl. Geogr. 64, 24–34. https://doi.org/10.1016/j.apgeog.2015.08.004</w:t>
      </w:r>
    </w:p>
    <w:p w14:paraId="2D921ACD" w14:textId="03952E1C" w:rsidR="00C516A0" w:rsidRDefault="00C516A0" w:rsidP="00C516A0">
      <w:pPr>
        <w:pStyle w:val="Bibliography"/>
      </w:pPr>
      <w:r>
        <w:t>Vega-Gonzalo, M., Gomez, J., Christidis, P., 2023. How Has COVID-19 Changed Private Car Use in European Urban Areas? An Analysis of the Effect of Socio-Economic Characteristics and Mobility Habits. Transp. Res. Part Policy Pract. 1</w:t>
      </w:r>
      <w:r w:rsidRPr="00926421">
        <w:t>72</w:t>
      </w:r>
      <w:r w:rsidR="00926421" w:rsidRPr="00926421">
        <w:t>, 103679</w:t>
      </w:r>
      <w:r w:rsidRPr="00926421">
        <w:t xml:space="preserve">. </w:t>
      </w:r>
      <w:r>
        <w:t>https://doi.org/10.1016/j.tra.2023.103679</w:t>
      </w:r>
    </w:p>
    <w:p w14:paraId="591AED4F" w14:textId="77777777" w:rsidR="00C516A0" w:rsidRDefault="00C516A0" w:rsidP="00C516A0">
      <w:pPr>
        <w:pStyle w:val="Bibliography"/>
      </w:pPr>
      <w:r>
        <w:t>Walker, J.L., Li, J., 2007. Latent Lifestyle Preferences and Household Location Decisions. J. Geogr. Syst. 9, 77–101. https://doi.org/10.1007/s10109-006-0030-0</w:t>
      </w:r>
    </w:p>
    <w:p w14:paraId="790ECA6F" w14:textId="77777777" w:rsidR="00C516A0" w:rsidRDefault="00C516A0" w:rsidP="00C516A0">
      <w:pPr>
        <w:pStyle w:val="Bibliography"/>
      </w:pPr>
      <w:r>
        <w:t>Wang, Y., 2022. A Conceptual Framework of Contemporary Luxury Consumption. Int. J. Res. Mark. 39, 788–803. https://doi.org/10.1016/j.ijresmar.2021.10.010</w:t>
      </w:r>
    </w:p>
    <w:p w14:paraId="47790341" w14:textId="77777777" w:rsidR="00C516A0" w:rsidRDefault="00C516A0" w:rsidP="00C516A0">
      <w:pPr>
        <w:pStyle w:val="Bibliography"/>
      </w:pPr>
      <w:r>
        <w:t>Wilson, A.G., 1970. Disaggregating Elementary Residential Location Models. Pap. Reg. Sci. Assoc. 24, 103–125. https://doi.org/10.1007/BF01936877</w:t>
      </w:r>
    </w:p>
    <w:p w14:paraId="087EA311" w14:textId="77777777" w:rsidR="00C516A0" w:rsidRDefault="00C516A0" w:rsidP="00C516A0">
      <w:pPr>
        <w:pStyle w:val="Bibliography"/>
      </w:pPr>
      <w:r>
        <w:t>Wöhner, F., 2022. Work flexibly, travel less? The impact of telework and flextime on mobility behavior in Switzerland. J. Transp. Geogr. 102, 103390. https://doi.org/10.1016/j.jtrangeo.2022.103390</w:t>
      </w:r>
    </w:p>
    <w:p w14:paraId="7D427D77" w14:textId="77777777" w:rsidR="00C516A0" w:rsidRDefault="00C516A0" w:rsidP="00C516A0">
      <w:pPr>
        <w:pStyle w:val="Bibliography"/>
      </w:pPr>
      <w:r>
        <w:t>Wood, H., 2014. When Only a House Makes a Home: How Home Selection Matters in the Residential Mobility Decisions of Lower-Income, Inner-City African American Families. Soc. Serv. Rev. 88, 264–294. https://doi.org/10.1086/676407</w:t>
      </w:r>
    </w:p>
    <w:p w14:paraId="7AD44A91" w14:textId="77777777" w:rsidR="00C516A0" w:rsidRDefault="00C516A0" w:rsidP="00C516A0">
      <w:pPr>
        <w:pStyle w:val="Bibliography"/>
      </w:pPr>
      <w:r>
        <w:lastRenderedPageBreak/>
        <w:t>Wooldridge, J.M., 1995. Selection Corrections for Panel Data Models Under Conditional Mean Independence Assumptions. J. Econom. 68, 115–132. https://doi.org/10.1016/0304-4076(94)01645-G</w:t>
      </w:r>
    </w:p>
    <w:p w14:paraId="3D3DA51F" w14:textId="39B083BB" w:rsidR="00C516A0" w:rsidRDefault="00C516A0" w:rsidP="00C516A0">
      <w:pPr>
        <w:pStyle w:val="Bibliography"/>
      </w:pPr>
      <w:r>
        <w:t>Xue, F., Yao, E., Jin, F., 2020. Exploring Residential Relocation Behavior for Families with Workers and Students; a Study from Beijing, China. J. Transp. Geogr. 89</w:t>
      </w:r>
      <w:r w:rsidR="00926421">
        <w:t>, 102893</w:t>
      </w:r>
      <w:r>
        <w:t>. https://doi.org/10.1016/j.jtrangeo.2020.102893</w:t>
      </w:r>
    </w:p>
    <w:p w14:paraId="00F46743" w14:textId="0BF50383" w:rsidR="00C516A0" w:rsidRDefault="00C516A0" w:rsidP="00C516A0">
      <w:pPr>
        <w:pStyle w:val="Bibliography"/>
      </w:pPr>
      <w:r>
        <w:t>Yang, L., Liang, Y., He, B., Yang, H., Lin, D., 2023. COVID-19 Moderates the Association Between to-Metro and by-Metro Accessibility and House Prices. Transp. Res. Part Transp. Environ. 114</w:t>
      </w:r>
      <w:r w:rsidR="00926421">
        <w:t>, 103571</w:t>
      </w:r>
      <w:r>
        <w:t>. https://doi.org/10.1016/j.trd.2022.103571</w:t>
      </w:r>
    </w:p>
    <w:p w14:paraId="3B2A3661" w14:textId="77777777" w:rsidR="00C516A0" w:rsidRDefault="00C516A0" w:rsidP="00C516A0">
      <w:pPr>
        <w:pStyle w:val="Bibliography"/>
      </w:pPr>
      <w:r>
        <w:t>Yu, B., Zhang, J., Li, X., 2017. Dynamic Life Course Analysis on Residential Location Choice. Transp. Res. Part Policy Pract. 104, 281–292. https://doi.org/10.1016/j.tra.2017.01.009</w:t>
      </w:r>
    </w:p>
    <w:p w14:paraId="5D74F430" w14:textId="77777777" w:rsidR="00C516A0" w:rsidRDefault="00C516A0" w:rsidP="00C516A0">
      <w:pPr>
        <w:pStyle w:val="Bibliography"/>
      </w:pPr>
      <w:r>
        <w:t>Zablocki, B.D., Kanter, R.M., 1976. The Differentiation of Life-Styles. Annu. Rev. Sociol. 2, 269–298. https://doi.org/10.1146/annurev.so.02.080176.001413</w:t>
      </w:r>
    </w:p>
    <w:p w14:paraId="6AC8CFA5" w14:textId="724F8120" w:rsidR="00C516A0" w:rsidRDefault="00C516A0" w:rsidP="00C516A0">
      <w:pPr>
        <w:pStyle w:val="Bibliography"/>
      </w:pPr>
      <w:r>
        <w:t>Zacher, H., Froidevaux, A., 2021. Life Stage, Lifespan, and Life Course Perspectives on Vocational Behavior and Development: A Theoretical Framework, Review, and Research Agenda. J. Vocat. Behav. 126</w:t>
      </w:r>
      <w:r w:rsidR="00926421">
        <w:t>, 103476</w:t>
      </w:r>
      <w:r>
        <w:t>. https://doi.org/10.1016/j.jvb.2020.103476</w:t>
      </w:r>
    </w:p>
    <w:p w14:paraId="34D2D099" w14:textId="063007B4" w:rsidR="00C516A0" w:rsidRDefault="00C516A0" w:rsidP="00C516A0">
      <w:pPr>
        <w:pStyle w:val="Bibliography"/>
      </w:pPr>
      <w:r>
        <w:t>Zarrabi, M., Yazdanfar, S.-A., Hosseini, S.-B., 2021. COVID-19 and Healthy Home Preferences: The Case of Apartment Residents in Tehran. J. Build. Eng. 35</w:t>
      </w:r>
      <w:r w:rsidR="00926421">
        <w:t>, 102021</w:t>
      </w:r>
      <w:r>
        <w:t>. https://doi.org/10.1016/j.jobe.2020.102021</w:t>
      </w:r>
    </w:p>
    <w:p w14:paraId="1699478A" w14:textId="77777777" w:rsidR="00C516A0" w:rsidRDefault="00C516A0" w:rsidP="00C516A0">
      <w:pPr>
        <w:pStyle w:val="Bibliography"/>
      </w:pPr>
      <w:r>
        <w:t>Zenkteler, M., Darchen, S., Mateo-Babiano, I., Baffour, B., 2022. Home-Based Work in Cities: In Search of an Appropriate Urban Planning Response. Futures 135, 102494. https://doi.org/10.1016/j.futures.2019.102494</w:t>
      </w:r>
    </w:p>
    <w:p w14:paraId="115A3754" w14:textId="77777777" w:rsidR="00C516A0" w:rsidRDefault="00C516A0" w:rsidP="00C516A0">
      <w:pPr>
        <w:pStyle w:val="Bibliography"/>
      </w:pPr>
      <w:r>
        <w:t>Zolfaghari, A., Sivakumar, A., Polak, J., 2013. Simplified Probabilistic Choice Set Formation Models in a Residential Location Choice Context. J. Choice Model., Issues in Choice Modelling: selected papers from the 13th International Conference on Travel Behaviour Research 9, 3–13. https://doi.org/10.1016/j.jocm.2013.12.004</w:t>
      </w:r>
    </w:p>
    <w:p w14:paraId="4D093BDA" w14:textId="77777777" w:rsidR="00C516A0" w:rsidRDefault="00C516A0" w:rsidP="00C516A0">
      <w:pPr>
        <w:pStyle w:val="Bibliography"/>
      </w:pPr>
      <w:r>
        <w:t>Zolfaghari, A., Sivakumar, A., Polak, J.W., 2012. Choice Set Pruning in Residential Location Choice Modelling: A Comparison of Sampling and Choice Set Generation Approaches in Greater London. Transp. Plan. Technol. 35, 87–106. https://doi.org/10.1080/03081060.2012.635420</w:t>
      </w:r>
    </w:p>
    <w:p w14:paraId="0E6B95B4" w14:textId="483DCBE6" w:rsidR="00375020" w:rsidRDefault="00FC7021" w:rsidP="002A06E4">
      <w:pPr>
        <w:spacing w:after="0" w:line="240" w:lineRule="auto"/>
        <w:jc w:val="both"/>
        <w:sectPr w:rsidR="00375020" w:rsidSect="007D1DDE">
          <w:footerReference w:type="default" r:id="rId333"/>
          <w:pgSz w:w="12240" w:h="15840"/>
          <w:pgMar w:top="1440" w:right="1440" w:bottom="1440" w:left="1440" w:header="720" w:footer="720" w:gutter="0"/>
          <w:pgNumType w:start="1"/>
          <w:cols w:space="720"/>
          <w:docGrid w:linePitch="360"/>
        </w:sectPr>
      </w:pPr>
      <w:r w:rsidRPr="009B2F97">
        <w:fldChar w:fldCharType="end"/>
      </w:r>
    </w:p>
    <w:p w14:paraId="36948A07" w14:textId="5B6250AD" w:rsidR="00884792" w:rsidRPr="00AD7085" w:rsidRDefault="00884792" w:rsidP="000B6FD6">
      <w:pPr>
        <w:spacing w:line="240" w:lineRule="auto"/>
        <w:jc w:val="both"/>
        <w:rPr>
          <w:b/>
          <w:bCs/>
        </w:rPr>
      </w:pPr>
      <w:r w:rsidRPr="009B2F97">
        <w:rPr>
          <w:b/>
          <w:bCs/>
        </w:rPr>
        <w:lastRenderedPageBreak/>
        <w:t xml:space="preserve">Table </w:t>
      </w:r>
      <w:r w:rsidR="008C69B2" w:rsidRPr="009434FD">
        <w:rPr>
          <w:b/>
          <w:bCs/>
        </w:rPr>
        <w:t>1</w:t>
      </w:r>
      <w:r w:rsidRPr="009434FD">
        <w:rPr>
          <w:b/>
          <w:bCs/>
        </w:rPr>
        <w:t xml:space="preserve">: </w:t>
      </w:r>
      <w:bookmarkStart w:id="55" w:name="_Hlk148697465"/>
      <w:r w:rsidRPr="009434FD">
        <w:rPr>
          <w:b/>
          <w:bCs/>
        </w:rPr>
        <w:t xml:space="preserve">Sample </w:t>
      </w:r>
      <w:r w:rsidR="008C69B2" w:rsidRPr="009434FD">
        <w:rPr>
          <w:b/>
          <w:bCs/>
        </w:rPr>
        <w:t>Distribution</w:t>
      </w:r>
      <w:r w:rsidRPr="009C5F54">
        <w:rPr>
          <w:b/>
          <w:bCs/>
        </w:rPr>
        <w:t xml:space="preserve"> for </w:t>
      </w:r>
      <w:r w:rsidR="008C69B2" w:rsidRPr="008253CB">
        <w:rPr>
          <w:b/>
          <w:bCs/>
        </w:rPr>
        <w:t>Outcome</w:t>
      </w:r>
      <w:r w:rsidRPr="009179E5">
        <w:rPr>
          <w:b/>
          <w:bCs/>
        </w:rPr>
        <w:t xml:space="preserve"> Variables</w:t>
      </w:r>
      <w:bookmarkEnd w:id="55"/>
    </w:p>
    <w:tbl>
      <w:tblPr>
        <w:tblW w:w="8906" w:type="dxa"/>
        <w:tblLook w:val="04A0" w:firstRow="1" w:lastRow="0" w:firstColumn="1" w:lastColumn="0" w:noHBand="0" w:noVBand="1"/>
      </w:tblPr>
      <w:tblGrid>
        <w:gridCol w:w="3235"/>
        <w:gridCol w:w="1175"/>
        <w:gridCol w:w="3325"/>
        <w:gridCol w:w="1171"/>
      </w:tblGrid>
      <w:tr w:rsidR="00884792" w:rsidRPr="00926421" w14:paraId="70345743" w14:textId="77777777" w:rsidTr="00926421">
        <w:trPr>
          <w:trHeight w:val="295"/>
        </w:trPr>
        <w:tc>
          <w:tcPr>
            <w:tcW w:w="3235" w:type="dxa"/>
            <w:tcBorders>
              <w:top w:val="single" w:sz="4" w:space="0" w:color="auto"/>
              <w:left w:val="single" w:sz="4" w:space="0" w:color="auto"/>
              <w:bottom w:val="single" w:sz="4" w:space="0" w:color="auto"/>
              <w:right w:val="nil"/>
            </w:tcBorders>
            <w:shd w:val="clear" w:color="auto" w:fill="auto"/>
            <w:noWrap/>
            <w:vAlign w:val="center"/>
            <w:hideMark/>
          </w:tcPr>
          <w:p w14:paraId="37D4DF34" w14:textId="77777777" w:rsidR="00884792" w:rsidRPr="00926421" w:rsidRDefault="00884792" w:rsidP="000B6FD6">
            <w:pPr>
              <w:spacing w:after="0" w:line="240" w:lineRule="auto"/>
              <w:jc w:val="both"/>
              <w:rPr>
                <w:rFonts w:eastAsia="Times New Roman"/>
                <w:b/>
                <w:bCs/>
                <w:color w:val="000000"/>
                <w:sz w:val="22"/>
                <w:szCs w:val="22"/>
              </w:rPr>
            </w:pPr>
            <w:bookmarkStart w:id="56" w:name="_Hlk132530985"/>
            <w:r w:rsidRPr="00926421">
              <w:rPr>
                <w:rFonts w:eastAsia="Times New Roman"/>
                <w:b/>
                <w:bCs/>
                <w:color w:val="000000"/>
                <w:sz w:val="22"/>
                <w:szCs w:val="22"/>
              </w:rPr>
              <w:t>Variable</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14:paraId="7C83A0C2" w14:textId="77777777" w:rsidR="00884792" w:rsidRPr="00926421" w:rsidRDefault="00884792" w:rsidP="000B6FD6">
            <w:pPr>
              <w:spacing w:after="0" w:line="240" w:lineRule="auto"/>
              <w:jc w:val="center"/>
              <w:rPr>
                <w:rFonts w:eastAsia="Times New Roman"/>
                <w:b/>
                <w:bCs/>
                <w:color w:val="000000"/>
                <w:sz w:val="22"/>
                <w:szCs w:val="22"/>
              </w:rPr>
            </w:pPr>
            <w:r w:rsidRPr="00926421">
              <w:rPr>
                <w:rFonts w:eastAsia="Times New Roman"/>
                <w:b/>
                <w:bCs/>
                <w:color w:val="000000"/>
                <w:sz w:val="22"/>
                <w:szCs w:val="22"/>
              </w:rPr>
              <w:t>%</w:t>
            </w:r>
          </w:p>
        </w:tc>
        <w:tc>
          <w:tcPr>
            <w:tcW w:w="3325" w:type="dxa"/>
            <w:tcBorders>
              <w:top w:val="single" w:sz="4" w:space="0" w:color="auto"/>
              <w:left w:val="nil"/>
              <w:bottom w:val="single" w:sz="4" w:space="0" w:color="auto"/>
              <w:right w:val="nil"/>
            </w:tcBorders>
            <w:shd w:val="clear" w:color="auto" w:fill="auto"/>
            <w:vAlign w:val="center"/>
            <w:hideMark/>
          </w:tcPr>
          <w:p w14:paraId="60BB2EA2"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 xml:space="preserve">Variable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7F8D5F2" w14:textId="77777777" w:rsidR="00884792" w:rsidRPr="00926421" w:rsidRDefault="00884792" w:rsidP="000B6FD6">
            <w:pPr>
              <w:spacing w:after="0" w:line="240" w:lineRule="auto"/>
              <w:jc w:val="center"/>
              <w:rPr>
                <w:rFonts w:eastAsia="Times New Roman"/>
                <w:b/>
                <w:bCs/>
                <w:color w:val="000000"/>
                <w:sz w:val="22"/>
                <w:szCs w:val="22"/>
              </w:rPr>
            </w:pPr>
            <w:r w:rsidRPr="00926421">
              <w:rPr>
                <w:rFonts w:eastAsia="Times New Roman"/>
                <w:b/>
                <w:bCs/>
                <w:color w:val="000000"/>
                <w:sz w:val="22"/>
                <w:szCs w:val="22"/>
              </w:rPr>
              <w:t>%</w:t>
            </w:r>
          </w:p>
        </w:tc>
      </w:tr>
      <w:tr w:rsidR="00884792" w:rsidRPr="00926421" w14:paraId="6C019E30" w14:textId="77777777" w:rsidTr="00926421">
        <w:trPr>
          <w:trHeight w:val="295"/>
        </w:trPr>
        <w:tc>
          <w:tcPr>
            <w:tcW w:w="3235" w:type="dxa"/>
            <w:tcBorders>
              <w:top w:val="nil"/>
              <w:left w:val="single" w:sz="4" w:space="0" w:color="auto"/>
              <w:bottom w:val="nil"/>
              <w:right w:val="nil"/>
            </w:tcBorders>
            <w:shd w:val="clear" w:color="auto" w:fill="auto"/>
            <w:noWrap/>
            <w:vAlign w:val="center"/>
            <w:hideMark/>
          </w:tcPr>
          <w:p w14:paraId="2304A7F1"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Housing Type</w:t>
            </w:r>
          </w:p>
        </w:tc>
        <w:tc>
          <w:tcPr>
            <w:tcW w:w="1175" w:type="dxa"/>
            <w:tcBorders>
              <w:top w:val="nil"/>
              <w:left w:val="nil"/>
              <w:bottom w:val="nil"/>
              <w:right w:val="single" w:sz="4" w:space="0" w:color="auto"/>
            </w:tcBorders>
            <w:shd w:val="clear" w:color="auto" w:fill="auto"/>
            <w:noWrap/>
            <w:vAlign w:val="center"/>
            <w:hideMark/>
          </w:tcPr>
          <w:p w14:paraId="04AB931C"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nil"/>
              <w:right w:val="nil"/>
            </w:tcBorders>
            <w:shd w:val="clear" w:color="auto" w:fill="auto"/>
            <w:noWrap/>
            <w:vAlign w:val="center"/>
            <w:hideMark/>
          </w:tcPr>
          <w:p w14:paraId="45374262" w14:textId="346EF9D6"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Population Density (pop/sq</w:t>
            </w:r>
            <w:r w:rsidR="001504E0" w:rsidRPr="00926421">
              <w:rPr>
                <w:rFonts w:eastAsia="Times New Roman"/>
                <w:b/>
                <w:bCs/>
                <w:color w:val="000000"/>
                <w:sz w:val="22"/>
                <w:szCs w:val="22"/>
              </w:rPr>
              <w:t xml:space="preserve"> </w:t>
            </w:r>
            <w:r w:rsidRPr="00926421">
              <w:rPr>
                <w:rFonts w:eastAsia="Times New Roman"/>
                <w:b/>
                <w:bCs/>
                <w:color w:val="000000"/>
                <w:sz w:val="22"/>
                <w:szCs w:val="22"/>
              </w:rPr>
              <w:t>mi)</w:t>
            </w:r>
          </w:p>
        </w:tc>
        <w:tc>
          <w:tcPr>
            <w:tcW w:w="1171" w:type="dxa"/>
            <w:tcBorders>
              <w:top w:val="nil"/>
              <w:left w:val="nil"/>
              <w:bottom w:val="nil"/>
              <w:right w:val="single" w:sz="4" w:space="0" w:color="auto"/>
            </w:tcBorders>
            <w:shd w:val="clear" w:color="auto" w:fill="auto"/>
            <w:noWrap/>
            <w:vAlign w:val="center"/>
            <w:hideMark/>
          </w:tcPr>
          <w:p w14:paraId="73FA7FB1"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w:t>
            </w:r>
          </w:p>
        </w:tc>
      </w:tr>
      <w:tr w:rsidR="00884792" w:rsidRPr="00926421" w14:paraId="590976C2" w14:textId="77777777" w:rsidTr="00926421">
        <w:trPr>
          <w:trHeight w:val="295"/>
        </w:trPr>
        <w:tc>
          <w:tcPr>
            <w:tcW w:w="3235" w:type="dxa"/>
            <w:tcBorders>
              <w:top w:val="nil"/>
              <w:left w:val="single" w:sz="4" w:space="0" w:color="auto"/>
              <w:bottom w:val="nil"/>
              <w:right w:val="nil"/>
            </w:tcBorders>
            <w:shd w:val="clear" w:color="auto" w:fill="auto"/>
            <w:noWrap/>
            <w:vAlign w:val="center"/>
            <w:hideMark/>
          </w:tcPr>
          <w:p w14:paraId="151E7F11"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Single Family Home</w:t>
            </w:r>
          </w:p>
        </w:tc>
        <w:tc>
          <w:tcPr>
            <w:tcW w:w="1175" w:type="dxa"/>
            <w:tcBorders>
              <w:top w:val="nil"/>
              <w:left w:val="nil"/>
              <w:bottom w:val="nil"/>
              <w:right w:val="single" w:sz="4" w:space="0" w:color="auto"/>
            </w:tcBorders>
            <w:shd w:val="clear" w:color="auto" w:fill="auto"/>
            <w:vAlign w:val="center"/>
            <w:hideMark/>
          </w:tcPr>
          <w:p w14:paraId="4DFD6ABE"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76.73</w:t>
            </w:r>
          </w:p>
        </w:tc>
        <w:tc>
          <w:tcPr>
            <w:tcW w:w="3325" w:type="dxa"/>
            <w:tcBorders>
              <w:top w:val="nil"/>
              <w:left w:val="nil"/>
              <w:bottom w:val="nil"/>
              <w:right w:val="nil"/>
            </w:tcBorders>
            <w:shd w:val="clear" w:color="auto" w:fill="auto"/>
            <w:vAlign w:val="center"/>
            <w:hideMark/>
          </w:tcPr>
          <w:p w14:paraId="0DF4E460" w14:textId="2935714A"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Low (</w:t>
            </w:r>
            <w:r w:rsidRPr="00926421">
              <w:rPr>
                <w:rFonts w:eastAsia="Times New Roman"/>
                <w:color w:val="000000"/>
                <w:sz w:val="22"/>
                <w:szCs w:val="22"/>
              </w:rPr>
              <w:t>≤5</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06E9F931"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28.11</w:t>
            </w:r>
          </w:p>
        </w:tc>
      </w:tr>
      <w:tr w:rsidR="00884792" w:rsidRPr="00926421" w14:paraId="11E2A99F" w14:textId="77777777" w:rsidTr="00926421">
        <w:trPr>
          <w:trHeight w:val="295"/>
        </w:trPr>
        <w:tc>
          <w:tcPr>
            <w:tcW w:w="3235" w:type="dxa"/>
            <w:tcBorders>
              <w:top w:val="nil"/>
              <w:left w:val="single" w:sz="4" w:space="0" w:color="auto"/>
              <w:bottom w:val="nil"/>
              <w:right w:val="nil"/>
            </w:tcBorders>
            <w:shd w:val="clear" w:color="auto" w:fill="auto"/>
            <w:noWrap/>
            <w:vAlign w:val="center"/>
            <w:hideMark/>
          </w:tcPr>
          <w:p w14:paraId="5B1DE5E3" w14:textId="77777777" w:rsidR="00884792" w:rsidRPr="00926421" w:rsidRDefault="00884792" w:rsidP="000B6FD6">
            <w:pPr>
              <w:spacing w:after="0" w:line="240" w:lineRule="auto"/>
              <w:ind w:right="-551"/>
              <w:jc w:val="both"/>
              <w:rPr>
                <w:rFonts w:eastAsia="Times New Roman"/>
                <w:color w:val="000000"/>
                <w:sz w:val="22"/>
                <w:szCs w:val="22"/>
              </w:rPr>
            </w:pPr>
            <w:r w:rsidRPr="00926421">
              <w:rPr>
                <w:rFonts w:eastAsia="Times New Roman"/>
                <w:color w:val="000000"/>
                <w:sz w:val="22"/>
                <w:szCs w:val="22"/>
              </w:rPr>
              <w:t xml:space="preserve">    Apartment</w:t>
            </w:r>
          </w:p>
        </w:tc>
        <w:tc>
          <w:tcPr>
            <w:tcW w:w="1175" w:type="dxa"/>
            <w:tcBorders>
              <w:top w:val="nil"/>
              <w:left w:val="nil"/>
              <w:bottom w:val="nil"/>
              <w:right w:val="single" w:sz="4" w:space="0" w:color="auto"/>
            </w:tcBorders>
            <w:shd w:val="clear" w:color="auto" w:fill="auto"/>
            <w:vAlign w:val="center"/>
            <w:hideMark/>
          </w:tcPr>
          <w:p w14:paraId="25092782"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23.27</w:t>
            </w:r>
          </w:p>
        </w:tc>
        <w:tc>
          <w:tcPr>
            <w:tcW w:w="3325" w:type="dxa"/>
            <w:tcBorders>
              <w:top w:val="nil"/>
              <w:left w:val="nil"/>
              <w:bottom w:val="nil"/>
              <w:right w:val="nil"/>
            </w:tcBorders>
            <w:shd w:val="clear" w:color="auto" w:fill="auto"/>
            <w:vAlign w:val="center"/>
            <w:hideMark/>
          </w:tcPr>
          <w:p w14:paraId="6B3D6B3C" w14:textId="1AA1C4A3"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Medium (</w:t>
            </w:r>
            <w:r w:rsidRPr="00926421">
              <w:rPr>
                <w:rFonts w:eastAsia="Times New Roman"/>
                <w:color w:val="000000"/>
                <w:sz w:val="22"/>
                <w:szCs w:val="22"/>
              </w:rPr>
              <w:t>&gt;5 &amp; ≤10</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2E47C1CD"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36.48</w:t>
            </w:r>
          </w:p>
        </w:tc>
      </w:tr>
      <w:tr w:rsidR="00884792" w:rsidRPr="00926421" w14:paraId="5EFB252D" w14:textId="77777777" w:rsidTr="00926421">
        <w:trPr>
          <w:trHeight w:val="295"/>
        </w:trPr>
        <w:tc>
          <w:tcPr>
            <w:tcW w:w="3235" w:type="dxa"/>
            <w:tcBorders>
              <w:top w:val="nil"/>
              <w:left w:val="single" w:sz="4" w:space="0" w:color="auto"/>
              <w:bottom w:val="nil"/>
              <w:right w:val="nil"/>
            </w:tcBorders>
            <w:shd w:val="clear" w:color="auto" w:fill="auto"/>
            <w:noWrap/>
            <w:vAlign w:val="center"/>
            <w:hideMark/>
          </w:tcPr>
          <w:p w14:paraId="3F91EB90"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Tenure Type</w:t>
            </w:r>
          </w:p>
        </w:tc>
        <w:tc>
          <w:tcPr>
            <w:tcW w:w="1175" w:type="dxa"/>
            <w:tcBorders>
              <w:top w:val="nil"/>
              <w:left w:val="nil"/>
              <w:bottom w:val="nil"/>
              <w:right w:val="single" w:sz="4" w:space="0" w:color="auto"/>
            </w:tcBorders>
            <w:shd w:val="clear" w:color="auto" w:fill="auto"/>
            <w:noWrap/>
            <w:vAlign w:val="center"/>
            <w:hideMark/>
          </w:tcPr>
          <w:p w14:paraId="5C06D2FF"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nil"/>
              <w:right w:val="nil"/>
            </w:tcBorders>
            <w:shd w:val="clear" w:color="auto" w:fill="auto"/>
            <w:vAlign w:val="center"/>
            <w:hideMark/>
          </w:tcPr>
          <w:p w14:paraId="0CD958C1" w14:textId="298A4045"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High (</w:t>
            </w:r>
            <w:r w:rsidRPr="00926421">
              <w:rPr>
                <w:rFonts w:eastAsia="Times New Roman"/>
                <w:color w:val="000000"/>
                <w:sz w:val="22"/>
                <w:szCs w:val="22"/>
              </w:rPr>
              <w:t>&gt;10</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092EAEF8"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35.41</w:t>
            </w:r>
          </w:p>
        </w:tc>
      </w:tr>
      <w:tr w:rsidR="00884792" w:rsidRPr="00926421" w14:paraId="034A960F" w14:textId="77777777" w:rsidTr="00926421">
        <w:trPr>
          <w:trHeight w:val="295"/>
        </w:trPr>
        <w:tc>
          <w:tcPr>
            <w:tcW w:w="3235" w:type="dxa"/>
            <w:tcBorders>
              <w:top w:val="nil"/>
              <w:left w:val="single" w:sz="4" w:space="0" w:color="auto"/>
              <w:bottom w:val="nil"/>
              <w:right w:val="nil"/>
            </w:tcBorders>
            <w:shd w:val="clear" w:color="auto" w:fill="auto"/>
            <w:noWrap/>
            <w:vAlign w:val="center"/>
            <w:hideMark/>
          </w:tcPr>
          <w:p w14:paraId="63CE1B51" w14:textId="100A8E04"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Own</w:t>
            </w:r>
          </w:p>
        </w:tc>
        <w:tc>
          <w:tcPr>
            <w:tcW w:w="1175" w:type="dxa"/>
            <w:tcBorders>
              <w:top w:val="nil"/>
              <w:left w:val="nil"/>
              <w:bottom w:val="nil"/>
              <w:right w:val="single" w:sz="4" w:space="0" w:color="auto"/>
            </w:tcBorders>
            <w:shd w:val="clear" w:color="auto" w:fill="auto"/>
            <w:vAlign w:val="center"/>
            <w:hideMark/>
          </w:tcPr>
          <w:p w14:paraId="74FAE8CF"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72.13</w:t>
            </w:r>
          </w:p>
        </w:tc>
        <w:tc>
          <w:tcPr>
            <w:tcW w:w="3325" w:type="dxa"/>
            <w:tcBorders>
              <w:top w:val="nil"/>
              <w:left w:val="nil"/>
              <w:bottom w:val="nil"/>
              <w:right w:val="nil"/>
            </w:tcBorders>
            <w:shd w:val="clear" w:color="auto" w:fill="auto"/>
            <w:noWrap/>
            <w:vAlign w:val="center"/>
            <w:hideMark/>
          </w:tcPr>
          <w:p w14:paraId="58C24D1A"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Median Housing Cost ($1,000)</w:t>
            </w:r>
          </w:p>
        </w:tc>
        <w:tc>
          <w:tcPr>
            <w:tcW w:w="1171" w:type="dxa"/>
            <w:tcBorders>
              <w:top w:val="nil"/>
              <w:left w:val="nil"/>
              <w:bottom w:val="nil"/>
              <w:right w:val="single" w:sz="4" w:space="0" w:color="auto"/>
            </w:tcBorders>
            <w:shd w:val="clear" w:color="auto" w:fill="auto"/>
            <w:noWrap/>
            <w:vAlign w:val="center"/>
            <w:hideMark/>
          </w:tcPr>
          <w:p w14:paraId="3114BAAF"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 </w:t>
            </w:r>
          </w:p>
        </w:tc>
      </w:tr>
      <w:tr w:rsidR="00884792" w:rsidRPr="00926421" w14:paraId="578A58C0" w14:textId="77777777" w:rsidTr="00926421">
        <w:trPr>
          <w:trHeight w:val="295"/>
        </w:trPr>
        <w:tc>
          <w:tcPr>
            <w:tcW w:w="3235" w:type="dxa"/>
            <w:tcBorders>
              <w:top w:val="nil"/>
              <w:left w:val="single" w:sz="4" w:space="0" w:color="auto"/>
              <w:bottom w:val="nil"/>
              <w:right w:val="nil"/>
            </w:tcBorders>
            <w:shd w:val="clear" w:color="auto" w:fill="auto"/>
            <w:noWrap/>
            <w:vAlign w:val="center"/>
            <w:hideMark/>
          </w:tcPr>
          <w:p w14:paraId="5F6B5FB1" w14:textId="7B5FB39C"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Rent</w:t>
            </w:r>
          </w:p>
        </w:tc>
        <w:tc>
          <w:tcPr>
            <w:tcW w:w="1175" w:type="dxa"/>
            <w:tcBorders>
              <w:top w:val="nil"/>
              <w:left w:val="nil"/>
              <w:bottom w:val="nil"/>
              <w:right w:val="single" w:sz="4" w:space="0" w:color="auto"/>
            </w:tcBorders>
            <w:shd w:val="clear" w:color="auto" w:fill="auto"/>
            <w:vAlign w:val="center"/>
            <w:hideMark/>
          </w:tcPr>
          <w:p w14:paraId="3542E385"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27.87</w:t>
            </w:r>
          </w:p>
        </w:tc>
        <w:tc>
          <w:tcPr>
            <w:tcW w:w="3325" w:type="dxa"/>
            <w:tcBorders>
              <w:top w:val="nil"/>
              <w:left w:val="nil"/>
              <w:bottom w:val="nil"/>
              <w:right w:val="nil"/>
            </w:tcBorders>
            <w:shd w:val="clear" w:color="auto" w:fill="auto"/>
            <w:noWrap/>
            <w:vAlign w:val="center"/>
            <w:hideMark/>
          </w:tcPr>
          <w:p w14:paraId="621F241B" w14:textId="30DA93A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Low (</w:t>
            </w:r>
            <w:r w:rsidRPr="00926421">
              <w:rPr>
                <w:rFonts w:eastAsia="Times New Roman"/>
                <w:color w:val="000000"/>
                <w:sz w:val="22"/>
                <w:szCs w:val="22"/>
              </w:rPr>
              <w:t>≤1</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5FB901E3"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16.75</w:t>
            </w:r>
          </w:p>
        </w:tc>
      </w:tr>
      <w:tr w:rsidR="00884792" w:rsidRPr="00926421" w14:paraId="0A6FAE3B"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717B9E2E"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Presence of Patio or Yard</w:t>
            </w:r>
          </w:p>
        </w:tc>
        <w:tc>
          <w:tcPr>
            <w:tcW w:w="1175" w:type="dxa"/>
            <w:tcBorders>
              <w:top w:val="nil"/>
              <w:left w:val="nil"/>
              <w:bottom w:val="nil"/>
              <w:right w:val="single" w:sz="4" w:space="0" w:color="auto"/>
            </w:tcBorders>
            <w:shd w:val="clear" w:color="auto" w:fill="auto"/>
            <w:noWrap/>
            <w:vAlign w:val="center"/>
            <w:hideMark/>
          </w:tcPr>
          <w:p w14:paraId="2E704226"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nil"/>
              <w:right w:val="nil"/>
            </w:tcBorders>
            <w:shd w:val="clear" w:color="auto" w:fill="auto"/>
            <w:noWrap/>
            <w:vAlign w:val="center"/>
            <w:hideMark/>
          </w:tcPr>
          <w:p w14:paraId="23A673F6" w14:textId="32FF7A8B"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Medium Range 1 (</w:t>
            </w:r>
            <w:r w:rsidRPr="00926421">
              <w:rPr>
                <w:rFonts w:eastAsia="Times New Roman"/>
                <w:color w:val="000000"/>
                <w:sz w:val="22"/>
                <w:szCs w:val="22"/>
              </w:rPr>
              <w:t>&gt;1 &amp; ≤1.5</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43BB7B22"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40.48</w:t>
            </w:r>
          </w:p>
        </w:tc>
      </w:tr>
      <w:tr w:rsidR="00884792" w:rsidRPr="00926421" w14:paraId="252A0EFB"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797BCFF7"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Yes</w:t>
            </w:r>
          </w:p>
        </w:tc>
        <w:tc>
          <w:tcPr>
            <w:tcW w:w="1175" w:type="dxa"/>
            <w:tcBorders>
              <w:top w:val="nil"/>
              <w:left w:val="nil"/>
              <w:bottom w:val="nil"/>
              <w:right w:val="single" w:sz="4" w:space="0" w:color="auto"/>
            </w:tcBorders>
            <w:shd w:val="clear" w:color="auto" w:fill="auto"/>
            <w:vAlign w:val="center"/>
            <w:hideMark/>
          </w:tcPr>
          <w:p w14:paraId="1DE64253"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84.32</w:t>
            </w:r>
          </w:p>
        </w:tc>
        <w:tc>
          <w:tcPr>
            <w:tcW w:w="3325" w:type="dxa"/>
            <w:tcBorders>
              <w:top w:val="nil"/>
              <w:left w:val="nil"/>
              <w:bottom w:val="nil"/>
              <w:right w:val="nil"/>
            </w:tcBorders>
            <w:shd w:val="clear" w:color="auto" w:fill="auto"/>
            <w:noWrap/>
            <w:vAlign w:val="center"/>
            <w:hideMark/>
          </w:tcPr>
          <w:p w14:paraId="258B2CEA" w14:textId="7526CC7E"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Medium Range 2 (</w:t>
            </w:r>
            <w:r w:rsidRPr="00926421">
              <w:rPr>
                <w:rFonts w:eastAsia="Times New Roman"/>
                <w:color w:val="000000"/>
                <w:sz w:val="22"/>
                <w:szCs w:val="22"/>
              </w:rPr>
              <w:t>&gt;1.5 &amp; ≤2</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6746E0C7"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28.62</w:t>
            </w:r>
          </w:p>
        </w:tc>
      </w:tr>
      <w:tr w:rsidR="00884792" w:rsidRPr="00926421" w14:paraId="467C1700"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598D811C"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No</w:t>
            </w:r>
          </w:p>
        </w:tc>
        <w:tc>
          <w:tcPr>
            <w:tcW w:w="1175" w:type="dxa"/>
            <w:tcBorders>
              <w:top w:val="nil"/>
              <w:left w:val="nil"/>
              <w:bottom w:val="nil"/>
              <w:right w:val="single" w:sz="4" w:space="0" w:color="auto"/>
            </w:tcBorders>
            <w:shd w:val="clear" w:color="auto" w:fill="auto"/>
            <w:vAlign w:val="center"/>
            <w:hideMark/>
          </w:tcPr>
          <w:p w14:paraId="249EE56B"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15.68</w:t>
            </w:r>
          </w:p>
        </w:tc>
        <w:tc>
          <w:tcPr>
            <w:tcW w:w="3325" w:type="dxa"/>
            <w:tcBorders>
              <w:top w:val="nil"/>
              <w:left w:val="nil"/>
              <w:bottom w:val="nil"/>
              <w:right w:val="nil"/>
            </w:tcBorders>
            <w:shd w:val="clear" w:color="auto" w:fill="auto"/>
            <w:noWrap/>
            <w:vAlign w:val="center"/>
            <w:hideMark/>
          </w:tcPr>
          <w:p w14:paraId="7ED3EFF7" w14:textId="2F55443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High (</w:t>
            </w:r>
            <w:r w:rsidRPr="00926421">
              <w:rPr>
                <w:rFonts w:eastAsia="Times New Roman"/>
                <w:color w:val="000000"/>
                <w:sz w:val="22"/>
                <w:szCs w:val="22"/>
              </w:rPr>
              <w:t>&gt;2</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23A9DC7B"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14.15</w:t>
            </w:r>
          </w:p>
        </w:tc>
      </w:tr>
      <w:tr w:rsidR="00884792" w:rsidRPr="00926421" w14:paraId="20A1C3AA"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218B3D4F"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Number of Bedrooms</w:t>
            </w:r>
          </w:p>
        </w:tc>
        <w:tc>
          <w:tcPr>
            <w:tcW w:w="1175" w:type="dxa"/>
            <w:tcBorders>
              <w:top w:val="nil"/>
              <w:left w:val="nil"/>
              <w:bottom w:val="nil"/>
              <w:right w:val="single" w:sz="4" w:space="0" w:color="auto"/>
            </w:tcBorders>
            <w:shd w:val="clear" w:color="auto" w:fill="auto"/>
            <w:noWrap/>
            <w:vAlign w:val="center"/>
            <w:hideMark/>
          </w:tcPr>
          <w:p w14:paraId="75BBBF29"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nil"/>
              <w:right w:val="nil"/>
            </w:tcBorders>
            <w:shd w:val="clear" w:color="auto" w:fill="auto"/>
            <w:noWrap/>
            <w:vAlign w:val="center"/>
            <w:hideMark/>
          </w:tcPr>
          <w:p w14:paraId="3EA18254" w14:textId="77777777"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Amenities Rating</w:t>
            </w:r>
          </w:p>
        </w:tc>
        <w:tc>
          <w:tcPr>
            <w:tcW w:w="1171" w:type="dxa"/>
            <w:tcBorders>
              <w:top w:val="nil"/>
              <w:left w:val="nil"/>
              <w:bottom w:val="nil"/>
              <w:right w:val="single" w:sz="4" w:space="0" w:color="auto"/>
            </w:tcBorders>
            <w:shd w:val="clear" w:color="auto" w:fill="auto"/>
            <w:noWrap/>
            <w:vAlign w:val="center"/>
            <w:hideMark/>
          </w:tcPr>
          <w:p w14:paraId="5511A2DC"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 </w:t>
            </w:r>
          </w:p>
        </w:tc>
      </w:tr>
      <w:tr w:rsidR="00884792" w:rsidRPr="00926421" w14:paraId="46228BB0"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78DC2041"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0</w:t>
            </w:r>
          </w:p>
        </w:tc>
        <w:tc>
          <w:tcPr>
            <w:tcW w:w="1175" w:type="dxa"/>
            <w:tcBorders>
              <w:top w:val="nil"/>
              <w:left w:val="nil"/>
              <w:bottom w:val="nil"/>
              <w:right w:val="single" w:sz="4" w:space="0" w:color="auto"/>
            </w:tcBorders>
            <w:shd w:val="clear" w:color="auto" w:fill="auto"/>
            <w:vAlign w:val="center"/>
            <w:hideMark/>
          </w:tcPr>
          <w:p w14:paraId="2FCE531A"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0.88</w:t>
            </w:r>
          </w:p>
        </w:tc>
        <w:tc>
          <w:tcPr>
            <w:tcW w:w="3325" w:type="dxa"/>
            <w:tcBorders>
              <w:top w:val="nil"/>
              <w:left w:val="nil"/>
              <w:bottom w:val="nil"/>
              <w:right w:val="nil"/>
            </w:tcBorders>
            <w:shd w:val="clear" w:color="auto" w:fill="auto"/>
            <w:noWrap/>
            <w:vAlign w:val="center"/>
            <w:hideMark/>
          </w:tcPr>
          <w:p w14:paraId="1956DF18" w14:textId="16B32705"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8D34D7" w:rsidRPr="00926421">
              <w:rPr>
                <w:rFonts w:eastAsia="Times New Roman"/>
                <w:color w:val="000000"/>
                <w:sz w:val="22"/>
                <w:szCs w:val="22"/>
              </w:rPr>
              <w:t>None (</w:t>
            </w:r>
            <w:r w:rsidR="005A1DAE" w:rsidRPr="00926421">
              <w:rPr>
                <w:rFonts w:eastAsia="Times New Roman"/>
                <w:color w:val="000000"/>
                <w:sz w:val="22"/>
                <w:szCs w:val="22"/>
              </w:rPr>
              <w:t>1</w:t>
            </w:r>
            <w:r w:rsidR="008D34D7"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noWrap/>
            <w:vAlign w:val="center"/>
            <w:hideMark/>
          </w:tcPr>
          <w:p w14:paraId="34B95C9C"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3.12</w:t>
            </w:r>
          </w:p>
        </w:tc>
      </w:tr>
      <w:tr w:rsidR="00884792" w:rsidRPr="00926421" w14:paraId="6EC0BFC6"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3655AF90"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1</w:t>
            </w:r>
          </w:p>
        </w:tc>
        <w:tc>
          <w:tcPr>
            <w:tcW w:w="1175" w:type="dxa"/>
            <w:tcBorders>
              <w:top w:val="nil"/>
              <w:left w:val="nil"/>
              <w:bottom w:val="nil"/>
              <w:right w:val="single" w:sz="4" w:space="0" w:color="auto"/>
            </w:tcBorders>
            <w:shd w:val="clear" w:color="auto" w:fill="auto"/>
            <w:vAlign w:val="center"/>
            <w:hideMark/>
          </w:tcPr>
          <w:p w14:paraId="103CEBE0"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10.84</w:t>
            </w:r>
          </w:p>
        </w:tc>
        <w:tc>
          <w:tcPr>
            <w:tcW w:w="3325" w:type="dxa"/>
            <w:tcBorders>
              <w:top w:val="nil"/>
              <w:left w:val="nil"/>
              <w:bottom w:val="nil"/>
              <w:right w:val="nil"/>
            </w:tcBorders>
            <w:shd w:val="clear" w:color="auto" w:fill="auto"/>
            <w:noWrap/>
            <w:vAlign w:val="center"/>
            <w:hideMark/>
          </w:tcPr>
          <w:p w14:paraId="0C31AB92" w14:textId="432B3EC3"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8D34D7" w:rsidRPr="00926421">
              <w:rPr>
                <w:rFonts w:eastAsia="Times New Roman"/>
                <w:color w:val="000000"/>
                <w:sz w:val="22"/>
                <w:szCs w:val="22"/>
              </w:rPr>
              <w:t>Few (</w:t>
            </w:r>
            <w:r w:rsidR="005A1DAE" w:rsidRPr="00926421">
              <w:rPr>
                <w:rFonts w:eastAsia="Times New Roman"/>
                <w:color w:val="000000"/>
                <w:sz w:val="22"/>
                <w:szCs w:val="22"/>
              </w:rPr>
              <w:t>2</w:t>
            </w:r>
            <w:r w:rsidR="008D34D7"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noWrap/>
            <w:vAlign w:val="center"/>
            <w:hideMark/>
          </w:tcPr>
          <w:p w14:paraId="688FC68B"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2.37</w:t>
            </w:r>
          </w:p>
        </w:tc>
      </w:tr>
      <w:tr w:rsidR="00884792" w:rsidRPr="00926421" w14:paraId="2774319D"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738A03BD"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2</w:t>
            </w:r>
          </w:p>
        </w:tc>
        <w:tc>
          <w:tcPr>
            <w:tcW w:w="1175" w:type="dxa"/>
            <w:tcBorders>
              <w:top w:val="nil"/>
              <w:left w:val="nil"/>
              <w:bottom w:val="nil"/>
              <w:right w:val="single" w:sz="4" w:space="0" w:color="auto"/>
            </w:tcBorders>
            <w:shd w:val="clear" w:color="auto" w:fill="auto"/>
            <w:vAlign w:val="center"/>
            <w:hideMark/>
          </w:tcPr>
          <w:p w14:paraId="10BE70C2"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22.99</w:t>
            </w:r>
          </w:p>
        </w:tc>
        <w:tc>
          <w:tcPr>
            <w:tcW w:w="3325" w:type="dxa"/>
            <w:tcBorders>
              <w:top w:val="nil"/>
              <w:left w:val="nil"/>
              <w:bottom w:val="nil"/>
              <w:right w:val="nil"/>
            </w:tcBorders>
            <w:shd w:val="clear" w:color="auto" w:fill="auto"/>
            <w:noWrap/>
            <w:vAlign w:val="center"/>
            <w:hideMark/>
          </w:tcPr>
          <w:p w14:paraId="74F88922" w14:textId="513A430E"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8D34D7" w:rsidRPr="00926421">
              <w:rPr>
                <w:rFonts w:eastAsia="Times New Roman"/>
                <w:color w:val="000000"/>
                <w:sz w:val="22"/>
                <w:szCs w:val="22"/>
              </w:rPr>
              <w:t>Average (</w:t>
            </w:r>
            <w:r w:rsidR="005A1DAE" w:rsidRPr="00926421">
              <w:rPr>
                <w:rFonts w:eastAsia="Times New Roman"/>
                <w:color w:val="000000"/>
                <w:sz w:val="22"/>
                <w:szCs w:val="22"/>
              </w:rPr>
              <w:t>3</w:t>
            </w:r>
            <w:r w:rsidR="008D34D7"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noWrap/>
            <w:vAlign w:val="center"/>
            <w:hideMark/>
          </w:tcPr>
          <w:p w14:paraId="7DB1C234"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4.00</w:t>
            </w:r>
          </w:p>
        </w:tc>
      </w:tr>
      <w:tr w:rsidR="00884792" w:rsidRPr="00926421" w14:paraId="53D26FEB"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2FA01D17"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3</w:t>
            </w:r>
          </w:p>
        </w:tc>
        <w:tc>
          <w:tcPr>
            <w:tcW w:w="1175" w:type="dxa"/>
            <w:tcBorders>
              <w:top w:val="nil"/>
              <w:left w:val="nil"/>
              <w:bottom w:val="nil"/>
              <w:right w:val="single" w:sz="4" w:space="0" w:color="auto"/>
            </w:tcBorders>
            <w:shd w:val="clear" w:color="auto" w:fill="auto"/>
            <w:vAlign w:val="center"/>
            <w:hideMark/>
          </w:tcPr>
          <w:p w14:paraId="2C88D904"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36.44</w:t>
            </w:r>
          </w:p>
        </w:tc>
        <w:tc>
          <w:tcPr>
            <w:tcW w:w="3325" w:type="dxa"/>
            <w:tcBorders>
              <w:top w:val="nil"/>
              <w:left w:val="nil"/>
              <w:bottom w:val="nil"/>
              <w:right w:val="nil"/>
            </w:tcBorders>
            <w:shd w:val="clear" w:color="auto" w:fill="auto"/>
            <w:noWrap/>
            <w:vAlign w:val="center"/>
            <w:hideMark/>
          </w:tcPr>
          <w:p w14:paraId="18FA4A3E" w14:textId="71ECAA34"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8D34D7" w:rsidRPr="00926421">
              <w:rPr>
                <w:rFonts w:eastAsia="Times New Roman"/>
                <w:color w:val="000000"/>
                <w:sz w:val="22"/>
                <w:szCs w:val="22"/>
              </w:rPr>
              <w:t>Above Average (</w:t>
            </w:r>
            <w:r w:rsidR="005A1DAE" w:rsidRPr="00926421">
              <w:rPr>
                <w:rFonts w:eastAsia="Times New Roman"/>
                <w:color w:val="000000"/>
                <w:sz w:val="22"/>
                <w:szCs w:val="22"/>
              </w:rPr>
              <w:t>4</w:t>
            </w:r>
            <w:r w:rsidR="008D34D7"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noWrap/>
            <w:vAlign w:val="center"/>
            <w:hideMark/>
          </w:tcPr>
          <w:p w14:paraId="54FEF38E"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4.33</w:t>
            </w:r>
          </w:p>
        </w:tc>
      </w:tr>
      <w:tr w:rsidR="00884792" w:rsidRPr="00926421" w14:paraId="6ADED08E"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4B1C6256"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4</w:t>
            </w:r>
          </w:p>
        </w:tc>
        <w:tc>
          <w:tcPr>
            <w:tcW w:w="1175" w:type="dxa"/>
            <w:tcBorders>
              <w:top w:val="nil"/>
              <w:left w:val="nil"/>
              <w:bottom w:val="nil"/>
              <w:right w:val="single" w:sz="4" w:space="0" w:color="auto"/>
            </w:tcBorders>
            <w:shd w:val="clear" w:color="auto" w:fill="auto"/>
            <w:vAlign w:val="center"/>
            <w:hideMark/>
          </w:tcPr>
          <w:p w14:paraId="1AF56086"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21.64</w:t>
            </w:r>
          </w:p>
        </w:tc>
        <w:tc>
          <w:tcPr>
            <w:tcW w:w="3325" w:type="dxa"/>
            <w:tcBorders>
              <w:top w:val="nil"/>
              <w:left w:val="nil"/>
              <w:bottom w:val="nil"/>
              <w:right w:val="nil"/>
            </w:tcBorders>
            <w:shd w:val="clear" w:color="auto" w:fill="auto"/>
            <w:noWrap/>
            <w:vAlign w:val="center"/>
            <w:hideMark/>
          </w:tcPr>
          <w:p w14:paraId="5284C201" w14:textId="1F4A805C"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8D34D7" w:rsidRPr="00926421">
              <w:rPr>
                <w:rFonts w:eastAsia="Times New Roman"/>
                <w:color w:val="000000"/>
                <w:sz w:val="22"/>
                <w:szCs w:val="22"/>
              </w:rPr>
              <w:t>Many (</w:t>
            </w:r>
            <w:r w:rsidR="005A1DAE" w:rsidRPr="00926421">
              <w:rPr>
                <w:rFonts w:eastAsia="Times New Roman"/>
                <w:color w:val="000000"/>
                <w:sz w:val="22"/>
                <w:szCs w:val="22"/>
              </w:rPr>
              <w:t>5</w:t>
            </w:r>
            <w:r w:rsidR="008D34D7"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noWrap/>
            <w:vAlign w:val="center"/>
            <w:hideMark/>
          </w:tcPr>
          <w:p w14:paraId="4A138B96"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86.18</w:t>
            </w:r>
          </w:p>
        </w:tc>
      </w:tr>
      <w:tr w:rsidR="00884792" w:rsidRPr="00926421" w14:paraId="37DBE783"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00F3DA57"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5+</w:t>
            </w:r>
          </w:p>
        </w:tc>
        <w:tc>
          <w:tcPr>
            <w:tcW w:w="1175" w:type="dxa"/>
            <w:tcBorders>
              <w:top w:val="nil"/>
              <w:left w:val="nil"/>
              <w:bottom w:val="nil"/>
              <w:right w:val="single" w:sz="4" w:space="0" w:color="auto"/>
            </w:tcBorders>
            <w:shd w:val="clear" w:color="auto" w:fill="auto"/>
            <w:vAlign w:val="center"/>
            <w:hideMark/>
          </w:tcPr>
          <w:p w14:paraId="260BEDBC" w14:textId="77777777" w:rsidR="00884792" w:rsidRPr="00926421" w:rsidRDefault="00884792"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7.21</w:t>
            </w:r>
          </w:p>
        </w:tc>
        <w:tc>
          <w:tcPr>
            <w:tcW w:w="3325" w:type="dxa"/>
            <w:tcBorders>
              <w:top w:val="nil"/>
              <w:left w:val="nil"/>
              <w:bottom w:val="nil"/>
              <w:right w:val="nil"/>
            </w:tcBorders>
            <w:shd w:val="clear" w:color="auto" w:fill="auto"/>
            <w:vAlign w:val="center"/>
            <w:hideMark/>
          </w:tcPr>
          <w:p w14:paraId="32AC0CA2" w14:textId="2D23541B" w:rsidR="00884792" w:rsidRPr="00926421" w:rsidRDefault="00884792"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 xml:space="preserve">Schools </w:t>
            </w:r>
            <w:r w:rsidR="0069171B" w:rsidRPr="00926421">
              <w:rPr>
                <w:rFonts w:eastAsia="Times New Roman"/>
                <w:b/>
                <w:bCs/>
                <w:color w:val="000000"/>
                <w:sz w:val="22"/>
                <w:szCs w:val="22"/>
              </w:rPr>
              <w:t xml:space="preserve">Quality </w:t>
            </w:r>
            <w:r w:rsidRPr="00926421">
              <w:rPr>
                <w:rFonts w:eastAsia="Times New Roman"/>
                <w:b/>
                <w:bCs/>
                <w:color w:val="000000"/>
                <w:sz w:val="22"/>
                <w:szCs w:val="22"/>
              </w:rPr>
              <w:t>Rating</w:t>
            </w:r>
          </w:p>
        </w:tc>
        <w:tc>
          <w:tcPr>
            <w:tcW w:w="1171" w:type="dxa"/>
            <w:tcBorders>
              <w:top w:val="nil"/>
              <w:left w:val="nil"/>
              <w:bottom w:val="nil"/>
              <w:right w:val="single" w:sz="4" w:space="0" w:color="auto"/>
            </w:tcBorders>
            <w:shd w:val="clear" w:color="auto" w:fill="auto"/>
            <w:noWrap/>
            <w:vAlign w:val="center"/>
            <w:hideMark/>
          </w:tcPr>
          <w:p w14:paraId="0D6D5ED6"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 </w:t>
            </w:r>
          </w:p>
        </w:tc>
      </w:tr>
      <w:tr w:rsidR="00965621" w:rsidRPr="00926421" w14:paraId="6EA21014" w14:textId="77777777" w:rsidTr="00926421">
        <w:trPr>
          <w:trHeight w:val="302"/>
        </w:trPr>
        <w:tc>
          <w:tcPr>
            <w:tcW w:w="4410" w:type="dxa"/>
            <w:gridSpan w:val="2"/>
            <w:tcBorders>
              <w:top w:val="nil"/>
              <w:left w:val="single" w:sz="4" w:space="0" w:color="auto"/>
              <w:bottom w:val="nil"/>
              <w:right w:val="single" w:sz="4" w:space="0" w:color="auto"/>
            </w:tcBorders>
            <w:shd w:val="clear" w:color="auto" w:fill="auto"/>
            <w:noWrap/>
            <w:vAlign w:val="center"/>
            <w:hideMark/>
          </w:tcPr>
          <w:p w14:paraId="52531A4B" w14:textId="368CD559" w:rsidR="00965621" w:rsidRPr="00926421" w:rsidRDefault="00965621" w:rsidP="00F46293">
            <w:pPr>
              <w:spacing w:after="0" w:line="240" w:lineRule="auto"/>
              <w:jc w:val="both"/>
              <w:rPr>
                <w:rFonts w:eastAsia="Times New Roman"/>
                <w:b/>
                <w:bCs/>
                <w:color w:val="000000"/>
                <w:sz w:val="22"/>
                <w:szCs w:val="22"/>
              </w:rPr>
            </w:pPr>
            <w:r w:rsidRPr="00926421">
              <w:rPr>
                <w:rFonts w:eastAsia="Times New Roman"/>
                <w:b/>
                <w:bCs/>
                <w:color w:val="000000"/>
                <w:sz w:val="22"/>
                <w:szCs w:val="22"/>
              </w:rPr>
              <w:t>One-Way Commute Distance (mi)</w:t>
            </w:r>
          </w:p>
        </w:tc>
        <w:tc>
          <w:tcPr>
            <w:tcW w:w="3325" w:type="dxa"/>
            <w:tcBorders>
              <w:top w:val="nil"/>
              <w:left w:val="nil"/>
              <w:bottom w:val="nil"/>
              <w:right w:val="nil"/>
            </w:tcBorders>
            <w:shd w:val="clear" w:color="auto" w:fill="auto"/>
            <w:noWrap/>
            <w:vAlign w:val="center"/>
            <w:hideMark/>
          </w:tcPr>
          <w:p w14:paraId="59248197" w14:textId="01A1600D" w:rsidR="00965621" w:rsidRPr="00926421" w:rsidRDefault="00965621"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Very poor (1)</w:t>
            </w:r>
          </w:p>
        </w:tc>
        <w:tc>
          <w:tcPr>
            <w:tcW w:w="1171" w:type="dxa"/>
            <w:tcBorders>
              <w:top w:val="nil"/>
              <w:left w:val="nil"/>
              <w:bottom w:val="nil"/>
              <w:right w:val="single" w:sz="4" w:space="0" w:color="auto"/>
            </w:tcBorders>
            <w:shd w:val="clear" w:color="auto" w:fill="auto"/>
            <w:vAlign w:val="center"/>
            <w:hideMark/>
          </w:tcPr>
          <w:p w14:paraId="688C6F98" w14:textId="77777777" w:rsidR="00965621" w:rsidRPr="00926421" w:rsidRDefault="00965621"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25.27</w:t>
            </w:r>
          </w:p>
        </w:tc>
      </w:tr>
      <w:tr w:rsidR="00884792" w:rsidRPr="00926421" w14:paraId="2F1DA9E7" w14:textId="77777777" w:rsidTr="00926421">
        <w:trPr>
          <w:trHeight w:val="302"/>
        </w:trPr>
        <w:tc>
          <w:tcPr>
            <w:tcW w:w="3235" w:type="dxa"/>
            <w:tcBorders>
              <w:top w:val="nil"/>
              <w:left w:val="single" w:sz="4" w:space="0" w:color="auto"/>
              <w:bottom w:val="nil"/>
              <w:right w:val="nil"/>
            </w:tcBorders>
            <w:shd w:val="clear" w:color="auto" w:fill="auto"/>
            <w:vAlign w:val="center"/>
            <w:hideMark/>
          </w:tcPr>
          <w:p w14:paraId="5A4FC4C0" w14:textId="77777777"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Not Employed</w:t>
            </w:r>
          </w:p>
        </w:tc>
        <w:tc>
          <w:tcPr>
            <w:tcW w:w="1175" w:type="dxa"/>
            <w:tcBorders>
              <w:top w:val="nil"/>
              <w:left w:val="nil"/>
              <w:bottom w:val="nil"/>
              <w:right w:val="single" w:sz="4" w:space="0" w:color="auto"/>
            </w:tcBorders>
            <w:shd w:val="clear" w:color="auto" w:fill="auto"/>
            <w:vAlign w:val="center"/>
            <w:hideMark/>
          </w:tcPr>
          <w:p w14:paraId="413BF2C2" w14:textId="771EBCD1" w:rsidR="00884792" w:rsidRPr="00926421" w:rsidRDefault="00EC4829"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35.32</w:t>
            </w:r>
          </w:p>
        </w:tc>
        <w:tc>
          <w:tcPr>
            <w:tcW w:w="3325" w:type="dxa"/>
            <w:tcBorders>
              <w:top w:val="nil"/>
              <w:left w:val="nil"/>
              <w:bottom w:val="nil"/>
              <w:right w:val="nil"/>
            </w:tcBorders>
            <w:shd w:val="clear" w:color="auto" w:fill="auto"/>
            <w:noWrap/>
            <w:vAlign w:val="center"/>
            <w:hideMark/>
          </w:tcPr>
          <w:p w14:paraId="33DCE3BB" w14:textId="791DF394"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Poor (</w:t>
            </w:r>
            <w:r w:rsidR="005A1DAE" w:rsidRPr="00926421">
              <w:rPr>
                <w:rFonts w:eastAsia="Times New Roman"/>
                <w:color w:val="000000"/>
                <w:sz w:val="22"/>
                <w:szCs w:val="22"/>
              </w:rPr>
              <w:t>2</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3C193BF3"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12.28</w:t>
            </w:r>
          </w:p>
        </w:tc>
      </w:tr>
      <w:tr w:rsidR="00884792" w:rsidRPr="00926421" w14:paraId="5EA98A28" w14:textId="77777777" w:rsidTr="00926421">
        <w:trPr>
          <w:trHeight w:val="302"/>
        </w:trPr>
        <w:tc>
          <w:tcPr>
            <w:tcW w:w="3235" w:type="dxa"/>
            <w:tcBorders>
              <w:top w:val="nil"/>
              <w:left w:val="single" w:sz="4" w:space="0" w:color="auto"/>
              <w:bottom w:val="nil"/>
              <w:right w:val="nil"/>
            </w:tcBorders>
            <w:shd w:val="clear" w:color="auto" w:fill="auto"/>
            <w:vAlign w:val="center"/>
          </w:tcPr>
          <w:p w14:paraId="200BC77B" w14:textId="7FC5EB0C" w:rsidR="00884792" w:rsidRPr="00926421" w:rsidRDefault="00D23F3C"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No </w:t>
            </w:r>
            <w:r w:rsidR="009C71C1" w:rsidRPr="00926421">
              <w:rPr>
                <w:rFonts w:eastAsia="Times New Roman"/>
                <w:color w:val="000000"/>
                <w:sz w:val="22"/>
                <w:szCs w:val="22"/>
              </w:rPr>
              <w:t>Physical Workplace</w:t>
            </w:r>
          </w:p>
        </w:tc>
        <w:tc>
          <w:tcPr>
            <w:tcW w:w="1175" w:type="dxa"/>
            <w:tcBorders>
              <w:top w:val="nil"/>
              <w:left w:val="nil"/>
              <w:bottom w:val="nil"/>
              <w:right w:val="single" w:sz="4" w:space="0" w:color="auto"/>
            </w:tcBorders>
            <w:shd w:val="clear" w:color="auto" w:fill="auto"/>
            <w:vAlign w:val="center"/>
          </w:tcPr>
          <w:p w14:paraId="7EF074E0" w14:textId="6B5D718E" w:rsidR="00884792" w:rsidRPr="00926421" w:rsidRDefault="00577681" w:rsidP="000B6FD6">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15.08</w:t>
            </w:r>
          </w:p>
        </w:tc>
        <w:tc>
          <w:tcPr>
            <w:tcW w:w="3325" w:type="dxa"/>
            <w:tcBorders>
              <w:top w:val="nil"/>
              <w:left w:val="nil"/>
              <w:bottom w:val="nil"/>
              <w:right w:val="nil"/>
            </w:tcBorders>
            <w:shd w:val="clear" w:color="auto" w:fill="auto"/>
            <w:noWrap/>
            <w:vAlign w:val="center"/>
            <w:hideMark/>
          </w:tcPr>
          <w:p w14:paraId="69C0A23E" w14:textId="2820E741" w:rsidR="00884792" w:rsidRPr="00926421" w:rsidRDefault="00884792"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2735C1" w:rsidRPr="00926421">
              <w:rPr>
                <w:rFonts w:eastAsia="Times New Roman"/>
                <w:color w:val="000000"/>
                <w:sz w:val="22"/>
                <w:szCs w:val="22"/>
              </w:rPr>
              <w:t>Neutral (</w:t>
            </w:r>
            <w:r w:rsidR="005A1DAE" w:rsidRPr="00926421">
              <w:rPr>
                <w:rFonts w:eastAsia="Times New Roman"/>
                <w:color w:val="000000"/>
                <w:sz w:val="22"/>
                <w:szCs w:val="22"/>
              </w:rPr>
              <w:t>3</w:t>
            </w:r>
            <w:r w:rsidR="002735C1" w:rsidRPr="00926421">
              <w:rPr>
                <w:rFonts w:eastAsia="Times New Roman"/>
                <w:color w:val="000000"/>
                <w:sz w:val="22"/>
                <w:szCs w:val="22"/>
              </w:rPr>
              <w:t>)</w:t>
            </w:r>
          </w:p>
        </w:tc>
        <w:tc>
          <w:tcPr>
            <w:tcW w:w="1171" w:type="dxa"/>
            <w:tcBorders>
              <w:top w:val="nil"/>
              <w:left w:val="nil"/>
              <w:bottom w:val="nil"/>
              <w:right w:val="single" w:sz="4" w:space="0" w:color="auto"/>
            </w:tcBorders>
            <w:shd w:val="clear" w:color="auto" w:fill="auto"/>
            <w:vAlign w:val="center"/>
            <w:hideMark/>
          </w:tcPr>
          <w:p w14:paraId="1E1D21E2" w14:textId="77777777" w:rsidR="00884792" w:rsidRPr="00926421" w:rsidRDefault="00884792" w:rsidP="000B6FD6">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13.26</w:t>
            </w:r>
          </w:p>
        </w:tc>
      </w:tr>
      <w:tr w:rsidR="00D23F3C" w:rsidRPr="00926421" w14:paraId="5210388A" w14:textId="77777777" w:rsidTr="00926421">
        <w:trPr>
          <w:trHeight w:val="302"/>
        </w:trPr>
        <w:tc>
          <w:tcPr>
            <w:tcW w:w="3235" w:type="dxa"/>
            <w:tcBorders>
              <w:top w:val="nil"/>
              <w:left w:val="single" w:sz="4" w:space="0" w:color="auto"/>
              <w:bottom w:val="nil"/>
              <w:right w:val="nil"/>
            </w:tcBorders>
            <w:shd w:val="clear" w:color="auto" w:fill="auto"/>
            <w:vAlign w:val="center"/>
          </w:tcPr>
          <w:p w14:paraId="2925FD12" w14:textId="40BA7672"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≤5</w:t>
            </w:r>
          </w:p>
        </w:tc>
        <w:tc>
          <w:tcPr>
            <w:tcW w:w="1175" w:type="dxa"/>
            <w:tcBorders>
              <w:top w:val="nil"/>
              <w:left w:val="nil"/>
              <w:bottom w:val="nil"/>
              <w:right w:val="single" w:sz="4" w:space="0" w:color="auto"/>
            </w:tcBorders>
            <w:shd w:val="clear" w:color="auto" w:fill="auto"/>
            <w:vAlign w:val="center"/>
          </w:tcPr>
          <w:p w14:paraId="316A5B87" w14:textId="4C5EBE44" w:rsidR="00D23F3C" w:rsidRPr="00926421" w:rsidRDefault="00D23F3C" w:rsidP="00D23F3C">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14.94</w:t>
            </w:r>
          </w:p>
        </w:tc>
        <w:tc>
          <w:tcPr>
            <w:tcW w:w="3325" w:type="dxa"/>
            <w:tcBorders>
              <w:top w:val="nil"/>
              <w:left w:val="nil"/>
              <w:bottom w:val="nil"/>
              <w:right w:val="nil"/>
            </w:tcBorders>
            <w:shd w:val="clear" w:color="auto" w:fill="auto"/>
            <w:noWrap/>
            <w:vAlign w:val="center"/>
            <w:hideMark/>
          </w:tcPr>
          <w:p w14:paraId="58462887" w14:textId="24E04B39"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Good (4)</w:t>
            </w:r>
          </w:p>
        </w:tc>
        <w:tc>
          <w:tcPr>
            <w:tcW w:w="1171" w:type="dxa"/>
            <w:tcBorders>
              <w:top w:val="nil"/>
              <w:left w:val="nil"/>
              <w:bottom w:val="nil"/>
              <w:right w:val="single" w:sz="4" w:space="0" w:color="auto"/>
            </w:tcBorders>
            <w:shd w:val="clear" w:color="auto" w:fill="auto"/>
            <w:vAlign w:val="center"/>
            <w:hideMark/>
          </w:tcPr>
          <w:p w14:paraId="168D9EC2"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20.43</w:t>
            </w:r>
          </w:p>
        </w:tc>
      </w:tr>
      <w:tr w:rsidR="00D23F3C" w:rsidRPr="00926421" w14:paraId="0D8FBE2E" w14:textId="77777777" w:rsidTr="00926421">
        <w:trPr>
          <w:trHeight w:val="302"/>
        </w:trPr>
        <w:tc>
          <w:tcPr>
            <w:tcW w:w="3235" w:type="dxa"/>
            <w:tcBorders>
              <w:top w:val="nil"/>
              <w:left w:val="single" w:sz="4" w:space="0" w:color="auto"/>
              <w:bottom w:val="nil"/>
              <w:right w:val="nil"/>
            </w:tcBorders>
            <w:shd w:val="clear" w:color="auto" w:fill="auto"/>
            <w:vAlign w:val="center"/>
          </w:tcPr>
          <w:p w14:paraId="5355EB96" w14:textId="69B62226"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&gt;5 &amp; ≤10</w:t>
            </w:r>
          </w:p>
        </w:tc>
        <w:tc>
          <w:tcPr>
            <w:tcW w:w="1175" w:type="dxa"/>
            <w:tcBorders>
              <w:top w:val="nil"/>
              <w:left w:val="nil"/>
              <w:bottom w:val="nil"/>
              <w:right w:val="single" w:sz="4" w:space="0" w:color="auto"/>
            </w:tcBorders>
            <w:shd w:val="clear" w:color="auto" w:fill="auto"/>
            <w:vAlign w:val="center"/>
          </w:tcPr>
          <w:p w14:paraId="223BB116" w14:textId="0B48F7C8" w:rsidR="00D23F3C" w:rsidRPr="00926421" w:rsidRDefault="00D23F3C" w:rsidP="00D23F3C">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12.19</w:t>
            </w:r>
          </w:p>
        </w:tc>
        <w:tc>
          <w:tcPr>
            <w:tcW w:w="3325" w:type="dxa"/>
            <w:tcBorders>
              <w:top w:val="nil"/>
              <w:left w:val="nil"/>
              <w:bottom w:val="nil"/>
              <w:right w:val="nil"/>
            </w:tcBorders>
            <w:shd w:val="clear" w:color="auto" w:fill="auto"/>
            <w:noWrap/>
            <w:vAlign w:val="center"/>
            <w:hideMark/>
          </w:tcPr>
          <w:p w14:paraId="6705596E" w14:textId="78F26610"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Excellent (5)</w:t>
            </w:r>
          </w:p>
        </w:tc>
        <w:tc>
          <w:tcPr>
            <w:tcW w:w="1171" w:type="dxa"/>
            <w:tcBorders>
              <w:top w:val="nil"/>
              <w:left w:val="nil"/>
              <w:bottom w:val="nil"/>
              <w:right w:val="single" w:sz="4" w:space="0" w:color="auto"/>
            </w:tcBorders>
            <w:shd w:val="clear" w:color="auto" w:fill="auto"/>
            <w:vAlign w:val="center"/>
            <w:hideMark/>
          </w:tcPr>
          <w:p w14:paraId="5344B2E4"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28.76</w:t>
            </w:r>
          </w:p>
        </w:tc>
      </w:tr>
      <w:tr w:rsidR="00D23F3C" w:rsidRPr="00926421" w14:paraId="1D9056F3" w14:textId="77777777" w:rsidTr="00926421">
        <w:trPr>
          <w:trHeight w:val="302"/>
        </w:trPr>
        <w:tc>
          <w:tcPr>
            <w:tcW w:w="3235" w:type="dxa"/>
            <w:tcBorders>
              <w:top w:val="nil"/>
              <w:left w:val="single" w:sz="4" w:space="0" w:color="auto"/>
              <w:bottom w:val="nil"/>
              <w:right w:val="nil"/>
            </w:tcBorders>
            <w:shd w:val="clear" w:color="auto" w:fill="auto"/>
            <w:noWrap/>
            <w:vAlign w:val="center"/>
          </w:tcPr>
          <w:p w14:paraId="5E7FAD05" w14:textId="09565D52"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&gt;10 &amp; ≤20</w:t>
            </w:r>
          </w:p>
        </w:tc>
        <w:tc>
          <w:tcPr>
            <w:tcW w:w="1175" w:type="dxa"/>
            <w:tcBorders>
              <w:top w:val="nil"/>
              <w:left w:val="nil"/>
              <w:bottom w:val="nil"/>
              <w:right w:val="single" w:sz="4" w:space="0" w:color="auto"/>
            </w:tcBorders>
            <w:shd w:val="clear" w:color="auto" w:fill="auto"/>
            <w:vAlign w:val="center"/>
          </w:tcPr>
          <w:p w14:paraId="631D8F80" w14:textId="5146C5F7" w:rsidR="00D23F3C" w:rsidRPr="00926421" w:rsidRDefault="00D23F3C" w:rsidP="00D23F3C">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13.68</w:t>
            </w:r>
          </w:p>
        </w:tc>
        <w:tc>
          <w:tcPr>
            <w:tcW w:w="4496" w:type="dxa"/>
            <w:gridSpan w:val="2"/>
            <w:tcBorders>
              <w:top w:val="nil"/>
              <w:left w:val="nil"/>
              <w:bottom w:val="nil"/>
              <w:right w:val="single" w:sz="4" w:space="0" w:color="auto"/>
            </w:tcBorders>
            <w:shd w:val="clear" w:color="auto" w:fill="auto"/>
            <w:noWrap/>
            <w:vAlign w:val="center"/>
            <w:hideMark/>
          </w:tcPr>
          <w:p w14:paraId="10D6DAB0" w14:textId="7F1A4703" w:rsidR="00D23F3C" w:rsidRPr="00926421" w:rsidRDefault="00D23F3C" w:rsidP="00D23F3C">
            <w:pPr>
              <w:spacing w:after="0" w:line="240" w:lineRule="auto"/>
              <w:jc w:val="both"/>
              <w:rPr>
                <w:rFonts w:eastAsia="Times New Roman"/>
                <w:b/>
                <w:bCs/>
                <w:color w:val="000000"/>
                <w:sz w:val="22"/>
                <w:szCs w:val="22"/>
              </w:rPr>
            </w:pPr>
            <w:r w:rsidRPr="00926421">
              <w:rPr>
                <w:rFonts w:eastAsia="Times New Roman"/>
                <w:b/>
                <w:bCs/>
                <w:color w:val="000000"/>
                <w:sz w:val="22"/>
                <w:szCs w:val="22"/>
              </w:rPr>
              <w:t>Crime Rating (per 1,000 residents)</w:t>
            </w:r>
          </w:p>
        </w:tc>
      </w:tr>
      <w:tr w:rsidR="00D23F3C" w:rsidRPr="00926421" w14:paraId="4B997731" w14:textId="77777777" w:rsidTr="00926421">
        <w:trPr>
          <w:trHeight w:val="302"/>
        </w:trPr>
        <w:tc>
          <w:tcPr>
            <w:tcW w:w="3235" w:type="dxa"/>
            <w:tcBorders>
              <w:top w:val="nil"/>
              <w:left w:val="single" w:sz="4" w:space="0" w:color="auto"/>
              <w:bottom w:val="nil"/>
              <w:right w:val="nil"/>
            </w:tcBorders>
            <w:shd w:val="clear" w:color="auto" w:fill="auto"/>
            <w:noWrap/>
            <w:vAlign w:val="center"/>
          </w:tcPr>
          <w:p w14:paraId="45647493" w14:textId="232570E5"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&gt;20</w:t>
            </w:r>
          </w:p>
        </w:tc>
        <w:tc>
          <w:tcPr>
            <w:tcW w:w="1175" w:type="dxa"/>
            <w:tcBorders>
              <w:top w:val="nil"/>
              <w:left w:val="nil"/>
              <w:bottom w:val="nil"/>
              <w:right w:val="single" w:sz="4" w:space="0" w:color="auto"/>
            </w:tcBorders>
            <w:shd w:val="clear" w:color="auto" w:fill="auto"/>
            <w:vAlign w:val="center"/>
          </w:tcPr>
          <w:p w14:paraId="39D8F9EE" w14:textId="6E68C4B3" w:rsidR="00D23F3C" w:rsidRPr="00926421" w:rsidRDefault="00D23F3C" w:rsidP="00D23F3C">
            <w:pPr>
              <w:tabs>
                <w:tab w:val="decimal" w:pos="433"/>
              </w:tabs>
              <w:spacing w:after="0" w:line="240" w:lineRule="auto"/>
              <w:jc w:val="both"/>
              <w:rPr>
                <w:rFonts w:eastAsia="Times New Roman"/>
                <w:color w:val="000000"/>
                <w:sz w:val="22"/>
                <w:szCs w:val="22"/>
              </w:rPr>
            </w:pPr>
            <w:r w:rsidRPr="00926421">
              <w:rPr>
                <w:rFonts w:eastAsia="Times New Roman"/>
                <w:color w:val="000000"/>
                <w:sz w:val="22"/>
                <w:szCs w:val="22"/>
              </w:rPr>
              <w:t>8.79</w:t>
            </w:r>
          </w:p>
        </w:tc>
        <w:tc>
          <w:tcPr>
            <w:tcW w:w="3325" w:type="dxa"/>
            <w:tcBorders>
              <w:top w:val="nil"/>
              <w:left w:val="nil"/>
              <w:bottom w:val="nil"/>
              <w:right w:val="nil"/>
            </w:tcBorders>
            <w:shd w:val="clear" w:color="auto" w:fill="auto"/>
            <w:noWrap/>
            <w:vAlign w:val="center"/>
            <w:hideMark/>
          </w:tcPr>
          <w:p w14:paraId="53F8E0B9" w14:textId="575700BD"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Very low (&lt; 1.615)</w:t>
            </w:r>
          </w:p>
        </w:tc>
        <w:tc>
          <w:tcPr>
            <w:tcW w:w="1171" w:type="dxa"/>
            <w:tcBorders>
              <w:top w:val="nil"/>
              <w:left w:val="nil"/>
              <w:bottom w:val="nil"/>
              <w:right w:val="single" w:sz="4" w:space="0" w:color="auto"/>
            </w:tcBorders>
            <w:shd w:val="clear" w:color="auto" w:fill="auto"/>
            <w:vAlign w:val="center"/>
            <w:hideMark/>
          </w:tcPr>
          <w:p w14:paraId="0DD1FB11"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17.96</w:t>
            </w:r>
          </w:p>
        </w:tc>
      </w:tr>
      <w:tr w:rsidR="00D23F3C" w:rsidRPr="00926421" w14:paraId="61B5D4F1"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597E7F98" w14:textId="4033CC2D" w:rsidR="00EB4FF2"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w:t>
            </w:r>
            <w:r w:rsidR="00EB4FF2" w:rsidRPr="00926421">
              <w:rPr>
                <w:rFonts w:eastAsia="Times New Roman"/>
                <w:color w:val="000000"/>
                <w:sz w:val="22"/>
                <w:szCs w:val="22"/>
              </w:rPr>
              <w:t xml:space="preserve">  Mean:  </w:t>
            </w:r>
            <w:r w:rsidR="00A00C60" w:rsidRPr="00926421">
              <w:rPr>
                <w:rFonts w:eastAsia="Times New Roman"/>
                <w:color w:val="000000"/>
                <w:sz w:val="22"/>
                <w:szCs w:val="22"/>
              </w:rPr>
              <w:t>15.15</w:t>
            </w:r>
          </w:p>
        </w:tc>
        <w:tc>
          <w:tcPr>
            <w:tcW w:w="1175" w:type="dxa"/>
            <w:tcBorders>
              <w:top w:val="nil"/>
              <w:left w:val="nil"/>
              <w:bottom w:val="nil"/>
              <w:right w:val="single" w:sz="4" w:space="0" w:color="auto"/>
            </w:tcBorders>
            <w:shd w:val="clear" w:color="auto" w:fill="auto"/>
            <w:noWrap/>
            <w:vAlign w:val="center"/>
            <w:hideMark/>
          </w:tcPr>
          <w:p w14:paraId="64F1E087" w14:textId="3010ABAF" w:rsidR="00D23F3C" w:rsidRPr="00926421" w:rsidRDefault="00D23F3C" w:rsidP="00D23F3C">
            <w:pPr>
              <w:spacing w:after="0" w:line="240" w:lineRule="auto"/>
              <w:jc w:val="both"/>
              <w:rPr>
                <w:rFonts w:eastAsia="Times New Roman"/>
                <w:color w:val="000000"/>
                <w:sz w:val="22"/>
                <w:szCs w:val="22"/>
              </w:rPr>
            </w:pPr>
          </w:p>
        </w:tc>
        <w:tc>
          <w:tcPr>
            <w:tcW w:w="3325" w:type="dxa"/>
            <w:tcBorders>
              <w:top w:val="nil"/>
              <w:left w:val="nil"/>
              <w:bottom w:val="nil"/>
              <w:right w:val="nil"/>
            </w:tcBorders>
            <w:shd w:val="clear" w:color="auto" w:fill="auto"/>
            <w:noWrap/>
            <w:vAlign w:val="center"/>
            <w:hideMark/>
          </w:tcPr>
          <w:p w14:paraId="2E3F93FB" w14:textId="3E44BD95"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Low (1.615 – 2.522)</w:t>
            </w:r>
          </w:p>
        </w:tc>
        <w:tc>
          <w:tcPr>
            <w:tcW w:w="1171" w:type="dxa"/>
            <w:tcBorders>
              <w:top w:val="nil"/>
              <w:left w:val="nil"/>
              <w:bottom w:val="nil"/>
              <w:right w:val="single" w:sz="4" w:space="0" w:color="auto"/>
            </w:tcBorders>
            <w:shd w:val="clear" w:color="auto" w:fill="auto"/>
            <w:vAlign w:val="center"/>
            <w:hideMark/>
          </w:tcPr>
          <w:p w14:paraId="581CBE1A"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22.15</w:t>
            </w:r>
          </w:p>
        </w:tc>
      </w:tr>
      <w:tr w:rsidR="00D23F3C" w:rsidRPr="00926421" w14:paraId="0B9FD509"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17B7182A" w14:textId="7F1DD733" w:rsidR="00D23F3C" w:rsidRPr="00926421" w:rsidRDefault="00F46293"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Median: 10.00</w:t>
            </w:r>
          </w:p>
        </w:tc>
        <w:tc>
          <w:tcPr>
            <w:tcW w:w="1175" w:type="dxa"/>
            <w:tcBorders>
              <w:top w:val="nil"/>
              <w:left w:val="nil"/>
              <w:bottom w:val="nil"/>
              <w:right w:val="single" w:sz="4" w:space="0" w:color="auto"/>
            </w:tcBorders>
            <w:shd w:val="clear" w:color="auto" w:fill="auto"/>
            <w:noWrap/>
            <w:vAlign w:val="center"/>
            <w:hideMark/>
          </w:tcPr>
          <w:p w14:paraId="6626CB56" w14:textId="77777777"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nil"/>
              <w:right w:val="nil"/>
            </w:tcBorders>
            <w:shd w:val="clear" w:color="auto" w:fill="auto"/>
            <w:noWrap/>
            <w:vAlign w:val="center"/>
            <w:hideMark/>
          </w:tcPr>
          <w:p w14:paraId="79539867" w14:textId="26624CF8"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Medium (2.523 – 3.820)</w:t>
            </w:r>
          </w:p>
        </w:tc>
        <w:tc>
          <w:tcPr>
            <w:tcW w:w="1171" w:type="dxa"/>
            <w:tcBorders>
              <w:top w:val="nil"/>
              <w:left w:val="nil"/>
              <w:bottom w:val="nil"/>
              <w:right w:val="single" w:sz="4" w:space="0" w:color="auto"/>
            </w:tcBorders>
            <w:shd w:val="clear" w:color="auto" w:fill="auto"/>
            <w:vAlign w:val="center"/>
            <w:hideMark/>
          </w:tcPr>
          <w:p w14:paraId="170A926B"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26.66</w:t>
            </w:r>
          </w:p>
        </w:tc>
      </w:tr>
      <w:tr w:rsidR="00D23F3C" w:rsidRPr="00926421" w14:paraId="4DB92B10" w14:textId="77777777" w:rsidTr="00926421">
        <w:trPr>
          <w:trHeight w:val="302"/>
        </w:trPr>
        <w:tc>
          <w:tcPr>
            <w:tcW w:w="3235" w:type="dxa"/>
            <w:tcBorders>
              <w:top w:val="nil"/>
              <w:left w:val="single" w:sz="4" w:space="0" w:color="auto"/>
              <w:bottom w:val="nil"/>
              <w:right w:val="nil"/>
            </w:tcBorders>
            <w:shd w:val="clear" w:color="auto" w:fill="auto"/>
            <w:noWrap/>
            <w:vAlign w:val="center"/>
            <w:hideMark/>
          </w:tcPr>
          <w:p w14:paraId="0DBC7CA9" w14:textId="77777777"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1175" w:type="dxa"/>
            <w:tcBorders>
              <w:top w:val="nil"/>
              <w:left w:val="nil"/>
              <w:bottom w:val="nil"/>
              <w:right w:val="single" w:sz="4" w:space="0" w:color="auto"/>
            </w:tcBorders>
            <w:shd w:val="clear" w:color="auto" w:fill="auto"/>
            <w:noWrap/>
            <w:vAlign w:val="center"/>
            <w:hideMark/>
          </w:tcPr>
          <w:p w14:paraId="13071053" w14:textId="77777777"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nil"/>
              <w:right w:val="nil"/>
            </w:tcBorders>
            <w:shd w:val="clear" w:color="auto" w:fill="auto"/>
            <w:noWrap/>
            <w:vAlign w:val="center"/>
            <w:hideMark/>
          </w:tcPr>
          <w:p w14:paraId="110A0B15" w14:textId="7B5CF018"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High (3.821 – 7.540)</w:t>
            </w:r>
          </w:p>
        </w:tc>
        <w:tc>
          <w:tcPr>
            <w:tcW w:w="1171" w:type="dxa"/>
            <w:tcBorders>
              <w:top w:val="nil"/>
              <w:left w:val="nil"/>
              <w:bottom w:val="nil"/>
              <w:right w:val="single" w:sz="4" w:space="0" w:color="auto"/>
            </w:tcBorders>
            <w:shd w:val="clear" w:color="auto" w:fill="auto"/>
            <w:vAlign w:val="center"/>
            <w:hideMark/>
          </w:tcPr>
          <w:p w14:paraId="4957F0AE"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24.99</w:t>
            </w:r>
          </w:p>
        </w:tc>
      </w:tr>
      <w:tr w:rsidR="00D23F3C" w:rsidRPr="00926421" w14:paraId="319A5CA0" w14:textId="77777777" w:rsidTr="00926421">
        <w:trPr>
          <w:trHeight w:val="302"/>
        </w:trPr>
        <w:tc>
          <w:tcPr>
            <w:tcW w:w="3235" w:type="dxa"/>
            <w:tcBorders>
              <w:top w:val="nil"/>
              <w:left w:val="single" w:sz="4" w:space="0" w:color="auto"/>
              <w:bottom w:val="single" w:sz="4" w:space="0" w:color="auto"/>
              <w:right w:val="nil"/>
            </w:tcBorders>
            <w:shd w:val="clear" w:color="auto" w:fill="auto"/>
            <w:noWrap/>
            <w:vAlign w:val="center"/>
            <w:hideMark/>
          </w:tcPr>
          <w:p w14:paraId="53B5D536" w14:textId="77777777"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1175" w:type="dxa"/>
            <w:tcBorders>
              <w:top w:val="nil"/>
              <w:left w:val="nil"/>
              <w:bottom w:val="single" w:sz="4" w:space="0" w:color="auto"/>
              <w:right w:val="single" w:sz="4" w:space="0" w:color="auto"/>
            </w:tcBorders>
            <w:shd w:val="clear" w:color="auto" w:fill="auto"/>
            <w:noWrap/>
            <w:vAlign w:val="center"/>
            <w:hideMark/>
          </w:tcPr>
          <w:p w14:paraId="01C14EA4" w14:textId="77777777"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3325" w:type="dxa"/>
            <w:tcBorders>
              <w:top w:val="nil"/>
              <w:left w:val="nil"/>
              <w:bottom w:val="single" w:sz="4" w:space="0" w:color="auto"/>
              <w:right w:val="nil"/>
            </w:tcBorders>
            <w:shd w:val="clear" w:color="auto" w:fill="auto"/>
            <w:noWrap/>
            <w:vAlign w:val="center"/>
            <w:hideMark/>
          </w:tcPr>
          <w:p w14:paraId="6FF28AC5" w14:textId="602E4B65" w:rsidR="00D23F3C" w:rsidRPr="00926421" w:rsidRDefault="00D23F3C" w:rsidP="00D23F3C">
            <w:pPr>
              <w:spacing w:after="0" w:line="240" w:lineRule="auto"/>
              <w:jc w:val="both"/>
              <w:rPr>
                <w:rFonts w:eastAsia="Times New Roman"/>
                <w:color w:val="000000"/>
                <w:sz w:val="22"/>
                <w:szCs w:val="22"/>
              </w:rPr>
            </w:pPr>
            <w:r w:rsidRPr="00926421">
              <w:rPr>
                <w:rFonts w:eastAsia="Times New Roman"/>
                <w:color w:val="000000"/>
                <w:sz w:val="22"/>
                <w:szCs w:val="22"/>
              </w:rPr>
              <w:t xml:space="preserve">    Very high (&gt; 7.540)</w:t>
            </w:r>
          </w:p>
        </w:tc>
        <w:tc>
          <w:tcPr>
            <w:tcW w:w="1171" w:type="dxa"/>
            <w:tcBorders>
              <w:top w:val="nil"/>
              <w:left w:val="nil"/>
              <w:bottom w:val="single" w:sz="4" w:space="0" w:color="auto"/>
              <w:right w:val="single" w:sz="4" w:space="0" w:color="auto"/>
            </w:tcBorders>
            <w:shd w:val="clear" w:color="auto" w:fill="auto"/>
            <w:vAlign w:val="center"/>
            <w:hideMark/>
          </w:tcPr>
          <w:p w14:paraId="46C29351" w14:textId="77777777" w:rsidR="00D23F3C" w:rsidRPr="00926421" w:rsidRDefault="00D23F3C" w:rsidP="00D23F3C">
            <w:pPr>
              <w:tabs>
                <w:tab w:val="decimal" w:pos="520"/>
              </w:tabs>
              <w:spacing w:after="0" w:line="240" w:lineRule="auto"/>
              <w:jc w:val="both"/>
              <w:rPr>
                <w:rFonts w:eastAsia="Times New Roman"/>
                <w:color w:val="000000"/>
                <w:sz w:val="22"/>
                <w:szCs w:val="22"/>
              </w:rPr>
            </w:pPr>
            <w:r w:rsidRPr="00926421">
              <w:rPr>
                <w:rFonts w:eastAsia="Times New Roman"/>
                <w:color w:val="000000"/>
                <w:sz w:val="22"/>
                <w:szCs w:val="22"/>
              </w:rPr>
              <w:t>8.24</w:t>
            </w:r>
          </w:p>
        </w:tc>
      </w:tr>
      <w:bookmarkEnd w:id="56"/>
    </w:tbl>
    <w:p w14:paraId="08C9352C" w14:textId="256ECCCE" w:rsidR="008C69B2" w:rsidRPr="009B2F97" w:rsidRDefault="008C69B2" w:rsidP="000B6FD6">
      <w:pPr>
        <w:spacing w:line="240" w:lineRule="auto"/>
        <w:jc w:val="both"/>
        <w:rPr>
          <w:b/>
          <w:bCs/>
        </w:rPr>
      </w:pPr>
    </w:p>
    <w:p w14:paraId="48F73837" w14:textId="77777777" w:rsidR="008C69B2" w:rsidRPr="009B2F97" w:rsidRDefault="008C69B2" w:rsidP="000B6FD6">
      <w:pPr>
        <w:spacing w:line="240" w:lineRule="auto"/>
        <w:jc w:val="both"/>
        <w:rPr>
          <w:b/>
          <w:bCs/>
        </w:rPr>
      </w:pPr>
    </w:p>
    <w:p w14:paraId="65C0BDC3" w14:textId="4F346EEB" w:rsidR="008C69B2" w:rsidRPr="009B2F97" w:rsidRDefault="008C69B2" w:rsidP="000B6FD6">
      <w:pPr>
        <w:spacing w:line="240" w:lineRule="auto"/>
        <w:jc w:val="both"/>
        <w:rPr>
          <w:b/>
          <w:bCs/>
        </w:rPr>
      </w:pPr>
      <w:r w:rsidRPr="009B2F97">
        <w:rPr>
          <w:b/>
          <w:bCs/>
        </w:rPr>
        <w:br w:type="page"/>
      </w:r>
    </w:p>
    <w:p w14:paraId="26D6FEB8" w14:textId="77777777" w:rsidR="008C69B2" w:rsidRPr="009B2F97" w:rsidRDefault="008C69B2" w:rsidP="000B6FD6">
      <w:pPr>
        <w:spacing w:line="240" w:lineRule="auto"/>
        <w:jc w:val="both"/>
        <w:rPr>
          <w:b/>
          <w:bCs/>
        </w:rPr>
      </w:pPr>
      <w:r w:rsidRPr="009B2F97">
        <w:rPr>
          <w:b/>
          <w:bCs/>
        </w:rPr>
        <w:lastRenderedPageBreak/>
        <w:t xml:space="preserve">Table 2: </w:t>
      </w:r>
      <w:bookmarkStart w:id="57" w:name="_Hlk148697780"/>
      <w:r w:rsidRPr="009B2F97">
        <w:rPr>
          <w:b/>
          <w:bCs/>
        </w:rPr>
        <w:t>Sample Distribution of Exogenous Variables</w:t>
      </w:r>
      <w:bookmarkEnd w:id="57"/>
    </w:p>
    <w:tbl>
      <w:tblPr>
        <w:tblW w:w="9835" w:type="dxa"/>
        <w:tblLook w:val="04A0" w:firstRow="1" w:lastRow="0" w:firstColumn="1" w:lastColumn="0" w:noHBand="0" w:noVBand="1"/>
      </w:tblPr>
      <w:tblGrid>
        <w:gridCol w:w="3055"/>
        <w:gridCol w:w="964"/>
        <w:gridCol w:w="960"/>
        <w:gridCol w:w="2936"/>
        <w:gridCol w:w="960"/>
        <w:gridCol w:w="960"/>
      </w:tblGrid>
      <w:tr w:rsidR="000B6FD6" w:rsidRPr="00926421" w14:paraId="1BF7AA68" w14:textId="77777777" w:rsidTr="00926421">
        <w:trPr>
          <w:trHeight w:val="295"/>
        </w:trPr>
        <w:tc>
          <w:tcPr>
            <w:tcW w:w="3055" w:type="dxa"/>
            <w:tcBorders>
              <w:top w:val="single" w:sz="4" w:space="0" w:color="auto"/>
              <w:left w:val="single" w:sz="4" w:space="0" w:color="auto"/>
              <w:bottom w:val="single" w:sz="4" w:space="0" w:color="auto"/>
              <w:right w:val="nil"/>
            </w:tcBorders>
            <w:shd w:val="clear" w:color="auto" w:fill="auto"/>
            <w:noWrap/>
            <w:vAlign w:val="center"/>
            <w:hideMark/>
          </w:tcPr>
          <w:p w14:paraId="13339F1E" w14:textId="77777777" w:rsidR="000B6FD6" w:rsidRPr="00926421" w:rsidRDefault="000B6FD6" w:rsidP="000B6FD6">
            <w:pPr>
              <w:spacing w:after="0" w:line="240" w:lineRule="auto"/>
              <w:jc w:val="both"/>
              <w:rPr>
                <w:rFonts w:eastAsia="Times New Roman"/>
                <w:b/>
                <w:bCs/>
                <w:color w:val="000000"/>
                <w:sz w:val="22"/>
                <w:szCs w:val="22"/>
              </w:rPr>
            </w:pPr>
            <w:bookmarkStart w:id="58" w:name="_Hlk148697788"/>
            <w:r w:rsidRPr="00926421">
              <w:rPr>
                <w:rFonts w:eastAsia="Times New Roman"/>
                <w:b/>
                <w:bCs/>
                <w:color w:val="000000"/>
                <w:sz w:val="22"/>
                <w:szCs w:val="22"/>
              </w:rPr>
              <w:t>Variable</w:t>
            </w:r>
          </w:p>
        </w:tc>
        <w:tc>
          <w:tcPr>
            <w:tcW w:w="964" w:type="dxa"/>
            <w:tcBorders>
              <w:top w:val="single" w:sz="4" w:space="0" w:color="auto"/>
              <w:left w:val="nil"/>
              <w:bottom w:val="single" w:sz="4" w:space="0" w:color="auto"/>
              <w:right w:val="nil"/>
            </w:tcBorders>
            <w:shd w:val="clear" w:color="auto" w:fill="auto"/>
            <w:noWrap/>
            <w:vAlign w:val="center"/>
            <w:hideMark/>
          </w:tcPr>
          <w:p w14:paraId="3E6BF4DA" w14:textId="77777777" w:rsidR="000B6FD6" w:rsidRPr="00926421" w:rsidRDefault="000B6FD6" w:rsidP="000B6FD6">
            <w:pPr>
              <w:spacing w:after="0" w:line="240" w:lineRule="auto"/>
              <w:jc w:val="center"/>
              <w:rPr>
                <w:rFonts w:eastAsia="Times New Roman"/>
                <w:b/>
                <w:bCs/>
                <w:color w:val="000000"/>
                <w:sz w:val="22"/>
                <w:szCs w:val="22"/>
              </w:rPr>
            </w:pPr>
            <w:r w:rsidRPr="00926421">
              <w:rPr>
                <w:rFonts w:eastAsia="Times New Roman"/>
                <w:b/>
                <w:bCs/>
                <w:color w:val="000000"/>
                <w:sz w:val="22"/>
                <w:szCs w:val="22"/>
              </w:rPr>
              <w:t>% in sample</w:t>
            </w:r>
          </w:p>
        </w:tc>
        <w:tc>
          <w:tcPr>
            <w:tcW w:w="960" w:type="dxa"/>
            <w:tcBorders>
              <w:top w:val="single" w:sz="4" w:space="0" w:color="auto"/>
              <w:left w:val="nil"/>
              <w:bottom w:val="single" w:sz="4" w:space="0" w:color="auto"/>
              <w:right w:val="nil"/>
            </w:tcBorders>
            <w:shd w:val="clear" w:color="auto" w:fill="auto"/>
            <w:noWrap/>
            <w:vAlign w:val="center"/>
            <w:hideMark/>
          </w:tcPr>
          <w:p w14:paraId="4E9D1674" w14:textId="77777777" w:rsidR="000B6FD6" w:rsidRPr="00926421" w:rsidRDefault="000B6FD6" w:rsidP="000B6FD6">
            <w:pPr>
              <w:spacing w:after="0" w:line="240" w:lineRule="auto"/>
              <w:jc w:val="center"/>
              <w:rPr>
                <w:rFonts w:eastAsia="Times New Roman"/>
                <w:b/>
                <w:bCs/>
                <w:color w:val="000000"/>
                <w:sz w:val="22"/>
                <w:szCs w:val="22"/>
              </w:rPr>
            </w:pPr>
            <w:r w:rsidRPr="00926421">
              <w:rPr>
                <w:rFonts w:eastAsia="Times New Roman"/>
                <w:b/>
                <w:bCs/>
                <w:color w:val="000000"/>
                <w:sz w:val="22"/>
                <w:szCs w:val="22"/>
              </w:rPr>
              <w:t>% in ACS</w:t>
            </w:r>
          </w:p>
        </w:tc>
        <w:tc>
          <w:tcPr>
            <w:tcW w:w="2936" w:type="dxa"/>
            <w:tcBorders>
              <w:top w:val="single" w:sz="4" w:space="0" w:color="auto"/>
              <w:left w:val="single" w:sz="4" w:space="0" w:color="auto"/>
              <w:bottom w:val="single" w:sz="4" w:space="0" w:color="auto"/>
              <w:right w:val="nil"/>
            </w:tcBorders>
            <w:shd w:val="clear" w:color="auto" w:fill="auto"/>
            <w:noWrap/>
            <w:vAlign w:val="center"/>
            <w:hideMark/>
          </w:tcPr>
          <w:p w14:paraId="7B733003" w14:textId="77777777"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Variable</w:t>
            </w:r>
          </w:p>
        </w:tc>
        <w:tc>
          <w:tcPr>
            <w:tcW w:w="960" w:type="dxa"/>
            <w:tcBorders>
              <w:top w:val="single" w:sz="4" w:space="0" w:color="auto"/>
              <w:left w:val="nil"/>
              <w:bottom w:val="single" w:sz="4" w:space="0" w:color="auto"/>
              <w:right w:val="nil"/>
            </w:tcBorders>
            <w:shd w:val="clear" w:color="auto" w:fill="auto"/>
            <w:noWrap/>
            <w:vAlign w:val="center"/>
            <w:hideMark/>
          </w:tcPr>
          <w:p w14:paraId="0D05D50F" w14:textId="77777777" w:rsidR="000B6FD6" w:rsidRPr="00926421" w:rsidRDefault="000B6FD6" w:rsidP="000B6FD6">
            <w:pPr>
              <w:spacing w:after="0" w:line="240" w:lineRule="auto"/>
              <w:jc w:val="center"/>
              <w:rPr>
                <w:rFonts w:eastAsia="Times New Roman"/>
                <w:b/>
                <w:bCs/>
                <w:color w:val="000000"/>
                <w:sz w:val="22"/>
                <w:szCs w:val="22"/>
              </w:rPr>
            </w:pPr>
            <w:r w:rsidRPr="00926421">
              <w:rPr>
                <w:rFonts w:eastAsia="Times New Roman"/>
                <w:b/>
                <w:bCs/>
                <w:color w:val="000000"/>
                <w:sz w:val="22"/>
                <w:szCs w:val="22"/>
              </w:rPr>
              <w:t>% in sample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3CB5E91" w14:textId="77777777" w:rsidR="000B6FD6" w:rsidRPr="00926421" w:rsidRDefault="000B6FD6" w:rsidP="000B6FD6">
            <w:pPr>
              <w:spacing w:after="0" w:line="240" w:lineRule="auto"/>
              <w:jc w:val="center"/>
              <w:rPr>
                <w:rFonts w:eastAsia="Times New Roman"/>
                <w:b/>
                <w:bCs/>
                <w:color w:val="000000"/>
                <w:sz w:val="22"/>
                <w:szCs w:val="22"/>
              </w:rPr>
            </w:pPr>
            <w:r w:rsidRPr="00926421">
              <w:rPr>
                <w:rFonts w:eastAsia="Times New Roman"/>
                <w:b/>
                <w:bCs/>
                <w:color w:val="000000"/>
                <w:sz w:val="22"/>
                <w:szCs w:val="22"/>
              </w:rPr>
              <w:t>% in ACS</w:t>
            </w:r>
          </w:p>
        </w:tc>
      </w:tr>
      <w:tr w:rsidR="000B6FD6" w:rsidRPr="00926421" w14:paraId="6467EE9C" w14:textId="77777777" w:rsidTr="00926421">
        <w:trPr>
          <w:trHeight w:val="295"/>
        </w:trPr>
        <w:tc>
          <w:tcPr>
            <w:tcW w:w="3055" w:type="dxa"/>
            <w:tcBorders>
              <w:top w:val="single" w:sz="4" w:space="0" w:color="auto"/>
              <w:left w:val="single" w:sz="4" w:space="0" w:color="auto"/>
              <w:right w:val="nil"/>
            </w:tcBorders>
            <w:shd w:val="clear" w:color="auto" w:fill="auto"/>
            <w:noWrap/>
            <w:vAlign w:val="center"/>
          </w:tcPr>
          <w:p w14:paraId="7816F54D" w14:textId="5AB3BD69"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Household composition</w:t>
            </w:r>
          </w:p>
        </w:tc>
        <w:tc>
          <w:tcPr>
            <w:tcW w:w="964" w:type="dxa"/>
            <w:tcBorders>
              <w:top w:val="single" w:sz="4" w:space="0" w:color="auto"/>
              <w:left w:val="nil"/>
              <w:right w:val="nil"/>
            </w:tcBorders>
            <w:shd w:val="clear" w:color="auto" w:fill="auto"/>
            <w:noWrap/>
            <w:vAlign w:val="center"/>
          </w:tcPr>
          <w:p w14:paraId="23CD79CB" w14:textId="77777777" w:rsidR="000B6FD6" w:rsidRPr="00926421" w:rsidRDefault="000B6FD6" w:rsidP="000B6FD6">
            <w:pPr>
              <w:tabs>
                <w:tab w:val="decimal" w:pos="435"/>
              </w:tabs>
              <w:spacing w:after="0" w:line="240" w:lineRule="auto"/>
              <w:jc w:val="both"/>
              <w:rPr>
                <w:rFonts w:eastAsia="Times New Roman"/>
                <w:b/>
                <w:bCs/>
                <w:color w:val="000000"/>
                <w:sz w:val="22"/>
                <w:szCs w:val="22"/>
              </w:rPr>
            </w:pPr>
          </w:p>
        </w:tc>
        <w:tc>
          <w:tcPr>
            <w:tcW w:w="960" w:type="dxa"/>
            <w:tcBorders>
              <w:top w:val="single" w:sz="4" w:space="0" w:color="auto"/>
              <w:left w:val="nil"/>
              <w:right w:val="nil"/>
            </w:tcBorders>
            <w:shd w:val="clear" w:color="auto" w:fill="auto"/>
            <w:noWrap/>
            <w:vAlign w:val="center"/>
          </w:tcPr>
          <w:p w14:paraId="1CC62D1A" w14:textId="77777777" w:rsidR="000B6FD6" w:rsidRPr="00926421" w:rsidRDefault="000B6FD6" w:rsidP="000B6FD6">
            <w:pPr>
              <w:tabs>
                <w:tab w:val="decimal" w:pos="365"/>
              </w:tabs>
              <w:spacing w:after="0" w:line="240" w:lineRule="auto"/>
              <w:jc w:val="both"/>
              <w:rPr>
                <w:rFonts w:eastAsia="Times New Roman"/>
                <w:b/>
                <w:bCs/>
                <w:color w:val="000000"/>
                <w:sz w:val="22"/>
                <w:szCs w:val="22"/>
              </w:rPr>
            </w:pPr>
          </w:p>
        </w:tc>
        <w:tc>
          <w:tcPr>
            <w:tcW w:w="2936" w:type="dxa"/>
            <w:tcBorders>
              <w:top w:val="single" w:sz="4" w:space="0" w:color="auto"/>
              <w:left w:val="single" w:sz="4" w:space="0" w:color="auto"/>
              <w:right w:val="nil"/>
            </w:tcBorders>
            <w:shd w:val="clear" w:color="auto" w:fill="auto"/>
            <w:noWrap/>
            <w:vAlign w:val="center"/>
          </w:tcPr>
          <w:p w14:paraId="79BCF571" w14:textId="001243C1"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Region</w:t>
            </w:r>
          </w:p>
        </w:tc>
        <w:tc>
          <w:tcPr>
            <w:tcW w:w="960" w:type="dxa"/>
            <w:tcBorders>
              <w:top w:val="single" w:sz="4" w:space="0" w:color="auto"/>
              <w:left w:val="nil"/>
              <w:right w:val="nil"/>
            </w:tcBorders>
            <w:shd w:val="clear" w:color="auto" w:fill="auto"/>
            <w:noWrap/>
            <w:vAlign w:val="center"/>
          </w:tcPr>
          <w:p w14:paraId="6120D654" w14:textId="77777777" w:rsidR="000B6FD6" w:rsidRPr="00926421" w:rsidRDefault="000B6FD6" w:rsidP="000B6FD6">
            <w:pPr>
              <w:tabs>
                <w:tab w:val="decimal" w:pos="341"/>
              </w:tabs>
              <w:spacing w:after="0" w:line="240" w:lineRule="auto"/>
              <w:jc w:val="both"/>
              <w:rPr>
                <w:rFonts w:eastAsia="Times New Roman"/>
                <w:b/>
                <w:bCs/>
                <w:color w:val="000000"/>
                <w:sz w:val="22"/>
                <w:szCs w:val="22"/>
              </w:rPr>
            </w:pPr>
          </w:p>
        </w:tc>
        <w:tc>
          <w:tcPr>
            <w:tcW w:w="960" w:type="dxa"/>
            <w:tcBorders>
              <w:top w:val="single" w:sz="4" w:space="0" w:color="auto"/>
              <w:left w:val="nil"/>
              <w:right w:val="single" w:sz="4" w:space="0" w:color="auto"/>
            </w:tcBorders>
            <w:shd w:val="clear" w:color="auto" w:fill="auto"/>
            <w:noWrap/>
            <w:vAlign w:val="center"/>
          </w:tcPr>
          <w:p w14:paraId="43CB2C1B" w14:textId="57BDF1A5" w:rsidR="000B6FD6" w:rsidRPr="00926421" w:rsidRDefault="000B6FD6" w:rsidP="000B6FD6">
            <w:pPr>
              <w:tabs>
                <w:tab w:val="decimal" w:pos="368"/>
              </w:tabs>
              <w:spacing w:after="0" w:line="240" w:lineRule="auto"/>
              <w:jc w:val="both"/>
              <w:rPr>
                <w:rFonts w:eastAsia="Times New Roman"/>
                <w:b/>
                <w:bCs/>
                <w:color w:val="000000"/>
                <w:sz w:val="22"/>
                <w:szCs w:val="22"/>
              </w:rPr>
            </w:pPr>
            <w:r w:rsidRPr="00926421">
              <w:rPr>
                <w:rFonts w:eastAsia="Times New Roman"/>
                <w:color w:val="000000"/>
                <w:sz w:val="22"/>
                <w:szCs w:val="22"/>
              </w:rPr>
              <w:t> </w:t>
            </w:r>
          </w:p>
        </w:tc>
      </w:tr>
      <w:tr w:rsidR="000B6FD6" w:rsidRPr="00926421" w14:paraId="2124AF2A" w14:textId="77777777" w:rsidTr="00926421">
        <w:trPr>
          <w:trHeight w:val="295"/>
        </w:trPr>
        <w:tc>
          <w:tcPr>
            <w:tcW w:w="3055" w:type="dxa"/>
            <w:tcBorders>
              <w:left w:val="single" w:sz="4" w:space="0" w:color="auto"/>
            </w:tcBorders>
            <w:shd w:val="clear" w:color="auto" w:fill="auto"/>
            <w:noWrap/>
            <w:vAlign w:val="center"/>
          </w:tcPr>
          <w:p w14:paraId="14ED4A01" w14:textId="3C7654CA"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Single</w:t>
            </w:r>
          </w:p>
        </w:tc>
        <w:tc>
          <w:tcPr>
            <w:tcW w:w="964" w:type="dxa"/>
            <w:shd w:val="clear" w:color="auto" w:fill="auto"/>
            <w:noWrap/>
            <w:vAlign w:val="center"/>
          </w:tcPr>
          <w:p w14:paraId="6E3CBE4F" w14:textId="229F9596"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26.4</w:t>
            </w:r>
          </w:p>
        </w:tc>
        <w:tc>
          <w:tcPr>
            <w:tcW w:w="960" w:type="dxa"/>
            <w:tcBorders>
              <w:right w:val="single" w:sz="4" w:space="0" w:color="auto"/>
            </w:tcBorders>
            <w:shd w:val="clear" w:color="auto" w:fill="auto"/>
            <w:noWrap/>
            <w:vAlign w:val="center"/>
          </w:tcPr>
          <w:p w14:paraId="2B5DD483" w14:textId="5F3A6AEA"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40.3</w:t>
            </w:r>
          </w:p>
        </w:tc>
        <w:tc>
          <w:tcPr>
            <w:tcW w:w="2936" w:type="dxa"/>
            <w:tcBorders>
              <w:left w:val="single" w:sz="4" w:space="0" w:color="auto"/>
            </w:tcBorders>
            <w:shd w:val="clear" w:color="auto" w:fill="auto"/>
            <w:noWrap/>
            <w:vAlign w:val="center"/>
          </w:tcPr>
          <w:p w14:paraId="49AE6A26" w14:textId="2CEC1911"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Northeast</w:t>
            </w:r>
          </w:p>
        </w:tc>
        <w:tc>
          <w:tcPr>
            <w:tcW w:w="960" w:type="dxa"/>
            <w:shd w:val="clear" w:color="auto" w:fill="auto"/>
            <w:noWrap/>
            <w:vAlign w:val="center"/>
          </w:tcPr>
          <w:p w14:paraId="432B155D" w14:textId="788A6548" w:rsidR="000B6FD6" w:rsidRPr="00926421" w:rsidRDefault="000B6FD6" w:rsidP="000B6FD6">
            <w:pPr>
              <w:tabs>
                <w:tab w:val="decimal" w:pos="341"/>
              </w:tabs>
              <w:spacing w:after="0" w:line="240" w:lineRule="auto"/>
              <w:jc w:val="both"/>
              <w:rPr>
                <w:rFonts w:eastAsia="Times New Roman"/>
                <w:b/>
                <w:bCs/>
                <w:color w:val="000000"/>
                <w:sz w:val="22"/>
                <w:szCs w:val="22"/>
              </w:rPr>
            </w:pPr>
            <w:r w:rsidRPr="00926421">
              <w:rPr>
                <w:rFonts w:eastAsia="Times New Roman"/>
                <w:color w:val="000000"/>
                <w:sz w:val="22"/>
                <w:szCs w:val="22"/>
              </w:rPr>
              <w:t>10.5</w:t>
            </w:r>
          </w:p>
        </w:tc>
        <w:tc>
          <w:tcPr>
            <w:tcW w:w="960" w:type="dxa"/>
            <w:tcBorders>
              <w:right w:val="single" w:sz="4" w:space="0" w:color="auto"/>
            </w:tcBorders>
            <w:shd w:val="clear" w:color="auto" w:fill="auto"/>
            <w:noWrap/>
            <w:vAlign w:val="center"/>
          </w:tcPr>
          <w:p w14:paraId="66DF574A" w14:textId="705C7FA0" w:rsidR="000B6FD6" w:rsidRPr="00926421" w:rsidRDefault="000B6FD6" w:rsidP="000B6FD6">
            <w:pPr>
              <w:tabs>
                <w:tab w:val="decimal" w:pos="368"/>
              </w:tabs>
              <w:spacing w:after="0" w:line="240" w:lineRule="auto"/>
              <w:jc w:val="both"/>
              <w:rPr>
                <w:rFonts w:eastAsia="Times New Roman"/>
                <w:b/>
                <w:bCs/>
                <w:color w:val="000000"/>
                <w:sz w:val="22"/>
                <w:szCs w:val="22"/>
              </w:rPr>
            </w:pPr>
            <w:r w:rsidRPr="00926421">
              <w:rPr>
                <w:rFonts w:eastAsia="Times New Roman"/>
                <w:color w:val="000000"/>
                <w:sz w:val="22"/>
                <w:szCs w:val="22"/>
              </w:rPr>
              <w:t>17.2</w:t>
            </w:r>
          </w:p>
        </w:tc>
      </w:tr>
      <w:tr w:rsidR="000B6FD6" w:rsidRPr="00926421" w14:paraId="5499EEA0" w14:textId="77777777" w:rsidTr="00926421">
        <w:trPr>
          <w:trHeight w:val="295"/>
        </w:trPr>
        <w:tc>
          <w:tcPr>
            <w:tcW w:w="3055" w:type="dxa"/>
            <w:tcBorders>
              <w:left w:val="single" w:sz="4" w:space="0" w:color="auto"/>
            </w:tcBorders>
            <w:shd w:val="clear" w:color="auto" w:fill="auto"/>
            <w:noWrap/>
            <w:vAlign w:val="center"/>
          </w:tcPr>
          <w:p w14:paraId="68161C7F" w14:textId="5F248187"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Couple</w:t>
            </w:r>
          </w:p>
        </w:tc>
        <w:tc>
          <w:tcPr>
            <w:tcW w:w="964" w:type="dxa"/>
            <w:shd w:val="clear" w:color="auto" w:fill="auto"/>
            <w:noWrap/>
            <w:vAlign w:val="center"/>
          </w:tcPr>
          <w:p w14:paraId="335015D8" w14:textId="1689EED0"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50.9</w:t>
            </w:r>
          </w:p>
        </w:tc>
        <w:tc>
          <w:tcPr>
            <w:tcW w:w="960" w:type="dxa"/>
            <w:tcBorders>
              <w:right w:val="single" w:sz="4" w:space="0" w:color="auto"/>
            </w:tcBorders>
            <w:shd w:val="clear" w:color="auto" w:fill="auto"/>
            <w:noWrap/>
            <w:vAlign w:val="center"/>
          </w:tcPr>
          <w:p w14:paraId="2262D3EA" w14:textId="449B6213"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48.2</w:t>
            </w:r>
          </w:p>
        </w:tc>
        <w:tc>
          <w:tcPr>
            <w:tcW w:w="2936" w:type="dxa"/>
            <w:tcBorders>
              <w:left w:val="single" w:sz="4" w:space="0" w:color="auto"/>
            </w:tcBorders>
            <w:shd w:val="clear" w:color="auto" w:fill="auto"/>
            <w:noWrap/>
            <w:vAlign w:val="center"/>
          </w:tcPr>
          <w:p w14:paraId="446886AF" w14:textId="279922B9"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Midwest</w:t>
            </w:r>
          </w:p>
        </w:tc>
        <w:tc>
          <w:tcPr>
            <w:tcW w:w="960" w:type="dxa"/>
            <w:shd w:val="clear" w:color="auto" w:fill="auto"/>
            <w:noWrap/>
            <w:vAlign w:val="center"/>
          </w:tcPr>
          <w:p w14:paraId="7903B6C5" w14:textId="38D5E7F4" w:rsidR="000B6FD6" w:rsidRPr="00926421" w:rsidRDefault="000B6FD6" w:rsidP="000B6FD6">
            <w:pPr>
              <w:tabs>
                <w:tab w:val="decimal" w:pos="341"/>
              </w:tabs>
              <w:spacing w:after="0" w:line="240" w:lineRule="auto"/>
              <w:jc w:val="both"/>
              <w:rPr>
                <w:rFonts w:eastAsia="Times New Roman"/>
                <w:b/>
                <w:bCs/>
                <w:color w:val="000000"/>
                <w:sz w:val="22"/>
                <w:szCs w:val="22"/>
              </w:rPr>
            </w:pPr>
            <w:r w:rsidRPr="00926421">
              <w:rPr>
                <w:rFonts w:eastAsia="Times New Roman"/>
                <w:color w:val="000000"/>
                <w:sz w:val="22"/>
                <w:szCs w:val="22"/>
              </w:rPr>
              <w:t>23.1</w:t>
            </w:r>
          </w:p>
        </w:tc>
        <w:tc>
          <w:tcPr>
            <w:tcW w:w="960" w:type="dxa"/>
            <w:tcBorders>
              <w:right w:val="single" w:sz="4" w:space="0" w:color="auto"/>
            </w:tcBorders>
            <w:shd w:val="clear" w:color="auto" w:fill="auto"/>
            <w:noWrap/>
            <w:vAlign w:val="center"/>
          </w:tcPr>
          <w:p w14:paraId="1E87A38C" w14:textId="01303FD4" w:rsidR="000B6FD6" w:rsidRPr="00926421" w:rsidRDefault="000B6FD6" w:rsidP="000B6FD6">
            <w:pPr>
              <w:tabs>
                <w:tab w:val="decimal" w:pos="368"/>
              </w:tabs>
              <w:spacing w:after="0" w:line="240" w:lineRule="auto"/>
              <w:jc w:val="both"/>
              <w:rPr>
                <w:rFonts w:eastAsia="Times New Roman"/>
                <w:b/>
                <w:bCs/>
                <w:color w:val="000000"/>
                <w:sz w:val="22"/>
                <w:szCs w:val="22"/>
              </w:rPr>
            </w:pPr>
            <w:r w:rsidRPr="00926421">
              <w:rPr>
                <w:rFonts w:eastAsia="Times New Roman"/>
                <w:color w:val="000000"/>
                <w:sz w:val="22"/>
                <w:szCs w:val="22"/>
              </w:rPr>
              <w:t>20.7</w:t>
            </w:r>
          </w:p>
        </w:tc>
      </w:tr>
      <w:tr w:rsidR="000B6FD6" w:rsidRPr="00926421" w14:paraId="0F8A9C53" w14:textId="77777777" w:rsidTr="00926421">
        <w:trPr>
          <w:trHeight w:val="295"/>
        </w:trPr>
        <w:tc>
          <w:tcPr>
            <w:tcW w:w="3055" w:type="dxa"/>
            <w:tcBorders>
              <w:left w:val="single" w:sz="4" w:space="0" w:color="auto"/>
            </w:tcBorders>
            <w:shd w:val="clear" w:color="auto" w:fill="auto"/>
            <w:noWrap/>
            <w:vAlign w:val="center"/>
          </w:tcPr>
          <w:p w14:paraId="0A5CB5D4" w14:textId="180E5BCE"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Related adults</w:t>
            </w:r>
          </w:p>
        </w:tc>
        <w:tc>
          <w:tcPr>
            <w:tcW w:w="964" w:type="dxa"/>
            <w:shd w:val="clear" w:color="auto" w:fill="auto"/>
            <w:noWrap/>
            <w:vAlign w:val="center"/>
          </w:tcPr>
          <w:p w14:paraId="21B83DC4" w14:textId="79E4ACB3"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16.2</w:t>
            </w:r>
          </w:p>
        </w:tc>
        <w:tc>
          <w:tcPr>
            <w:tcW w:w="960" w:type="dxa"/>
            <w:tcBorders>
              <w:right w:val="single" w:sz="4" w:space="0" w:color="auto"/>
            </w:tcBorders>
            <w:shd w:val="clear" w:color="auto" w:fill="auto"/>
            <w:noWrap/>
            <w:vAlign w:val="center"/>
          </w:tcPr>
          <w:p w14:paraId="34264113" w14:textId="54C23813"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4.9</w:t>
            </w:r>
          </w:p>
        </w:tc>
        <w:tc>
          <w:tcPr>
            <w:tcW w:w="2936" w:type="dxa"/>
            <w:tcBorders>
              <w:left w:val="single" w:sz="4" w:space="0" w:color="auto"/>
            </w:tcBorders>
            <w:shd w:val="clear" w:color="auto" w:fill="auto"/>
            <w:noWrap/>
            <w:vAlign w:val="center"/>
          </w:tcPr>
          <w:p w14:paraId="3A9B4A92" w14:textId="330D66BB"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South</w:t>
            </w:r>
          </w:p>
        </w:tc>
        <w:tc>
          <w:tcPr>
            <w:tcW w:w="960" w:type="dxa"/>
            <w:shd w:val="clear" w:color="auto" w:fill="auto"/>
            <w:noWrap/>
            <w:vAlign w:val="center"/>
          </w:tcPr>
          <w:p w14:paraId="7288A69E" w14:textId="242AEF0D" w:rsidR="000B6FD6" w:rsidRPr="00926421" w:rsidRDefault="000B6FD6" w:rsidP="000B6FD6">
            <w:pPr>
              <w:tabs>
                <w:tab w:val="decimal" w:pos="341"/>
              </w:tabs>
              <w:spacing w:after="0" w:line="240" w:lineRule="auto"/>
              <w:jc w:val="both"/>
              <w:rPr>
                <w:rFonts w:eastAsia="Times New Roman"/>
                <w:b/>
                <w:bCs/>
                <w:color w:val="000000"/>
                <w:sz w:val="22"/>
                <w:szCs w:val="22"/>
              </w:rPr>
            </w:pPr>
            <w:r w:rsidRPr="00926421">
              <w:rPr>
                <w:rFonts w:eastAsia="Times New Roman"/>
                <w:color w:val="000000"/>
                <w:sz w:val="22"/>
                <w:szCs w:val="22"/>
              </w:rPr>
              <w:t>25.7</w:t>
            </w:r>
          </w:p>
        </w:tc>
        <w:tc>
          <w:tcPr>
            <w:tcW w:w="960" w:type="dxa"/>
            <w:tcBorders>
              <w:right w:val="single" w:sz="4" w:space="0" w:color="auto"/>
            </w:tcBorders>
            <w:shd w:val="clear" w:color="auto" w:fill="auto"/>
            <w:noWrap/>
            <w:vAlign w:val="center"/>
          </w:tcPr>
          <w:p w14:paraId="7F6CE498" w14:textId="1E217FE8" w:rsidR="000B6FD6" w:rsidRPr="00926421" w:rsidRDefault="000B6FD6" w:rsidP="000B6FD6">
            <w:pPr>
              <w:tabs>
                <w:tab w:val="decimal" w:pos="368"/>
              </w:tabs>
              <w:spacing w:after="0" w:line="240" w:lineRule="auto"/>
              <w:jc w:val="both"/>
              <w:rPr>
                <w:rFonts w:eastAsia="Times New Roman"/>
                <w:b/>
                <w:bCs/>
                <w:color w:val="000000"/>
                <w:sz w:val="22"/>
                <w:szCs w:val="22"/>
              </w:rPr>
            </w:pPr>
            <w:r w:rsidRPr="00926421">
              <w:rPr>
                <w:rFonts w:eastAsia="Times New Roman"/>
                <w:color w:val="000000"/>
                <w:sz w:val="22"/>
                <w:szCs w:val="22"/>
              </w:rPr>
              <w:t>38.4</w:t>
            </w:r>
          </w:p>
        </w:tc>
      </w:tr>
      <w:tr w:rsidR="000B6FD6" w:rsidRPr="00926421" w14:paraId="05AB8891" w14:textId="77777777" w:rsidTr="00926421">
        <w:trPr>
          <w:trHeight w:val="295"/>
        </w:trPr>
        <w:tc>
          <w:tcPr>
            <w:tcW w:w="3055" w:type="dxa"/>
            <w:tcBorders>
              <w:left w:val="single" w:sz="4" w:space="0" w:color="auto"/>
            </w:tcBorders>
            <w:shd w:val="clear" w:color="auto" w:fill="auto"/>
            <w:noWrap/>
            <w:vAlign w:val="center"/>
          </w:tcPr>
          <w:p w14:paraId="57E0BB2C" w14:textId="39EE2438"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Roommates</w:t>
            </w:r>
          </w:p>
        </w:tc>
        <w:tc>
          <w:tcPr>
            <w:tcW w:w="964" w:type="dxa"/>
            <w:shd w:val="clear" w:color="auto" w:fill="auto"/>
            <w:noWrap/>
            <w:vAlign w:val="center"/>
          </w:tcPr>
          <w:p w14:paraId="63797979" w14:textId="7FF040B9"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6.6</w:t>
            </w:r>
          </w:p>
        </w:tc>
        <w:tc>
          <w:tcPr>
            <w:tcW w:w="960" w:type="dxa"/>
            <w:tcBorders>
              <w:right w:val="single" w:sz="4" w:space="0" w:color="auto"/>
            </w:tcBorders>
            <w:shd w:val="clear" w:color="auto" w:fill="auto"/>
            <w:noWrap/>
            <w:vAlign w:val="center"/>
          </w:tcPr>
          <w:p w14:paraId="463605C7" w14:textId="3EEFE4E1"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6.6</w:t>
            </w:r>
          </w:p>
        </w:tc>
        <w:tc>
          <w:tcPr>
            <w:tcW w:w="2936" w:type="dxa"/>
            <w:tcBorders>
              <w:left w:val="single" w:sz="4" w:space="0" w:color="auto"/>
            </w:tcBorders>
            <w:shd w:val="clear" w:color="auto" w:fill="auto"/>
            <w:noWrap/>
            <w:vAlign w:val="center"/>
          </w:tcPr>
          <w:p w14:paraId="21886F92" w14:textId="0634AFA1"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West</w:t>
            </w:r>
          </w:p>
        </w:tc>
        <w:tc>
          <w:tcPr>
            <w:tcW w:w="960" w:type="dxa"/>
            <w:shd w:val="clear" w:color="auto" w:fill="auto"/>
            <w:noWrap/>
            <w:vAlign w:val="center"/>
          </w:tcPr>
          <w:p w14:paraId="0A2D0A6F" w14:textId="2E426222" w:rsidR="000B6FD6" w:rsidRPr="00926421" w:rsidRDefault="000B6FD6" w:rsidP="000B6FD6">
            <w:pPr>
              <w:tabs>
                <w:tab w:val="decimal" w:pos="341"/>
              </w:tabs>
              <w:spacing w:after="0" w:line="240" w:lineRule="auto"/>
              <w:jc w:val="both"/>
              <w:rPr>
                <w:rFonts w:eastAsia="Times New Roman"/>
                <w:b/>
                <w:bCs/>
                <w:color w:val="000000"/>
                <w:sz w:val="22"/>
                <w:szCs w:val="22"/>
              </w:rPr>
            </w:pPr>
            <w:r w:rsidRPr="00926421">
              <w:rPr>
                <w:rFonts w:eastAsia="Times New Roman"/>
                <w:color w:val="000000"/>
                <w:sz w:val="22"/>
                <w:szCs w:val="22"/>
              </w:rPr>
              <w:t>40.7</w:t>
            </w:r>
          </w:p>
        </w:tc>
        <w:tc>
          <w:tcPr>
            <w:tcW w:w="960" w:type="dxa"/>
            <w:tcBorders>
              <w:right w:val="single" w:sz="4" w:space="0" w:color="auto"/>
            </w:tcBorders>
            <w:shd w:val="clear" w:color="auto" w:fill="auto"/>
            <w:noWrap/>
            <w:vAlign w:val="center"/>
          </w:tcPr>
          <w:p w14:paraId="7CF6085B" w14:textId="43BB7BBE" w:rsidR="000B6FD6" w:rsidRPr="00926421" w:rsidRDefault="000B6FD6" w:rsidP="000B6FD6">
            <w:pPr>
              <w:tabs>
                <w:tab w:val="decimal" w:pos="368"/>
              </w:tabs>
              <w:spacing w:after="0" w:line="240" w:lineRule="auto"/>
              <w:jc w:val="both"/>
              <w:rPr>
                <w:rFonts w:eastAsia="Times New Roman"/>
                <w:b/>
                <w:bCs/>
                <w:color w:val="000000"/>
                <w:sz w:val="22"/>
                <w:szCs w:val="22"/>
              </w:rPr>
            </w:pPr>
            <w:r w:rsidRPr="00926421">
              <w:rPr>
                <w:rFonts w:eastAsia="Times New Roman"/>
                <w:color w:val="000000"/>
                <w:sz w:val="22"/>
                <w:szCs w:val="22"/>
              </w:rPr>
              <w:t>23.7</w:t>
            </w:r>
          </w:p>
        </w:tc>
      </w:tr>
      <w:tr w:rsidR="000B6FD6" w:rsidRPr="00926421" w14:paraId="2A826053" w14:textId="77777777" w:rsidTr="00926421">
        <w:trPr>
          <w:trHeight w:val="295"/>
        </w:trPr>
        <w:tc>
          <w:tcPr>
            <w:tcW w:w="4979" w:type="dxa"/>
            <w:gridSpan w:val="3"/>
            <w:tcBorders>
              <w:left w:val="single" w:sz="4" w:space="0" w:color="auto"/>
              <w:bottom w:val="nil"/>
              <w:right w:val="nil"/>
            </w:tcBorders>
            <w:shd w:val="clear" w:color="auto" w:fill="auto"/>
            <w:noWrap/>
            <w:vAlign w:val="center"/>
          </w:tcPr>
          <w:p w14:paraId="0751276F" w14:textId="10B1F9E4"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b/>
                <w:bCs/>
                <w:color w:val="000000"/>
                <w:sz w:val="22"/>
                <w:szCs w:val="22"/>
              </w:rPr>
              <w:t>Presence of seniors</w:t>
            </w:r>
            <w:r w:rsidR="00EB4FF2" w:rsidRPr="00926421">
              <w:rPr>
                <w:rFonts w:eastAsia="Times New Roman"/>
                <w:b/>
                <w:bCs/>
                <w:color w:val="000000"/>
                <w:sz w:val="22"/>
                <w:szCs w:val="22"/>
              </w:rPr>
              <w:t xml:space="preserve"> (age ≥ 65 years)</w:t>
            </w:r>
          </w:p>
        </w:tc>
        <w:tc>
          <w:tcPr>
            <w:tcW w:w="2936" w:type="dxa"/>
            <w:tcBorders>
              <w:left w:val="single" w:sz="4" w:space="0" w:color="auto"/>
              <w:bottom w:val="nil"/>
              <w:right w:val="nil"/>
            </w:tcBorders>
            <w:shd w:val="clear" w:color="auto" w:fill="auto"/>
            <w:noWrap/>
            <w:vAlign w:val="center"/>
          </w:tcPr>
          <w:p w14:paraId="4F628405" w14:textId="732D2340"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Education</w:t>
            </w:r>
          </w:p>
        </w:tc>
        <w:tc>
          <w:tcPr>
            <w:tcW w:w="960" w:type="dxa"/>
            <w:tcBorders>
              <w:left w:val="nil"/>
              <w:bottom w:val="nil"/>
              <w:right w:val="nil"/>
            </w:tcBorders>
            <w:shd w:val="clear" w:color="auto" w:fill="auto"/>
            <w:noWrap/>
            <w:vAlign w:val="center"/>
          </w:tcPr>
          <w:p w14:paraId="116FA496" w14:textId="77777777" w:rsidR="000B6FD6" w:rsidRPr="00926421" w:rsidRDefault="000B6FD6" w:rsidP="000B6FD6">
            <w:pPr>
              <w:tabs>
                <w:tab w:val="decimal" w:pos="341"/>
              </w:tabs>
              <w:spacing w:after="0" w:line="240" w:lineRule="auto"/>
              <w:jc w:val="both"/>
              <w:rPr>
                <w:rFonts w:eastAsia="Times New Roman"/>
                <w:b/>
                <w:bCs/>
                <w:color w:val="000000"/>
                <w:sz w:val="22"/>
                <w:szCs w:val="22"/>
              </w:rPr>
            </w:pPr>
          </w:p>
        </w:tc>
        <w:tc>
          <w:tcPr>
            <w:tcW w:w="960" w:type="dxa"/>
            <w:tcBorders>
              <w:left w:val="nil"/>
              <w:bottom w:val="nil"/>
              <w:right w:val="single" w:sz="4" w:space="0" w:color="auto"/>
            </w:tcBorders>
            <w:shd w:val="clear" w:color="auto" w:fill="auto"/>
            <w:noWrap/>
            <w:vAlign w:val="center"/>
          </w:tcPr>
          <w:p w14:paraId="0309D022" w14:textId="617B71D7" w:rsidR="000B6FD6" w:rsidRPr="00926421" w:rsidRDefault="000B6FD6" w:rsidP="000B6FD6">
            <w:pPr>
              <w:tabs>
                <w:tab w:val="decimal" w:pos="368"/>
              </w:tabs>
              <w:spacing w:after="0" w:line="240" w:lineRule="auto"/>
              <w:jc w:val="both"/>
              <w:rPr>
                <w:rFonts w:eastAsia="Times New Roman"/>
                <w:color w:val="000000"/>
                <w:sz w:val="22"/>
                <w:szCs w:val="22"/>
              </w:rPr>
            </w:pPr>
          </w:p>
        </w:tc>
      </w:tr>
      <w:tr w:rsidR="000B6FD6" w:rsidRPr="00926421" w14:paraId="4AD99F8E"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66B61DEE" w14:textId="065E6F26"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Yes</w:t>
            </w:r>
          </w:p>
        </w:tc>
        <w:tc>
          <w:tcPr>
            <w:tcW w:w="964" w:type="dxa"/>
            <w:tcBorders>
              <w:top w:val="nil"/>
              <w:left w:val="nil"/>
              <w:bottom w:val="nil"/>
              <w:right w:val="nil"/>
            </w:tcBorders>
            <w:shd w:val="clear" w:color="auto" w:fill="auto"/>
            <w:noWrap/>
            <w:vAlign w:val="center"/>
          </w:tcPr>
          <w:p w14:paraId="73A712C4" w14:textId="6FDAB4FB"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41.0</w:t>
            </w:r>
          </w:p>
        </w:tc>
        <w:tc>
          <w:tcPr>
            <w:tcW w:w="960" w:type="dxa"/>
            <w:tcBorders>
              <w:top w:val="nil"/>
              <w:left w:val="nil"/>
              <w:bottom w:val="nil"/>
              <w:right w:val="nil"/>
            </w:tcBorders>
            <w:shd w:val="clear" w:color="auto" w:fill="auto"/>
            <w:noWrap/>
            <w:vAlign w:val="center"/>
          </w:tcPr>
          <w:p w14:paraId="6B87EB34" w14:textId="345DF985"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30.2</w:t>
            </w:r>
          </w:p>
        </w:tc>
        <w:tc>
          <w:tcPr>
            <w:tcW w:w="2936" w:type="dxa"/>
            <w:tcBorders>
              <w:top w:val="nil"/>
              <w:left w:val="single" w:sz="4" w:space="0" w:color="auto"/>
              <w:bottom w:val="nil"/>
              <w:right w:val="nil"/>
            </w:tcBorders>
            <w:shd w:val="clear" w:color="auto" w:fill="auto"/>
            <w:noWrap/>
            <w:vAlign w:val="center"/>
          </w:tcPr>
          <w:p w14:paraId="5857096C" w14:textId="4C62EDD0" w:rsidR="000B6FD6" w:rsidRPr="00926421" w:rsidRDefault="000B6FD6" w:rsidP="00926421">
            <w:pPr>
              <w:spacing w:after="0" w:line="240" w:lineRule="auto"/>
              <w:rPr>
                <w:rFonts w:eastAsia="Times New Roman"/>
                <w:color w:val="000000"/>
                <w:sz w:val="22"/>
                <w:szCs w:val="22"/>
              </w:rPr>
            </w:pPr>
            <w:r w:rsidRPr="00926421">
              <w:rPr>
                <w:rFonts w:eastAsia="Times New Roman"/>
                <w:color w:val="000000"/>
                <w:sz w:val="22"/>
                <w:szCs w:val="22"/>
              </w:rPr>
              <w:t xml:space="preserve">    Less than bachelor’s degree</w:t>
            </w:r>
          </w:p>
        </w:tc>
        <w:tc>
          <w:tcPr>
            <w:tcW w:w="960" w:type="dxa"/>
            <w:tcBorders>
              <w:top w:val="nil"/>
              <w:left w:val="nil"/>
              <w:bottom w:val="nil"/>
              <w:right w:val="nil"/>
            </w:tcBorders>
            <w:shd w:val="clear" w:color="auto" w:fill="auto"/>
            <w:noWrap/>
            <w:vAlign w:val="center"/>
          </w:tcPr>
          <w:p w14:paraId="1E1164DB" w14:textId="0A4A284C"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37.4</w:t>
            </w:r>
          </w:p>
        </w:tc>
        <w:tc>
          <w:tcPr>
            <w:tcW w:w="960" w:type="dxa"/>
            <w:tcBorders>
              <w:top w:val="nil"/>
              <w:left w:val="nil"/>
              <w:bottom w:val="nil"/>
              <w:right w:val="single" w:sz="4" w:space="0" w:color="auto"/>
            </w:tcBorders>
            <w:shd w:val="clear" w:color="auto" w:fill="auto"/>
            <w:noWrap/>
            <w:vAlign w:val="center"/>
          </w:tcPr>
          <w:p w14:paraId="1C56D943" w14:textId="30A01050"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66.3</w:t>
            </w:r>
          </w:p>
        </w:tc>
      </w:tr>
      <w:tr w:rsidR="000B6FD6" w:rsidRPr="00926421" w14:paraId="5C008C7A" w14:textId="77777777" w:rsidTr="00926421">
        <w:trPr>
          <w:trHeight w:val="295"/>
        </w:trPr>
        <w:tc>
          <w:tcPr>
            <w:tcW w:w="3055" w:type="dxa"/>
            <w:tcBorders>
              <w:top w:val="nil"/>
              <w:left w:val="single" w:sz="4" w:space="0" w:color="auto"/>
              <w:right w:val="nil"/>
            </w:tcBorders>
            <w:shd w:val="clear" w:color="auto" w:fill="auto"/>
            <w:noWrap/>
            <w:vAlign w:val="center"/>
          </w:tcPr>
          <w:p w14:paraId="19CAD79D" w14:textId="143A325E"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No</w:t>
            </w:r>
          </w:p>
        </w:tc>
        <w:tc>
          <w:tcPr>
            <w:tcW w:w="964" w:type="dxa"/>
            <w:tcBorders>
              <w:top w:val="nil"/>
              <w:left w:val="nil"/>
              <w:right w:val="nil"/>
            </w:tcBorders>
            <w:shd w:val="clear" w:color="auto" w:fill="auto"/>
            <w:noWrap/>
            <w:vAlign w:val="center"/>
          </w:tcPr>
          <w:p w14:paraId="15BE7163" w14:textId="17AB0BD4"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59.0</w:t>
            </w:r>
          </w:p>
        </w:tc>
        <w:tc>
          <w:tcPr>
            <w:tcW w:w="960" w:type="dxa"/>
            <w:tcBorders>
              <w:top w:val="nil"/>
              <w:left w:val="nil"/>
              <w:right w:val="nil"/>
            </w:tcBorders>
            <w:shd w:val="clear" w:color="auto" w:fill="auto"/>
            <w:noWrap/>
            <w:vAlign w:val="center"/>
          </w:tcPr>
          <w:p w14:paraId="4610A427" w14:textId="17F18907"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69.8</w:t>
            </w:r>
          </w:p>
        </w:tc>
        <w:tc>
          <w:tcPr>
            <w:tcW w:w="2936" w:type="dxa"/>
            <w:tcBorders>
              <w:top w:val="nil"/>
              <w:left w:val="single" w:sz="4" w:space="0" w:color="auto"/>
              <w:bottom w:val="nil"/>
              <w:right w:val="nil"/>
            </w:tcBorders>
            <w:shd w:val="clear" w:color="auto" w:fill="auto"/>
            <w:noWrap/>
            <w:vAlign w:val="center"/>
          </w:tcPr>
          <w:p w14:paraId="0776470F" w14:textId="6C619E7E"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Bachelor’s degree</w:t>
            </w:r>
          </w:p>
        </w:tc>
        <w:tc>
          <w:tcPr>
            <w:tcW w:w="960" w:type="dxa"/>
            <w:tcBorders>
              <w:top w:val="nil"/>
              <w:left w:val="nil"/>
              <w:bottom w:val="nil"/>
              <w:right w:val="nil"/>
            </w:tcBorders>
            <w:shd w:val="clear" w:color="auto" w:fill="auto"/>
            <w:noWrap/>
            <w:vAlign w:val="center"/>
          </w:tcPr>
          <w:p w14:paraId="5F90CA96" w14:textId="3BF9C4D8"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33.8</w:t>
            </w:r>
          </w:p>
        </w:tc>
        <w:tc>
          <w:tcPr>
            <w:tcW w:w="960" w:type="dxa"/>
            <w:tcBorders>
              <w:top w:val="nil"/>
              <w:left w:val="nil"/>
              <w:bottom w:val="nil"/>
              <w:right w:val="single" w:sz="4" w:space="0" w:color="auto"/>
            </w:tcBorders>
            <w:shd w:val="clear" w:color="auto" w:fill="auto"/>
            <w:noWrap/>
            <w:vAlign w:val="center"/>
          </w:tcPr>
          <w:p w14:paraId="50B8C8EA" w14:textId="6793FC2A"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20.6</w:t>
            </w:r>
          </w:p>
        </w:tc>
      </w:tr>
      <w:tr w:rsidR="000B6FD6" w:rsidRPr="00926421" w14:paraId="5498C5BE"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1C1A0B80" w14:textId="2822902F" w:rsidR="000B6FD6" w:rsidRPr="00926421" w:rsidRDefault="000B6FD6" w:rsidP="000B6FD6">
            <w:pPr>
              <w:spacing w:after="0" w:line="240" w:lineRule="auto"/>
              <w:jc w:val="both"/>
              <w:rPr>
                <w:rFonts w:eastAsia="Times New Roman"/>
                <w:color w:val="000000"/>
                <w:sz w:val="22"/>
                <w:szCs w:val="22"/>
              </w:rPr>
            </w:pPr>
            <w:r w:rsidRPr="00926421">
              <w:rPr>
                <w:rFonts w:eastAsia="Times New Roman"/>
                <w:b/>
                <w:bCs/>
                <w:color w:val="000000"/>
                <w:sz w:val="22"/>
                <w:szCs w:val="22"/>
              </w:rPr>
              <w:t>Presence of adult students</w:t>
            </w:r>
          </w:p>
        </w:tc>
        <w:tc>
          <w:tcPr>
            <w:tcW w:w="964" w:type="dxa"/>
            <w:tcBorders>
              <w:top w:val="nil"/>
              <w:left w:val="nil"/>
              <w:bottom w:val="nil"/>
              <w:right w:val="nil"/>
            </w:tcBorders>
            <w:shd w:val="clear" w:color="auto" w:fill="auto"/>
            <w:noWrap/>
            <w:vAlign w:val="center"/>
          </w:tcPr>
          <w:p w14:paraId="2E37E58C" w14:textId="75C0967B" w:rsidR="000B6FD6" w:rsidRPr="00926421" w:rsidRDefault="000B6FD6" w:rsidP="000B6FD6">
            <w:pPr>
              <w:tabs>
                <w:tab w:val="decimal" w:pos="435"/>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316E009B" w14:textId="45269F78" w:rsidR="000B6FD6" w:rsidRPr="00926421" w:rsidRDefault="000B6FD6" w:rsidP="000B6FD6">
            <w:pPr>
              <w:tabs>
                <w:tab w:val="decimal" w:pos="365"/>
              </w:tabs>
              <w:spacing w:after="0" w:line="240" w:lineRule="auto"/>
              <w:jc w:val="both"/>
              <w:rPr>
                <w:rFonts w:eastAsia="Times New Roman"/>
                <w:color w:val="000000"/>
                <w:sz w:val="22"/>
                <w:szCs w:val="22"/>
              </w:rPr>
            </w:pPr>
          </w:p>
        </w:tc>
        <w:tc>
          <w:tcPr>
            <w:tcW w:w="2936" w:type="dxa"/>
            <w:tcBorders>
              <w:top w:val="nil"/>
              <w:left w:val="single" w:sz="4" w:space="0" w:color="auto"/>
              <w:bottom w:val="nil"/>
              <w:right w:val="nil"/>
            </w:tcBorders>
            <w:shd w:val="clear" w:color="auto" w:fill="auto"/>
            <w:noWrap/>
            <w:vAlign w:val="center"/>
          </w:tcPr>
          <w:p w14:paraId="6419FE7E" w14:textId="651B2B93"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Graduate degree</w:t>
            </w:r>
          </w:p>
        </w:tc>
        <w:tc>
          <w:tcPr>
            <w:tcW w:w="960" w:type="dxa"/>
            <w:tcBorders>
              <w:top w:val="nil"/>
              <w:left w:val="nil"/>
              <w:bottom w:val="nil"/>
              <w:right w:val="nil"/>
            </w:tcBorders>
            <w:shd w:val="clear" w:color="auto" w:fill="auto"/>
            <w:noWrap/>
            <w:vAlign w:val="center"/>
          </w:tcPr>
          <w:p w14:paraId="54450CDA" w14:textId="2C01C7C3"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28.8</w:t>
            </w:r>
          </w:p>
        </w:tc>
        <w:tc>
          <w:tcPr>
            <w:tcW w:w="960" w:type="dxa"/>
            <w:tcBorders>
              <w:top w:val="nil"/>
              <w:left w:val="nil"/>
              <w:bottom w:val="nil"/>
              <w:right w:val="single" w:sz="4" w:space="0" w:color="auto"/>
            </w:tcBorders>
            <w:shd w:val="clear" w:color="auto" w:fill="auto"/>
            <w:noWrap/>
            <w:vAlign w:val="center"/>
          </w:tcPr>
          <w:p w14:paraId="780AE24E" w14:textId="0E82ACDA"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13.1</w:t>
            </w:r>
          </w:p>
        </w:tc>
      </w:tr>
      <w:tr w:rsidR="000B6FD6" w:rsidRPr="00926421" w14:paraId="0722E5CE"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03E6EA29" w14:textId="51022F38"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Yes</w:t>
            </w:r>
          </w:p>
        </w:tc>
        <w:tc>
          <w:tcPr>
            <w:tcW w:w="964" w:type="dxa"/>
            <w:tcBorders>
              <w:top w:val="nil"/>
              <w:left w:val="nil"/>
              <w:bottom w:val="nil"/>
              <w:right w:val="nil"/>
            </w:tcBorders>
            <w:shd w:val="clear" w:color="auto" w:fill="auto"/>
            <w:noWrap/>
            <w:vAlign w:val="center"/>
          </w:tcPr>
          <w:p w14:paraId="4CB1DC18" w14:textId="5BDA5082"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12.4</w:t>
            </w:r>
          </w:p>
        </w:tc>
        <w:tc>
          <w:tcPr>
            <w:tcW w:w="960" w:type="dxa"/>
            <w:tcBorders>
              <w:top w:val="nil"/>
              <w:left w:val="nil"/>
              <w:bottom w:val="nil"/>
              <w:right w:val="single" w:sz="4" w:space="0" w:color="auto"/>
            </w:tcBorders>
            <w:shd w:val="clear" w:color="auto" w:fill="auto"/>
            <w:noWrap/>
            <w:vAlign w:val="center"/>
          </w:tcPr>
          <w:p w14:paraId="5E555D35" w14:textId="614F6AE9"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10.5</w:t>
            </w:r>
          </w:p>
        </w:tc>
        <w:tc>
          <w:tcPr>
            <w:tcW w:w="2936" w:type="dxa"/>
            <w:tcBorders>
              <w:top w:val="nil"/>
              <w:left w:val="single" w:sz="4" w:space="0" w:color="auto"/>
              <w:bottom w:val="nil"/>
              <w:right w:val="nil"/>
            </w:tcBorders>
            <w:shd w:val="clear" w:color="auto" w:fill="auto"/>
            <w:noWrap/>
            <w:vAlign w:val="center"/>
          </w:tcPr>
          <w:p w14:paraId="0BE5A7F4" w14:textId="653E0D95"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Race</w:t>
            </w:r>
          </w:p>
        </w:tc>
        <w:tc>
          <w:tcPr>
            <w:tcW w:w="960" w:type="dxa"/>
            <w:tcBorders>
              <w:top w:val="nil"/>
              <w:left w:val="nil"/>
              <w:bottom w:val="nil"/>
              <w:right w:val="nil"/>
            </w:tcBorders>
            <w:shd w:val="clear" w:color="auto" w:fill="auto"/>
            <w:noWrap/>
            <w:vAlign w:val="center"/>
          </w:tcPr>
          <w:p w14:paraId="0468EC20" w14:textId="43E5838D" w:rsidR="000B6FD6" w:rsidRPr="00926421" w:rsidRDefault="000B6FD6" w:rsidP="000B6FD6">
            <w:pPr>
              <w:tabs>
                <w:tab w:val="decimal" w:pos="341"/>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483728BE" w14:textId="038296F2" w:rsidR="000B6FD6" w:rsidRPr="00926421" w:rsidRDefault="000B6FD6" w:rsidP="000B6FD6">
            <w:pPr>
              <w:tabs>
                <w:tab w:val="decimal" w:pos="368"/>
              </w:tabs>
              <w:spacing w:after="0" w:line="240" w:lineRule="auto"/>
              <w:jc w:val="both"/>
              <w:rPr>
                <w:rFonts w:eastAsia="Times New Roman"/>
                <w:color w:val="000000"/>
                <w:sz w:val="22"/>
                <w:szCs w:val="22"/>
              </w:rPr>
            </w:pPr>
          </w:p>
        </w:tc>
      </w:tr>
      <w:tr w:rsidR="000B6FD6" w:rsidRPr="00926421" w14:paraId="3AE307F1" w14:textId="77777777" w:rsidTr="00926421">
        <w:trPr>
          <w:trHeight w:val="295"/>
        </w:trPr>
        <w:tc>
          <w:tcPr>
            <w:tcW w:w="3055" w:type="dxa"/>
            <w:tcBorders>
              <w:top w:val="nil"/>
              <w:left w:val="single" w:sz="4" w:space="0" w:color="auto"/>
              <w:bottom w:val="nil"/>
            </w:tcBorders>
            <w:shd w:val="clear" w:color="auto" w:fill="auto"/>
            <w:noWrap/>
            <w:vAlign w:val="center"/>
          </w:tcPr>
          <w:p w14:paraId="69CE9050" w14:textId="77777777"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No</w:t>
            </w:r>
          </w:p>
        </w:tc>
        <w:tc>
          <w:tcPr>
            <w:tcW w:w="964" w:type="dxa"/>
            <w:tcBorders>
              <w:top w:val="nil"/>
              <w:bottom w:val="nil"/>
            </w:tcBorders>
            <w:shd w:val="clear" w:color="auto" w:fill="auto"/>
            <w:vAlign w:val="center"/>
          </w:tcPr>
          <w:p w14:paraId="34832BB3" w14:textId="15E4A472"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87.6</w:t>
            </w:r>
          </w:p>
        </w:tc>
        <w:tc>
          <w:tcPr>
            <w:tcW w:w="960" w:type="dxa"/>
            <w:tcBorders>
              <w:top w:val="nil"/>
              <w:bottom w:val="nil"/>
              <w:right w:val="single" w:sz="4" w:space="0" w:color="auto"/>
            </w:tcBorders>
            <w:shd w:val="clear" w:color="auto" w:fill="auto"/>
            <w:vAlign w:val="center"/>
          </w:tcPr>
          <w:p w14:paraId="60D6CF13" w14:textId="7F856355"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89.5</w:t>
            </w:r>
          </w:p>
        </w:tc>
        <w:tc>
          <w:tcPr>
            <w:tcW w:w="2936" w:type="dxa"/>
            <w:tcBorders>
              <w:top w:val="nil"/>
              <w:left w:val="single" w:sz="4" w:space="0" w:color="auto"/>
              <w:bottom w:val="nil"/>
              <w:right w:val="nil"/>
            </w:tcBorders>
            <w:shd w:val="clear" w:color="auto" w:fill="auto"/>
            <w:noWrap/>
            <w:vAlign w:val="center"/>
          </w:tcPr>
          <w:p w14:paraId="2BD2F16F" w14:textId="04A9DBFE"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White</w:t>
            </w:r>
          </w:p>
        </w:tc>
        <w:tc>
          <w:tcPr>
            <w:tcW w:w="960" w:type="dxa"/>
            <w:tcBorders>
              <w:top w:val="nil"/>
              <w:left w:val="nil"/>
              <w:bottom w:val="nil"/>
              <w:right w:val="nil"/>
            </w:tcBorders>
            <w:shd w:val="clear" w:color="auto" w:fill="auto"/>
            <w:noWrap/>
            <w:vAlign w:val="center"/>
          </w:tcPr>
          <w:p w14:paraId="5684E785" w14:textId="7F2492E0"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83.9</w:t>
            </w:r>
          </w:p>
        </w:tc>
        <w:tc>
          <w:tcPr>
            <w:tcW w:w="960" w:type="dxa"/>
            <w:tcBorders>
              <w:top w:val="nil"/>
              <w:left w:val="nil"/>
              <w:bottom w:val="nil"/>
              <w:right w:val="single" w:sz="4" w:space="0" w:color="auto"/>
            </w:tcBorders>
            <w:shd w:val="clear" w:color="auto" w:fill="auto"/>
            <w:noWrap/>
            <w:vAlign w:val="center"/>
          </w:tcPr>
          <w:p w14:paraId="43B2BBFF" w14:textId="729A1F91"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74.5</w:t>
            </w:r>
          </w:p>
        </w:tc>
      </w:tr>
      <w:tr w:rsidR="00A80C5D" w:rsidRPr="00926421" w14:paraId="24511CBA" w14:textId="77777777" w:rsidTr="00926421">
        <w:trPr>
          <w:trHeight w:val="295"/>
        </w:trPr>
        <w:tc>
          <w:tcPr>
            <w:tcW w:w="4019" w:type="dxa"/>
            <w:gridSpan w:val="2"/>
            <w:tcBorders>
              <w:top w:val="nil"/>
              <w:left w:val="single" w:sz="4" w:space="0" w:color="auto"/>
              <w:bottom w:val="nil"/>
              <w:right w:val="nil"/>
            </w:tcBorders>
            <w:shd w:val="clear" w:color="auto" w:fill="auto"/>
            <w:noWrap/>
            <w:vAlign w:val="center"/>
          </w:tcPr>
          <w:p w14:paraId="53C6F34F" w14:textId="15E13F79" w:rsidR="00A80C5D" w:rsidRPr="00926421" w:rsidRDefault="00A80C5D" w:rsidP="000B6FD6">
            <w:pPr>
              <w:tabs>
                <w:tab w:val="decimal" w:pos="435"/>
              </w:tabs>
              <w:spacing w:after="0" w:line="240" w:lineRule="auto"/>
              <w:jc w:val="both"/>
              <w:rPr>
                <w:rFonts w:eastAsia="Times New Roman"/>
                <w:color w:val="000000"/>
                <w:sz w:val="22"/>
                <w:szCs w:val="22"/>
              </w:rPr>
            </w:pPr>
            <w:r w:rsidRPr="00926421">
              <w:rPr>
                <w:rFonts w:eastAsia="Times New Roman"/>
                <w:b/>
                <w:bCs/>
                <w:color w:val="000000"/>
                <w:sz w:val="22"/>
                <w:szCs w:val="22"/>
              </w:rPr>
              <w:t>Presence of children (age ≤ 17 years)</w:t>
            </w:r>
          </w:p>
        </w:tc>
        <w:tc>
          <w:tcPr>
            <w:tcW w:w="960" w:type="dxa"/>
            <w:tcBorders>
              <w:top w:val="nil"/>
              <w:left w:val="nil"/>
              <w:bottom w:val="nil"/>
              <w:right w:val="single" w:sz="4" w:space="0" w:color="auto"/>
            </w:tcBorders>
            <w:shd w:val="clear" w:color="auto" w:fill="auto"/>
            <w:noWrap/>
            <w:vAlign w:val="center"/>
          </w:tcPr>
          <w:p w14:paraId="1270EFE6" w14:textId="5057E746" w:rsidR="00A80C5D" w:rsidRPr="00926421" w:rsidRDefault="00A80C5D" w:rsidP="000B6FD6">
            <w:pPr>
              <w:tabs>
                <w:tab w:val="decimal" w:pos="365"/>
              </w:tabs>
              <w:spacing w:after="0" w:line="240" w:lineRule="auto"/>
              <w:jc w:val="both"/>
              <w:rPr>
                <w:rFonts w:eastAsia="Times New Roman"/>
                <w:color w:val="000000"/>
                <w:sz w:val="22"/>
                <w:szCs w:val="22"/>
              </w:rPr>
            </w:pPr>
          </w:p>
        </w:tc>
        <w:tc>
          <w:tcPr>
            <w:tcW w:w="2936" w:type="dxa"/>
            <w:tcBorders>
              <w:top w:val="nil"/>
              <w:left w:val="single" w:sz="4" w:space="0" w:color="auto"/>
              <w:bottom w:val="nil"/>
              <w:right w:val="nil"/>
            </w:tcBorders>
            <w:shd w:val="clear" w:color="auto" w:fill="auto"/>
            <w:noWrap/>
            <w:vAlign w:val="center"/>
          </w:tcPr>
          <w:p w14:paraId="11B00800" w14:textId="6CA79CD2" w:rsidR="00A80C5D" w:rsidRPr="00926421" w:rsidRDefault="00A80C5D"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Asian</w:t>
            </w:r>
          </w:p>
        </w:tc>
        <w:tc>
          <w:tcPr>
            <w:tcW w:w="960" w:type="dxa"/>
            <w:tcBorders>
              <w:top w:val="nil"/>
              <w:left w:val="nil"/>
              <w:bottom w:val="nil"/>
              <w:right w:val="nil"/>
            </w:tcBorders>
            <w:shd w:val="clear" w:color="auto" w:fill="auto"/>
            <w:noWrap/>
            <w:vAlign w:val="center"/>
          </w:tcPr>
          <w:p w14:paraId="292F9961" w14:textId="3302B99B" w:rsidR="00A80C5D" w:rsidRPr="00926421" w:rsidRDefault="00A80C5D"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5.1</w:t>
            </w:r>
          </w:p>
        </w:tc>
        <w:tc>
          <w:tcPr>
            <w:tcW w:w="960" w:type="dxa"/>
            <w:tcBorders>
              <w:top w:val="nil"/>
              <w:left w:val="nil"/>
              <w:bottom w:val="nil"/>
              <w:right w:val="single" w:sz="4" w:space="0" w:color="auto"/>
            </w:tcBorders>
            <w:shd w:val="clear" w:color="auto" w:fill="auto"/>
            <w:noWrap/>
            <w:vAlign w:val="center"/>
          </w:tcPr>
          <w:p w14:paraId="221BEC9E" w14:textId="074CA474" w:rsidR="00A80C5D" w:rsidRPr="00926421" w:rsidRDefault="00A80C5D"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6.9</w:t>
            </w:r>
          </w:p>
        </w:tc>
      </w:tr>
      <w:tr w:rsidR="000B6FD6" w:rsidRPr="00926421" w14:paraId="16615203"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56C7CF4E" w14:textId="75EA66CD"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Yes</w:t>
            </w:r>
          </w:p>
        </w:tc>
        <w:tc>
          <w:tcPr>
            <w:tcW w:w="964" w:type="dxa"/>
            <w:tcBorders>
              <w:top w:val="nil"/>
              <w:left w:val="nil"/>
              <w:bottom w:val="nil"/>
              <w:right w:val="nil"/>
            </w:tcBorders>
            <w:shd w:val="clear" w:color="auto" w:fill="auto"/>
            <w:noWrap/>
            <w:vAlign w:val="center"/>
          </w:tcPr>
          <w:p w14:paraId="4A68C4F8" w14:textId="3C76B059"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20.6</w:t>
            </w:r>
          </w:p>
        </w:tc>
        <w:tc>
          <w:tcPr>
            <w:tcW w:w="960" w:type="dxa"/>
            <w:tcBorders>
              <w:top w:val="nil"/>
              <w:left w:val="nil"/>
              <w:bottom w:val="nil"/>
              <w:right w:val="single" w:sz="4" w:space="0" w:color="auto"/>
            </w:tcBorders>
            <w:shd w:val="clear" w:color="auto" w:fill="auto"/>
            <w:noWrap/>
            <w:vAlign w:val="center"/>
          </w:tcPr>
          <w:p w14:paraId="30592B92" w14:textId="30581323"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27.2</w:t>
            </w:r>
          </w:p>
        </w:tc>
        <w:tc>
          <w:tcPr>
            <w:tcW w:w="2936" w:type="dxa"/>
            <w:tcBorders>
              <w:top w:val="nil"/>
              <w:left w:val="single" w:sz="4" w:space="0" w:color="auto"/>
              <w:bottom w:val="nil"/>
              <w:right w:val="nil"/>
            </w:tcBorders>
            <w:shd w:val="clear" w:color="auto" w:fill="auto"/>
            <w:noWrap/>
            <w:vAlign w:val="center"/>
          </w:tcPr>
          <w:p w14:paraId="67E952D5" w14:textId="7EE7CF91"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Black or other</w:t>
            </w:r>
          </w:p>
        </w:tc>
        <w:tc>
          <w:tcPr>
            <w:tcW w:w="960" w:type="dxa"/>
            <w:tcBorders>
              <w:top w:val="nil"/>
              <w:left w:val="nil"/>
              <w:bottom w:val="nil"/>
              <w:right w:val="nil"/>
            </w:tcBorders>
            <w:shd w:val="clear" w:color="auto" w:fill="auto"/>
            <w:noWrap/>
            <w:vAlign w:val="center"/>
          </w:tcPr>
          <w:p w14:paraId="7D1BAA90" w14:textId="7CAA59EA"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11.0</w:t>
            </w:r>
          </w:p>
        </w:tc>
        <w:tc>
          <w:tcPr>
            <w:tcW w:w="960" w:type="dxa"/>
            <w:tcBorders>
              <w:top w:val="nil"/>
              <w:left w:val="nil"/>
              <w:bottom w:val="nil"/>
              <w:right w:val="single" w:sz="4" w:space="0" w:color="auto"/>
            </w:tcBorders>
            <w:shd w:val="clear" w:color="auto" w:fill="auto"/>
            <w:noWrap/>
            <w:vAlign w:val="center"/>
          </w:tcPr>
          <w:p w14:paraId="296B59D0" w14:textId="53DDCE53"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18.6</w:t>
            </w:r>
          </w:p>
        </w:tc>
      </w:tr>
      <w:tr w:rsidR="000B6FD6" w:rsidRPr="00926421" w14:paraId="002504D8" w14:textId="77777777" w:rsidTr="00926421">
        <w:trPr>
          <w:trHeight w:val="295"/>
        </w:trPr>
        <w:tc>
          <w:tcPr>
            <w:tcW w:w="3055" w:type="dxa"/>
            <w:tcBorders>
              <w:top w:val="nil"/>
              <w:left w:val="single" w:sz="4" w:space="0" w:color="auto"/>
              <w:bottom w:val="nil"/>
            </w:tcBorders>
            <w:shd w:val="clear" w:color="auto" w:fill="auto"/>
            <w:noWrap/>
            <w:vAlign w:val="center"/>
          </w:tcPr>
          <w:p w14:paraId="53B42671" w14:textId="77777777"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No</w:t>
            </w:r>
          </w:p>
        </w:tc>
        <w:tc>
          <w:tcPr>
            <w:tcW w:w="964" w:type="dxa"/>
            <w:tcBorders>
              <w:top w:val="nil"/>
              <w:bottom w:val="nil"/>
            </w:tcBorders>
            <w:shd w:val="clear" w:color="auto" w:fill="auto"/>
            <w:vAlign w:val="center"/>
          </w:tcPr>
          <w:p w14:paraId="413391DF" w14:textId="7CE356FF"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79.4</w:t>
            </w:r>
          </w:p>
        </w:tc>
        <w:tc>
          <w:tcPr>
            <w:tcW w:w="960" w:type="dxa"/>
            <w:tcBorders>
              <w:top w:val="nil"/>
              <w:bottom w:val="nil"/>
              <w:right w:val="single" w:sz="4" w:space="0" w:color="auto"/>
            </w:tcBorders>
            <w:shd w:val="clear" w:color="auto" w:fill="auto"/>
            <w:vAlign w:val="center"/>
          </w:tcPr>
          <w:p w14:paraId="2E940193" w14:textId="388D6B2D"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72.8</w:t>
            </w:r>
          </w:p>
        </w:tc>
        <w:tc>
          <w:tcPr>
            <w:tcW w:w="2936" w:type="dxa"/>
            <w:tcBorders>
              <w:top w:val="nil"/>
              <w:left w:val="single" w:sz="4" w:space="0" w:color="auto"/>
              <w:bottom w:val="nil"/>
              <w:right w:val="nil"/>
            </w:tcBorders>
            <w:shd w:val="clear" w:color="auto" w:fill="auto"/>
            <w:noWrap/>
            <w:vAlign w:val="center"/>
          </w:tcPr>
          <w:p w14:paraId="7F0D3EFD" w14:textId="75FD213F"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Ethnicity</w:t>
            </w:r>
          </w:p>
        </w:tc>
        <w:tc>
          <w:tcPr>
            <w:tcW w:w="960" w:type="dxa"/>
            <w:tcBorders>
              <w:top w:val="nil"/>
              <w:left w:val="nil"/>
              <w:bottom w:val="nil"/>
              <w:right w:val="nil"/>
            </w:tcBorders>
            <w:shd w:val="clear" w:color="auto" w:fill="auto"/>
            <w:noWrap/>
            <w:vAlign w:val="center"/>
          </w:tcPr>
          <w:p w14:paraId="3A3660E7" w14:textId="5B673137" w:rsidR="000B6FD6" w:rsidRPr="00926421" w:rsidRDefault="000B6FD6" w:rsidP="000B6FD6">
            <w:pPr>
              <w:tabs>
                <w:tab w:val="decimal" w:pos="341"/>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53305476" w14:textId="0E7B9271" w:rsidR="000B6FD6" w:rsidRPr="00926421" w:rsidRDefault="000B6FD6" w:rsidP="000B6FD6">
            <w:pPr>
              <w:tabs>
                <w:tab w:val="decimal" w:pos="368"/>
              </w:tabs>
              <w:spacing w:after="0" w:line="240" w:lineRule="auto"/>
              <w:jc w:val="both"/>
              <w:rPr>
                <w:rFonts w:eastAsia="Times New Roman"/>
                <w:color w:val="000000"/>
                <w:sz w:val="22"/>
                <w:szCs w:val="22"/>
              </w:rPr>
            </w:pPr>
          </w:p>
        </w:tc>
      </w:tr>
      <w:tr w:rsidR="000B6FD6" w:rsidRPr="00926421" w14:paraId="5299AD2D"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27377B02" w14:textId="369377BA" w:rsidR="000B6FD6" w:rsidRPr="00926421" w:rsidRDefault="0037141E" w:rsidP="000B6FD6">
            <w:pPr>
              <w:spacing w:after="0" w:line="240" w:lineRule="auto"/>
              <w:jc w:val="both"/>
              <w:rPr>
                <w:rFonts w:eastAsia="Times New Roman"/>
                <w:color w:val="000000"/>
                <w:sz w:val="22"/>
                <w:szCs w:val="22"/>
              </w:rPr>
            </w:pPr>
            <w:r w:rsidRPr="00926421">
              <w:rPr>
                <w:rFonts w:eastAsia="Times New Roman"/>
                <w:b/>
                <w:bCs/>
                <w:color w:val="000000"/>
                <w:sz w:val="22"/>
                <w:szCs w:val="22"/>
              </w:rPr>
              <w:t xml:space="preserve">Household </w:t>
            </w:r>
            <w:r w:rsidR="000B6FD6" w:rsidRPr="00926421">
              <w:rPr>
                <w:rFonts w:eastAsia="Times New Roman"/>
                <w:b/>
                <w:bCs/>
                <w:color w:val="000000"/>
                <w:sz w:val="22"/>
                <w:szCs w:val="22"/>
              </w:rPr>
              <w:t>Income</w:t>
            </w:r>
            <w:r w:rsidRPr="00926421">
              <w:rPr>
                <w:rFonts w:eastAsia="Times New Roman"/>
                <w:b/>
                <w:bCs/>
                <w:color w:val="000000"/>
                <w:sz w:val="22"/>
                <w:szCs w:val="22"/>
              </w:rPr>
              <w:t xml:space="preserve"> (gross)</w:t>
            </w:r>
          </w:p>
        </w:tc>
        <w:tc>
          <w:tcPr>
            <w:tcW w:w="964" w:type="dxa"/>
            <w:tcBorders>
              <w:top w:val="nil"/>
              <w:left w:val="nil"/>
              <w:bottom w:val="nil"/>
              <w:right w:val="nil"/>
            </w:tcBorders>
            <w:shd w:val="clear" w:color="auto" w:fill="auto"/>
            <w:noWrap/>
            <w:vAlign w:val="center"/>
          </w:tcPr>
          <w:p w14:paraId="1676B979" w14:textId="662A3BC1" w:rsidR="000B6FD6" w:rsidRPr="00926421" w:rsidRDefault="000B6FD6" w:rsidP="000B6FD6">
            <w:pPr>
              <w:tabs>
                <w:tab w:val="decimal" w:pos="435"/>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63B60C3B" w14:textId="1D56318A"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 </w:t>
            </w:r>
          </w:p>
        </w:tc>
        <w:tc>
          <w:tcPr>
            <w:tcW w:w="2936" w:type="dxa"/>
            <w:tcBorders>
              <w:top w:val="nil"/>
              <w:left w:val="single" w:sz="4" w:space="0" w:color="auto"/>
              <w:bottom w:val="nil"/>
              <w:right w:val="nil"/>
            </w:tcBorders>
            <w:shd w:val="clear" w:color="auto" w:fill="auto"/>
            <w:noWrap/>
            <w:vAlign w:val="center"/>
          </w:tcPr>
          <w:p w14:paraId="5A0012E4" w14:textId="1CD8E012"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Not Hispanic</w:t>
            </w:r>
          </w:p>
        </w:tc>
        <w:tc>
          <w:tcPr>
            <w:tcW w:w="960" w:type="dxa"/>
            <w:tcBorders>
              <w:top w:val="nil"/>
              <w:left w:val="nil"/>
              <w:bottom w:val="nil"/>
              <w:right w:val="nil"/>
            </w:tcBorders>
            <w:shd w:val="clear" w:color="auto" w:fill="auto"/>
            <w:noWrap/>
            <w:vAlign w:val="center"/>
          </w:tcPr>
          <w:p w14:paraId="4FE19E67" w14:textId="10F92637"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92.8</w:t>
            </w:r>
          </w:p>
        </w:tc>
        <w:tc>
          <w:tcPr>
            <w:tcW w:w="960" w:type="dxa"/>
            <w:tcBorders>
              <w:top w:val="nil"/>
              <w:left w:val="nil"/>
              <w:bottom w:val="nil"/>
              <w:right w:val="single" w:sz="4" w:space="0" w:color="auto"/>
            </w:tcBorders>
            <w:shd w:val="clear" w:color="auto" w:fill="auto"/>
            <w:noWrap/>
            <w:vAlign w:val="center"/>
          </w:tcPr>
          <w:p w14:paraId="1D86ACA3" w14:textId="413BD94F"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81.6</w:t>
            </w:r>
          </w:p>
        </w:tc>
      </w:tr>
      <w:tr w:rsidR="000B6FD6" w:rsidRPr="00926421" w14:paraId="417E1961" w14:textId="77777777" w:rsidTr="00926421">
        <w:trPr>
          <w:trHeight w:val="295"/>
        </w:trPr>
        <w:tc>
          <w:tcPr>
            <w:tcW w:w="3055" w:type="dxa"/>
            <w:tcBorders>
              <w:top w:val="nil"/>
              <w:left w:val="single" w:sz="4" w:space="0" w:color="auto"/>
              <w:right w:val="nil"/>
            </w:tcBorders>
            <w:shd w:val="clear" w:color="auto" w:fill="auto"/>
            <w:noWrap/>
            <w:vAlign w:val="center"/>
          </w:tcPr>
          <w:p w14:paraId="6C956785" w14:textId="0EB7464A"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Less than $25,000</w:t>
            </w:r>
          </w:p>
        </w:tc>
        <w:tc>
          <w:tcPr>
            <w:tcW w:w="964" w:type="dxa"/>
            <w:tcBorders>
              <w:top w:val="nil"/>
              <w:left w:val="nil"/>
              <w:right w:val="nil"/>
            </w:tcBorders>
            <w:shd w:val="clear" w:color="auto" w:fill="auto"/>
            <w:noWrap/>
            <w:vAlign w:val="center"/>
          </w:tcPr>
          <w:p w14:paraId="3AB140CB" w14:textId="28103F7B"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10.9</w:t>
            </w:r>
          </w:p>
        </w:tc>
        <w:tc>
          <w:tcPr>
            <w:tcW w:w="960" w:type="dxa"/>
            <w:tcBorders>
              <w:top w:val="nil"/>
              <w:left w:val="nil"/>
              <w:bottom w:val="nil"/>
              <w:right w:val="nil"/>
            </w:tcBorders>
            <w:shd w:val="clear" w:color="auto" w:fill="auto"/>
            <w:noWrap/>
            <w:vAlign w:val="center"/>
          </w:tcPr>
          <w:p w14:paraId="3D0F7FBE" w14:textId="126006D0"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17.2</w:t>
            </w:r>
          </w:p>
        </w:tc>
        <w:tc>
          <w:tcPr>
            <w:tcW w:w="2936" w:type="dxa"/>
            <w:tcBorders>
              <w:top w:val="nil"/>
              <w:left w:val="single" w:sz="4" w:space="0" w:color="auto"/>
              <w:bottom w:val="nil"/>
              <w:right w:val="nil"/>
            </w:tcBorders>
            <w:shd w:val="clear" w:color="auto" w:fill="auto"/>
            <w:noWrap/>
            <w:vAlign w:val="center"/>
          </w:tcPr>
          <w:p w14:paraId="16A46741" w14:textId="04871EF1"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Hispanic</w:t>
            </w:r>
          </w:p>
        </w:tc>
        <w:tc>
          <w:tcPr>
            <w:tcW w:w="960" w:type="dxa"/>
            <w:tcBorders>
              <w:top w:val="nil"/>
              <w:left w:val="nil"/>
              <w:bottom w:val="nil"/>
              <w:right w:val="nil"/>
            </w:tcBorders>
            <w:shd w:val="clear" w:color="auto" w:fill="auto"/>
            <w:noWrap/>
            <w:vAlign w:val="center"/>
          </w:tcPr>
          <w:p w14:paraId="3C19EA2D" w14:textId="53FF83E4"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7.2</w:t>
            </w:r>
          </w:p>
        </w:tc>
        <w:tc>
          <w:tcPr>
            <w:tcW w:w="960" w:type="dxa"/>
            <w:tcBorders>
              <w:top w:val="nil"/>
              <w:left w:val="nil"/>
              <w:bottom w:val="nil"/>
              <w:right w:val="single" w:sz="4" w:space="0" w:color="auto"/>
            </w:tcBorders>
            <w:shd w:val="clear" w:color="auto" w:fill="auto"/>
            <w:noWrap/>
            <w:vAlign w:val="center"/>
          </w:tcPr>
          <w:p w14:paraId="493997B7" w14:textId="7510F0A6"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18.4</w:t>
            </w:r>
          </w:p>
        </w:tc>
      </w:tr>
      <w:tr w:rsidR="000B6FD6" w:rsidRPr="00926421" w14:paraId="3D3958E2" w14:textId="77777777" w:rsidTr="00926421">
        <w:trPr>
          <w:trHeight w:val="295"/>
        </w:trPr>
        <w:tc>
          <w:tcPr>
            <w:tcW w:w="3055" w:type="dxa"/>
            <w:tcBorders>
              <w:top w:val="nil"/>
              <w:left w:val="single" w:sz="4" w:space="0" w:color="auto"/>
              <w:bottom w:val="nil"/>
            </w:tcBorders>
            <w:shd w:val="clear" w:color="auto" w:fill="auto"/>
            <w:noWrap/>
            <w:vAlign w:val="center"/>
          </w:tcPr>
          <w:p w14:paraId="167BA850" w14:textId="77777777"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$25,000-$49,999</w:t>
            </w:r>
          </w:p>
        </w:tc>
        <w:tc>
          <w:tcPr>
            <w:tcW w:w="964" w:type="dxa"/>
            <w:tcBorders>
              <w:top w:val="nil"/>
              <w:bottom w:val="nil"/>
              <w:right w:val="nil"/>
            </w:tcBorders>
            <w:shd w:val="clear" w:color="auto" w:fill="auto"/>
            <w:vAlign w:val="center"/>
          </w:tcPr>
          <w:p w14:paraId="1DA0662C" w14:textId="1D8AF00A"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18.6</w:t>
            </w:r>
          </w:p>
        </w:tc>
        <w:tc>
          <w:tcPr>
            <w:tcW w:w="960" w:type="dxa"/>
            <w:tcBorders>
              <w:top w:val="nil"/>
              <w:left w:val="nil"/>
              <w:bottom w:val="nil"/>
              <w:right w:val="nil"/>
            </w:tcBorders>
            <w:shd w:val="clear" w:color="auto" w:fill="auto"/>
            <w:noWrap/>
            <w:vAlign w:val="center"/>
          </w:tcPr>
          <w:p w14:paraId="2D7C67D9" w14:textId="762781D3" w:rsidR="000B6FD6" w:rsidRPr="00926421" w:rsidRDefault="000B6FD6" w:rsidP="000B6FD6">
            <w:pPr>
              <w:tabs>
                <w:tab w:val="decimal" w:pos="365"/>
              </w:tabs>
              <w:spacing w:after="0" w:line="240" w:lineRule="auto"/>
              <w:jc w:val="both"/>
              <w:rPr>
                <w:rFonts w:eastAsia="Times New Roman"/>
                <w:b/>
                <w:bCs/>
                <w:color w:val="000000"/>
                <w:sz w:val="22"/>
                <w:szCs w:val="22"/>
              </w:rPr>
            </w:pPr>
            <w:r w:rsidRPr="00926421">
              <w:rPr>
                <w:rFonts w:eastAsia="Times New Roman"/>
                <w:color w:val="000000"/>
                <w:sz w:val="22"/>
                <w:szCs w:val="22"/>
              </w:rPr>
              <w:t>19.6</w:t>
            </w:r>
          </w:p>
        </w:tc>
        <w:tc>
          <w:tcPr>
            <w:tcW w:w="2936" w:type="dxa"/>
            <w:tcBorders>
              <w:top w:val="nil"/>
              <w:left w:val="single" w:sz="4" w:space="0" w:color="auto"/>
              <w:bottom w:val="nil"/>
              <w:right w:val="nil"/>
            </w:tcBorders>
            <w:shd w:val="clear" w:color="auto" w:fill="auto"/>
            <w:noWrap/>
            <w:vAlign w:val="center"/>
          </w:tcPr>
          <w:p w14:paraId="18A8BCB6" w14:textId="51F53498"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Age</w:t>
            </w:r>
          </w:p>
        </w:tc>
        <w:tc>
          <w:tcPr>
            <w:tcW w:w="960" w:type="dxa"/>
            <w:tcBorders>
              <w:top w:val="nil"/>
              <w:left w:val="nil"/>
              <w:bottom w:val="nil"/>
              <w:right w:val="nil"/>
            </w:tcBorders>
            <w:shd w:val="clear" w:color="auto" w:fill="auto"/>
            <w:noWrap/>
            <w:vAlign w:val="center"/>
          </w:tcPr>
          <w:p w14:paraId="1C5C5388" w14:textId="34B4E7C7" w:rsidR="000B6FD6" w:rsidRPr="00926421" w:rsidRDefault="000B6FD6" w:rsidP="000B6FD6">
            <w:pPr>
              <w:tabs>
                <w:tab w:val="decimal" w:pos="341"/>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1CFD51D7" w14:textId="0D774C40" w:rsidR="000B6FD6" w:rsidRPr="00926421" w:rsidRDefault="000B6FD6" w:rsidP="000B6FD6">
            <w:pPr>
              <w:tabs>
                <w:tab w:val="decimal" w:pos="368"/>
              </w:tabs>
              <w:spacing w:after="0" w:line="240" w:lineRule="auto"/>
              <w:jc w:val="both"/>
              <w:rPr>
                <w:rFonts w:eastAsia="Times New Roman"/>
                <w:color w:val="000000"/>
                <w:sz w:val="22"/>
                <w:szCs w:val="22"/>
              </w:rPr>
            </w:pPr>
          </w:p>
        </w:tc>
      </w:tr>
      <w:tr w:rsidR="000B6FD6" w:rsidRPr="00926421" w14:paraId="65B92052"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5C139D48" w14:textId="07B297E8"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$50,000-$99,999</w:t>
            </w:r>
          </w:p>
        </w:tc>
        <w:tc>
          <w:tcPr>
            <w:tcW w:w="964" w:type="dxa"/>
            <w:tcBorders>
              <w:top w:val="nil"/>
              <w:left w:val="nil"/>
              <w:bottom w:val="nil"/>
              <w:right w:val="nil"/>
            </w:tcBorders>
            <w:shd w:val="clear" w:color="auto" w:fill="auto"/>
            <w:noWrap/>
            <w:vAlign w:val="center"/>
          </w:tcPr>
          <w:p w14:paraId="7785C26C" w14:textId="697A5CA5"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34.6</w:t>
            </w:r>
          </w:p>
        </w:tc>
        <w:tc>
          <w:tcPr>
            <w:tcW w:w="960" w:type="dxa"/>
            <w:tcBorders>
              <w:top w:val="nil"/>
              <w:left w:val="nil"/>
              <w:bottom w:val="nil"/>
              <w:right w:val="nil"/>
            </w:tcBorders>
            <w:shd w:val="clear" w:color="auto" w:fill="auto"/>
            <w:noWrap/>
            <w:vAlign w:val="center"/>
          </w:tcPr>
          <w:p w14:paraId="61809F52" w14:textId="16411D15"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29.6</w:t>
            </w:r>
          </w:p>
        </w:tc>
        <w:tc>
          <w:tcPr>
            <w:tcW w:w="2936" w:type="dxa"/>
            <w:tcBorders>
              <w:top w:val="nil"/>
              <w:left w:val="single" w:sz="4" w:space="0" w:color="auto"/>
              <w:bottom w:val="nil"/>
              <w:right w:val="nil"/>
            </w:tcBorders>
            <w:shd w:val="clear" w:color="auto" w:fill="auto"/>
            <w:noWrap/>
            <w:vAlign w:val="center"/>
          </w:tcPr>
          <w:p w14:paraId="1E6CF0D2" w14:textId="6BFA42FA"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18-29</w:t>
            </w:r>
          </w:p>
        </w:tc>
        <w:tc>
          <w:tcPr>
            <w:tcW w:w="960" w:type="dxa"/>
            <w:tcBorders>
              <w:top w:val="nil"/>
              <w:left w:val="nil"/>
              <w:bottom w:val="nil"/>
              <w:right w:val="nil"/>
            </w:tcBorders>
            <w:shd w:val="clear" w:color="auto" w:fill="auto"/>
            <w:noWrap/>
            <w:vAlign w:val="center"/>
          </w:tcPr>
          <w:p w14:paraId="545F6E92" w14:textId="7AE8530D"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7.1</w:t>
            </w:r>
          </w:p>
        </w:tc>
        <w:tc>
          <w:tcPr>
            <w:tcW w:w="960" w:type="dxa"/>
            <w:tcBorders>
              <w:top w:val="nil"/>
              <w:left w:val="nil"/>
              <w:bottom w:val="nil"/>
              <w:right w:val="single" w:sz="4" w:space="0" w:color="auto"/>
            </w:tcBorders>
            <w:shd w:val="clear" w:color="auto" w:fill="auto"/>
            <w:noWrap/>
            <w:vAlign w:val="center"/>
          </w:tcPr>
          <w:p w14:paraId="6C21BF69" w14:textId="3DC70F96"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20.8</w:t>
            </w:r>
          </w:p>
        </w:tc>
      </w:tr>
      <w:tr w:rsidR="000B6FD6" w:rsidRPr="00926421" w14:paraId="101ADE95"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0A19C954" w14:textId="5B055AC3"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$100,000-$149,999</w:t>
            </w:r>
          </w:p>
        </w:tc>
        <w:tc>
          <w:tcPr>
            <w:tcW w:w="964" w:type="dxa"/>
            <w:tcBorders>
              <w:top w:val="nil"/>
              <w:left w:val="nil"/>
              <w:bottom w:val="nil"/>
              <w:right w:val="nil"/>
            </w:tcBorders>
            <w:shd w:val="clear" w:color="auto" w:fill="auto"/>
            <w:noWrap/>
            <w:vAlign w:val="center"/>
          </w:tcPr>
          <w:p w14:paraId="1A4D3F55" w14:textId="7777C427"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19.7</w:t>
            </w:r>
          </w:p>
        </w:tc>
        <w:tc>
          <w:tcPr>
            <w:tcW w:w="960" w:type="dxa"/>
            <w:tcBorders>
              <w:top w:val="nil"/>
              <w:left w:val="nil"/>
              <w:bottom w:val="nil"/>
              <w:right w:val="nil"/>
            </w:tcBorders>
            <w:shd w:val="clear" w:color="auto" w:fill="auto"/>
            <w:noWrap/>
            <w:vAlign w:val="center"/>
          </w:tcPr>
          <w:p w14:paraId="208372FA" w14:textId="48ACF9CA"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16.3</w:t>
            </w:r>
          </w:p>
        </w:tc>
        <w:tc>
          <w:tcPr>
            <w:tcW w:w="2936" w:type="dxa"/>
            <w:tcBorders>
              <w:top w:val="nil"/>
              <w:left w:val="single" w:sz="4" w:space="0" w:color="auto"/>
              <w:bottom w:val="nil"/>
              <w:right w:val="nil"/>
            </w:tcBorders>
            <w:shd w:val="clear" w:color="auto" w:fill="auto"/>
            <w:noWrap/>
            <w:vAlign w:val="center"/>
          </w:tcPr>
          <w:p w14:paraId="6DDEA527" w14:textId="492A645D"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30-39</w:t>
            </w:r>
          </w:p>
        </w:tc>
        <w:tc>
          <w:tcPr>
            <w:tcW w:w="960" w:type="dxa"/>
            <w:tcBorders>
              <w:top w:val="nil"/>
              <w:left w:val="nil"/>
              <w:bottom w:val="nil"/>
              <w:right w:val="nil"/>
            </w:tcBorders>
            <w:shd w:val="clear" w:color="auto" w:fill="auto"/>
            <w:noWrap/>
            <w:vAlign w:val="center"/>
          </w:tcPr>
          <w:p w14:paraId="1172BC30" w14:textId="7A591408"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14.8</w:t>
            </w:r>
          </w:p>
        </w:tc>
        <w:tc>
          <w:tcPr>
            <w:tcW w:w="960" w:type="dxa"/>
            <w:tcBorders>
              <w:top w:val="nil"/>
              <w:left w:val="nil"/>
              <w:bottom w:val="nil"/>
              <w:right w:val="single" w:sz="4" w:space="0" w:color="auto"/>
            </w:tcBorders>
            <w:shd w:val="clear" w:color="auto" w:fill="auto"/>
            <w:noWrap/>
            <w:vAlign w:val="center"/>
          </w:tcPr>
          <w:p w14:paraId="79AA2A04" w14:textId="4662655A"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17.2</w:t>
            </w:r>
          </w:p>
        </w:tc>
      </w:tr>
      <w:tr w:rsidR="000B6FD6" w:rsidRPr="00926421" w14:paraId="01486505"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71D9A8CE" w14:textId="2EF78A55"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color w:val="000000"/>
                <w:sz w:val="22"/>
                <w:szCs w:val="22"/>
              </w:rPr>
              <w:t xml:space="preserve">      $150,000-$199,999</w:t>
            </w:r>
          </w:p>
        </w:tc>
        <w:tc>
          <w:tcPr>
            <w:tcW w:w="964" w:type="dxa"/>
            <w:tcBorders>
              <w:top w:val="nil"/>
              <w:left w:val="nil"/>
              <w:bottom w:val="nil"/>
              <w:right w:val="nil"/>
            </w:tcBorders>
            <w:shd w:val="clear" w:color="auto" w:fill="auto"/>
            <w:noWrap/>
            <w:vAlign w:val="center"/>
          </w:tcPr>
          <w:p w14:paraId="462DED42" w14:textId="6982B173" w:rsidR="000B6FD6" w:rsidRPr="00926421" w:rsidRDefault="000B6FD6" w:rsidP="000B6FD6">
            <w:pPr>
              <w:tabs>
                <w:tab w:val="decimal" w:pos="435"/>
              </w:tabs>
              <w:spacing w:after="0" w:line="240" w:lineRule="auto"/>
              <w:jc w:val="both"/>
              <w:rPr>
                <w:rFonts w:eastAsia="Times New Roman"/>
                <w:b/>
                <w:bCs/>
                <w:color w:val="000000"/>
                <w:sz w:val="22"/>
                <w:szCs w:val="22"/>
              </w:rPr>
            </w:pPr>
            <w:r w:rsidRPr="00926421">
              <w:rPr>
                <w:rFonts w:eastAsia="Times New Roman"/>
                <w:color w:val="000000"/>
                <w:sz w:val="22"/>
                <w:szCs w:val="22"/>
              </w:rPr>
              <w:t>7.5</w:t>
            </w:r>
          </w:p>
        </w:tc>
        <w:tc>
          <w:tcPr>
            <w:tcW w:w="960" w:type="dxa"/>
            <w:tcBorders>
              <w:top w:val="nil"/>
              <w:left w:val="nil"/>
              <w:bottom w:val="nil"/>
              <w:right w:val="nil"/>
            </w:tcBorders>
            <w:shd w:val="clear" w:color="auto" w:fill="auto"/>
            <w:noWrap/>
            <w:vAlign w:val="center"/>
          </w:tcPr>
          <w:p w14:paraId="6AF3D1B8" w14:textId="55DE690F" w:rsidR="000B6FD6" w:rsidRPr="00926421" w:rsidRDefault="000B6FD6" w:rsidP="000B6FD6">
            <w:pPr>
              <w:tabs>
                <w:tab w:val="decimal" w:pos="365"/>
              </w:tabs>
              <w:spacing w:after="0" w:line="240" w:lineRule="auto"/>
              <w:jc w:val="both"/>
              <w:rPr>
                <w:rFonts w:eastAsia="Times New Roman"/>
                <w:sz w:val="22"/>
                <w:szCs w:val="22"/>
              </w:rPr>
            </w:pPr>
            <w:r w:rsidRPr="00926421">
              <w:rPr>
                <w:rFonts w:eastAsia="Times New Roman"/>
                <w:color w:val="000000"/>
                <w:sz w:val="22"/>
                <w:szCs w:val="22"/>
              </w:rPr>
              <w:t>7.8</w:t>
            </w:r>
          </w:p>
        </w:tc>
        <w:tc>
          <w:tcPr>
            <w:tcW w:w="2936" w:type="dxa"/>
            <w:tcBorders>
              <w:top w:val="nil"/>
              <w:left w:val="single" w:sz="4" w:space="0" w:color="auto"/>
              <w:bottom w:val="nil"/>
              <w:right w:val="nil"/>
            </w:tcBorders>
            <w:shd w:val="clear" w:color="auto" w:fill="auto"/>
            <w:noWrap/>
            <w:vAlign w:val="center"/>
          </w:tcPr>
          <w:p w14:paraId="26C16A65" w14:textId="0FAECB00"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40-49</w:t>
            </w:r>
          </w:p>
        </w:tc>
        <w:tc>
          <w:tcPr>
            <w:tcW w:w="960" w:type="dxa"/>
            <w:tcBorders>
              <w:top w:val="nil"/>
              <w:left w:val="nil"/>
              <w:bottom w:val="nil"/>
              <w:right w:val="nil"/>
            </w:tcBorders>
            <w:shd w:val="clear" w:color="auto" w:fill="auto"/>
            <w:noWrap/>
            <w:vAlign w:val="center"/>
          </w:tcPr>
          <w:p w14:paraId="651B638E" w14:textId="3FAE6763"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13.4</w:t>
            </w:r>
          </w:p>
        </w:tc>
        <w:tc>
          <w:tcPr>
            <w:tcW w:w="960" w:type="dxa"/>
            <w:tcBorders>
              <w:top w:val="nil"/>
              <w:left w:val="nil"/>
              <w:bottom w:val="nil"/>
              <w:right w:val="single" w:sz="4" w:space="0" w:color="auto"/>
            </w:tcBorders>
            <w:shd w:val="clear" w:color="auto" w:fill="auto"/>
            <w:noWrap/>
            <w:vAlign w:val="center"/>
          </w:tcPr>
          <w:p w14:paraId="66C727A2" w14:textId="2AA148D9"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16.5</w:t>
            </w:r>
          </w:p>
        </w:tc>
      </w:tr>
      <w:tr w:rsidR="000B6FD6" w:rsidRPr="00926421" w14:paraId="068FE944"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51582B42" w14:textId="50714DF3"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$200,000+</w:t>
            </w:r>
          </w:p>
        </w:tc>
        <w:tc>
          <w:tcPr>
            <w:tcW w:w="964" w:type="dxa"/>
            <w:tcBorders>
              <w:top w:val="nil"/>
              <w:left w:val="nil"/>
              <w:bottom w:val="nil"/>
              <w:right w:val="nil"/>
            </w:tcBorders>
            <w:shd w:val="clear" w:color="auto" w:fill="auto"/>
            <w:noWrap/>
            <w:vAlign w:val="center"/>
          </w:tcPr>
          <w:p w14:paraId="3E8076E4" w14:textId="25C83387"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8.7</w:t>
            </w:r>
          </w:p>
        </w:tc>
        <w:tc>
          <w:tcPr>
            <w:tcW w:w="960" w:type="dxa"/>
            <w:tcBorders>
              <w:top w:val="nil"/>
              <w:left w:val="nil"/>
              <w:bottom w:val="nil"/>
              <w:right w:val="nil"/>
            </w:tcBorders>
            <w:shd w:val="clear" w:color="auto" w:fill="auto"/>
            <w:noWrap/>
            <w:vAlign w:val="center"/>
          </w:tcPr>
          <w:p w14:paraId="615DEE0E" w14:textId="0C6D8A21" w:rsidR="000B6FD6" w:rsidRPr="00926421" w:rsidRDefault="000B6FD6"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9.5</w:t>
            </w:r>
          </w:p>
        </w:tc>
        <w:tc>
          <w:tcPr>
            <w:tcW w:w="2936" w:type="dxa"/>
            <w:tcBorders>
              <w:top w:val="nil"/>
              <w:left w:val="single" w:sz="4" w:space="0" w:color="auto"/>
              <w:bottom w:val="nil"/>
              <w:right w:val="nil"/>
            </w:tcBorders>
            <w:shd w:val="clear" w:color="auto" w:fill="auto"/>
            <w:noWrap/>
            <w:vAlign w:val="center"/>
          </w:tcPr>
          <w:p w14:paraId="6B827822" w14:textId="087469FA"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50-64</w:t>
            </w:r>
          </w:p>
        </w:tc>
        <w:tc>
          <w:tcPr>
            <w:tcW w:w="960" w:type="dxa"/>
            <w:tcBorders>
              <w:top w:val="nil"/>
              <w:left w:val="nil"/>
              <w:bottom w:val="nil"/>
              <w:right w:val="nil"/>
            </w:tcBorders>
            <w:shd w:val="clear" w:color="auto" w:fill="auto"/>
            <w:noWrap/>
            <w:vAlign w:val="center"/>
          </w:tcPr>
          <w:p w14:paraId="0747A385" w14:textId="751257AF"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31.9</w:t>
            </w:r>
          </w:p>
        </w:tc>
        <w:tc>
          <w:tcPr>
            <w:tcW w:w="960" w:type="dxa"/>
            <w:tcBorders>
              <w:top w:val="nil"/>
              <w:left w:val="nil"/>
              <w:bottom w:val="nil"/>
              <w:right w:val="single" w:sz="4" w:space="0" w:color="auto"/>
            </w:tcBorders>
            <w:shd w:val="clear" w:color="auto" w:fill="auto"/>
            <w:noWrap/>
            <w:vAlign w:val="center"/>
          </w:tcPr>
          <w:p w14:paraId="6258DFD5" w14:textId="5BBAD9CC"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24.9</w:t>
            </w:r>
          </w:p>
        </w:tc>
      </w:tr>
      <w:tr w:rsidR="000B6FD6" w:rsidRPr="00926421" w14:paraId="2485C517" w14:textId="77777777" w:rsidTr="00926421">
        <w:trPr>
          <w:trHeight w:val="295"/>
        </w:trPr>
        <w:tc>
          <w:tcPr>
            <w:tcW w:w="4979" w:type="dxa"/>
            <w:gridSpan w:val="3"/>
            <w:tcBorders>
              <w:top w:val="nil"/>
              <w:left w:val="single" w:sz="4" w:space="0" w:color="auto"/>
              <w:bottom w:val="nil"/>
              <w:right w:val="nil"/>
            </w:tcBorders>
            <w:shd w:val="clear" w:color="auto" w:fill="auto"/>
            <w:noWrap/>
            <w:vAlign w:val="center"/>
          </w:tcPr>
          <w:p w14:paraId="20060E1E" w14:textId="6FF59BDD" w:rsidR="000B6FD6" w:rsidRPr="00926421" w:rsidRDefault="000B6FD6" w:rsidP="000B6FD6">
            <w:pPr>
              <w:tabs>
                <w:tab w:val="decimal" w:pos="435"/>
              </w:tabs>
              <w:spacing w:after="0" w:line="240" w:lineRule="auto"/>
              <w:jc w:val="both"/>
              <w:rPr>
                <w:rFonts w:eastAsia="Times New Roman"/>
                <w:color w:val="000000"/>
                <w:sz w:val="22"/>
                <w:szCs w:val="22"/>
              </w:rPr>
            </w:pPr>
            <w:r w:rsidRPr="00926421">
              <w:rPr>
                <w:rFonts w:eastAsia="Times New Roman"/>
                <w:b/>
                <w:bCs/>
                <w:color w:val="000000"/>
                <w:sz w:val="22"/>
                <w:szCs w:val="22"/>
              </w:rPr>
              <w:t>Number of motorized vehicles</w:t>
            </w:r>
          </w:p>
        </w:tc>
        <w:tc>
          <w:tcPr>
            <w:tcW w:w="2936" w:type="dxa"/>
            <w:tcBorders>
              <w:top w:val="nil"/>
              <w:left w:val="single" w:sz="4" w:space="0" w:color="auto"/>
              <w:bottom w:val="nil"/>
              <w:right w:val="nil"/>
            </w:tcBorders>
            <w:shd w:val="clear" w:color="auto" w:fill="auto"/>
            <w:noWrap/>
            <w:vAlign w:val="center"/>
          </w:tcPr>
          <w:p w14:paraId="23584E25" w14:textId="40FA4F0B"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65+</w:t>
            </w:r>
          </w:p>
        </w:tc>
        <w:tc>
          <w:tcPr>
            <w:tcW w:w="960" w:type="dxa"/>
            <w:tcBorders>
              <w:top w:val="nil"/>
              <w:left w:val="nil"/>
              <w:bottom w:val="nil"/>
              <w:right w:val="nil"/>
            </w:tcBorders>
            <w:shd w:val="clear" w:color="auto" w:fill="auto"/>
            <w:noWrap/>
            <w:vAlign w:val="center"/>
          </w:tcPr>
          <w:p w14:paraId="0DBAB298" w14:textId="5DB73635"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32.8</w:t>
            </w:r>
          </w:p>
        </w:tc>
        <w:tc>
          <w:tcPr>
            <w:tcW w:w="960" w:type="dxa"/>
            <w:tcBorders>
              <w:top w:val="nil"/>
              <w:left w:val="nil"/>
              <w:bottom w:val="nil"/>
              <w:right w:val="single" w:sz="4" w:space="0" w:color="auto"/>
            </w:tcBorders>
            <w:shd w:val="clear" w:color="auto" w:fill="auto"/>
            <w:noWrap/>
            <w:vAlign w:val="center"/>
          </w:tcPr>
          <w:p w14:paraId="4E6219D4" w14:textId="58A76798"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20.7</w:t>
            </w:r>
          </w:p>
        </w:tc>
      </w:tr>
      <w:tr w:rsidR="000B6FD6" w:rsidRPr="00926421" w14:paraId="7A444992"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3AE6CC7C" w14:textId="08F9853B" w:rsidR="000B6FD6" w:rsidRPr="00926421" w:rsidRDefault="000B6FD6" w:rsidP="000B6FD6">
            <w:pPr>
              <w:spacing w:after="0" w:line="240" w:lineRule="auto"/>
              <w:jc w:val="both"/>
              <w:rPr>
                <w:rFonts w:eastAsia="Times New Roman"/>
                <w:color w:val="000000"/>
                <w:sz w:val="22"/>
                <w:szCs w:val="22"/>
              </w:rPr>
            </w:pPr>
            <w:r w:rsidRPr="00926421">
              <w:rPr>
                <w:rFonts w:eastAsia="Times New Roman"/>
                <w:b/>
                <w:bCs/>
                <w:color w:val="000000"/>
                <w:sz w:val="22"/>
                <w:szCs w:val="22"/>
              </w:rPr>
              <w:t xml:space="preserve">    </w:t>
            </w:r>
            <w:r w:rsidRPr="00926421">
              <w:rPr>
                <w:rFonts w:eastAsia="Times New Roman"/>
                <w:color w:val="000000"/>
                <w:sz w:val="22"/>
                <w:szCs w:val="22"/>
              </w:rPr>
              <w:t>0</w:t>
            </w:r>
          </w:p>
        </w:tc>
        <w:tc>
          <w:tcPr>
            <w:tcW w:w="964" w:type="dxa"/>
            <w:tcBorders>
              <w:top w:val="nil"/>
              <w:left w:val="nil"/>
              <w:bottom w:val="nil"/>
              <w:right w:val="nil"/>
            </w:tcBorders>
            <w:shd w:val="clear" w:color="auto" w:fill="auto"/>
            <w:noWrap/>
            <w:vAlign w:val="center"/>
          </w:tcPr>
          <w:p w14:paraId="433F95AD" w14:textId="326F036F" w:rsidR="000B6FD6" w:rsidRPr="00926421" w:rsidRDefault="007246B0"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7.2</w:t>
            </w:r>
          </w:p>
        </w:tc>
        <w:tc>
          <w:tcPr>
            <w:tcW w:w="960" w:type="dxa"/>
            <w:tcBorders>
              <w:top w:val="nil"/>
              <w:left w:val="nil"/>
              <w:bottom w:val="nil"/>
              <w:right w:val="nil"/>
            </w:tcBorders>
            <w:shd w:val="clear" w:color="auto" w:fill="auto"/>
            <w:noWrap/>
            <w:vAlign w:val="center"/>
          </w:tcPr>
          <w:p w14:paraId="795DE583" w14:textId="323C86B2" w:rsidR="000B6FD6" w:rsidRPr="00926421" w:rsidRDefault="007246B0" w:rsidP="000B6FD6">
            <w:pPr>
              <w:tabs>
                <w:tab w:val="decimal" w:pos="365"/>
              </w:tabs>
              <w:spacing w:after="0" w:line="240" w:lineRule="auto"/>
              <w:jc w:val="both"/>
              <w:rPr>
                <w:rFonts w:eastAsia="Times New Roman"/>
                <w:sz w:val="22"/>
                <w:szCs w:val="22"/>
              </w:rPr>
            </w:pPr>
            <w:r w:rsidRPr="00926421">
              <w:rPr>
                <w:rFonts w:eastAsia="Times New Roman"/>
                <w:sz w:val="22"/>
                <w:szCs w:val="22"/>
              </w:rPr>
              <w:t>8.1</w:t>
            </w:r>
          </w:p>
        </w:tc>
        <w:tc>
          <w:tcPr>
            <w:tcW w:w="2936" w:type="dxa"/>
            <w:tcBorders>
              <w:top w:val="nil"/>
              <w:left w:val="single" w:sz="4" w:space="0" w:color="auto"/>
              <w:bottom w:val="nil"/>
              <w:right w:val="nil"/>
            </w:tcBorders>
            <w:shd w:val="clear" w:color="auto" w:fill="auto"/>
            <w:noWrap/>
            <w:vAlign w:val="center"/>
          </w:tcPr>
          <w:p w14:paraId="223AC05D" w14:textId="4527F3E6" w:rsidR="000B6FD6" w:rsidRPr="00926421" w:rsidRDefault="000B6FD6" w:rsidP="000B6FD6">
            <w:pPr>
              <w:spacing w:after="0" w:line="240" w:lineRule="auto"/>
              <w:jc w:val="both"/>
              <w:rPr>
                <w:rFonts w:eastAsia="Times New Roman"/>
                <w:b/>
                <w:bCs/>
                <w:color w:val="000000"/>
                <w:sz w:val="22"/>
                <w:szCs w:val="22"/>
              </w:rPr>
            </w:pPr>
            <w:r w:rsidRPr="00926421">
              <w:rPr>
                <w:rFonts w:eastAsia="Times New Roman"/>
                <w:b/>
                <w:bCs/>
                <w:color w:val="000000"/>
                <w:sz w:val="22"/>
                <w:szCs w:val="22"/>
              </w:rPr>
              <w:t>Gender</w:t>
            </w:r>
          </w:p>
        </w:tc>
        <w:tc>
          <w:tcPr>
            <w:tcW w:w="960" w:type="dxa"/>
            <w:tcBorders>
              <w:top w:val="nil"/>
              <w:left w:val="nil"/>
              <w:bottom w:val="nil"/>
              <w:right w:val="nil"/>
            </w:tcBorders>
            <w:shd w:val="clear" w:color="auto" w:fill="auto"/>
            <w:noWrap/>
            <w:vAlign w:val="center"/>
          </w:tcPr>
          <w:p w14:paraId="42F2674F" w14:textId="6070EF1B" w:rsidR="000B6FD6" w:rsidRPr="00926421" w:rsidRDefault="000B6FD6" w:rsidP="000B6FD6">
            <w:pPr>
              <w:tabs>
                <w:tab w:val="decimal" w:pos="341"/>
              </w:tabs>
              <w:spacing w:after="0" w:line="240" w:lineRule="auto"/>
              <w:jc w:val="both"/>
              <w:rPr>
                <w:rFonts w:eastAsia="Times New Roman"/>
                <w:b/>
                <w:bCs/>
                <w:color w:val="000000"/>
                <w:sz w:val="22"/>
                <w:szCs w:val="22"/>
              </w:rPr>
            </w:pPr>
          </w:p>
        </w:tc>
        <w:tc>
          <w:tcPr>
            <w:tcW w:w="960" w:type="dxa"/>
            <w:tcBorders>
              <w:top w:val="nil"/>
              <w:left w:val="nil"/>
              <w:bottom w:val="nil"/>
              <w:right w:val="single" w:sz="4" w:space="0" w:color="auto"/>
            </w:tcBorders>
            <w:shd w:val="clear" w:color="auto" w:fill="auto"/>
            <w:noWrap/>
            <w:vAlign w:val="center"/>
          </w:tcPr>
          <w:p w14:paraId="68720C07" w14:textId="140A0BBC" w:rsidR="000B6FD6" w:rsidRPr="00926421" w:rsidRDefault="000B6FD6" w:rsidP="000B6FD6">
            <w:pPr>
              <w:tabs>
                <w:tab w:val="decimal" w:pos="368"/>
              </w:tabs>
              <w:spacing w:after="0" w:line="240" w:lineRule="auto"/>
              <w:jc w:val="both"/>
              <w:rPr>
                <w:rFonts w:eastAsia="Times New Roman"/>
                <w:color w:val="000000"/>
                <w:sz w:val="22"/>
                <w:szCs w:val="22"/>
              </w:rPr>
            </w:pPr>
          </w:p>
        </w:tc>
      </w:tr>
      <w:tr w:rsidR="000B6FD6" w:rsidRPr="00926421" w14:paraId="0BB33BE1"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28C76EDC" w14:textId="0EFF6B4A"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1</w:t>
            </w:r>
          </w:p>
        </w:tc>
        <w:tc>
          <w:tcPr>
            <w:tcW w:w="964" w:type="dxa"/>
            <w:tcBorders>
              <w:top w:val="nil"/>
              <w:left w:val="nil"/>
              <w:bottom w:val="nil"/>
              <w:right w:val="nil"/>
            </w:tcBorders>
            <w:shd w:val="clear" w:color="auto" w:fill="auto"/>
            <w:noWrap/>
            <w:vAlign w:val="center"/>
          </w:tcPr>
          <w:p w14:paraId="05F4BB7A" w14:textId="6C8C5CBF" w:rsidR="000B6FD6" w:rsidRPr="00926421" w:rsidRDefault="007246B0"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41.5</w:t>
            </w:r>
          </w:p>
        </w:tc>
        <w:tc>
          <w:tcPr>
            <w:tcW w:w="960" w:type="dxa"/>
            <w:tcBorders>
              <w:top w:val="nil"/>
              <w:left w:val="nil"/>
              <w:bottom w:val="nil"/>
              <w:right w:val="nil"/>
            </w:tcBorders>
            <w:shd w:val="clear" w:color="auto" w:fill="auto"/>
            <w:noWrap/>
            <w:vAlign w:val="center"/>
          </w:tcPr>
          <w:p w14:paraId="18C8EAB9" w14:textId="5CC8E4D5" w:rsidR="000B6FD6" w:rsidRPr="00926421" w:rsidRDefault="007246B0"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32.9</w:t>
            </w:r>
          </w:p>
        </w:tc>
        <w:tc>
          <w:tcPr>
            <w:tcW w:w="2936" w:type="dxa"/>
            <w:tcBorders>
              <w:top w:val="nil"/>
              <w:left w:val="single" w:sz="4" w:space="0" w:color="auto"/>
              <w:bottom w:val="nil"/>
              <w:right w:val="nil"/>
            </w:tcBorders>
            <w:shd w:val="clear" w:color="auto" w:fill="auto"/>
            <w:noWrap/>
            <w:vAlign w:val="center"/>
          </w:tcPr>
          <w:p w14:paraId="6EE185E8" w14:textId="28C4A7E8"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Male</w:t>
            </w:r>
          </w:p>
        </w:tc>
        <w:tc>
          <w:tcPr>
            <w:tcW w:w="960" w:type="dxa"/>
            <w:tcBorders>
              <w:top w:val="nil"/>
              <w:left w:val="nil"/>
              <w:bottom w:val="nil"/>
              <w:right w:val="nil"/>
            </w:tcBorders>
            <w:shd w:val="clear" w:color="auto" w:fill="auto"/>
            <w:noWrap/>
            <w:vAlign w:val="center"/>
          </w:tcPr>
          <w:p w14:paraId="5CDB1927" w14:textId="1B6A3198"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37.9</w:t>
            </w:r>
          </w:p>
        </w:tc>
        <w:tc>
          <w:tcPr>
            <w:tcW w:w="960" w:type="dxa"/>
            <w:tcBorders>
              <w:top w:val="nil"/>
              <w:left w:val="nil"/>
              <w:bottom w:val="nil"/>
              <w:right w:val="single" w:sz="4" w:space="0" w:color="auto"/>
            </w:tcBorders>
            <w:shd w:val="clear" w:color="auto" w:fill="auto"/>
            <w:noWrap/>
            <w:vAlign w:val="center"/>
          </w:tcPr>
          <w:p w14:paraId="5C60E161" w14:textId="53FD648A"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49.5</w:t>
            </w:r>
          </w:p>
        </w:tc>
      </w:tr>
      <w:tr w:rsidR="000B6FD6" w:rsidRPr="00926421" w14:paraId="1C3F9585"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760CE0F4" w14:textId="3424BCD1"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2</w:t>
            </w:r>
          </w:p>
        </w:tc>
        <w:tc>
          <w:tcPr>
            <w:tcW w:w="964" w:type="dxa"/>
            <w:tcBorders>
              <w:top w:val="nil"/>
              <w:left w:val="nil"/>
              <w:bottom w:val="nil"/>
              <w:right w:val="nil"/>
            </w:tcBorders>
            <w:shd w:val="clear" w:color="auto" w:fill="auto"/>
            <w:noWrap/>
            <w:vAlign w:val="center"/>
          </w:tcPr>
          <w:p w14:paraId="671EF603" w14:textId="13898995" w:rsidR="000B6FD6" w:rsidRPr="00926421" w:rsidRDefault="007246B0"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38.3</w:t>
            </w:r>
          </w:p>
        </w:tc>
        <w:tc>
          <w:tcPr>
            <w:tcW w:w="960" w:type="dxa"/>
            <w:tcBorders>
              <w:top w:val="nil"/>
              <w:left w:val="nil"/>
              <w:bottom w:val="nil"/>
              <w:right w:val="nil"/>
            </w:tcBorders>
            <w:shd w:val="clear" w:color="auto" w:fill="auto"/>
            <w:noWrap/>
            <w:vAlign w:val="center"/>
          </w:tcPr>
          <w:p w14:paraId="29D0B738" w14:textId="55D517FB" w:rsidR="000B6FD6" w:rsidRPr="00926421" w:rsidRDefault="007246B0" w:rsidP="000B6FD6">
            <w:pPr>
              <w:tabs>
                <w:tab w:val="decimal" w:pos="365"/>
              </w:tabs>
              <w:spacing w:after="0" w:line="240" w:lineRule="auto"/>
              <w:jc w:val="both"/>
              <w:rPr>
                <w:rFonts w:eastAsia="Times New Roman"/>
                <w:color w:val="000000"/>
                <w:sz w:val="22"/>
                <w:szCs w:val="22"/>
              </w:rPr>
            </w:pPr>
            <w:r w:rsidRPr="00926421">
              <w:rPr>
                <w:rFonts w:eastAsia="Times New Roman"/>
                <w:color w:val="000000"/>
                <w:sz w:val="22"/>
                <w:szCs w:val="22"/>
              </w:rPr>
              <w:t>37.1</w:t>
            </w:r>
          </w:p>
        </w:tc>
        <w:tc>
          <w:tcPr>
            <w:tcW w:w="2936" w:type="dxa"/>
            <w:tcBorders>
              <w:top w:val="nil"/>
              <w:left w:val="single" w:sz="4" w:space="0" w:color="auto"/>
              <w:bottom w:val="nil"/>
              <w:right w:val="nil"/>
            </w:tcBorders>
            <w:shd w:val="clear" w:color="auto" w:fill="auto"/>
            <w:noWrap/>
            <w:vAlign w:val="center"/>
          </w:tcPr>
          <w:p w14:paraId="4711A8EC" w14:textId="5C253A41"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Female</w:t>
            </w:r>
          </w:p>
        </w:tc>
        <w:tc>
          <w:tcPr>
            <w:tcW w:w="960" w:type="dxa"/>
            <w:tcBorders>
              <w:top w:val="nil"/>
              <w:left w:val="nil"/>
              <w:bottom w:val="nil"/>
              <w:right w:val="nil"/>
            </w:tcBorders>
            <w:shd w:val="clear" w:color="auto" w:fill="auto"/>
            <w:noWrap/>
            <w:vAlign w:val="center"/>
          </w:tcPr>
          <w:p w14:paraId="0B8A4DD0" w14:textId="1B38BB5D" w:rsidR="000B6FD6" w:rsidRPr="00926421" w:rsidRDefault="000B6FD6" w:rsidP="000B6FD6">
            <w:pPr>
              <w:tabs>
                <w:tab w:val="decimal" w:pos="341"/>
              </w:tabs>
              <w:spacing w:after="0" w:line="240" w:lineRule="auto"/>
              <w:jc w:val="both"/>
              <w:rPr>
                <w:rFonts w:eastAsia="Times New Roman"/>
                <w:color w:val="000000"/>
                <w:sz w:val="22"/>
                <w:szCs w:val="22"/>
              </w:rPr>
            </w:pPr>
            <w:r w:rsidRPr="00926421">
              <w:rPr>
                <w:rFonts w:eastAsia="Times New Roman"/>
                <w:color w:val="000000"/>
                <w:sz w:val="22"/>
                <w:szCs w:val="22"/>
              </w:rPr>
              <w:t>62.1</w:t>
            </w:r>
          </w:p>
        </w:tc>
        <w:tc>
          <w:tcPr>
            <w:tcW w:w="960" w:type="dxa"/>
            <w:tcBorders>
              <w:top w:val="nil"/>
              <w:left w:val="nil"/>
              <w:bottom w:val="nil"/>
              <w:right w:val="single" w:sz="4" w:space="0" w:color="auto"/>
            </w:tcBorders>
            <w:shd w:val="clear" w:color="auto" w:fill="auto"/>
            <w:noWrap/>
            <w:vAlign w:val="center"/>
          </w:tcPr>
          <w:p w14:paraId="53D7E380" w14:textId="6A7899E7" w:rsidR="000B6FD6" w:rsidRPr="00926421" w:rsidRDefault="000B6FD6" w:rsidP="000B6FD6">
            <w:pPr>
              <w:tabs>
                <w:tab w:val="decimal" w:pos="368"/>
              </w:tabs>
              <w:spacing w:after="0" w:line="240" w:lineRule="auto"/>
              <w:jc w:val="both"/>
              <w:rPr>
                <w:rFonts w:eastAsia="Times New Roman"/>
                <w:color w:val="000000"/>
                <w:sz w:val="22"/>
                <w:szCs w:val="22"/>
              </w:rPr>
            </w:pPr>
            <w:r w:rsidRPr="00926421">
              <w:rPr>
                <w:rFonts w:eastAsia="Times New Roman"/>
                <w:color w:val="000000"/>
                <w:sz w:val="22"/>
                <w:szCs w:val="22"/>
              </w:rPr>
              <w:t>50.5</w:t>
            </w:r>
          </w:p>
        </w:tc>
      </w:tr>
      <w:tr w:rsidR="000B6FD6" w:rsidRPr="00926421" w14:paraId="281169C9" w14:textId="77777777" w:rsidTr="00926421">
        <w:trPr>
          <w:trHeight w:val="295"/>
        </w:trPr>
        <w:tc>
          <w:tcPr>
            <w:tcW w:w="3055" w:type="dxa"/>
            <w:tcBorders>
              <w:top w:val="nil"/>
              <w:left w:val="single" w:sz="4" w:space="0" w:color="auto"/>
              <w:bottom w:val="nil"/>
              <w:right w:val="nil"/>
            </w:tcBorders>
            <w:shd w:val="clear" w:color="auto" w:fill="auto"/>
            <w:noWrap/>
            <w:vAlign w:val="center"/>
          </w:tcPr>
          <w:p w14:paraId="4E57D7FF" w14:textId="0E0D73A5" w:rsidR="000B6FD6" w:rsidRPr="00926421" w:rsidRDefault="000B6FD6"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w:t>
            </w:r>
            <w:r w:rsidR="007246B0" w:rsidRPr="00926421">
              <w:rPr>
                <w:rFonts w:eastAsia="Times New Roman"/>
                <w:color w:val="000000"/>
                <w:sz w:val="22"/>
                <w:szCs w:val="22"/>
              </w:rPr>
              <w:t>3</w:t>
            </w:r>
          </w:p>
        </w:tc>
        <w:tc>
          <w:tcPr>
            <w:tcW w:w="964" w:type="dxa"/>
            <w:tcBorders>
              <w:top w:val="nil"/>
              <w:left w:val="nil"/>
              <w:bottom w:val="nil"/>
              <w:right w:val="nil"/>
            </w:tcBorders>
            <w:shd w:val="clear" w:color="auto" w:fill="auto"/>
            <w:noWrap/>
            <w:vAlign w:val="center"/>
          </w:tcPr>
          <w:p w14:paraId="1B0632D2" w14:textId="59648438" w:rsidR="000B6FD6" w:rsidRPr="00926421" w:rsidRDefault="007246B0"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9.4</w:t>
            </w:r>
          </w:p>
        </w:tc>
        <w:tc>
          <w:tcPr>
            <w:tcW w:w="960" w:type="dxa"/>
            <w:tcBorders>
              <w:top w:val="nil"/>
              <w:left w:val="nil"/>
              <w:bottom w:val="nil"/>
              <w:right w:val="nil"/>
            </w:tcBorders>
            <w:shd w:val="clear" w:color="auto" w:fill="auto"/>
            <w:noWrap/>
            <w:vAlign w:val="center"/>
          </w:tcPr>
          <w:p w14:paraId="57D86C51" w14:textId="7FE4E7E2" w:rsidR="000B6FD6" w:rsidRPr="00926421" w:rsidRDefault="007246B0" w:rsidP="000B6FD6">
            <w:pPr>
              <w:tabs>
                <w:tab w:val="decimal" w:pos="365"/>
              </w:tabs>
              <w:spacing w:after="0" w:line="240" w:lineRule="auto"/>
              <w:jc w:val="both"/>
              <w:rPr>
                <w:rFonts w:eastAsia="Times New Roman"/>
                <w:sz w:val="22"/>
                <w:szCs w:val="22"/>
              </w:rPr>
            </w:pPr>
            <w:r w:rsidRPr="00926421">
              <w:rPr>
                <w:rFonts w:eastAsia="Times New Roman"/>
                <w:sz w:val="22"/>
                <w:szCs w:val="22"/>
              </w:rPr>
              <w:t>14.6</w:t>
            </w:r>
          </w:p>
        </w:tc>
        <w:tc>
          <w:tcPr>
            <w:tcW w:w="2936" w:type="dxa"/>
            <w:tcBorders>
              <w:top w:val="nil"/>
              <w:left w:val="single" w:sz="4" w:space="0" w:color="auto"/>
              <w:bottom w:val="nil"/>
              <w:right w:val="nil"/>
            </w:tcBorders>
            <w:shd w:val="clear" w:color="auto" w:fill="auto"/>
            <w:noWrap/>
            <w:vAlign w:val="center"/>
          </w:tcPr>
          <w:p w14:paraId="24C04AF3" w14:textId="78BB01B8" w:rsidR="000B6FD6" w:rsidRPr="00926421" w:rsidRDefault="000B6FD6" w:rsidP="000B6FD6">
            <w:pPr>
              <w:spacing w:after="0" w:line="240" w:lineRule="auto"/>
              <w:jc w:val="both"/>
              <w:rPr>
                <w:rFonts w:eastAsia="Times New Roman"/>
                <w:color w:val="000000"/>
                <w:sz w:val="22"/>
                <w:szCs w:val="22"/>
              </w:rPr>
            </w:pPr>
          </w:p>
        </w:tc>
        <w:tc>
          <w:tcPr>
            <w:tcW w:w="960" w:type="dxa"/>
            <w:tcBorders>
              <w:top w:val="nil"/>
              <w:left w:val="nil"/>
              <w:bottom w:val="nil"/>
              <w:right w:val="nil"/>
            </w:tcBorders>
            <w:shd w:val="clear" w:color="auto" w:fill="auto"/>
            <w:noWrap/>
            <w:vAlign w:val="center"/>
          </w:tcPr>
          <w:p w14:paraId="000818DC" w14:textId="14A428B9" w:rsidR="000B6FD6" w:rsidRPr="00926421" w:rsidRDefault="000B6FD6" w:rsidP="000B6FD6">
            <w:pPr>
              <w:tabs>
                <w:tab w:val="decimal" w:pos="341"/>
              </w:tabs>
              <w:spacing w:after="0" w:line="240" w:lineRule="auto"/>
              <w:jc w:val="both"/>
              <w:rPr>
                <w:rFonts w:eastAsia="Times New Roman"/>
                <w:color w:val="000000"/>
                <w:sz w:val="22"/>
                <w:szCs w:val="22"/>
              </w:rPr>
            </w:pPr>
          </w:p>
        </w:tc>
        <w:tc>
          <w:tcPr>
            <w:tcW w:w="960" w:type="dxa"/>
            <w:tcBorders>
              <w:top w:val="nil"/>
              <w:left w:val="nil"/>
              <w:bottom w:val="nil"/>
              <w:right w:val="single" w:sz="4" w:space="0" w:color="auto"/>
            </w:tcBorders>
            <w:shd w:val="clear" w:color="auto" w:fill="auto"/>
            <w:noWrap/>
            <w:vAlign w:val="center"/>
          </w:tcPr>
          <w:p w14:paraId="51AE5576" w14:textId="23051284" w:rsidR="000B6FD6" w:rsidRPr="00926421" w:rsidRDefault="000B6FD6" w:rsidP="000B6FD6">
            <w:pPr>
              <w:tabs>
                <w:tab w:val="decimal" w:pos="368"/>
              </w:tabs>
              <w:spacing w:after="0" w:line="240" w:lineRule="auto"/>
              <w:jc w:val="both"/>
              <w:rPr>
                <w:rFonts w:eastAsia="Times New Roman"/>
                <w:color w:val="000000"/>
                <w:sz w:val="22"/>
                <w:szCs w:val="22"/>
              </w:rPr>
            </w:pPr>
          </w:p>
        </w:tc>
      </w:tr>
      <w:tr w:rsidR="007246B0" w:rsidRPr="00926421" w14:paraId="4FA06D5C" w14:textId="77777777" w:rsidTr="00926421">
        <w:trPr>
          <w:trHeight w:val="295"/>
        </w:trPr>
        <w:tc>
          <w:tcPr>
            <w:tcW w:w="3055" w:type="dxa"/>
            <w:tcBorders>
              <w:top w:val="nil"/>
              <w:left w:val="single" w:sz="4" w:space="0" w:color="auto"/>
              <w:bottom w:val="single" w:sz="4" w:space="0" w:color="auto"/>
              <w:right w:val="nil"/>
            </w:tcBorders>
            <w:shd w:val="clear" w:color="auto" w:fill="auto"/>
            <w:noWrap/>
            <w:vAlign w:val="center"/>
          </w:tcPr>
          <w:p w14:paraId="453994DB" w14:textId="2FE3B80E" w:rsidR="007246B0" w:rsidRPr="00926421" w:rsidRDefault="007246B0" w:rsidP="000B6FD6">
            <w:pPr>
              <w:spacing w:after="0" w:line="240" w:lineRule="auto"/>
              <w:jc w:val="both"/>
              <w:rPr>
                <w:rFonts w:eastAsia="Times New Roman"/>
                <w:color w:val="000000"/>
                <w:sz w:val="22"/>
                <w:szCs w:val="22"/>
              </w:rPr>
            </w:pPr>
            <w:r w:rsidRPr="00926421">
              <w:rPr>
                <w:rFonts w:eastAsia="Times New Roman"/>
                <w:color w:val="000000"/>
                <w:sz w:val="22"/>
                <w:szCs w:val="22"/>
              </w:rPr>
              <w:t xml:space="preserve">    4+</w:t>
            </w:r>
          </w:p>
        </w:tc>
        <w:tc>
          <w:tcPr>
            <w:tcW w:w="964" w:type="dxa"/>
            <w:tcBorders>
              <w:top w:val="nil"/>
              <w:left w:val="nil"/>
              <w:bottom w:val="single" w:sz="4" w:space="0" w:color="auto"/>
              <w:right w:val="nil"/>
            </w:tcBorders>
            <w:shd w:val="clear" w:color="auto" w:fill="auto"/>
            <w:noWrap/>
            <w:vAlign w:val="center"/>
          </w:tcPr>
          <w:p w14:paraId="4D1060F0" w14:textId="037FD4A7" w:rsidR="007246B0" w:rsidRPr="00926421" w:rsidRDefault="007246B0" w:rsidP="000B6FD6">
            <w:pPr>
              <w:tabs>
                <w:tab w:val="decimal" w:pos="435"/>
              </w:tabs>
              <w:spacing w:after="0" w:line="240" w:lineRule="auto"/>
              <w:jc w:val="both"/>
              <w:rPr>
                <w:rFonts w:eastAsia="Times New Roman"/>
                <w:color w:val="000000"/>
                <w:sz w:val="22"/>
                <w:szCs w:val="22"/>
              </w:rPr>
            </w:pPr>
            <w:r w:rsidRPr="00926421">
              <w:rPr>
                <w:rFonts w:eastAsia="Times New Roman"/>
                <w:color w:val="000000"/>
                <w:sz w:val="22"/>
                <w:szCs w:val="22"/>
              </w:rPr>
              <w:t>3.6</w:t>
            </w:r>
          </w:p>
        </w:tc>
        <w:tc>
          <w:tcPr>
            <w:tcW w:w="960" w:type="dxa"/>
            <w:tcBorders>
              <w:top w:val="nil"/>
              <w:left w:val="nil"/>
              <w:bottom w:val="single" w:sz="4" w:space="0" w:color="auto"/>
              <w:right w:val="nil"/>
            </w:tcBorders>
            <w:shd w:val="clear" w:color="auto" w:fill="auto"/>
            <w:noWrap/>
            <w:vAlign w:val="center"/>
          </w:tcPr>
          <w:p w14:paraId="0863A6B1" w14:textId="0C0DE967" w:rsidR="007246B0" w:rsidRPr="00926421" w:rsidRDefault="007246B0" w:rsidP="000B6FD6">
            <w:pPr>
              <w:tabs>
                <w:tab w:val="decimal" w:pos="365"/>
              </w:tabs>
              <w:spacing w:after="0" w:line="240" w:lineRule="auto"/>
              <w:jc w:val="both"/>
              <w:rPr>
                <w:rFonts w:eastAsia="Times New Roman"/>
                <w:sz w:val="22"/>
                <w:szCs w:val="22"/>
              </w:rPr>
            </w:pPr>
            <w:r w:rsidRPr="00926421">
              <w:rPr>
                <w:rFonts w:eastAsia="Times New Roman"/>
                <w:sz w:val="22"/>
                <w:szCs w:val="22"/>
              </w:rPr>
              <w:t>7.3</w:t>
            </w:r>
          </w:p>
        </w:tc>
        <w:tc>
          <w:tcPr>
            <w:tcW w:w="2936" w:type="dxa"/>
            <w:tcBorders>
              <w:top w:val="nil"/>
              <w:left w:val="single" w:sz="4" w:space="0" w:color="auto"/>
              <w:bottom w:val="single" w:sz="4" w:space="0" w:color="auto"/>
              <w:right w:val="nil"/>
            </w:tcBorders>
            <w:shd w:val="clear" w:color="auto" w:fill="auto"/>
            <w:noWrap/>
            <w:vAlign w:val="center"/>
          </w:tcPr>
          <w:p w14:paraId="71FE7D0F" w14:textId="77777777" w:rsidR="007246B0" w:rsidRPr="00926421" w:rsidRDefault="007246B0" w:rsidP="000B6FD6">
            <w:pPr>
              <w:spacing w:after="0" w:line="240" w:lineRule="auto"/>
              <w:jc w:val="both"/>
              <w:rPr>
                <w:rFonts w:eastAsia="Times New Roman"/>
                <w:color w:val="000000"/>
                <w:sz w:val="22"/>
                <w:szCs w:val="22"/>
              </w:rPr>
            </w:pPr>
          </w:p>
        </w:tc>
        <w:tc>
          <w:tcPr>
            <w:tcW w:w="960" w:type="dxa"/>
            <w:tcBorders>
              <w:top w:val="nil"/>
              <w:left w:val="nil"/>
              <w:bottom w:val="single" w:sz="4" w:space="0" w:color="auto"/>
              <w:right w:val="nil"/>
            </w:tcBorders>
            <w:shd w:val="clear" w:color="auto" w:fill="auto"/>
            <w:noWrap/>
            <w:vAlign w:val="center"/>
          </w:tcPr>
          <w:p w14:paraId="4B10A175" w14:textId="77777777" w:rsidR="007246B0" w:rsidRPr="00926421" w:rsidRDefault="007246B0" w:rsidP="000B6FD6">
            <w:pPr>
              <w:tabs>
                <w:tab w:val="decimal" w:pos="341"/>
              </w:tabs>
              <w:spacing w:after="0" w:line="240" w:lineRule="auto"/>
              <w:jc w:val="both"/>
              <w:rPr>
                <w:rFonts w:eastAsia="Times New Roman"/>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580EECD4" w14:textId="77777777" w:rsidR="007246B0" w:rsidRPr="00926421" w:rsidRDefault="007246B0" w:rsidP="000B6FD6">
            <w:pPr>
              <w:tabs>
                <w:tab w:val="decimal" w:pos="368"/>
              </w:tabs>
              <w:spacing w:after="0" w:line="240" w:lineRule="auto"/>
              <w:jc w:val="both"/>
              <w:rPr>
                <w:rFonts w:eastAsia="Times New Roman"/>
                <w:color w:val="000000"/>
                <w:sz w:val="22"/>
                <w:szCs w:val="22"/>
              </w:rPr>
            </w:pPr>
          </w:p>
        </w:tc>
      </w:tr>
      <w:bookmarkEnd w:id="58"/>
    </w:tbl>
    <w:p w14:paraId="2DED91E7" w14:textId="77777777" w:rsidR="008C69B2" w:rsidRPr="009B2F97" w:rsidRDefault="008C69B2" w:rsidP="000B6FD6">
      <w:pPr>
        <w:spacing w:line="240" w:lineRule="auto"/>
        <w:jc w:val="both"/>
        <w:rPr>
          <w:b/>
          <w:bCs/>
        </w:rPr>
      </w:pPr>
    </w:p>
    <w:p w14:paraId="3411B845" w14:textId="119A8664" w:rsidR="00375020" w:rsidRDefault="00375020" w:rsidP="000B6FD6">
      <w:pPr>
        <w:spacing w:line="240" w:lineRule="auto"/>
        <w:jc w:val="both"/>
        <w:rPr>
          <w:b/>
          <w:bCs/>
        </w:rPr>
        <w:sectPr w:rsidR="00375020" w:rsidSect="007D1DDE">
          <w:pgSz w:w="12240" w:h="15840"/>
          <w:pgMar w:top="1440" w:right="1440" w:bottom="1440" w:left="1440" w:header="720" w:footer="720" w:gutter="0"/>
          <w:cols w:space="720"/>
          <w:docGrid w:linePitch="360"/>
        </w:sectPr>
      </w:pPr>
    </w:p>
    <w:p w14:paraId="67F2C847" w14:textId="7FCB6F44" w:rsidR="004C593A" w:rsidRPr="009C5F54" w:rsidRDefault="004C593A" w:rsidP="000B6FD6">
      <w:pPr>
        <w:spacing w:after="0" w:line="240" w:lineRule="auto"/>
        <w:jc w:val="both"/>
        <w:rPr>
          <w:b/>
          <w:bCs/>
        </w:rPr>
      </w:pPr>
      <w:r w:rsidRPr="009B2F97">
        <w:rPr>
          <w:b/>
          <w:bCs/>
        </w:rPr>
        <w:lastRenderedPageBreak/>
        <w:t xml:space="preserve">Table </w:t>
      </w:r>
      <w:r w:rsidR="00890907" w:rsidRPr="009434FD">
        <w:rPr>
          <w:b/>
          <w:bCs/>
        </w:rPr>
        <w:t>3</w:t>
      </w:r>
      <w:r w:rsidRPr="009434FD">
        <w:rPr>
          <w:b/>
          <w:bCs/>
        </w:rPr>
        <w:t xml:space="preserve">: </w:t>
      </w:r>
      <w:bookmarkStart w:id="59" w:name="_Hlk148698163"/>
      <w:r w:rsidR="00715CF8" w:rsidRPr="009434FD">
        <w:rPr>
          <w:b/>
          <w:bCs/>
        </w:rPr>
        <w:t>Determinants of Latent Variables</w:t>
      </w:r>
      <w:bookmarkEnd w:id="59"/>
    </w:p>
    <w:tbl>
      <w:tblPr>
        <w:tblW w:w="13143" w:type="dxa"/>
        <w:tblLook w:val="04A0" w:firstRow="1" w:lastRow="0" w:firstColumn="1" w:lastColumn="0" w:noHBand="0" w:noVBand="1"/>
      </w:tblPr>
      <w:tblGrid>
        <w:gridCol w:w="7105"/>
        <w:gridCol w:w="1149"/>
        <w:gridCol w:w="913"/>
        <w:gridCol w:w="1149"/>
        <w:gridCol w:w="766"/>
        <w:gridCol w:w="1149"/>
        <w:gridCol w:w="900"/>
        <w:gridCol w:w="12"/>
      </w:tblGrid>
      <w:tr w:rsidR="00A66C4B" w:rsidRPr="000B6FD6" w14:paraId="35BB1749" w14:textId="77777777" w:rsidTr="00715CF8">
        <w:trPr>
          <w:gridAfter w:val="1"/>
          <w:wAfter w:w="12" w:type="dxa"/>
          <w:trHeight w:val="144"/>
        </w:trPr>
        <w:tc>
          <w:tcPr>
            <w:tcW w:w="71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289742" w14:textId="77777777" w:rsidR="006466AD" w:rsidRPr="000B6FD6" w:rsidRDefault="006466AD" w:rsidP="000B6FD6">
            <w:pPr>
              <w:spacing w:after="0" w:line="240" w:lineRule="auto"/>
              <w:jc w:val="both"/>
              <w:rPr>
                <w:rFonts w:eastAsia="Times New Roman"/>
                <w:b/>
                <w:bCs/>
                <w:color w:val="000000"/>
                <w:sz w:val="20"/>
                <w:szCs w:val="20"/>
              </w:rPr>
            </w:pPr>
            <w:bookmarkStart w:id="60" w:name="_Hlk148698179"/>
            <w:r w:rsidRPr="000B6FD6">
              <w:rPr>
                <w:rFonts w:eastAsia="Times New Roman"/>
                <w:b/>
                <w:bCs/>
                <w:color w:val="000000"/>
                <w:sz w:val="20"/>
                <w:szCs w:val="20"/>
              </w:rPr>
              <w:t>Latent Variable Structural Equation Model</w:t>
            </w:r>
          </w:p>
        </w:tc>
        <w:tc>
          <w:tcPr>
            <w:tcW w:w="2062" w:type="dxa"/>
            <w:gridSpan w:val="2"/>
            <w:tcBorders>
              <w:top w:val="single" w:sz="4" w:space="0" w:color="auto"/>
              <w:left w:val="nil"/>
              <w:bottom w:val="single" w:sz="4" w:space="0" w:color="auto"/>
              <w:right w:val="single" w:sz="4" w:space="0" w:color="000000"/>
            </w:tcBorders>
            <w:shd w:val="clear" w:color="auto" w:fill="auto"/>
            <w:vAlign w:val="center"/>
            <w:hideMark/>
          </w:tcPr>
          <w:p w14:paraId="033FA136"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Green Lifestyle</w:t>
            </w:r>
          </w:p>
        </w:tc>
        <w:tc>
          <w:tcPr>
            <w:tcW w:w="1915" w:type="dxa"/>
            <w:gridSpan w:val="2"/>
            <w:tcBorders>
              <w:top w:val="single" w:sz="4" w:space="0" w:color="auto"/>
              <w:left w:val="nil"/>
              <w:bottom w:val="single" w:sz="4" w:space="0" w:color="auto"/>
              <w:right w:val="single" w:sz="4" w:space="0" w:color="000000"/>
            </w:tcBorders>
            <w:shd w:val="clear" w:color="auto" w:fill="auto"/>
            <w:vAlign w:val="center"/>
            <w:hideMark/>
          </w:tcPr>
          <w:p w14:paraId="3B184D30"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Luxury Lifestyle</w:t>
            </w:r>
          </w:p>
        </w:tc>
        <w:tc>
          <w:tcPr>
            <w:tcW w:w="2049" w:type="dxa"/>
            <w:gridSpan w:val="2"/>
            <w:tcBorders>
              <w:top w:val="single" w:sz="4" w:space="0" w:color="auto"/>
              <w:left w:val="nil"/>
              <w:bottom w:val="single" w:sz="4" w:space="0" w:color="auto"/>
              <w:right w:val="single" w:sz="4" w:space="0" w:color="auto"/>
            </w:tcBorders>
            <w:shd w:val="clear" w:color="auto" w:fill="auto"/>
            <w:vAlign w:val="center"/>
            <w:hideMark/>
          </w:tcPr>
          <w:p w14:paraId="2E56099A" w14:textId="671CCA46"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Telework</w:t>
            </w:r>
            <w:r w:rsidR="006201A6">
              <w:rPr>
                <w:rFonts w:eastAsia="Times New Roman"/>
                <w:b/>
                <w:bCs/>
                <w:color w:val="000000"/>
                <w:sz w:val="20"/>
                <w:szCs w:val="20"/>
              </w:rPr>
              <w:t xml:space="preserve"> Lifestyle</w:t>
            </w:r>
          </w:p>
        </w:tc>
      </w:tr>
      <w:tr w:rsidR="00FA68DA" w:rsidRPr="000B6FD6" w14:paraId="43F3B467" w14:textId="77777777" w:rsidTr="00715CF8">
        <w:trPr>
          <w:trHeight w:val="144"/>
        </w:trPr>
        <w:tc>
          <w:tcPr>
            <w:tcW w:w="7105" w:type="dxa"/>
            <w:vMerge/>
            <w:tcBorders>
              <w:top w:val="single" w:sz="4" w:space="0" w:color="auto"/>
              <w:left w:val="single" w:sz="4" w:space="0" w:color="auto"/>
              <w:bottom w:val="single" w:sz="4" w:space="0" w:color="000000"/>
              <w:right w:val="single" w:sz="4" w:space="0" w:color="auto"/>
            </w:tcBorders>
            <w:vAlign w:val="center"/>
            <w:hideMark/>
          </w:tcPr>
          <w:p w14:paraId="65792A27" w14:textId="77777777" w:rsidR="006466AD" w:rsidRPr="000B6FD6" w:rsidRDefault="006466AD" w:rsidP="000B6FD6">
            <w:pPr>
              <w:spacing w:after="0" w:line="240" w:lineRule="auto"/>
              <w:jc w:val="both"/>
              <w:rPr>
                <w:rFonts w:eastAsia="Times New Roman"/>
                <w:b/>
                <w:bCs/>
                <w:color w:val="000000"/>
                <w:sz w:val="20"/>
                <w:szCs w:val="20"/>
              </w:rPr>
            </w:pPr>
          </w:p>
        </w:tc>
        <w:tc>
          <w:tcPr>
            <w:tcW w:w="1149" w:type="dxa"/>
            <w:tcBorders>
              <w:top w:val="nil"/>
              <w:left w:val="nil"/>
              <w:bottom w:val="single" w:sz="4" w:space="0" w:color="auto"/>
              <w:right w:val="single" w:sz="4" w:space="0" w:color="auto"/>
            </w:tcBorders>
            <w:shd w:val="clear" w:color="auto" w:fill="auto"/>
            <w:noWrap/>
            <w:vAlign w:val="center"/>
            <w:hideMark/>
          </w:tcPr>
          <w:p w14:paraId="745303D0"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Coefficient</w:t>
            </w:r>
          </w:p>
        </w:tc>
        <w:tc>
          <w:tcPr>
            <w:tcW w:w="913" w:type="dxa"/>
            <w:tcBorders>
              <w:top w:val="nil"/>
              <w:left w:val="nil"/>
              <w:bottom w:val="single" w:sz="4" w:space="0" w:color="auto"/>
              <w:right w:val="single" w:sz="4" w:space="0" w:color="auto"/>
            </w:tcBorders>
            <w:shd w:val="clear" w:color="auto" w:fill="auto"/>
            <w:noWrap/>
            <w:vAlign w:val="center"/>
            <w:hideMark/>
          </w:tcPr>
          <w:p w14:paraId="2FC6471D"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c>
          <w:tcPr>
            <w:tcW w:w="1149" w:type="dxa"/>
            <w:tcBorders>
              <w:top w:val="nil"/>
              <w:left w:val="nil"/>
              <w:bottom w:val="single" w:sz="4" w:space="0" w:color="auto"/>
              <w:right w:val="single" w:sz="4" w:space="0" w:color="auto"/>
            </w:tcBorders>
            <w:shd w:val="clear" w:color="auto" w:fill="auto"/>
            <w:noWrap/>
            <w:vAlign w:val="center"/>
            <w:hideMark/>
          </w:tcPr>
          <w:p w14:paraId="64A2E372"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Coefficient</w:t>
            </w:r>
          </w:p>
        </w:tc>
        <w:tc>
          <w:tcPr>
            <w:tcW w:w="766" w:type="dxa"/>
            <w:tcBorders>
              <w:top w:val="nil"/>
              <w:left w:val="nil"/>
              <w:bottom w:val="single" w:sz="4" w:space="0" w:color="auto"/>
              <w:right w:val="single" w:sz="4" w:space="0" w:color="auto"/>
            </w:tcBorders>
            <w:shd w:val="clear" w:color="auto" w:fill="auto"/>
            <w:noWrap/>
            <w:vAlign w:val="center"/>
            <w:hideMark/>
          </w:tcPr>
          <w:p w14:paraId="57FC8A4B"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c>
          <w:tcPr>
            <w:tcW w:w="1149" w:type="dxa"/>
            <w:tcBorders>
              <w:top w:val="nil"/>
              <w:left w:val="nil"/>
              <w:bottom w:val="single" w:sz="4" w:space="0" w:color="auto"/>
              <w:right w:val="single" w:sz="4" w:space="0" w:color="auto"/>
            </w:tcBorders>
            <w:shd w:val="clear" w:color="auto" w:fill="auto"/>
            <w:noWrap/>
            <w:vAlign w:val="center"/>
            <w:hideMark/>
          </w:tcPr>
          <w:p w14:paraId="0E523F15"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Coefficient</w:t>
            </w:r>
          </w:p>
        </w:tc>
        <w:tc>
          <w:tcPr>
            <w:tcW w:w="912" w:type="dxa"/>
            <w:gridSpan w:val="2"/>
            <w:tcBorders>
              <w:top w:val="nil"/>
              <w:left w:val="nil"/>
              <w:bottom w:val="single" w:sz="4" w:space="0" w:color="auto"/>
              <w:right w:val="single" w:sz="4" w:space="0" w:color="auto"/>
            </w:tcBorders>
            <w:shd w:val="clear" w:color="auto" w:fill="auto"/>
            <w:noWrap/>
            <w:vAlign w:val="center"/>
            <w:hideMark/>
          </w:tcPr>
          <w:p w14:paraId="044AC852" w14:textId="77777777" w:rsidR="006466AD" w:rsidRPr="000B6FD6" w:rsidRDefault="006466AD" w:rsidP="000B6FD6">
            <w:pPr>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r>
      <w:tr w:rsidR="00FA68DA" w:rsidRPr="000B6FD6" w14:paraId="700EAA54" w14:textId="77777777" w:rsidTr="00715CF8">
        <w:trPr>
          <w:trHeight w:val="144"/>
        </w:trPr>
        <w:tc>
          <w:tcPr>
            <w:tcW w:w="7105" w:type="dxa"/>
            <w:tcBorders>
              <w:top w:val="nil"/>
              <w:left w:val="single" w:sz="4" w:space="0" w:color="auto"/>
              <w:bottom w:val="nil"/>
              <w:right w:val="nil"/>
            </w:tcBorders>
            <w:shd w:val="clear" w:color="auto" w:fill="auto"/>
            <w:noWrap/>
            <w:vAlign w:val="center"/>
            <w:hideMark/>
          </w:tcPr>
          <w:p w14:paraId="775C9940" w14:textId="192C7749" w:rsidR="006466AD" w:rsidRPr="000B6FD6" w:rsidRDefault="006466AD" w:rsidP="000B6FD6">
            <w:pPr>
              <w:spacing w:after="0" w:line="240" w:lineRule="auto"/>
              <w:jc w:val="both"/>
              <w:rPr>
                <w:rFonts w:eastAsia="Times New Roman"/>
                <w:color w:val="000000"/>
                <w:sz w:val="20"/>
                <w:szCs w:val="20"/>
              </w:rPr>
            </w:pPr>
            <w:r w:rsidRPr="000B6FD6">
              <w:rPr>
                <w:rFonts w:eastAsia="Times New Roman"/>
                <w:color w:val="000000"/>
                <w:sz w:val="20"/>
                <w:szCs w:val="20"/>
              </w:rPr>
              <w:t>Age (base: 18-</w:t>
            </w:r>
            <w:r w:rsidR="00CE78DA">
              <w:rPr>
                <w:rFonts w:eastAsia="Times New Roman"/>
                <w:color w:val="000000"/>
                <w:sz w:val="20"/>
                <w:szCs w:val="20"/>
              </w:rPr>
              <w:t>29</w:t>
            </w:r>
            <w:r w:rsidRPr="000B6FD6">
              <w:rPr>
                <w:rFonts w:eastAsia="Times New Roman"/>
                <w:color w:val="000000"/>
                <w:sz w:val="20"/>
                <w:szCs w:val="20"/>
              </w:rPr>
              <w:t>)</w:t>
            </w:r>
          </w:p>
        </w:tc>
        <w:tc>
          <w:tcPr>
            <w:tcW w:w="1149" w:type="dxa"/>
            <w:tcBorders>
              <w:top w:val="nil"/>
              <w:left w:val="single" w:sz="4" w:space="0" w:color="auto"/>
              <w:bottom w:val="nil"/>
              <w:right w:val="nil"/>
            </w:tcBorders>
            <w:shd w:val="clear" w:color="auto" w:fill="auto"/>
            <w:noWrap/>
            <w:vAlign w:val="center"/>
            <w:hideMark/>
          </w:tcPr>
          <w:p w14:paraId="3670112E" w14:textId="77777777" w:rsidR="006466AD" w:rsidRPr="000B6FD6" w:rsidRDefault="006466AD" w:rsidP="000B6FD6">
            <w:pPr>
              <w:tabs>
                <w:tab w:val="decimal" w:pos="344"/>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3" w:type="dxa"/>
            <w:tcBorders>
              <w:top w:val="nil"/>
              <w:left w:val="nil"/>
              <w:bottom w:val="nil"/>
              <w:right w:val="single" w:sz="4" w:space="0" w:color="auto"/>
            </w:tcBorders>
            <w:shd w:val="clear" w:color="auto" w:fill="auto"/>
            <w:noWrap/>
            <w:vAlign w:val="center"/>
            <w:hideMark/>
          </w:tcPr>
          <w:p w14:paraId="044FDEF7" w14:textId="77777777" w:rsidR="006466AD" w:rsidRPr="000B6FD6" w:rsidRDefault="006466AD" w:rsidP="000B6FD6">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072967A0" w14:textId="77777777" w:rsidR="006466AD" w:rsidRPr="000B6FD6" w:rsidRDefault="006466AD" w:rsidP="000B6FD6">
            <w:pPr>
              <w:tabs>
                <w:tab w:val="decimal" w:pos="35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766" w:type="dxa"/>
            <w:tcBorders>
              <w:top w:val="nil"/>
              <w:left w:val="nil"/>
              <w:bottom w:val="nil"/>
              <w:right w:val="single" w:sz="4" w:space="0" w:color="auto"/>
            </w:tcBorders>
            <w:shd w:val="clear" w:color="auto" w:fill="auto"/>
            <w:noWrap/>
            <w:vAlign w:val="center"/>
            <w:hideMark/>
          </w:tcPr>
          <w:p w14:paraId="5A7919F3" w14:textId="77777777" w:rsidR="006466AD" w:rsidRPr="000B6FD6" w:rsidRDefault="006466AD" w:rsidP="000B6FD6">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72E55B49" w14:textId="77777777" w:rsidR="006466AD" w:rsidRPr="000B6FD6" w:rsidRDefault="006466AD" w:rsidP="000B6FD6">
            <w:pPr>
              <w:tabs>
                <w:tab w:val="decimal" w:pos="32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2" w:type="dxa"/>
            <w:gridSpan w:val="2"/>
            <w:tcBorders>
              <w:top w:val="nil"/>
              <w:left w:val="nil"/>
              <w:bottom w:val="nil"/>
              <w:right w:val="single" w:sz="4" w:space="0" w:color="auto"/>
            </w:tcBorders>
            <w:shd w:val="clear" w:color="auto" w:fill="auto"/>
            <w:noWrap/>
            <w:vAlign w:val="center"/>
            <w:hideMark/>
          </w:tcPr>
          <w:p w14:paraId="63EC01D1" w14:textId="77777777" w:rsidR="006466AD" w:rsidRPr="000B6FD6" w:rsidRDefault="006466AD" w:rsidP="000B6FD6">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E0720F" w:rsidRPr="000B6FD6" w14:paraId="53DA1055"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7DA95EEF" w14:textId="77777777" w:rsidR="00E0720F" w:rsidRPr="000B6FD6" w:rsidRDefault="00E0720F"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30-39</w:t>
            </w:r>
          </w:p>
        </w:tc>
        <w:tc>
          <w:tcPr>
            <w:tcW w:w="1149" w:type="dxa"/>
            <w:tcBorders>
              <w:top w:val="nil"/>
              <w:left w:val="single" w:sz="4" w:space="0" w:color="auto"/>
              <w:bottom w:val="nil"/>
              <w:right w:val="nil"/>
            </w:tcBorders>
            <w:shd w:val="clear" w:color="auto" w:fill="auto"/>
            <w:noWrap/>
            <w:vAlign w:val="bottom"/>
            <w:hideMark/>
          </w:tcPr>
          <w:p w14:paraId="65ABF1EE" w14:textId="62ED3B38" w:rsidR="00E0720F" w:rsidRPr="000B6FD6" w:rsidRDefault="00E0720F" w:rsidP="000B6FD6">
            <w:pPr>
              <w:tabs>
                <w:tab w:val="decimal" w:pos="344"/>
              </w:tabs>
              <w:spacing w:after="0" w:line="240" w:lineRule="auto"/>
              <w:jc w:val="both"/>
              <w:rPr>
                <w:rFonts w:eastAsia="Times New Roman"/>
                <w:color w:val="000000"/>
                <w:sz w:val="20"/>
                <w:szCs w:val="20"/>
              </w:rPr>
            </w:pPr>
            <w:r w:rsidRPr="000B6FD6">
              <w:rPr>
                <w:color w:val="000000"/>
                <w:sz w:val="20"/>
                <w:szCs w:val="20"/>
              </w:rPr>
              <w:t>-0.304</w:t>
            </w:r>
          </w:p>
        </w:tc>
        <w:tc>
          <w:tcPr>
            <w:tcW w:w="913" w:type="dxa"/>
            <w:tcBorders>
              <w:top w:val="nil"/>
              <w:left w:val="nil"/>
              <w:bottom w:val="nil"/>
              <w:right w:val="single" w:sz="4" w:space="0" w:color="auto"/>
            </w:tcBorders>
            <w:shd w:val="clear" w:color="auto" w:fill="auto"/>
            <w:noWrap/>
            <w:vAlign w:val="bottom"/>
            <w:hideMark/>
          </w:tcPr>
          <w:p w14:paraId="106D2216" w14:textId="71895672" w:rsidR="00E0720F" w:rsidRPr="000B6FD6" w:rsidRDefault="00E0720F" w:rsidP="000B6FD6">
            <w:pPr>
              <w:tabs>
                <w:tab w:val="decimal" w:pos="179"/>
              </w:tabs>
              <w:spacing w:after="0" w:line="240" w:lineRule="auto"/>
              <w:jc w:val="both"/>
              <w:rPr>
                <w:rFonts w:eastAsia="Times New Roman"/>
                <w:color w:val="000000"/>
                <w:sz w:val="20"/>
                <w:szCs w:val="20"/>
              </w:rPr>
            </w:pPr>
            <w:r w:rsidRPr="000B6FD6">
              <w:rPr>
                <w:color w:val="000000"/>
                <w:sz w:val="20"/>
                <w:szCs w:val="20"/>
              </w:rPr>
              <w:t>-2.652</w:t>
            </w:r>
          </w:p>
        </w:tc>
        <w:tc>
          <w:tcPr>
            <w:tcW w:w="1149" w:type="dxa"/>
            <w:tcBorders>
              <w:top w:val="nil"/>
              <w:left w:val="nil"/>
              <w:bottom w:val="nil"/>
              <w:right w:val="nil"/>
            </w:tcBorders>
            <w:shd w:val="clear" w:color="auto" w:fill="auto"/>
            <w:noWrap/>
            <w:vAlign w:val="center"/>
            <w:hideMark/>
          </w:tcPr>
          <w:p w14:paraId="45C16BAD" w14:textId="01476B1C" w:rsidR="00E0720F" w:rsidRPr="000B6FD6" w:rsidRDefault="00FD0FB9"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nil"/>
              <w:right w:val="single" w:sz="4" w:space="0" w:color="auto"/>
            </w:tcBorders>
            <w:shd w:val="clear" w:color="auto" w:fill="auto"/>
            <w:noWrap/>
            <w:vAlign w:val="center"/>
            <w:hideMark/>
          </w:tcPr>
          <w:p w14:paraId="284CA2D7" w14:textId="2BE4B0A5" w:rsidR="00E0720F" w:rsidRPr="000B6FD6" w:rsidRDefault="00E0720F" w:rsidP="0058240A">
            <w:pPr>
              <w:tabs>
                <w:tab w:val="decimal" w:pos="103"/>
              </w:tabs>
              <w:spacing w:after="0" w:line="240" w:lineRule="auto"/>
              <w:jc w:val="center"/>
              <w:rPr>
                <w:rFonts w:eastAsia="Times New Roman"/>
                <w:color w:val="000000"/>
                <w:sz w:val="20"/>
                <w:szCs w:val="20"/>
              </w:rPr>
            </w:pPr>
          </w:p>
        </w:tc>
        <w:tc>
          <w:tcPr>
            <w:tcW w:w="1149" w:type="dxa"/>
            <w:tcBorders>
              <w:top w:val="nil"/>
              <w:left w:val="nil"/>
              <w:bottom w:val="nil"/>
              <w:right w:val="nil"/>
            </w:tcBorders>
            <w:shd w:val="clear" w:color="auto" w:fill="auto"/>
            <w:noWrap/>
            <w:vAlign w:val="center"/>
            <w:hideMark/>
          </w:tcPr>
          <w:p w14:paraId="1F0FE787" w14:textId="62AB5293" w:rsidR="00E0720F" w:rsidRPr="000B6FD6" w:rsidRDefault="00FD0FB9"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nil"/>
              <w:right w:val="single" w:sz="4" w:space="0" w:color="auto"/>
            </w:tcBorders>
            <w:shd w:val="clear" w:color="auto" w:fill="auto"/>
            <w:noWrap/>
            <w:vAlign w:val="center"/>
            <w:hideMark/>
          </w:tcPr>
          <w:p w14:paraId="4031DC37" w14:textId="77777777" w:rsidR="00E0720F" w:rsidRPr="000B6FD6" w:rsidRDefault="00E0720F" w:rsidP="000B6FD6">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675771" w:rsidRPr="000B6FD6" w14:paraId="4A94E423"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6FB16B5C"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40-49</w:t>
            </w:r>
          </w:p>
        </w:tc>
        <w:tc>
          <w:tcPr>
            <w:tcW w:w="1149" w:type="dxa"/>
            <w:tcBorders>
              <w:top w:val="nil"/>
              <w:left w:val="single" w:sz="4" w:space="0" w:color="auto"/>
              <w:bottom w:val="nil"/>
              <w:right w:val="nil"/>
            </w:tcBorders>
            <w:shd w:val="clear" w:color="auto" w:fill="auto"/>
            <w:noWrap/>
            <w:vAlign w:val="bottom"/>
            <w:hideMark/>
          </w:tcPr>
          <w:p w14:paraId="0470AA80" w14:textId="1F7726AA"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-0.344</w:t>
            </w:r>
          </w:p>
        </w:tc>
        <w:tc>
          <w:tcPr>
            <w:tcW w:w="913" w:type="dxa"/>
            <w:tcBorders>
              <w:top w:val="nil"/>
              <w:left w:val="nil"/>
              <w:bottom w:val="nil"/>
              <w:right w:val="single" w:sz="4" w:space="0" w:color="auto"/>
            </w:tcBorders>
            <w:shd w:val="clear" w:color="auto" w:fill="auto"/>
            <w:noWrap/>
            <w:vAlign w:val="bottom"/>
            <w:hideMark/>
          </w:tcPr>
          <w:p w14:paraId="7149B090" w14:textId="2BAF76C4"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-3.486</w:t>
            </w:r>
          </w:p>
        </w:tc>
        <w:tc>
          <w:tcPr>
            <w:tcW w:w="1149" w:type="dxa"/>
            <w:tcBorders>
              <w:top w:val="nil"/>
              <w:left w:val="nil"/>
              <w:bottom w:val="nil"/>
              <w:right w:val="nil"/>
            </w:tcBorders>
            <w:shd w:val="clear" w:color="auto" w:fill="auto"/>
            <w:noWrap/>
            <w:vAlign w:val="bottom"/>
            <w:hideMark/>
          </w:tcPr>
          <w:p w14:paraId="330769C4" w14:textId="7096B6AA"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0.287</w:t>
            </w:r>
          </w:p>
        </w:tc>
        <w:tc>
          <w:tcPr>
            <w:tcW w:w="766" w:type="dxa"/>
            <w:tcBorders>
              <w:top w:val="nil"/>
              <w:left w:val="nil"/>
              <w:bottom w:val="nil"/>
              <w:right w:val="single" w:sz="4" w:space="0" w:color="auto"/>
            </w:tcBorders>
            <w:shd w:val="clear" w:color="auto" w:fill="auto"/>
            <w:noWrap/>
            <w:vAlign w:val="bottom"/>
            <w:hideMark/>
          </w:tcPr>
          <w:p w14:paraId="3E715BF2" w14:textId="214ABBE9"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2.704</w:t>
            </w:r>
          </w:p>
        </w:tc>
        <w:tc>
          <w:tcPr>
            <w:tcW w:w="1149" w:type="dxa"/>
            <w:tcBorders>
              <w:top w:val="nil"/>
              <w:left w:val="nil"/>
              <w:bottom w:val="nil"/>
              <w:right w:val="nil"/>
            </w:tcBorders>
            <w:shd w:val="clear" w:color="auto" w:fill="auto"/>
            <w:noWrap/>
            <w:vAlign w:val="bottom"/>
            <w:hideMark/>
          </w:tcPr>
          <w:p w14:paraId="1DE1214B" w14:textId="2DF2AA39"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-0.222</w:t>
            </w:r>
          </w:p>
        </w:tc>
        <w:tc>
          <w:tcPr>
            <w:tcW w:w="912" w:type="dxa"/>
            <w:gridSpan w:val="2"/>
            <w:tcBorders>
              <w:top w:val="nil"/>
              <w:left w:val="nil"/>
              <w:bottom w:val="nil"/>
              <w:right w:val="single" w:sz="4" w:space="0" w:color="auto"/>
            </w:tcBorders>
            <w:shd w:val="clear" w:color="auto" w:fill="auto"/>
            <w:noWrap/>
            <w:vAlign w:val="bottom"/>
            <w:hideMark/>
          </w:tcPr>
          <w:p w14:paraId="60C6ED92" w14:textId="2D1C7950"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-1.980</w:t>
            </w:r>
          </w:p>
        </w:tc>
      </w:tr>
      <w:tr w:rsidR="00675771" w:rsidRPr="000B6FD6" w14:paraId="7761A70E"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4D00F459"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50-64</w:t>
            </w:r>
          </w:p>
        </w:tc>
        <w:tc>
          <w:tcPr>
            <w:tcW w:w="1149" w:type="dxa"/>
            <w:tcBorders>
              <w:top w:val="nil"/>
              <w:left w:val="single" w:sz="4" w:space="0" w:color="auto"/>
              <w:bottom w:val="nil"/>
              <w:right w:val="nil"/>
            </w:tcBorders>
            <w:shd w:val="clear" w:color="auto" w:fill="auto"/>
            <w:noWrap/>
            <w:vAlign w:val="bottom"/>
            <w:hideMark/>
          </w:tcPr>
          <w:p w14:paraId="38AAC7CF" w14:textId="7591B26A"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-0.344</w:t>
            </w:r>
          </w:p>
        </w:tc>
        <w:tc>
          <w:tcPr>
            <w:tcW w:w="913" w:type="dxa"/>
            <w:tcBorders>
              <w:top w:val="nil"/>
              <w:left w:val="nil"/>
              <w:bottom w:val="nil"/>
              <w:right w:val="single" w:sz="4" w:space="0" w:color="auto"/>
            </w:tcBorders>
            <w:shd w:val="clear" w:color="auto" w:fill="auto"/>
            <w:noWrap/>
            <w:vAlign w:val="bottom"/>
            <w:hideMark/>
          </w:tcPr>
          <w:p w14:paraId="0AC02300" w14:textId="696611DE"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-3.486</w:t>
            </w:r>
          </w:p>
        </w:tc>
        <w:tc>
          <w:tcPr>
            <w:tcW w:w="1149" w:type="dxa"/>
            <w:tcBorders>
              <w:top w:val="nil"/>
              <w:left w:val="nil"/>
              <w:bottom w:val="nil"/>
              <w:right w:val="nil"/>
            </w:tcBorders>
            <w:shd w:val="clear" w:color="auto" w:fill="auto"/>
            <w:noWrap/>
            <w:vAlign w:val="bottom"/>
            <w:hideMark/>
          </w:tcPr>
          <w:p w14:paraId="080B5F77" w14:textId="61F24B68"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0.328</w:t>
            </w:r>
          </w:p>
        </w:tc>
        <w:tc>
          <w:tcPr>
            <w:tcW w:w="766" w:type="dxa"/>
            <w:tcBorders>
              <w:top w:val="nil"/>
              <w:left w:val="nil"/>
              <w:bottom w:val="nil"/>
              <w:right w:val="single" w:sz="4" w:space="0" w:color="auto"/>
            </w:tcBorders>
            <w:shd w:val="clear" w:color="auto" w:fill="auto"/>
            <w:noWrap/>
            <w:vAlign w:val="bottom"/>
            <w:hideMark/>
          </w:tcPr>
          <w:p w14:paraId="375A0F01" w14:textId="6BDF2C4D"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3.878</w:t>
            </w:r>
          </w:p>
        </w:tc>
        <w:tc>
          <w:tcPr>
            <w:tcW w:w="1149" w:type="dxa"/>
            <w:tcBorders>
              <w:top w:val="nil"/>
              <w:left w:val="nil"/>
              <w:bottom w:val="nil"/>
              <w:right w:val="nil"/>
            </w:tcBorders>
            <w:shd w:val="clear" w:color="auto" w:fill="auto"/>
            <w:noWrap/>
            <w:vAlign w:val="bottom"/>
            <w:hideMark/>
          </w:tcPr>
          <w:p w14:paraId="14FE6ABD" w14:textId="5819CC13"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-0.882</w:t>
            </w:r>
          </w:p>
        </w:tc>
        <w:tc>
          <w:tcPr>
            <w:tcW w:w="912" w:type="dxa"/>
            <w:gridSpan w:val="2"/>
            <w:tcBorders>
              <w:top w:val="nil"/>
              <w:left w:val="nil"/>
              <w:bottom w:val="nil"/>
              <w:right w:val="single" w:sz="4" w:space="0" w:color="auto"/>
            </w:tcBorders>
            <w:shd w:val="clear" w:color="auto" w:fill="auto"/>
            <w:noWrap/>
            <w:vAlign w:val="bottom"/>
            <w:hideMark/>
          </w:tcPr>
          <w:p w14:paraId="7F51922C" w14:textId="32E940E2"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-9.716</w:t>
            </w:r>
          </w:p>
        </w:tc>
      </w:tr>
      <w:tr w:rsidR="00675771" w:rsidRPr="000B6FD6" w14:paraId="090BA09C"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7852B4B3"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65+</w:t>
            </w:r>
          </w:p>
        </w:tc>
        <w:tc>
          <w:tcPr>
            <w:tcW w:w="1149" w:type="dxa"/>
            <w:tcBorders>
              <w:top w:val="nil"/>
              <w:left w:val="single" w:sz="4" w:space="0" w:color="auto"/>
              <w:bottom w:val="nil"/>
              <w:right w:val="nil"/>
            </w:tcBorders>
            <w:shd w:val="clear" w:color="auto" w:fill="auto"/>
            <w:noWrap/>
            <w:vAlign w:val="bottom"/>
            <w:hideMark/>
          </w:tcPr>
          <w:p w14:paraId="17EB3788" w14:textId="1E8EC5E0"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-0.344</w:t>
            </w:r>
          </w:p>
        </w:tc>
        <w:tc>
          <w:tcPr>
            <w:tcW w:w="913" w:type="dxa"/>
            <w:tcBorders>
              <w:top w:val="nil"/>
              <w:left w:val="nil"/>
              <w:bottom w:val="nil"/>
              <w:right w:val="single" w:sz="4" w:space="0" w:color="auto"/>
            </w:tcBorders>
            <w:shd w:val="clear" w:color="auto" w:fill="auto"/>
            <w:noWrap/>
            <w:vAlign w:val="bottom"/>
            <w:hideMark/>
          </w:tcPr>
          <w:p w14:paraId="35BE23AA" w14:textId="3E6666C6"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-3.486</w:t>
            </w:r>
          </w:p>
        </w:tc>
        <w:tc>
          <w:tcPr>
            <w:tcW w:w="1149" w:type="dxa"/>
            <w:tcBorders>
              <w:top w:val="nil"/>
              <w:left w:val="nil"/>
              <w:bottom w:val="nil"/>
              <w:right w:val="nil"/>
            </w:tcBorders>
            <w:shd w:val="clear" w:color="auto" w:fill="auto"/>
            <w:noWrap/>
            <w:vAlign w:val="bottom"/>
            <w:hideMark/>
          </w:tcPr>
          <w:p w14:paraId="5A6B00A1" w14:textId="49C2A09A"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0.328</w:t>
            </w:r>
          </w:p>
        </w:tc>
        <w:tc>
          <w:tcPr>
            <w:tcW w:w="766" w:type="dxa"/>
            <w:tcBorders>
              <w:top w:val="nil"/>
              <w:left w:val="nil"/>
              <w:bottom w:val="nil"/>
              <w:right w:val="single" w:sz="4" w:space="0" w:color="auto"/>
            </w:tcBorders>
            <w:shd w:val="clear" w:color="auto" w:fill="auto"/>
            <w:noWrap/>
            <w:vAlign w:val="bottom"/>
            <w:hideMark/>
          </w:tcPr>
          <w:p w14:paraId="56041274" w14:textId="451C57CA"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3.878</w:t>
            </w:r>
          </w:p>
        </w:tc>
        <w:tc>
          <w:tcPr>
            <w:tcW w:w="1149" w:type="dxa"/>
            <w:tcBorders>
              <w:top w:val="nil"/>
              <w:left w:val="nil"/>
              <w:bottom w:val="nil"/>
              <w:right w:val="nil"/>
            </w:tcBorders>
            <w:shd w:val="clear" w:color="auto" w:fill="auto"/>
            <w:noWrap/>
            <w:vAlign w:val="bottom"/>
            <w:hideMark/>
          </w:tcPr>
          <w:p w14:paraId="7544D08B" w14:textId="5532C731"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-1.904</w:t>
            </w:r>
          </w:p>
        </w:tc>
        <w:tc>
          <w:tcPr>
            <w:tcW w:w="912" w:type="dxa"/>
            <w:gridSpan w:val="2"/>
            <w:tcBorders>
              <w:top w:val="nil"/>
              <w:left w:val="nil"/>
              <w:bottom w:val="nil"/>
              <w:right w:val="single" w:sz="4" w:space="0" w:color="auto"/>
            </w:tcBorders>
            <w:shd w:val="clear" w:color="auto" w:fill="auto"/>
            <w:noWrap/>
            <w:vAlign w:val="bottom"/>
            <w:hideMark/>
          </w:tcPr>
          <w:p w14:paraId="6C014D9E" w14:textId="4BD52DE3"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-17.670</w:t>
            </w:r>
          </w:p>
        </w:tc>
      </w:tr>
      <w:tr w:rsidR="00FA68DA" w:rsidRPr="000B6FD6" w14:paraId="24B64DDD" w14:textId="77777777" w:rsidTr="00715CF8">
        <w:trPr>
          <w:trHeight w:val="144"/>
        </w:trPr>
        <w:tc>
          <w:tcPr>
            <w:tcW w:w="7105" w:type="dxa"/>
            <w:tcBorders>
              <w:top w:val="nil"/>
              <w:left w:val="single" w:sz="4" w:space="0" w:color="auto"/>
              <w:bottom w:val="nil"/>
              <w:right w:val="nil"/>
            </w:tcBorders>
            <w:shd w:val="clear" w:color="auto" w:fill="auto"/>
            <w:noWrap/>
            <w:vAlign w:val="center"/>
            <w:hideMark/>
          </w:tcPr>
          <w:p w14:paraId="437229FC" w14:textId="328E81E5" w:rsidR="006466AD" w:rsidRPr="000B6FD6" w:rsidRDefault="006466AD"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Education status (base: </w:t>
            </w:r>
            <w:r w:rsidR="00973DC7" w:rsidRPr="000B6FD6">
              <w:rPr>
                <w:rFonts w:eastAsia="Times New Roman"/>
                <w:color w:val="000000"/>
                <w:sz w:val="20"/>
                <w:szCs w:val="20"/>
              </w:rPr>
              <w:t>l</w:t>
            </w:r>
            <w:r w:rsidRPr="000B6FD6">
              <w:rPr>
                <w:rFonts w:eastAsia="Times New Roman"/>
                <w:color w:val="000000"/>
                <w:sz w:val="20"/>
                <w:szCs w:val="20"/>
              </w:rPr>
              <w:t xml:space="preserve">ess than </w:t>
            </w:r>
            <w:r w:rsidR="00715CF8" w:rsidRPr="000B6FD6">
              <w:rPr>
                <w:rFonts w:eastAsia="Times New Roman"/>
                <w:color w:val="000000"/>
                <w:sz w:val="20"/>
                <w:szCs w:val="20"/>
              </w:rPr>
              <w:t>bachelor’s</w:t>
            </w:r>
            <w:r w:rsidRPr="000B6FD6">
              <w:rPr>
                <w:rFonts w:eastAsia="Times New Roman"/>
                <w:color w:val="000000"/>
                <w:sz w:val="20"/>
                <w:szCs w:val="20"/>
              </w:rPr>
              <w:t xml:space="preserve"> degree)</w:t>
            </w:r>
          </w:p>
        </w:tc>
        <w:tc>
          <w:tcPr>
            <w:tcW w:w="1149" w:type="dxa"/>
            <w:tcBorders>
              <w:top w:val="nil"/>
              <w:left w:val="single" w:sz="4" w:space="0" w:color="auto"/>
              <w:bottom w:val="nil"/>
              <w:right w:val="nil"/>
            </w:tcBorders>
            <w:shd w:val="clear" w:color="auto" w:fill="auto"/>
            <w:noWrap/>
            <w:vAlign w:val="center"/>
            <w:hideMark/>
          </w:tcPr>
          <w:p w14:paraId="0DC18EFA" w14:textId="77777777" w:rsidR="006466AD" w:rsidRPr="000B6FD6" w:rsidRDefault="006466AD" w:rsidP="000B6FD6">
            <w:pPr>
              <w:tabs>
                <w:tab w:val="decimal" w:pos="344"/>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3" w:type="dxa"/>
            <w:tcBorders>
              <w:top w:val="nil"/>
              <w:left w:val="nil"/>
              <w:bottom w:val="nil"/>
              <w:right w:val="single" w:sz="4" w:space="0" w:color="auto"/>
            </w:tcBorders>
            <w:shd w:val="clear" w:color="auto" w:fill="auto"/>
            <w:noWrap/>
            <w:vAlign w:val="center"/>
            <w:hideMark/>
          </w:tcPr>
          <w:p w14:paraId="5596CBE9" w14:textId="77777777" w:rsidR="006466AD" w:rsidRPr="000B6FD6" w:rsidRDefault="006466AD" w:rsidP="000B6FD6">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1519813D" w14:textId="77777777" w:rsidR="006466AD" w:rsidRPr="000B6FD6" w:rsidRDefault="006466AD" w:rsidP="000B6FD6">
            <w:pPr>
              <w:tabs>
                <w:tab w:val="decimal" w:pos="35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766" w:type="dxa"/>
            <w:tcBorders>
              <w:top w:val="nil"/>
              <w:left w:val="nil"/>
              <w:bottom w:val="nil"/>
              <w:right w:val="single" w:sz="4" w:space="0" w:color="auto"/>
            </w:tcBorders>
            <w:shd w:val="clear" w:color="auto" w:fill="auto"/>
            <w:noWrap/>
            <w:vAlign w:val="center"/>
            <w:hideMark/>
          </w:tcPr>
          <w:p w14:paraId="0E7FC19A" w14:textId="77777777" w:rsidR="006466AD" w:rsidRPr="000B6FD6" w:rsidRDefault="006466AD" w:rsidP="000B6FD6">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5632EC83" w14:textId="77777777" w:rsidR="006466AD" w:rsidRPr="000B6FD6" w:rsidRDefault="006466AD" w:rsidP="000B6FD6">
            <w:pPr>
              <w:tabs>
                <w:tab w:val="decimal" w:pos="32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2" w:type="dxa"/>
            <w:gridSpan w:val="2"/>
            <w:tcBorders>
              <w:top w:val="nil"/>
              <w:left w:val="nil"/>
              <w:bottom w:val="nil"/>
              <w:right w:val="single" w:sz="4" w:space="0" w:color="auto"/>
            </w:tcBorders>
            <w:shd w:val="clear" w:color="auto" w:fill="auto"/>
            <w:noWrap/>
            <w:vAlign w:val="center"/>
            <w:hideMark/>
          </w:tcPr>
          <w:p w14:paraId="7AA846F0" w14:textId="77777777" w:rsidR="006466AD" w:rsidRPr="000B6FD6" w:rsidRDefault="006466AD" w:rsidP="000B6FD6">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675771" w:rsidRPr="000B6FD6" w14:paraId="289E6BED"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00D5E7B0" w14:textId="4105706D"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Bachelor’s degree</w:t>
            </w:r>
          </w:p>
        </w:tc>
        <w:tc>
          <w:tcPr>
            <w:tcW w:w="1149" w:type="dxa"/>
            <w:tcBorders>
              <w:top w:val="nil"/>
              <w:left w:val="single" w:sz="4" w:space="0" w:color="auto"/>
              <w:bottom w:val="nil"/>
              <w:right w:val="nil"/>
            </w:tcBorders>
            <w:shd w:val="clear" w:color="auto" w:fill="auto"/>
            <w:noWrap/>
            <w:vAlign w:val="bottom"/>
            <w:hideMark/>
          </w:tcPr>
          <w:p w14:paraId="2925FA98" w14:textId="70E55902"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0.185</w:t>
            </w:r>
          </w:p>
        </w:tc>
        <w:tc>
          <w:tcPr>
            <w:tcW w:w="913" w:type="dxa"/>
            <w:tcBorders>
              <w:top w:val="nil"/>
              <w:left w:val="nil"/>
              <w:bottom w:val="nil"/>
              <w:right w:val="single" w:sz="4" w:space="0" w:color="auto"/>
            </w:tcBorders>
            <w:shd w:val="clear" w:color="auto" w:fill="auto"/>
            <w:noWrap/>
            <w:vAlign w:val="bottom"/>
            <w:hideMark/>
          </w:tcPr>
          <w:p w14:paraId="310B60C7" w14:textId="41916D32"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2.852</w:t>
            </w:r>
          </w:p>
        </w:tc>
        <w:tc>
          <w:tcPr>
            <w:tcW w:w="1149" w:type="dxa"/>
            <w:tcBorders>
              <w:top w:val="nil"/>
              <w:left w:val="nil"/>
              <w:bottom w:val="nil"/>
              <w:right w:val="nil"/>
            </w:tcBorders>
            <w:shd w:val="clear" w:color="auto" w:fill="auto"/>
            <w:noWrap/>
            <w:vAlign w:val="bottom"/>
            <w:hideMark/>
          </w:tcPr>
          <w:p w14:paraId="1C8C832E" w14:textId="2FC07A73"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-0.180</w:t>
            </w:r>
          </w:p>
        </w:tc>
        <w:tc>
          <w:tcPr>
            <w:tcW w:w="766" w:type="dxa"/>
            <w:tcBorders>
              <w:top w:val="nil"/>
              <w:left w:val="nil"/>
              <w:bottom w:val="nil"/>
              <w:right w:val="single" w:sz="4" w:space="0" w:color="auto"/>
            </w:tcBorders>
            <w:shd w:val="clear" w:color="auto" w:fill="auto"/>
            <w:noWrap/>
            <w:vAlign w:val="bottom"/>
            <w:hideMark/>
          </w:tcPr>
          <w:p w14:paraId="5591457A" w14:textId="0717AFF7"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-2.281</w:t>
            </w:r>
          </w:p>
        </w:tc>
        <w:tc>
          <w:tcPr>
            <w:tcW w:w="1149" w:type="dxa"/>
            <w:tcBorders>
              <w:top w:val="nil"/>
              <w:left w:val="nil"/>
              <w:bottom w:val="nil"/>
              <w:right w:val="nil"/>
            </w:tcBorders>
            <w:shd w:val="clear" w:color="auto" w:fill="auto"/>
            <w:noWrap/>
            <w:vAlign w:val="bottom"/>
            <w:hideMark/>
          </w:tcPr>
          <w:p w14:paraId="41233FA3" w14:textId="028F7C73"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0.503</w:t>
            </w:r>
          </w:p>
        </w:tc>
        <w:tc>
          <w:tcPr>
            <w:tcW w:w="912" w:type="dxa"/>
            <w:gridSpan w:val="2"/>
            <w:tcBorders>
              <w:top w:val="nil"/>
              <w:left w:val="nil"/>
              <w:bottom w:val="nil"/>
              <w:right w:val="single" w:sz="4" w:space="0" w:color="auto"/>
            </w:tcBorders>
            <w:shd w:val="clear" w:color="auto" w:fill="auto"/>
            <w:noWrap/>
            <w:vAlign w:val="bottom"/>
            <w:hideMark/>
          </w:tcPr>
          <w:p w14:paraId="004D1800" w14:textId="592F3A9C"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6.012</w:t>
            </w:r>
          </w:p>
        </w:tc>
      </w:tr>
      <w:tr w:rsidR="00675771" w:rsidRPr="000B6FD6" w14:paraId="2982D80F"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609F3837"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Graduate degree</w:t>
            </w:r>
          </w:p>
        </w:tc>
        <w:tc>
          <w:tcPr>
            <w:tcW w:w="1149" w:type="dxa"/>
            <w:tcBorders>
              <w:top w:val="nil"/>
              <w:left w:val="single" w:sz="4" w:space="0" w:color="auto"/>
              <w:bottom w:val="nil"/>
              <w:right w:val="nil"/>
            </w:tcBorders>
            <w:shd w:val="clear" w:color="auto" w:fill="auto"/>
            <w:noWrap/>
            <w:vAlign w:val="bottom"/>
            <w:hideMark/>
          </w:tcPr>
          <w:p w14:paraId="573C8B64" w14:textId="2430CDA1"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0.345</w:t>
            </w:r>
          </w:p>
        </w:tc>
        <w:tc>
          <w:tcPr>
            <w:tcW w:w="913" w:type="dxa"/>
            <w:tcBorders>
              <w:top w:val="nil"/>
              <w:left w:val="nil"/>
              <w:bottom w:val="nil"/>
              <w:right w:val="single" w:sz="4" w:space="0" w:color="auto"/>
            </w:tcBorders>
            <w:shd w:val="clear" w:color="auto" w:fill="auto"/>
            <w:noWrap/>
            <w:vAlign w:val="bottom"/>
            <w:hideMark/>
          </w:tcPr>
          <w:p w14:paraId="48BC6D5E" w14:textId="56B08453"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4.787</w:t>
            </w:r>
          </w:p>
        </w:tc>
        <w:tc>
          <w:tcPr>
            <w:tcW w:w="1149" w:type="dxa"/>
            <w:tcBorders>
              <w:top w:val="nil"/>
              <w:left w:val="nil"/>
              <w:bottom w:val="nil"/>
              <w:right w:val="nil"/>
            </w:tcBorders>
            <w:shd w:val="clear" w:color="auto" w:fill="auto"/>
            <w:noWrap/>
            <w:vAlign w:val="bottom"/>
            <w:hideMark/>
          </w:tcPr>
          <w:p w14:paraId="7FBC9A84" w14:textId="7EC2E646"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-0.407</w:t>
            </w:r>
          </w:p>
        </w:tc>
        <w:tc>
          <w:tcPr>
            <w:tcW w:w="766" w:type="dxa"/>
            <w:tcBorders>
              <w:top w:val="nil"/>
              <w:left w:val="nil"/>
              <w:bottom w:val="nil"/>
              <w:right w:val="single" w:sz="4" w:space="0" w:color="auto"/>
            </w:tcBorders>
            <w:shd w:val="clear" w:color="auto" w:fill="auto"/>
            <w:noWrap/>
            <w:vAlign w:val="bottom"/>
            <w:hideMark/>
          </w:tcPr>
          <w:p w14:paraId="0180C553" w14:textId="715B56D7"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-4.564</w:t>
            </w:r>
          </w:p>
        </w:tc>
        <w:tc>
          <w:tcPr>
            <w:tcW w:w="1149" w:type="dxa"/>
            <w:tcBorders>
              <w:top w:val="nil"/>
              <w:left w:val="nil"/>
              <w:bottom w:val="nil"/>
              <w:right w:val="nil"/>
            </w:tcBorders>
            <w:shd w:val="clear" w:color="auto" w:fill="auto"/>
            <w:noWrap/>
            <w:vAlign w:val="bottom"/>
            <w:hideMark/>
          </w:tcPr>
          <w:p w14:paraId="441EAEEF" w14:textId="0272C7C4"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0.859</w:t>
            </w:r>
          </w:p>
        </w:tc>
        <w:tc>
          <w:tcPr>
            <w:tcW w:w="912" w:type="dxa"/>
            <w:gridSpan w:val="2"/>
            <w:tcBorders>
              <w:top w:val="nil"/>
              <w:left w:val="nil"/>
              <w:bottom w:val="nil"/>
              <w:right w:val="single" w:sz="4" w:space="0" w:color="auto"/>
            </w:tcBorders>
            <w:shd w:val="clear" w:color="auto" w:fill="auto"/>
            <w:noWrap/>
            <w:vAlign w:val="bottom"/>
            <w:hideMark/>
          </w:tcPr>
          <w:p w14:paraId="6829DFFD" w14:textId="58C03DEC"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9.053</w:t>
            </w:r>
          </w:p>
        </w:tc>
      </w:tr>
      <w:tr w:rsidR="00FA68DA" w:rsidRPr="000B6FD6" w14:paraId="358F2CDC" w14:textId="77777777" w:rsidTr="00715CF8">
        <w:trPr>
          <w:trHeight w:val="144"/>
        </w:trPr>
        <w:tc>
          <w:tcPr>
            <w:tcW w:w="7105" w:type="dxa"/>
            <w:tcBorders>
              <w:top w:val="nil"/>
              <w:left w:val="single" w:sz="4" w:space="0" w:color="auto"/>
              <w:bottom w:val="nil"/>
              <w:right w:val="nil"/>
            </w:tcBorders>
            <w:shd w:val="clear" w:color="auto" w:fill="auto"/>
            <w:noWrap/>
            <w:vAlign w:val="center"/>
            <w:hideMark/>
          </w:tcPr>
          <w:p w14:paraId="1BA7878D" w14:textId="77777777" w:rsidR="006466AD" w:rsidRPr="000B6FD6" w:rsidRDefault="006466AD" w:rsidP="000B6FD6">
            <w:pPr>
              <w:spacing w:after="0" w:line="240" w:lineRule="auto"/>
              <w:jc w:val="both"/>
              <w:rPr>
                <w:rFonts w:eastAsia="Times New Roman"/>
                <w:color w:val="000000"/>
                <w:sz w:val="20"/>
                <w:szCs w:val="20"/>
              </w:rPr>
            </w:pPr>
            <w:r w:rsidRPr="000B6FD6">
              <w:rPr>
                <w:rFonts w:eastAsia="Times New Roman"/>
                <w:color w:val="000000"/>
                <w:sz w:val="20"/>
                <w:szCs w:val="20"/>
              </w:rPr>
              <w:t>Household Income (base: less than $25,000)</w:t>
            </w:r>
          </w:p>
        </w:tc>
        <w:tc>
          <w:tcPr>
            <w:tcW w:w="1149" w:type="dxa"/>
            <w:tcBorders>
              <w:top w:val="nil"/>
              <w:left w:val="single" w:sz="4" w:space="0" w:color="auto"/>
              <w:bottom w:val="nil"/>
              <w:right w:val="nil"/>
            </w:tcBorders>
            <w:shd w:val="clear" w:color="auto" w:fill="auto"/>
            <w:noWrap/>
            <w:vAlign w:val="center"/>
            <w:hideMark/>
          </w:tcPr>
          <w:p w14:paraId="0507E65F" w14:textId="77777777" w:rsidR="006466AD" w:rsidRPr="000B6FD6" w:rsidRDefault="006466AD" w:rsidP="000B6FD6">
            <w:pPr>
              <w:tabs>
                <w:tab w:val="decimal" w:pos="344"/>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3" w:type="dxa"/>
            <w:tcBorders>
              <w:top w:val="nil"/>
              <w:left w:val="nil"/>
              <w:bottom w:val="nil"/>
              <w:right w:val="single" w:sz="4" w:space="0" w:color="auto"/>
            </w:tcBorders>
            <w:shd w:val="clear" w:color="auto" w:fill="auto"/>
            <w:noWrap/>
            <w:vAlign w:val="center"/>
            <w:hideMark/>
          </w:tcPr>
          <w:p w14:paraId="1B1D7C31" w14:textId="77777777" w:rsidR="006466AD" w:rsidRPr="000B6FD6" w:rsidRDefault="006466AD" w:rsidP="000B6FD6">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553227AF" w14:textId="77777777" w:rsidR="006466AD" w:rsidRPr="000B6FD6" w:rsidRDefault="006466AD" w:rsidP="000B6FD6">
            <w:pPr>
              <w:tabs>
                <w:tab w:val="decimal" w:pos="35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766" w:type="dxa"/>
            <w:tcBorders>
              <w:top w:val="nil"/>
              <w:left w:val="nil"/>
              <w:bottom w:val="nil"/>
              <w:right w:val="single" w:sz="4" w:space="0" w:color="auto"/>
            </w:tcBorders>
            <w:shd w:val="clear" w:color="auto" w:fill="auto"/>
            <w:noWrap/>
            <w:vAlign w:val="center"/>
            <w:hideMark/>
          </w:tcPr>
          <w:p w14:paraId="00295426" w14:textId="77777777" w:rsidR="006466AD" w:rsidRPr="000B6FD6" w:rsidRDefault="006466AD" w:rsidP="000B6FD6">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4C8DD4AD" w14:textId="77777777" w:rsidR="006466AD" w:rsidRPr="000B6FD6" w:rsidRDefault="006466AD" w:rsidP="000B6FD6">
            <w:pPr>
              <w:tabs>
                <w:tab w:val="decimal" w:pos="32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2" w:type="dxa"/>
            <w:gridSpan w:val="2"/>
            <w:tcBorders>
              <w:top w:val="nil"/>
              <w:left w:val="nil"/>
              <w:bottom w:val="nil"/>
              <w:right w:val="single" w:sz="4" w:space="0" w:color="auto"/>
            </w:tcBorders>
            <w:shd w:val="clear" w:color="auto" w:fill="auto"/>
            <w:noWrap/>
            <w:vAlign w:val="center"/>
            <w:hideMark/>
          </w:tcPr>
          <w:p w14:paraId="7824C464" w14:textId="77777777" w:rsidR="006466AD" w:rsidRPr="000B6FD6" w:rsidRDefault="006466AD" w:rsidP="000B6FD6">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675771" w:rsidRPr="000B6FD6" w14:paraId="31AA67B6"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50B8C990"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$25,000-$49,999</w:t>
            </w:r>
          </w:p>
        </w:tc>
        <w:tc>
          <w:tcPr>
            <w:tcW w:w="1149" w:type="dxa"/>
            <w:tcBorders>
              <w:top w:val="nil"/>
              <w:left w:val="single" w:sz="4" w:space="0" w:color="auto"/>
              <w:bottom w:val="nil"/>
              <w:right w:val="nil"/>
            </w:tcBorders>
            <w:shd w:val="clear" w:color="auto" w:fill="auto"/>
            <w:noWrap/>
            <w:vAlign w:val="center"/>
            <w:hideMark/>
          </w:tcPr>
          <w:p w14:paraId="5C198AC1" w14:textId="032CC68F" w:rsidR="00675771"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nil"/>
              <w:right w:val="single" w:sz="4" w:space="0" w:color="auto"/>
            </w:tcBorders>
            <w:shd w:val="clear" w:color="auto" w:fill="auto"/>
            <w:noWrap/>
            <w:vAlign w:val="center"/>
            <w:hideMark/>
          </w:tcPr>
          <w:p w14:paraId="5AECE81A" w14:textId="77777777"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bottom"/>
            <w:hideMark/>
          </w:tcPr>
          <w:p w14:paraId="4D910D0E" w14:textId="3028D938"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0.514</w:t>
            </w:r>
          </w:p>
        </w:tc>
        <w:tc>
          <w:tcPr>
            <w:tcW w:w="766" w:type="dxa"/>
            <w:tcBorders>
              <w:top w:val="nil"/>
              <w:left w:val="nil"/>
              <w:bottom w:val="nil"/>
              <w:right w:val="single" w:sz="4" w:space="0" w:color="auto"/>
            </w:tcBorders>
            <w:shd w:val="clear" w:color="auto" w:fill="auto"/>
            <w:noWrap/>
            <w:vAlign w:val="bottom"/>
            <w:hideMark/>
          </w:tcPr>
          <w:p w14:paraId="50AEA33C" w14:textId="755B655E"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4.636</w:t>
            </w:r>
          </w:p>
        </w:tc>
        <w:tc>
          <w:tcPr>
            <w:tcW w:w="1149" w:type="dxa"/>
            <w:tcBorders>
              <w:top w:val="nil"/>
              <w:left w:val="nil"/>
              <w:bottom w:val="nil"/>
              <w:right w:val="nil"/>
            </w:tcBorders>
            <w:shd w:val="clear" w:color="auto" w:fill="auto"/>
            <w:noWrap/>
            <w:vAlign w:val="bottom"/>
            <w:hideMark/>
          </w:tcPr>
          <w:p w14:paraId="56B903C5" w14:textId="27737B6B"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0.330</w:t>
            </w:r>
          </w:p>
        </w:tc>
        <w:tc>
          <w:tcPr>
            <w:tcW w:w="912" w:type="dxa"/>
            <w:gridSpan w:val="2"/>
            <w:tcBorders>
              <w:top w:val="nil"/>
              <w:left w:val="nil"/>
              <w:bottom w:val="nil"/>
              <w:right w:val="single" w:sz="4" w:space="0" w:color="auto"/>
            </w:tcBorders>
            <w:shd w:val="clear" w:color="auto" w:fill="auto"/>
            <w:noWrap/>
            <w:vAlign w:val="bottom"/>
            <w:hideMark/>
          </w:tcPr>
          <w:p w14:paraId="12D287A4" w14:textId="3B5436D5"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2.246</w:t>
            </w:r>
          </w:p>
        </w:tc>
      </w:tr>
      <w:tr w:rsidR="00675771" w:rsidRPr="000B6FD6" w14:paraId="29EE209E"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71596F61"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$50,000-$99,999</w:t>
            </w:r>
          </w:p>
        </w:tc>
        <w:tc>
          <w:tcPr>
            <w:tcW w:w="1149" w:type="dxa"/>
            <w:tcBorders>
              <w:top w:val="nil"/>
              <w:left w:val="single" w:sz="4" w:space="0" w:color="auto"/>
              <w:bottom w:val="nil"/>
              <w:right w:val="nil"/>
            </w:tcBorders>
            <w:shd w:val="clear" w:color="auto" w:fill="auto"/>
            <w:noWrap/>
            <w:vAlign w:val="bottom"/>
            <w:hideMark/>
          </w:tcPr>
          <w:p w14:paraId="0F12DA45" w14:textId="269CD3D2"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0.169</w:t>
            </w:r>
          </w:p>
        </w:tc>
        <w:tc>
          <w:tcPr>
            <w:tcW w:w="913" w:type="dxa"/>
            <w:tcBorders>
              <w:top w:val="nil"/>
              <w:left w:val="nil"/>
              <w:bottom w:val="nil"/>
              <w:right w:val="single" w:sz="4" w:space="0" w:color="auto"/>
            </w:tcBorders>
            <w:shd w:val="clear" w:color="auto" w:fill="auto"/>
            <w:noWrap/>
            <w:vAlign w:val="bottom"/>
            <w:hideMark/>
          </w:tcPr>
          <w:p w14:paraId="614C509F" w14:textId="113DDB53"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2.534</w:t>
            </w:r>
          </w:p>
        </w:tc>
        <w:tc>
          <w:tcPr>
            <w:tcW w:w="1149" w:type="dxa"/>
            <w:tcBorders>
              <w:top w:val="nil"/>
              <w:left w:val="nil"/>
              <w:bottom w:val="nil"/>
              <w:right w:val="nil"/>
            </w:tcBorders>
            <w:shd w:val="clear" w:color="auto" w:fill="auto"/>
            <w:noWrap/>
            <w:vAlign w:val="bottom"/>
            <w:hideMark/>
          </w:tcPr>
          <w:p w14:paraId="47BDCF82" w14:textId="720FDEDF"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1.184</w:t>
            </w:r>
          </w:p>
        </w:tc>
        <w:tc>
          <w:tcPr>
            <w:tcW w:w="766" w:type="dxa"/>
            <w:tcBorders>
              <w:top w:val="nil"/>
              <w:left w:val="nil"/>
              <w:bottom w:val="nil"/>
              <w:right w:val="single" w:sz="4" w:space="0" w:color="auto"/>
            </w:tcBorders>
            <w:shd w:val="clear" w:color="auto" w:fill="auto"/>
            <w:noWrap/>
            <w:vAlign w:val="bottom"/>
            <w:hideMark/>
          </w:tcPr>
          <w:p w14:paraId="57CE8FB5" w14:textId="445AB1BC"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10.500</w:t>
            </w:r>
          </w:p>
        </w:tc>
        <w:tc>
          <w:tcPr>
            <w:tcW w:w="1149" w:type="dxa"/>
            <w:tcBorders>
              <w:top w:val="nil"/>
              <w:left w:val="nil"/>
              <w:bottom w:val="nil"/>
              <w:right w:val="nil"/>
            </w:tcBorders>
            <w:shd w:val="clear" w:color="auto" w:fill="auto"/>
            <w:noWrap/>
            <w:vAlign w:val="bottom"/>
            <w:hideMark/>
          </w:tcPr>
          <w:p w14:paraId="2A6BF8A8" w14:textId="270565FD"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0.563</w:t>
            </w:r>
          </w:p>
        </w:tc>
        <w:tc>
          <w:tcPr>
            <w:tcW w:w="912" w:type="dxa"/>
            <w:gridSpan w:val="2"/>
            <w:tcBorders>
              <w:top w:val="nil"/>
              <w:left w:val="nil"/>
              <w:bottom w:val="nil"/>
              <w:right w:val="single" w:sz="4" w:space="0" w:color="auto"/>
            </w:tcBorders>
            <w:shd w:val="clear" w:color="auto" w:fill="auto"/>
            <w:noWrap/>
            <w:vAlign w:val="bottom"/>
            <w:hideMark/>
          </w:tcPr>
          <w:p w14:paraId="0B2F2013" w14:textId="7A0CF876"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4.110</w:t>
            </w:r>
          </w:p>
        </w:tc>
      </w:tr>
      <w:tr w:rsidR="00675771" w:rsidRPr="000B6FD6" w14:paraId="61372230"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2F660B37"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$100,000-$149,999</w:t>
            </w:r>
          </w:p>
        </w:tc>
        <w:tc>
          <w:tcPr>
            <w:tcW w:w="1149" w:type="dxa"/>
            <w:tcBorders>
              <w:top w:val="nil"/>
              <w:left w:val="single" w:sz="4" w:space="0" w:color="auto"/>
              <w:bottom w:val="nil"/>
              <w:right w:val="nil"/>
            </w:tcBorders>
            <w:shd w:val="clear" w:color="auto" w:fill="auto"/>
            <w:noWrap/>
            <w:vAlign w:val="bottom"/>
            <w:hideMark/>
          </w:tcPr>
          <w:p w14:paraId="78C91132" w14:textId="4670EAE7"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0.259</w:t>
            </w:r>
          </w:p>
        </w:tc>
        <w:tc>
          <w:tcPr>
            <w:tcW w:w="913" w:type="dxa"/>
            <w:tcBorders>
              <w:top w:val="nil"/>
              <w:left w:val="nil"/>
              <w:bottom w:val="nil"/>
              <w:right w:val="single" w:sz="4" w:space="0" w:color="auto"/>
            </w:tcBorders>
            <w:shd w:val="clear" w:color="auto" w:fill="auto"/>
            <w:noWrap/>
            <w:vAlign w:val="bottom"/>
            <w:hideMark/>
          </w:tcPr>
          <w:p w14:paraId="54A5B1A9" w14:textId="49D4C9A1"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3.251</w:t>
            </w:r>
          </w:p>
        </w:tc>
        <w:tc>
          <w:tcPr>
            <w:tcW w:w="1149" w:type="dxa"/>
            <w:tcBorders>
              <w:top w:val="nil"/>
              <w:left w:val="nil"/>
              <w:bottom w:val="nil"/>
              <w:right w:val="nil"/>
            </w:tcBorders>
            <w:shd w:val="clear" w:color="auto" w:fill="auto"/>
            <w:noWrap/>
            <w:vAlign w:val="bottom"/>
            <w:hideMark/>
          </w:tcPr>
          <w:p w14:paraId="739D7C07" w14:textId="3BDC78A0"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1.702</w:t>
            </w:r>
          </w:p>
        </w:tc>
        <w:tc>
          <w:tcPr>
            <w:tcW w:w="766" w:type="dxa"/>
            <w:tcBorders>
              <w:top w:val="nil"/>
              <w:left w:val="nil"/>
              <w:bottom w:val="nil"/>
              <w:right w:val="single" w:sz="4" w:space="0" w:color="auto"/>
            </w:tcBorders>
            <w:shd w:val="clear" w:color="auto" w:fill="auto"/>
            <w:noWrap/>
            <w:vAlign w:val="bottom"/>
            <w:hideMark/>
          </w:tcPr>
          <w:p w14:paraId="7BAC1E5D" w14:textId="3943AF2C"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13.170</w:t>
            </w:r>
          </w:p>
        </w:tc>
        <w:tc>
          <w:tcPr>
            <w:tcW w:w="1149" w:type="dxa"/>
            <w:tcBorders>
              <w:top w:val="nil"/>
              <w:left w:val="nil"/>
              <w:bottom w:val="nil"/>
              <w:right w:val="nil"/>
            </w:tcBorders>
            <w:shd w:val="clear" w:color="auto" w:fill="auto"/>
            <w:noWrap/>
            <w:vAlign w:val="bottom"/>
            <w:hideMark/>
          </w:tcPr>
          <w:p w14:paraId="1515BF83" w14:textId="70AFA3B7"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0.912</w:t>
            </w:r>
          </w:p>
        </w:tc>
        <w:tc>
          <w:tcPr>
            <w:tcW w:w="912" w:type="dxa"/>
            <w:gridSpan w:val="2"/>
            <w:tcBorders>
              <w:top w:val="nil"/>
              <w:left w:val="nil"/>
              <w:bottom w:val="nil"/>
              <w:right w:val="single" w:sz="4" w:space="0" w:color="auto"/>
            </w:tcBorders>
            <w:shd w:val="clear" w:color="auto" w:fill="auto"/>
            <w:noWrap/>
            <w:vAlign w:val="bottom"/>
            <w:hideMark/>
          </w:tcPr>
          <w:p w14:paraId="7E60C374" w14:textId="3BEE18CE"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6.097</w:t>
            </w:r>
          </w:p>
        </w:tc>
      </w:tr>
      <w:tr w:rsidR="00675771" w:rsidRPr="000B6FD6" w14:paraId="6FBE0F28"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1B277EC1" w14:textId="77777777" w:rsidR="00675771" w:rsidRPr="000B6FD6" w:rsidRDefault="00675771"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      $150,000 or more</w:t>
            </w:r>
          </w:p>
        </w:tc>
        <w:tc>
          <w:tcPr>
            <w:tcW w:w="1149" w:type="dxa"/>
            <w:tcBorders>
              <w:top w:val="nil"/>
              <w:left w:val="single" w:sz="4" w:space="0" w:color="auto"/>
              <w:bottom w:val="nil"/>
              <w:right w:val="nil"/>
            </w:tcBorders>
            <w:shd w:val="clear" w:color="auto" w:fill="auto"/>
            <w:noWrap/>
            <w:vAlign w:val="bottom"/>
            <w:hideMark/>
          </w:tcPr>
          <w:p w14:paraId="55367A7E" w14:textId="7CB08476" w:rsidR="00675771" w:rsidRPr="000B6FD6" w:rsidRDefault="00675771" w:rsidP="000B6FD6">
            <w:pPr>
              <w:tabs>
                <w:tab w:val="decimal" w:pos="344"/>
              </w:tabs>
              <w:spacing w:after="0" w:line="240" w:lineRule="auto"/>
              <w:jc w:val="both"/>
              <w:rPr>
                <w:rFonts w:eastAsia="Times New Roman"/>
                <w:color w:val="000000"/>
                <w:sz w:val="20"/>
                <w:szCs w:val="20"/>
              </w:rPr>
            </w:pPr>
            <w:r w:rsidRPr="000B6FD6">
              <w:rPr>
                <w:color w:val="000000"/>
                <w:sz w:val="20"/>
                <w:szCs w:val="20"/>
              </w:rPr>
              <w:t>0.305</w:t>
            </w:r>
          </w:p>
        </w:tc>
        <w:tc>
          <w:tcPr>
            <w:tcW w:w="913" w:type="dxa"/>
            <w:tcBorders>
              <w:top w:val="nil"/>
              <w:left w:val="nil"/>
              <w:bottom w:val="nil"/>
              <w:right w:val="single" w:sz="4" w:space="0" w:color="auto"/>
            </w:tcBorders>
            <w:shd w:val="clear" w:color="auto" w:fill="auto"/>
            <w:noWrap/>
            <w:vAlign w:val="bottom"/>
            <w:hideMark/>
          </w:tcPr>
          <w:p w14:paraId="26061F73" w14:textId="33CB39CA" w:rsidR="00675771" w:rsidRPr="000B6FD6" w:rsidRDefault="00675771" w:rsidP="000B6FD6">
            <w:pPr>
              <w:tabs>
                <w:tab w:val="decimal" w:pos="179"/>
              </w:tabs>
              <w:spacing w:after="0" w:line="240" w:lineRule="auto"/>
              <w:jc w:val="both"/>
              <w:rPr>
                <w:rFonts w:eastAsia="Times New Roman"/>
                <w:color w:val="000000"/>
                <w:sz w:val="20"/>
                <w:szCs w:val="20"/>
              </w:rPr>
            </w:pPr>
            <w:r w:rsidRPr="000B6FD6">
              <w:rPr>
                <w:color w:val="000000"/>
                <w:sz w:val="20"/>
                <w:szCs w:val="20"/>
              </w:rPr>
              <w:t>3.433</w:t>
            </w:r>
          </w:p>
        </w:tc>
        <w:tc>
          <w:tcPr>
            <w:tcW w:w="1149" w:type="dxa"/>
            <w:tcBorders>
              <w:top w:val="nil"/>
              <w:left w:val="nil"/>
              <w:bottom w:val="nil"/>
              <w:right w:val="nil"/>
            </w:tcBorders>
            <w:shd w:val="clear" w:color="auto" w:fill="auto"/>
            <w:noWrap/>
            <w:vAlign w:val="bottom"/>
            <w:hideMark/>
          </w:tcPr>
          <w:p w14:paraId="53F132ED" w14:textId="54A47573" w:rsidR="00675771" w:rsidRPr="000B6FD6" w:rsidRDefault="00675771" w:rsidP="000B6FD6">
            <w:pPr>
              <w:tabs>
                <w:tab w:val="decimal" w:pos="350"/>
              </w:tabs>
              <w:spacing w:after="0" w:line="240" w:lineRule="auto"/>
              <w:jc w:val="both"/>
              <w:rPr>
                <w:rFonts w:eastAsia="Times New Roman"/>
                <w:color w:val="000000"/>
                <w:sz w:val="20"/>
                <w:szCs w:val="20"/>
              </w:rPr>
            </w:pPr>
            <w:r w:rsidRPr="000B6FD6">
              <w:rPr>
                <w:color w:val="000000"/>
                <w:sz w:val="20"/>
                <w:szCs w:val="20"/>
              </w:rPr>
              <w:t>1.935</w:t>
            </w:r>
          </w:p>
        </w:tc>
        <w:tc>
          <w:tcPr>
            <w:tcW w:w="766" w:type="dxa"/>
            <w:tcBorders>
              <w:top w:val="nil"/>
              <w:left w:val="nil"/>
              <w:bottom w:val="nil"/>
              <w:right w:val="single" w:sz="4" w:space="0" w:color="auto"/>
            </w:tcBorders>
            <w:shd w:val="clear" w:color="auto" w:fill="auto"/>
            <w:noWrap/>
            <w:vAlign w:val="bottom"/>
            <w:hideMark/>
          </w:tcPr>
          <w:p w14:paraId="673B981E" w14:textId="1A5A12EA" w:rsidR="00675771" w:rsidRPr="000B6FD6" w:rsidRDefault="00675771" w:rsidP="000B6FD6">
            <w:pPr>
              <w:tabs>
                <w:tab w:val="decimal" w:pos="103"/>
              </w:tabs>
              <w:spacing w:after="0" w:line="240" w:lineRule="auto"/>
              <w:jc w:val="both"/>
              <w:rPr>
                <w:rFonts w:eastAsia="Times New Roman"/>
                <w:color w:val="000000"/>
                <w:sz w:val="20"/>
                <w:szCs w:val="20"/>
              </w:rPr>
            </w:pPr>
            <w:r w:rsidRPr="000B6FD6">
              <w:rPr>
                <w:color w:val="000000"/>
                <w:sz w:val="20"/>
                <w:szCs w:val="20"/>
              </w:rPr>
              <w:t>13.296</w:t>
            </w:r>
          </w:p>
        </w:tc>
        <w:tc>
          <w:tcPr>
            <w:tcW w:w="1149" w:type="dxa"/>
            <w:tcBorders>
              <w:top w:val="nil"/>
              <w:left w:val="nil"/>
              <w:bottom w:val="nil"/>
              <w:right w:val="nil"/>
            </w:tcBorders>
            <w:shd w:val="clear" w:color="auto" w:fill="auto"/>
            <w:noWrap/>
            <w:vAlign w:val="bottom"/>
            <w:hideMark/>
          </w:tcPr>
          <w:p w14:paraId="7447B7EC" w14:textId="35D904D2" w:rsidR="00675771" w:rsidRPr="000B6FD6" w:rsidRDefault="00675771" w:rsidP="000B6FD6">
            <w:pPr>
              <w:tabs>
                <w:tab w:val="decimal" w:pos="323"/>
              </w:tabs>
              <w:spacing w:after="0" w:line="240" w:lineRule="auto"/>
              <w:jc w:val="both"/>
              <w:rPr>
                <w:rFonts w:eastAsia="Times New Roman"/>
                <w:color w:val="000000"/>
                <w:sz w:val="20"/>
                <w:szCs w:val="20"/>
              </w:rPr>
            </w:pPr>
            <w:r w:rsidRPr="000B6FD6">
              <w:rPr>
                <w:color w:val="000000"/>
                <w:sz w:val="20"/>
                <w:szCs w:val="20"/>
              </w:rPr>
              <w:t>1.309</w:t>
            </w:r>
          </w:p>
        </w:tc>
        <w:tc>
          <w:tcPr>
            <w:tcW w:w="912" w:type="dxa"/>
            <w:gridSpan w:val="2"/>
            <w:tcBorders>
              <w:top w:val="nil"/>
              <w:left w:val="nil"/>
              <w:bottom w:val="nil"/>
              <w:right w:val="single" w:sz="4" w:space="0" w:color="auto"/>
            </w:tcBorders>
            <w:shd w:val="clear" w:color="auto" w:fill="auto"/>
            <w:noWrap/>
            <w:vAlign w:val="bottom"/>
            <w:hideMark/>
          </w:tcPr>
          <w:p w14:paraId="7E67D0B1" w14:textId="094B1631" w:rsidR="00675771" w:rsidRPr="000B6FD6" w:rsidRDefault="00675771" w:rsidP="000B6FD6">
            <w:pPr>
              <w:tabs>
                <w:tab w:val="decimal" w:pos="256"/>
              </w:tabs>
              <w:spacing w:after="0" w:line="240" w:lineRule="auto"/>
              <w:jc w:val="both"/>
              <w:rPr>
                <w:rFonts w:eastAsia="Times New Roman"/>
                <w:color w:val="000000"/>
                <w:sz w:val="20"/>
                <w:szCs w:val="20"/>
              </w:rPr>
            </w:pPr>
            <w:r w:rsidRPr="000B6FD6">
              <w:rPr>
                <w:color w:val="000000"/>
                <w:sz w:val="20"/>
                <w:szCs w:val="20"/>
              </w:rPr>
              <w:t>8.479</w:t>
            </w:r>
          </w:p>
        </w:tc>
      </w:tr>
      <w:tr w:rsidR="00FA68DA" w:rsidRPr="000B6FD6" w14:paraId="749D2777" w14:textId="77777777" w:rsidTr="00715CF8">
        <w:trPr>
          <w:trHeight w:val="144"/>
        </w:trPr>
        <w:tc>
          <w:tcPr>
            <w:tcW w:w="7105" w:type="dxa"/>
            <w:tcBorders>
              <w:top w:val="nil"/>
              <w:left w:val="single" w:sz="4" w:space="0" w:color="auto"/>
              <w:bottom w:val="nil"/>
              <w:right w:val="nil"/>
            </w:tcBorders>
            <w:shd w:val="clear" w:color="auto" w:fill="auto"/>
            <w:noWrap/>
            <w:vAlign w:val="center"/>
            <w:hideMark/>
          </w:tcPr>
          <w:p w14:paraId="69587148" w14:textId="6A9B4A8F" w:rsidR="006466AD" w:rsidRPr="000B6FD6" w:rsidRDefault="006466AD" w:rsidP="000B6FD6">
            <w:pPr>
              <w:spacing w:after="0" w:line="240" w:lineRule="auto"/>
              <w:jc w:val="both"/>
              <w:rPr>
                <w:rFonts w:eastAsia="Times New Roman"/>
                <w:color w:val="000000"/>
                <w:sz w:val="20"/>
                <w:szCs w:val="20"/>
              </w:rPr>
            </w:pPr>
            <w:r w:rsidRPr="000B6FD6">
              <w:rPr>
                <w:rFonts w:eastAsia="Times New Roman"/>
                <w:color w:val="000000"/>
                <w:sz w:val="20"/>
                <w:szCs w:val="20"/>
              </w:rPr>
              <w:t xml:space="preserve">Race: (base: </w:t>
            </w:r>
            <w:r w:rsidR="00715CF8" w:rsidRPr="000B6FD6">
              <w:rPr>
                <w:rFonts w:eastAsia="Times New Roman"/>
                <w:color w:val="000000"/>
                <w:sz w:val="20"/>
                <w:szCs w:val="20"/>
              </w:rPr>
              <w:t>white</w:t>
            </w:r>
            <w:r w:rsidRPr="000B6FD6">
              <w:rPr>
                <w:rFonts w:eastAsia="Times New Roman"/>
                <w:color w:val="000000"/>
                <w:sz w:val="20"/>
                <w:szCs w:val="20"/>
              </w:rPr>
              <w:t>)</w:t>
            </w:r>
          </w:p>
        </w:tc>
        <w:tc>
          <w:tcPr>
            <w:tcW w:w="1149" w:type="dxa"/>
            <w:tcBorders>
              <w:top w:val="nil"/>
              <w:left w:val="single" w:sz="4" w:space="0" w:color="auto"/>
              <w:bottom w:val="nil"/>
              <w:right w:val="nil"/>
            </w:tcBorders>
            <w:shd w:val="clear" w:color="auto" w:fill="auto"/>
            <w:noWrap/>
            <w:vAlign w:val="center"/>
            <w:hideMark/>
          </w:tcPr>
          <w:p w14:paraId="00FECBD3" w14:textId="77777777" w:rsidR="006466AD" w:rsidRPr="000B6FD6" w:rsidRDefault="006466AD" w:rsidP="000B6FD6">
            <w:pPr>
              <w:tabs>
                <w:tab w:val="decimal" w:pos="344"/>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3" w:type="dxa"/>
            <w:tcBorders>
              <w:top w:val="nil"/>
              <w:left w:val="nil"/>
              <w:bottom w:val="nil"/>
              <w:right w:val="single" w:sz="4" w:space="0" w:color="auto"/>
            </w:tcBorders>
            <w:shd w:val="clear" w:color="auto" w:fill="auto"/>
            <w:noWrap/>
            <w:vAlign w:val="center"/>
            <w:hideMark/>
          </w:tcPr>
          <w:p w14:paraId="49DE0A02" w14:textId="77777777" w:rsidR="006466AD" w:rsidRPr="000B6FD6" w:rsidRDefault="006466AD" w:rsidP="000B6FD6">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6632DCF2" w14:textId="77777777" w:rsidR="006466AD" w:rsidRPr="000B6FD6" w:rsidRDefault="006466AD" w:rsidP="000B6FD6">
            <w:pPr>
              <w:tabs>
                <w:tab w:val="decimal" w:pos="35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766" w:type="dxa"/>
            <w:tcBorders>
              <w:top w:val="nil"/>
              <w:left w:val="nil"/>
              <w:bottom w:val="nil"/>
              <w:right w:val="single" w:sz="4" w:space="0" w:color="auto"/>
            </w:tcBorders>
            <w:shd w:val="clear" w:color="auto" w:fill="auto"/>
            <w:noWrap/>
            <w:vAlign w:val="center"/>
            <w:hideMark/>
          </w:tcPr>
          <w:p w14:paraId="48531CA3" w14:textId="77777777" w:rsidR="006466AD" w:rsidRPr="000B6FD6" w:rsidRDefault="006466AD" w:rsidP="000B6FD6">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377E6232" w14:textId="77777777" w:rsidR="006466AD" w:rsidRPr="000B6FD6" w:rsidRDefault="006466AD" w:rsidP="000B6FD6">
            <w:pPr>
              <w:tabs>
                <w:tab w:val="decimal" w:pos="32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2" w:type="dxa"/>
            <w:gridSpan w:val="2"/>
            <w:tcBorders>
              <w:top w:val="nil"/>
              <w:left w:val="nil"/>
              <w:bottom w:val="nil"/>
              <w:right w:val="single" w:sz="4" w:space="0" w:color="auto"/>
            </w:tcBorders>
            <w:shd w:val="clear" w:color="auto" w:fill="auto"/>
            <w:noWrap/>
            <w:vAlign w:val="center"/>
            <w:hideMark/>
          </w:tcPr>
          <w:p w14:paraId="0689EEDC" w14:textId="77777777" w:rsidR="006466AD" w:rsidRPr="000B6FD6" w:rsidRDefault="006466AD" w:rsidP="000B6FD6">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7FFA4B59"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4BFFED40"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 xml:space="preserve">      Asian</w:t>
            </w:r>
          </w:p>
        </w:tc>
        <w:tc>
          <w:tcPr>
            <w:tcW w:w="1149" w:type="dxa"/>
            <w:tcBorders>
              <w:top w:val="nil"/>
              <w:left w:val="single" w:sz="4" w:space="0" w:color="auto"/>
              <w:bottom w:val="nil"/>
              <w:right w:val="nil"/>
            </w:tcBorders>
            <w:shd w:val="clear" w:color="auto" w:fill="auto"/>
            <w:noWrap/>
            <w:vAlign w:val="bottom"/>
            <w:hideMark/>
          </w:tcPr>
          <w:p w14:paraId="343D952E" w14:textId="76888FFD" w:rsidR="0058240A" w:rsidRPr="000B6FD6" w:rsidRDefault="0058240A" w:rsidP="0058240A">
            <w:pPr>
              <w:tabs>
                <w:tab w:val="decimal" w:pos="344"/>
              </w:tabs>
              <w:spacing w:after="0" w:line="240" w:lineRule="auto"/>
              <w:jc w:val="both"/>
              <w:rPr>
                <w:rFonts w:eastAsia="Times New Roman"/>
                <w:color w:val="000000"/>
                <w:sz w:val="20"/>
                <w:szCs w:val="20"/>
              </w:rPr>
            </w:pPr>
            <w:r w:rsidRPr="000B6FD6">
              <w:rPr>
                <w:color w:val="000000"/>
                <w:sz w:val="20"/>
                <w:szCs w:val="20"/>
              </w:rPr>
              <w:t>0.207</w:t>
            </w:r>
          </w:p>
        </w:tc>
        <w:tc>
          <w:tcPr>
            <w:tcW w:w="913" w:type="dxa"/>
            <w:tcBorders>
              <w:top w:val="nil"/>
              <w:left w:val="nil"/>
              <w:bottom w:val="nil"/>
              <w:right w:val="single" w:sz="4" w:space="0" w:color="auto"/>
            </w:tcBorders>
            <w:shd w:val="clear" w:color="auto" w:fill="auto"/>
            <w:noWrap/>
            <w:vAlign w:val="bottom"/>
            <w:hideMark/>
          </w:tcPr>
          <w:p w14:paraId="3990D2E3" w14:textId="1F3711F0"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color w:val="000000"/>
                <w:sz w:val="20"/>
                <w:szCs w:val="20"/>
              </w:rPr>
              <w:t>1.744</w:t>
            </w:r>
          </w:p>
        </w:tc>
        <w:tc>
          <w:tcPr>
            <w:tcW w:w="1149" w:type="dxa"/>
            <w:tcBorders>
              <w:top w:val="nil"/>
              <w:left w:val="nil"/>
              <w:bottom w:val="nil"/>
              <w:right w:val="nil"/>
            </w:tcBorders>
            <w:shd w:val="clear" w:color="auto" w:fill="auto"/>
            <w:noWrap/>
            <w:vAlign w:val="center"/>
            <w:hideMark/>
          </w:tcPr>
          <w:p w14:paraId="03F72BC1" w14:textId="5F8F1C68"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nil"/>
              <w:right w:val="single" w:sz="4" w:space="0" w:color="auto"/>
            </w:tcBorders>
            <w:shd w:val="clear" w:color="auto" w:fill="auto"/>
            <w:noWrap/>
            <w:vAlign w:val="center"/>
            <w:hideMark/>
          </w:tcPr>
          <w:p w14:paraId="3C56440F"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547DCF16" w14:textId="1874287B"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nil"/>
              <w:right w:val="single" w:sz="4" w:space="0" w:color="auto"/>
            </w:tcBorders>
            <w:shd w:val="clear" w:color="auto" w:fill="auto"/>
            <w:noWrap/>
            <w:vAlign w:val="center"/>
            <w:hideMark/>
          </w:tcPr>
          <w:p w14:paraId="797E5E73" w14:textId="60F8DAC3"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696F7DD8" w14:textId="77777777" w:rsidTr="00727DC4">
        <w:trPr>
          <w:trHeight w:val="144"/>
        </w:trPr>
        <w:tc>
          <w:tcPr>
            <w:tcW w:w="7105" w:type="dxa"/>
            <w:tcBorders>
              <w:top w:val="nil"/>
              <w:left w:val="single" w:sz="4" w:space="0" w:color="auto"/>
              <w:bottom w:val="nil"/>
              <w:right w:val="nil"/>
            </w:tcBorders>
            <w:shd w:val="clear" w:color="auto" w:fill="auto"/>
            <w:noWrap/>
            <w:vAlign w:val="center"/>
            <w:hideMark/>
          </w:tcPr>
          <w:p w14:paraId="402992FD" w14:textId="1866A5DB"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 xml:space="preserve">      Black or other</w:t>
            </w:r>
          </w:p>
        </w:tc>
        <w:tc>
          <w:tcPr>
            <w:tcW w:w="1149" w:type="dxa"/>
            <w:tcBorders>
              <w:top w:val="nil"/>
              <w:left w:val="single" w:sz="4" w:space="0" w:color="auto"/>
              <w:bottom w:val="nil"/>
              <w:right w:val="nil"/>
            </w:tcBorders>
            <w:shd w:val="clear" w:color="auto" w:fill="auto"/>
            <w:noWrap/>
            <w:vAlign w:val="center"/>
            <w:hideMark/>
          </w:tcPr>
          <w:p w14:paraId="15F8BEEB" w14:textId="2B213F27"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nil"/>
              <w:right w:val="single" w:sz="4" w:space="0" w:color="auto"/>
            </w:tcBorders>
            <w:shd w:val="clear" w:color="auto" w:fill="auto"/>
            <w:noWrap/>
            <w:vAlign w:val="center"/>
            <w:hideMark/>
          </w:tcPr>
          <w:p w14:paraId="02C0EA08"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bottom"/>
            <w:hideMark/>
          </w:tcPr>
          <w:p w14:paraId="3DDEF246" w14:textId="3EB8AEB1"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color w:val="000000"/>
                <w:sz w:val="20"/>
                <w:szCs w:val="20"/>
              </w:rPr>
              <w:t>-0.250</w:t>
            </w:r>
          </w:p>
        </w:tc>
        <w:tc>
          <w:tcPr>
            <w:tcW w:w="766" w:type="dxa"/>
            <w:tcBorders>
              <w:top w:val="nil"/>
              <w:left w:val="nil"/>
              <w:bottom w:val="nil"/>
              <w:right w:val="single" w:sz="4" w:space="0" w:color="auto"/>
            </w:tcBorders>
            <w:shd w:val="clear" w:color="auto" w:fill="auto"/>
            <w:noWrap/>
            <w:vAlign w:val="bottom"/>
            <w:hideMark/>
          </w:tcPr>
          <w:p w14:paraId="2D013835" w14:textId="3BBD41BD"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color w:val="000000"/>
                <w:sz w:val="20"/>
                <w:szCs w:val="20"/>
              </w:rPr>
              <w:t>-1.972</w:t>
            </w:r>
          </w:p>
        </w:tc>
        <w:tc>
          <w:tcPr>
            <w:tcW w:w="1149" w:type="dxa"/>
            <w:tcBorders>
              <w:top w:val="nil"/>
              <w:left w:val="nil"/>
              <w:bottom w:val="nil"/>
              <w:right w:val="nil"/>
            </w:tcBorders>
            <w:shd w:val="clear" w:color="auto" w:fill="auto"/>
            <w:noWrap/>
            <w:vAlign w:val="center"/>
            <w:hideMark/>
          </w:tcPr>
          <w:p w14:paraId="22D60C64" w14:textId="72AF5392"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nil"/>
              <w:right w:val="single" w:sz="4" w:space="0" w:color="auto"/>
            </w:tcBorders>
            <w:shd w:val="clear" w:color="auto" w:fill="auto"/>
            <w:noWrap/>
            <w:vAlign w:val="center"/>
            <w:hideMark/>
          </w:tcPr>
          <w:p w14:paraId="08A62894" w14:textId="0C116FF8"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02411ED3" w14:textId="77777777" w:rsidTr="00715CF8">
        <w:trPr>
          <w:trHeight w:val="144"/>
        </w:trPr>
        <w:tc>
          <w:tcPr>
            <w:tcW w:w="7105" w:type="dxa"/>
            <w:tcBorders>
              <w:top w:val="nil"/>
              <w:left w:val="single" w:sz="4" w:space="0" w:color="auto"/>
              <w:bottom w:val="nil"/>
              <w:right w:val="nil"/>
            </w:tcBorders>
            <w:shd w:val="clear" w:color="auto" w:fill="auto"/>
            <w:noWrap/>
            <w:vAlign w:val="center"/>
            <w:hideMark/>
          </w:tcPr>
          <w:p w14:paraId="753BBDA1" w14:textId="6C7D2B32"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Ethnicity: (base: not Hispanic)</w:t>
            </w:r>
          </w:p>
        </w:tc>
        <w:tc>
          <w:tcPr>
            <w:tcW w:w="1149" w:type="dxa"/>
            <w:tcBorders>
              <w:top w:val="nil"/>
              <w:left w:val="single" w:sz="4" w:space="0" w:color="auto"/>
              <w:bottom w:val="nil"/>
              <w:right w:val="nil"/>
            </w:tcBorders>
            <w:shd w:val="clear" w:color="auto" w:fill="auto"/>
            <w:noWrap/>
            <w:vAlign w:val="center"/>
            <w:hideMark/>
          </w:tcPr>
          <w:p w14:paraId="0FE6B47D" w14:textId="35808892" w:rsidR="0058240A" w:rsidRPr="000B6FD6" w:rsidRDefault="0058240A" w:rsidP="0058240A">
            <w:pPr>
              <w:tabs>
                <w:tab w:val="decimal" w:pos="344"/>
              </w:tabs>
              <w:spacing w:after="0" w:line="240" w:lineRule="auto"/>
              <w:jc w:val="center"/>
              <w:rPr>
                <w:rFonts w:eastAsia="Times New Roman"/>
                <w:color w:val="000000"/>
                <w:sz w:val="20"/>
                <w:szCs w:val="20"/>
              </w:rPr>
            </w:pPr>
          </w:p>
        </w:tc>
        <w:tc>
          <w:tcPr>
            <w:tcW w:w="913" w:type="dxa"/>
            <w:tcBorders>
              <w:top w:val="nil"/>
              <w:left w:val="nil"/>
              <w:bottom w:val="nil"/>
              <w:right w:val="single" w:sz="4" w:space="0" w:color="auto"/>
            </w:tcBorders>
            <w:shd w:val="clear" w:color="auto" w:fill="auto"/>
            <w:noWrap/>
            <w:vAlign w:val="center"/>
            <w:hideMark/>
          </w:tcPr>
          <w:p w14:paraId="20A6E193"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3D2886CA" w14:textId="77777777"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766" w:type="dxa"/>
            <w:tcBorders>
              <w:top w:val="nil"/>
              <w:left w:val="nil"/>
              <w:bottom w:val="nil"/>
              <w:right w:val="single" w:sz="4" w:space="0" w:color="auto"/>
            </w:tcBorders>
            <w:shd w:val="clear" w:color="auto" w:fill="auto"/>
            <w:noWrap/>
            <w:vAlign w:val="center"/>
            <w:hideMark/>
          </w:tcPr>
          <w:p w14:paraId="56C7CAAC"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49B719C7" w14:textId="77777777"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912" w:type="dxa"/>
            <w:gridSpan w:val="2"/>
            <w:tcBorders>
              <w:top w:val="nil"/>
              <w:left w:val="nil"/>
              <w:bottom w:val="nil"/>
              <w:right w:val="single" w:sz="4" w:space="0" w:color="auto"/>
            </w:tcBorders>
            <w:shd w:val="clear" w:color="auto" w:fill="auto"/>
            <w:noWrap/>
            <w:vAlign w:val="center"/>
            <w:hideMark/>
          </w:tcPr>
          <w:p w14:paraId="1064B359"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469A1714" w14:textId="77777777" w:rsidTr="00727DC4">
        <w:trPr>
          <w:trHeight w:val="144"/>
        </w:trPr>
        <w:tc>
          <w:tcPr>
            <w:tcW w:w="7105" w:type="dxa"/>
            <w:tcBorders>
              <w:top w:val="nil"/>
              <w:left w:val="single" w:sz="4" w:space="0" w:color="auto"/>
              <w:bottom w:val="single" w:sz="4" w:space="0" w:color="auto"/>
              <w:right w:val="nil"/>
            </w:tcBorders>
            <w:shd w:val="clear" w:color="auto" w:fill="auto"/>
            <w:noWrap/>
            <w:vAlign w:val="center"/>
            <w:hideMark/>
          </w:tcPr>
          <w:p w14:paraId="17482EB1"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 xml:space="preserve">      Hispanic</w:t>
            </w:r>
          </w:p>
        </w:tc>
        <w:tc>
          <w:tcPr>
            <w:tcW w:w="1149" w:type="dxa"/>
            <w:tcBorders>
              <w:top w:val="nil"/>
              <w:left w:val="single" w:sz="4" w:space="0" w:color="auto"/>
              <w:bottom w:val="single" w:sz="4" w:space="0" w:color="auto"/>
              <w:right w:val="nil"/>
            </w:tcBorders>
            <w:shd w:val="clear" w:color="auto" w:fill="auto"/>
            <w:noWrap/>
            <w:vAlign w:val="center"/>
            <w:hideMark/>
          </w:tcPr>
          <w:p w14:paraId="4733EBF5" w14:textId="1F0414DE"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single" w:sz="4" w:space="0" w:color="auto"/>
              <w:right w:val="single" w:sz="4" w:space="0" w:color="auto"/>
            </w:tcBorders>
            <w:shd w:val="clear" w:color="auto" w:fill="auto"/>
            <w:noWrap/>
            <w:vAlign w:val="center"/>
            <w:hideMark/>
          </w:tcPr>
          <w:p w14:paraId="2DEFF491"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single" w:sz="4" w:space="0" w:color="auto"/>
              <w:right w:val="nil"/>
            </w:tcBorders>
            <w:shd w:val="clear" w:color="auto" w:fill="auto"/>
            <w:noWrap/>
            <w:vAlign w:val="bottom"/>
            <w:hideMark/>
          </w:tcPr>
          <w:p w14:paraId="69861AFE" w14:textId="653E2C8C"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color w:val="000000"/>
                <w:sz w:val="20"/>
                <w:szCs w:val="20"/>
              </w:rPr>
              <w:t>0.260</w:t>
            </w:r>
          </w:p>
        </w:tc>
        <w:tc>
          <w:tcPr>
            <w:tcW w:w="766" w:type="dxa"/>
            <w:tcBorders>
              <w:top w:val="nil"/>
              <w:left w:val="nil"/>
              <w:bottom w:val="single" w:sz="4" w:space="0" w:color="auto"/>
              <w:right w:val="single" w:sz="4" w:space="0" w:color="auto"/>
            </w:tcBorders>
            <w:shd w:val="clear" w:color="auto" w:fill="auto"/>
            <w:noWrap/>
            <w:vAlign w:val="bottom"/>
            <w:hideMark/>
          </w:tcPr>
          <w:p w14:paraId="58C66494" w14:textId="376C4FB6"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color w:val="000000"/>
                <w:sz w:val="20"/>
                <w:szCs w:val="20"/>
              </w:rPr>
              <w:t>1.676</w:t>
            </w:r>
          </w:p>
        </w:tc>
        <w:tc>
          <w:tcPr>
            <w:tcW w:w="1149" w:type="dxa"/>
            <w:tcBorders>
              <w:top w:val="nil"/>
              <w:left w:val="nil"/>
              <w:bottom w:val="single" w:sz="4" w:space="0" w:color="auto"/>
              <w:right w:val="nil"/>
            </w:tcBorders>
            <w:shd w:val="clear" w:color="auto" w:fill="auto"/>
            <w:noWrap/>
            <w:vAlign w:val="bottom"/>
            <w:hideMark/>
          </w:tcPr>
          <w:p w14:paraId="4E0D6798" w14:textId="1A756F87"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-0.219</w:t>
            </w:r>
          </w:p>
        </w:tc>
        <w:tc>
          <w:tcPr>
            <w:tcW w:w="912" w:type="dxa"/>
            <w:gridSpan w:val="2"/>
            <w:tcBorders>
              <w:top w:val="nil"/>
              <w:left w:val="nil"/>
              <w:bottom w:val="single" w:sz="4" w:space="0" w:color="auto"/>
              <w:right w:val="single" w:sz="4" w:space="0" w:color="auto"/>
            </w:tcBorders>
            <w:shd w:val="clear" w:color="auto" w:fill="auto"/>
            <w:noWrap/>
            <w:vAlign w:val="bottom"/>
            <w:hideMark/>
          </w:tcPr>
          <w:p w14:paraId="734C0649" w14:textId="22BDA68F"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-1.454</w:t>
            </w:r>
          </w:p>
        </w:tc>
      </w:tr>
      <w:tr w:rsidR="0058240A" w:rsidRPr="000B6FD6" w14:paraId="6F309260" w14:textId="77777777" w:rsidTr="00715CF8">
        <w:trPr>
          <w:trHeight w:val="144"/>
        </w:trPr>
        <w:tc>
          <w:tcPr>
            <w:tcW w:w="7105" w:type="dxa"/>
            <w:tcBorders>
              <w:top w:val="nil"/>
              <w:left w:val="single" w:sz="4" w:space="0" w:color="auto"/>
              <w:bottom w:val="single" w:sz="4" w:space="0" w:color="000000"/>
              <w:right w:val="single" w:sz="4" w:space="0" w:color="auto"/>
            </w:tcBorders>
            <w:vAlign w:val="center"/>
            <w:hideMark/>
          </w:tcPr>
          <w:p w14:paraId="6A150B76" w14:textId="24B901E4" w:rsidR="0058240A" w:rsidRPr="000B6FD6" w:rsidRDefault="0058240A" w:rsidP="0058240A">
            <w:pPr>
              <w:spacing w:after="0" w:line="240" w:lineRule="auto"/>
              <w:jc w:val="both"/>
              <w:rPr>
                <w:rFonts w:eastAsia="Times New Roman"/>
                <w:b/>
                <w:bCs/>
                <w:color w:val="000000"/>
                <w:sz w:val="20"/>
                <w:szCs w:val="20"/>
              </w:rPr>
            </w:pPr>
            <w:r w:rsidRPr="000B6FD6">
              <w:rPr>
                <w:rFonts w:eastAsia="Times New Roman"/>
                <w:b/>
                <w:bCs/>
                <w:color w:val="000000"/>
                <w:sz w:val="20"/>
                <w:szCs w:val="20"/>
              </w:rPr>
              <w:t>Latent Variable Measurement Equation Model</w:t>
            </w:r>
          </w:p>
        </w:tc>
        <w:tc>
          <w:tcPr>
            <w:tcW w:w="1149" w:type="dxa"/>
            <w:tcBorders>
              <w:top w:val="nil"/>
              <w:left w:val="nil"/>
              <w:bottom w:val="nil"/>
              <w:right w:val="single" w:sz="4" w:space="0" w:color="auto"/>
            </w:tcBorders>
            <w:shd w:val="clear" w:color="auto" w:fill="auto"/>
            <w:noWrap/>
            <w:vAlign w:val="center"/>
            <w:hideMark/>
          </w:tcPr>
          <w:p w14:paraId="4465A394" w14:textId="77777777" w:rsidR="0058240A" w:rsidRPr="000B6FD6" w:rsidRDefault="0058240A" w:rsidP="0058240A">
            <w:pPr>
              <w:tabs>
                <w:tab w:val="decimal" w:pos="344"/>
              </w:tabs>
              <w:spacing w:after="0" w:line="240" w:lineRule="auto"/>
              <w:jc w:val="both"/>
              <w:rPr>
                <w:rFonts w:eastAsia="Times New Roman"/>
                <w:b/>
                <w:bCs/>
                <w:color w:val="000000"/>
                <w:sz w:val="20"/>
                <w:szCs w:val="20"/>
              </w:rPr>
            </w:pPr>
            <w:r w:rsidRPr="000B6FD6">
              <w:rPr>
                <w:rFonts w:eastAsia="Times New Roman"/>
                <w:b/>
                <w:bCs/>
                <w:color w:val="000000"/>
                <w:sz w:val="20"/>
                <w:szCs w:val="20"/>
              </w:rPr>
              <w:t>Loading</w:t>
            </w:r>
          </w:p>
        </w:tc>
        <w:tc>
          <w:tcPr>
            <w:tcW w:w="913" w:type="dxa"/>
            <w:tcBorders>
              <w:top w:val="nil"/>
              <w:left w:val="nil"/>
              <w:bottom w:val="nil"/>
              <w:right w:val="single" w:sz="4" w:space="0" w:color="auto"/>
            </w:tcBorders>
            <w:shd w:val="clear" w:color="auto" w:fill="auto"/>
            <w:noWrap/>
            <w:vAlign w:val="center"/>
            <w:hideMark/>
          </w:tcPr>
          <w:p w14:paraId="0A414C52" w14:textId="77777777" w:rsidR="0058240A" w:rsidRPr="000B6FD6" w:rsidRDefault="0058240A" w:rsidP="0058240A">
            <w:pPr>
              <w:tabs>
                <w:tab w:val="decimal" w:pos="179"/>
              </w:tabs>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c>
          <w:tcPr>
            <w:tcW w:w="1149" w:type="dxa"/>
            <w:tcBorders>
              <w:top w:val="nil"/>
              <w:left w:val="nil"/>
              <w:bottom w:val="single" w:sz="4" w:space="0" w:color="auto"/>
              <w:right w:val="single" w:sz="4" w:space="0" w:color="auto"/>
            </w:tcBorders>
            <w:shd w:val="clear" w:color="auto" w:fill="auto"/>
            <w:noWrap/>
            <w:vAlign w:val="center"/>
            <w:hideMark/>
          </w:tcPr>
          <w:p w14:paraId="06199A51" w14:textId="77777777" w:rsidR="0058240A" w:rsidRPr="000B6FD6" w:rsidRDefault="0058240A" w:rsidP="0058240A">
            <w:pPr>
              <w:tabs>
                <w:tab w:val="decimal" w:pos="350"/>
              </w:tabs>
              <w:spacing w:after="0" w:line="240" w:lineRule="auto"/>
              <w:jc w:val="both"/>
              <w:rPr>
                <w:rFonts w:eastAsia="Times New Roman"/>
                <w:b/>
                <w:bCs/>
                <w:color w:val="000000"/>
                <w:sz w:val="20"/>
                <w:szCs w:val="20"/>
              </w:rPr>
            </w:pPr>
            <w:r w:rsidRPr="000B6FD6">
              <w:rPr>
                <w:rFonts w:eastAsia="Times New Roman"/>
                <w:b/>
                <w:bCs/>
                <w:color w:val="000000"/>
                <w:sz w:val="20"/>
                <w:szCs w:val="20"/>
              </w:rPr>
              <w:t>Loading</w:t>
            </w:r>
          </w:p>
        </w:tc>
        <w:tc>
          <w:tcPr>
            <w:tcW w:w="766" w:type="dxa"/>
            <w:tcBorders>
              <w:top w:val="nil"/>
              <w:left w:val="nil"/>
              <w:bottom w:val="single" w:sz="4" w:space="0" w:color="auto"/>
              <w:right w:val="single" w:sz="4" w:space="0" w:color="auto"/>
            </w:tcBorders>
            <w:shd w:val="clear" w:color="auto" w:fill="auto"/>
            <w:noWrap/>
            <w:vAlign w:val="center"/>
            <w:hideMark/>
          </w:tcPr>
          <w:p w14:paraId="1F41D591" w14:textId="77777777" w:rsidR="0058240A" w:rsidRPr="000B6FD6" w:rsidRDefault="0058240A" w:rsidP="0058240A">
            <w:pPr>
              <w:tabs>
                <w:tab w:val="decimal" w:pos="103"/>
              </w:tabs>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c>
          <w:tcPr>
            <w:tcW w:w="1149" w:type="dxa"/>
            <w:tcBorders>
              <w:top w:val="nil"/>
              <w:left w:val="nil"/>
              <w:bottom w:val="single" w:sz="4" w:space="0" w:color="auto"/>
              <w:right w:val="single" w:sz="4" w:space="0" w:color="auto"/>
            </w:tcBorders>
            <w:shd w:val="clear" w:color="auto" w:fill="auto"/>
            <w:noWrap/>
            <w:vAlign w:val="center"/>
            <w:hideMark/>
          </w:tcPr>
          <w:p w14:paraId="3BAAE1BC" w14:textId="77777777" w:rsidR="0058240A" w:rsidRPr="000B6FD6" w:rsidRDefault="0058240A" w:rsidP="0058240A">
            <w:pPr>
              <w:tabs>
                <w:tab w:val="decimal" w:pos="323"/>
              </w:tabs>
              <w:spacing w:after="0" w:line="240" w:lineRule="auto"/>
              <w:jc w:val="both"/>
              <w:rPr>
                <w:rFonts w:eastAsia="Times New Roman"/>
                <w:b/>
                <w:bCs/>
                <w:color w:val="000000"/>
                <w:sz w:val="20"/>
                <w:szCs w:val="20"/>
              </w:rPr>
            </w:pPr>
            <w:r w:rsidRPr="000B6FD6">
              <w:rPr>
                <w:rFonts w:eastAsia="Times New Roman"/>
                <w:b/>
                <w:bCs/>
                <w:color w:val="000000"/>
                <w:sz w:val="20"/>
                <w:szCs w:val="20"/>
              </w:rPr>
              <w:t>Loading</w:t>
            </w:r>
          </w:p>
        </w:tc>
        <w:tc>
          <w:tcPr>
            <w:tcW w:w="912" w:type="dxa"/>
            <w:gridSpan w:val="2"/>
            <w:tcBorders>
              <w:top w:val="nil"/>
              <w:left w:val="nil"/>
              <w:bottom w:val="single" w:sz="4" w:space="0" w:color="auto"/>
              <w:right w:val="single" w:sz="4" w:space="0" w:color="auto"/>
            </w:tcBorders>
            <w:shd w:val="clear" w:color="auto" w:fill="auto"/>
            <w:noWrap/>
            <w:vAlign w:val="center"/>
            <w:hideMark/>
          </w:tcPr>
          <w:p w14:paraId="25A2BCC5" w14:textId="77777777" w:rsidR="0058240A" w:rsidRPr="000B6FD6" w:rsidRDefault="0058240A" w:rsidP="0058240A">
            <w:pPr>
              <w:tabs>
                <w:tab w:val="decimal" w:pos="256"/>
              </w:tabs>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r>
      <w:tr w:rsidR="0058240A" w:rsidRPr="000B6FD6" w14:paraId="523D604D" w14:textId="77777777" w:rsidTr="00727DC4">
        <w:trPr>
          <w:trHeight w:val="144"/>
        </w:trPr>
        <w:tc>
          <w:tcPr>
            <w:tcW w:w="7105" w:type="dxa"/>
            <w:tcBorders>
              <w:top w:val="nil"/>
              <w:left w:val="single" w:sz="4" w:space="0" w:color="auto"/>
              <w:bottom w:val="nil"/>
              <w:right w:val="single" w:sz="4" w:space="0" w:color="auto"/>
            </w:tcBorders>
            <w:shd w:val="clear" w:color="auto" w:fill="auto"/>
            <w:noWrap/>
            <w:vAlign w:val="center"/>
            <w:hideMark/>
          </w:tcPr>
          <w:p w14:paraId="356C71A6"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I am committed to an environmentally friendly lifestyle</w:t>
            </w:r>
          </w:p>
        </w:tc>
        <w:tc>
          <w:tcPr>
            <w:tcW w:w="1149" w:type="dxa"/>
            <w:tcBorders>
              <w:top w:val="single" w:sz="4" w:space="0" w:color="auto"/>
              <w:left w:val="nil"/>
              <w:bottom w:val="nil"/>
              <w:right w:val="nil"/>
            </w:tcBorders>
            <w:shd w:val="clear" w:color="auto" w:fill="auto"/>
            <w:noWrap/>
            <w:vAlign w:val="bottom"/>
            <w:hideMark/>
          </w:tcPr>
          <w:p w14:paraId="1C50C20D" w14:textId="35C9A8C9" w:rsidR="0058240A" w:rsidRPr="000B6FD6" w:rsidRDefault="0058240A" w:rsidP="0058240A">
            <w:pPr>
              <w:tabs>
                <w:tab w:val="decimal" w:pos="344"/>
              </w:tabs>
              <w:spacing w:after="0" w:line="240" w:lineRule="auto"/>
              <w:jc w:val="both"/>
              <w:rPr>
                <w:rFonts w:eastAsia="Times New Roman"/>
                <w:color w:val="000000"/>
                <w:sz w:val="20"/>
                <w:szCs w:val="20"/>
              </w:rPr>
            </w:pPr>
            <w:r w:rsidRPr="000B6FD6">
              <w:rPr>
                <w:color w:val="000000"/>
                <w:sz w:val="20"/>
                <w:szCs w:val="20"/>
              </w:rPr>
              <w:t>0.711</w:t>
            </w:r>
          </w:p>
        </w:tc>
        <w:tc>
          <w:tcPr>
            <w:tcW w:w="913" w:type="dxa"/>
            <w:tcBorders>
              <w:top w:val="single" w:sz="4" w:space="0" w:color="auto"/>
              <w:left w:val="nil"/>
              <w:bottom w:val="nil"/>
              <w:right w:val="single" w:sz="4" w:space="0" w:color="auto"/>
            </w:tcBorders>
            <w:shd w:val="clear" w:color="auto" w:fill="auto"/>
            <w:noWrap/>
            <w:vAlign w:val="bottom"/>
            <w:hideMark/>
          </w:tcPr>
          <w:p w14:paraId="613130E8" w14:textId="4FC8A02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color w:val="000000"/>
                <w:sz w:val="20"/>
                <w:szCs w:val="20"/>
              </w:rPr>
              <w:t>15.729</w:t>
            </w:r>
          </w:p>
        </w:tc>
        <w:tc>
          <w:tcPr>
            <w:tcW w:w="1149" w:type="dxa"/>
            <w:tcBorders>
              <w:top w:val="nil"/>
              <w:left w:val="nil"/>
              <w:bottom w:val="nil"/>
              <w:right w:val="nil"/>
            </w:tcBorders>
            <w:shd w:val="clear" w:color="auto" w:fill="auto"/>
            <w:noWrap/>
            <w:vAlign w:val="center"/>
            <w:hideMark/>
          </w:tcPr>
          <w:p w14:paraId="372E195C" w14:textId="1404B1F9"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nil"/>
              <w:right w:val="single" w:sz="4" w:space="0" w:color="auto"/>
            </w:tcBorders>
            <w:shd w:val="clear" w:color="auto" w:fill="auto"/>
            <w:noWrap/>
            <w:vAlign w:val="center"/>
            <w:hideMark/>
          </w:tcPr>
          <w:p w14:paraId="7E8FB988"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6ACD91D0" w14:textId="132C6C96"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nil"/>
              <w:right w:val="single" w:sz="4" w:space="0" w:color="auto"/>
            </w:tcBorders>
            <w:shd w:val="clear" w:color="auto" w:fill="auto"/>
            <w:noWrap/>
            <w:vAlign w:val="center"/>
            <w:hideMark/>
          </w:tcPr>
          <w:p w14:paraId="6B5FB8B1"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7BFE439F" w14:textId="77777777" w:rsidTr="00727DC4">
        <w:trPr>
          <w:trHeight w:val="144"/>
        </w:trPr>
        <w:tc>
          <w:tcPr>
            <w:tcW w:w="7105" w:type="dxa"/>
            <w:tcBorders>
              <w:top w:val="nil"/>
              <w:left w:val="single" w:sz="4" w:space="0" w:color="auto"/>
              <w:bottom w:val="nil"/>
              <w:right w:val="single" w:sz="4" w:space="0" w:color="auto"/>
            </w:tcBorders>
            <w:shd w:val="clear" w:color="auto" w:fill="auto"/>
            <w:noWrap/>
            <w:vAlign w:val="center"/>
            <w:hideMark/>
          </w:tcPr>
          <w:p w14:paraId="17A44982"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 xml:space="preserve">I am committed to using a </w:t>
            </w:r>
            <w:proofErr w:type="gramStart"/>
            <w:r w:rsidRPr="000B6FD6">
              <w:rPr>
                <w:rFonts w:eastAsia="Times New Roman"/>
                <w:color w:val="000000"/>
                <w:sz w:val="20"/>
                <w:szCs w:val="20"/>
              </w:rPr>
              <w:t>less</w:t>
            </w:r>
            <w:proofErr w:type="gramEnd"/>
            <w:r w:rsidRPr="000B6FD6">
              <w:rPr>
                <w:rFonts w:eastAsia="Times New Roman"/>
                <w:color w:val="000000"/>
                <w:sz w:val="20"/>
                <w:szCs w:val="20"/>
              </w:rPr>
              <w:t xml:space="preserve"> polluting means of transportation as much as possible</w:t>
            </w:r>
          </w:p>
        </w:tc>
        <w:tc>
          <w:tcPr>
            <w:tcW w:w="1149" w:type="dxa"/>
            <w:tcBorders>
              <w:top w:val="nil"/>
              <w:left w:val="nil"/>
              <w:bottom w:val="nil"/>
              <w:right w:val="nil"/>
            </w:tcBorders>
            <w:shd w:val="clear" w:color="auto" w:fill="auto"/>
            <w:noWrap/>
            <w:vAlign w:val="bottom"/>
            <w:hideMark/>
          </w:tcPr>
          <w:p w14:paraId="14A4CA69" w14:textId="5AC0FEB3" w:rsidR="0058240A" w:rsidRPr="000B6FD6" w:rsidRDefault="0058240A" w:rsidP="0058240A">
            <w:pPr>
              <w:tabs>
                <w:tab w:val="decimal" w:pos="344"/>
              </w:tabs>
              <w:spacing w:after="0" w:line="240" w:lineRule="auto"/>
              <w:jc w:val="both"/>
              <w:rPr>
                <w:rFonts w:eastAsia="Times New Roman"/>
                <w:color w:val="000000"/>
                <w:sz w:val="20"/>
                <w:szCs w:val="20"/>
              </w:rPr>
            </w:pPr>
            <w:r w:rsidRPr="000B6FD6">
              <w:rPr>
                <w:color w:val="000000"/>
                <w:sz w:val="20"/>
                <w:szCs w:val="20"/>
              </w:rPr>
              <w:t>0.969</w:t>
            </w:r>
          </w:p>
        </w:tc>
        <w:tc>
          <w:tcPr>
            <w:tcW w:w="913" w:type="dxa"/>
            <w:tcBorders>
              <w:top w:val="nil"/>
              <w:left w:val="nil"/>
              <w:bottom w:val="nil"/>
              <w:right w:val="single" w:sz="4" w:space="0" w:color="auto"/>
            </w:tcBorders>
            <w:shd w:val="clear" w:color="auto" w:fill="auto"/>
            <w:noWrap/>
            <w:vAlign w:val="bottom"/>
            <w:hideMark/>
          </w:tcPr>
          <w:p w14:paraId="10F5CAE1" w14:textId="1AC864D9"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color w:val="000000"/>
                <w:sz w:val="20"/>
                <w:szCs w:val="20"/>
              </w:rPr>
              <w:t>13.440</w:t>
            </w:r>
          </w:p>
        </w:tc>
        <w:tc>
          <w:tcPr>
            <w:tcW w:w="1149" w:type="dxa"/>
            <w:tcBorders>
              <w:top w:val="nil"/>
              <w:left w:val="nil"/>
              <w:bottom w:val="nil"/>
              <w:right w:val="nil"/>
            </w:tcBorders>
            <w:shd w:val="clear" w:color="auto" w:fill="auto"/>
            <w:noWrap/>
            <w:vAlign w:val="center"/>
            <w:hideMark/>
          </w:tcPr>
          <w:p w14:paraId="4074DE13" w14:textId="0B1732CE"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nil"/>
              <w:right w:val="single" w:sz="4" w:space="0" w:color="auto"/>
            </w:tcBorders>
            <w:shd w:val="clear" w:color="auto" w:fill="auto"/>
            <w:noWrap/>
            <w:vAlign w:val="center"/>
            <w:hideMark/>
          </w:tcPr>
          <w:p w14:paraId="5E784B8D"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47F75975" w14:textId="2A4E62C7"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nil"/>
              <w:right w:val="single" w:sz="4" w:space="0" w:color="auto"/>
            </w:tcBorders>
            <w:shd w:val="clear" w:color="auto" w:fill="auto"/>
            <w:noWrap/>
            <w:vAlign w:val="center"/>
            <w:hideMark/>
          </w:tcPr>
          <w:p w14:paraId="772FB34B"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28087EDF" w14:textId="77777777" w:rsidTr="00D74089">
        <w:trPr>
          <w:trHeight w:val="144"/>
        </w:trPr>
        <w:tc>
          <w:tcPr>
            <w:tcW w:w="7105" w:type="dxa"/>
            <w:tcBorders>
              <w:top w:val="nil"/>
              <w:left w:val="single" w:sz="4" w:space="0" w:color="auto"/>
              <w:right w:val="single" w:sz="4" w:space="0" w:color="auto"/>
            </w:tcBorders>
            <w:shd w:val="clear" w:color="auto" w:fill="auto"/>
            <w:noWrap/>
            <w:vAlign w:val="center"/>
            <w:hideMark/>
          </w:tcPr>
          <w:p w14:paraId="647522DF"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Sometimes I worry about the effects of airplane trips on the environment</w:t>
            </w:r>
          </w:p>
        </w:tc>
        <w:tc>
          <w:tcPr>
            <w:tcW w:w="1149" w:type="dxa"/>
            <w:tcBorders>
              <w:top w:val="nil"/>
              <w:left w:val="nil"/>
              <w:right w:val="nil"/>
            </w:tcBorders>
            <w:shd w:val="clear" w:color="auto" w:fill="auto"/>
            <w:noWrap/>
            <w:vAlign w:val="bottom"/>
            <w:hideMark/>
          </w:tcPr>
          <w:p w14:paraId="7CC7A571" w14:textId="4A4D72D7" w:rsidR="0058240A" w:rsidRPr="000B6FD6" w:rsidRDefault="0058240A" w:rsidP="0058240A">
            <w:pPr>
              <w:tabs>
                <w:tab w:val="decimal" w:pos="344"/>
              </w:tabs>
              <w:spacing w:after="0" w:line="240" w:lineRule="auto"/>
              <w:jc w:val="both"/>
              <w:rPr>
                <w:rFonts w:eastAsia="Times New Roman"/>
                <w:color w:val="000000"/>
                <w:sz w:val="20"/>
                <w:szCs w:val="20"/>
              </w:rPr>
            </w:pPr>
            <w:r w:rsidRPr="000B6FD6">
              <w:rPr>
                <w:color w:val="000000"/>
                <w:sz w:val="20"/>
                <w:szCs w:val="20"/>
              </w:rPr>
              <w:t>0.860</w:t>
            </w:r>
          </w:p>
        </w:tc>
        <w:tc>
          <w:tcPr>
            <w:tcW w:w="913" w:type="dxa"/>
            <w:tcBorders>
              <w:top w:val="nil"/>
              <w:left w:val="nil"/>
              <w:right w:val="single" w:sz="4" w:space="0" w:color="auto"/>
            </w:tcBorders>
            <w:shd w:val="clear" w:color="auto" w:fill="auto"/>
            <w:noWrap/>
            <w:vAlign w:val="bottom"/>
            <w:hideMark/>
          </w:tcPr>
          <w:p w14:paraId="1222D77D" w14:textId="3C2BAECE"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color w:val="000000"/>
                <w:sz w:val="20"/>
                <w:szCs w:val="20"/>
              </w:rPr>
              <w:t>17.016</w:t>
            </w:r>
          </w:p>
        </w:tc>
        <w:tc>
          <w:tcPr>
            <w:tcW w:w="1149" w:type="dxa"/>
            <w:tcBorders>
              <w:top w:val="nil"/>
              <w:left w:val="nil"/>
              <w:right w:val="nil"/>
            </w:tcBorders>
            <w:shd w:val="clear" w:color="auto" w:fill="auto"/>
            <w:noWrap/>
            <w:vAlign w:val="center"/>
            <w:hideMark/>
          </w:tcPr>
          <w:p w14:paraId="5DB19E91" w14:textId="7BFF456C"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right w:val="single" w:sz="4" w:space="0" w:color="auto"/>
            </w:tcBorders>
            <w:shd w:val="clear" w:color="auto" w:fill="auto"/>
            <w:noWrap/>
            <w:vAlign w:val="center"/>
            <w:hideMark/>
          </w:tcPr>
          <w:p w14:paraId="021CF772"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right w:val="nil"/>
            </w:tcBorders>
            <w:shd w:val="clear" w:color="auto" w:fill="auto"/>
            <w:noWrap/>
            <w:vAlign w:val="center"/>
            <w:hideMark/>
          </w:tcPr>
          <w:p w14:paraId="2C4D90EE" w14:textId="1C302D2F"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right w:val="single" w:sz="4" w:space="0" w:color="auto"/>
            </w:tcBorders>
            <w:shd w:val="clear" w:color="auto" w:fill="auto"/>
            <w:noWrap/>
            <w:vAlign w:val="center"/>
            <w:hideMark/>
          </w:tcPr>
          <w:p w14:paraId="36BDBD00"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2C632BA1" w14:textId="77777777" w:rsidTr="00D74089">
        <w:trPr>
          <w:trHeight w:val="144"/>
        </w:trPr>
        <w:tc>
          <w:tcPr>
            <w:tcW w:w="7105" w:type="dxa"/>
            <w:tcBorders>
              <w:top w:val="nil"/>
              <w:left w:val="single" w:sz="4" w:space="0" w:color="auto"/>
              <w:bottom w:val="dashSmallGap" w:sz="4" w:space="0" w:color="auto"/>
              <w:right w:val="single" w:sz="4" w:space="0" w:color="auto"/>
            </w:tcBorders>
            <w:shd w:val="clear" w:color="auto" w:fill="auto"/>
            <w:noWrap/>
            <w:vAlign w:val="center"/>
            <w:hideMark/>
          </w:tcPr>
          <w:p w14:paraId="68F7EAA1"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Number of days in previous week traveling by Walking</w:t>
            </w:r>
          </w:p>
        </w:tc>
        <w:tc>
          <w:tcPr>
            <w:tcW w:w="1149" w:type="dxa"/>
            <w:tcBorders>
              <w:top w:val="nil"/>
              <w:left w:val="nil"/>
              <w:bottom w:val="dashSmallGap" w:sz="4" w:space="0" w:color="auto"/>
              <w:right w:val="nil"/>
            </w:tcBorders>
            <w:shd w:val="clear" w:color="auto" w:fill="auto"/>
            <w:noWrap/>
            <w:vAlign w:val="bottom"/>
            <w:hideMark/>
          </w:tcPr>
          <w:p w14:paraId="09F1167B" w14:textId="4414F74F" w:rsidR="0058240A" w:rsidRPr="000B6FD6" w:rsidRDefault="0058240A" w:rsidP="0058240A">
            <w:pPr>
              <w:tabs>
                <w:tab w:val="decimal" w:pos="344"/>
              </w:tabs>
              <w:spacing w:after="0" w:line="240" w:lineRule="auto"/>
              <w:jc w:val="both"/>
              <w:rPr>
                <w:rFonts w:eastAsia="Times New Roman"/>
                <w:color w:val="000000"/>
                <w:sz w:val="20"/>
                <w:szCs w:val="20"/>
              </w:rPr>
            </w:pPr>
            <w:r w:rsidRPr="000B6FD6">
              <w:rPr>
                <w:color w:val="000000"/>
                <w:sz w:val="20"/>
                <w:szCs w:val="20"/>
              </w:rPr>
              <w:t>0.315</w:t>
            </w:r>
          </w:p>
        </w:tc>
        <w:tc>
          <w:tcPr>
            <w:tcW w:w="913" w:type="dxa"/>
            <w:tcBorders>
              <w:top w:val="nil"/>
              <w:left w:val="nil"/>
              <w:bottom w:val="dashSmallGap" w:sz="4" w:space="0" w:color="auto"/>
              <w:right w:val="single" w:sz="4" w:space="0" w:color="auto"/>
            </w:tcBorders>
            <w:shd w:val="clear" w:color="auto" w:fill="auto"/>
            <w:noWrap/>
            <w:vAlign w:val="bottom"/>
            <w:hideMark/>
          </w:tcPr>
          <w:p w14:paraId="00F8270F" w14:textId="5463A64E"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color w:val="000000"/>
                <w:sz w:val="20"/>
                <w:szCs w:val="20"/>
              </w:rPr>
              <w:t>10.629</w:t>
            </w:r>
          </w:p>
        </w:tc>
        <w:tc>
          <w:tcPr>
            <w:tcW w:w="1149" w:type="dxa"/>
            <w:tcBorders>
              <w:top w:val="nil"/>
              <w:left w:val="nil"/>
              <w:bottom w:val="dashSmallGap" w:sz="4" w:space="0" w:color="auto"/>
              <w:right w:val="nil"/>
            </w:tcBorders>
            <w:shd w:val="clear" w:color="auto" w:fill="auto"/>
            <w:noWrap/>
            <w:vAlign w:val="center"/>
            <w:hideMark/>
          </w:tcPr>
          <w:p w14:paraId="4AFF0AAB" w14:textId="38C1C069"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dashSmallGap" w:sz="4" w:space="0" w:color="auto"/>
              <w:right w:val="single" w:sz="4" w:space="0" w:color="auto"/>
            </w:tcBorders>
            <w:shd w:val="clear" w:color="auto" w:fill="auto"/>
            <w:noWrap/>
            <w:vAlign w:val="center"/>
            <w:hideMark/>
          </w:tcPr>
          <w:p w14:paraId="35492002"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dashSmallGap" w:sz="4" w:space="0" w:color="auto"/>
              <w:right w:val="nil"/>
            </w:tcBorders>
            <w:shd w:val="clear" w:color="auto" w:fill="auto"/>
            <w:noWrap/>
            <w:vAlign w:val="center"/>
            <w:hideMark/>
          </w:tcPr>
          <w:p w14:paraId="515DC285" w14:textId="7F422316"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dashSmallGap" w:sz="4" w:space="0" w:color="auto"/>
              <w:right w:val="single" w:sz="4" w:space="0" w:color="auto"/>
            </w:tcBorders>
            <w:shd w:val="clear" w:color="auto" w:fill="auto"/>
            <w:noWrap/>
            <w:vAlign w:val="center"/>
            <w:hideMark/>
          </w:tcPr>
          <w:p w14:paraId="14FC4156"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503EDBE2" w14:textId="77777777" w:rsidTr="00D74089">
        <w:trPr>
          <w:trHeight w:val="144"/>
        </w:trPr>
        <w:tc>
          <w:tcPr>
            <w:tcW w:w="7105" w:type="dxa"/>
            <w:tcBorders>
              <w:top w:val="dashSmallGap" w:sz="4" w:space="0" w:color="auto"/>
              <w:left w:val="single" w:sz="4" w:space="0" w:color="auto"/>
              <w:bottom w:val="nil"/>
              <w:right w:val="single" w:sz="4" w:space="0" w:color="auto"/>
            </w:tcBorders>
            <w:shd w:val="clear" w:color="auto" w:fill="auto"/>
            <w:noWrap/>
            <w:vAlign w:val="center"/>
            <w:hideMark/>
          </w:tcPr>
          <w:p w14:paraId="738D797B" w14:textId="77777777" w:rsidR="0058240A" w:rsidRPr="000B6FD6" w:rsidRDefault="0058240A" w:rsidP="0058240A">
            <w:pPr>
              <w:spacing w:after="0" w:line="240" w:lineRule="auto"/>
              <w:jc w:val="both"/>
              <w:rPr>
                <w:rFonts w:eastAsia="Times New Roman"/>
                <w:sz w:val="20"/>
                <w:szCs w:val="20"/>
              </w:rPr>
            </w:pPr>
            <w:r w:rsidRPr="000B6FD6">
              <w:rPr>
                <w:rFonts w:eastAsia="Times New Roman"/>
                <w:sz w:val="20"/>
                <w:szCs w:val="20"/>
              </w:rPr>
              <w:t>Apartment living doesn’t provide enough privacy</w:t>
            </w:r>
          </w:p>
        </w:tc>
        <w:tc>
          <w:tcPr>
            <w:tcW w:w="1149" w:type="dxa"/>
            <w:tcBorders>
              <w:top w:val="dashSmallGap" w:sz="4" w:space="0" w:color="auto"/>
              <w:left w:val="nil"/>
              <w:bottom w:val="nil"/>
              <w:right w:val="nil"/>
            </w:tcBorders>
            <w:shd w:val="clear" w:color="auto" w:fill="auto"/>
            <w:noWrap/>
            <w:vAlign w:val="center"/>
            <w:hideMark/>
          </w:tcPr>
          <w:p w14:paraId="157A5427" w14:textId="33254B2D"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dashSmallGap" w:sz="4" w:space="0" w:color="auto"/>
              <w:left w:val="nil"/>
              <w:bottom w:val="nil"/>
              <w:right w:val="single" w:sz="4" w:space="0" w:color="auto"/>
            </w:tcBorders>
            <w:shd w:val="clear" w:color="auto" w:fill="auto"/>
            <w:noWrap/>
            <w:vAlign w:val="center"/>
            <w:hideMark/>
          </w:tcPr>
          <w:p w14:paraId="10FB2860"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dashSmallGap" w:sz="4" w:space="0" w:color="auto"/>
              <w:left w:val="nil"/>
              <w:bottom w:val="nil"/>
              <w:right w:val="nil"/>
            </w:tcBorders>
            <w:shd w:val="clear" w:color="auto" w:fill="auto"/>
            <w:noWrap/>
            <w:vAlign w:val="bottom"/>
            <w:hideMark/>
          </w:tcPr>
          <w:p w14:paraId="0E4893F0" w14:textId="06E6A3CA"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color w:val="000000"/>
                <w:sz w:val="20"/>
                <w:szCs w:val="20"/>
              </w:rPr>
              <w:t>0.144</w:t>
            </w:r>
          </w:p>
        </w:tc>
        <w:tc>
          <w:tcPr>
            <w:tcW w:w="766" w:type="dxa"/>
            <w:tcBorders>
              <w:top w:val="dashSmallGap" w:sz="4" w:space="0" w:color="auto"/>
              <w:left w:val="nil"/>
              <w:bottom w:val="nil"/>
              <w:right w:val="single" w:sz="4" w:space="0" w:color="auto"/>
            </w:tcBorders>
            <w:shd w:val="clear" w:color="auto" w:fill="auto"/>
            <w:noWrap/>
            <w:vAlign w:val="bottom"/>
            <w:hideMark/>
          </w:tcPr>
          <w:p w14:paraId="11602659" w14:textId="26FE9401"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color w:val="000000"/>
                <w:sz w:val="20"/>
                <w:szCs w:val="20"/>
              </w:rPr>
              <w:t>5.541</w:t>
            </w:r>
          </w:p>
        </w:tc>
        <w:tc>
          <w:tcPr>
            <w:tcW w:w="1149" w:type="dxa"/>
            <w:tcBorders>
              <w:top w:val="dashSmallGap" w:sz="4" w:space="0" w:color="auto"/>
              <w:left w:val="nil"/>
              <w:bottom w:val="nil"/>
              <w:right w:val="nil"/>
            </w:tcBorders>
            <w:shd w:val="clear" w:color="auto" w:fill="auto"/>
            <w:noWrap/>
            <w:vAlign w:val="center"/>
            <w:hideMark/>
          </w:tcPr>
          <w:p w14:paraId="30ABD4BD" w14:textId="2748F9FB"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dashSmallGap" w:sz="4" w:space="0" w:color="auto"/>
              <w:left w:val="nil"/>
              <w:bottom w:val="nil"/>
              <w:right w:val="single" w:sz="4" w:space="0" w:color="auto"/>
            </w:tcBorders>
            <w:shd w:val="clear" w:color="auto" w:fill="auto"/>
            <w:noWrap/>
            <w:vAlign w:val="center"/>
            <w:hideMark/>
          </w:tcPr>
          <w:p w14:paraId="4B0D172C"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45A70A7D" w14:textId="77777777" w:rsidTr="00D74089">
        <w:trPr>
          <w:trHeight w:val="144"/>
        </w:trPr>
        <w:tc>
          <w:tcPr>
            <w:tcW w:w="7105" w:type="dxa"/>
            <w:tcBorders>
              <w:top w:val="nil"/>
              <w:left w:val="single" w:sz="4" w:space="0" w:color="auto"/>
              <w:right w:val="single" w:sz="4" w:space="0" w:color="auto"/>
            </w:tcBorders>
            <w:shd w:val="clear" w:color="auto" w:fill="auto"/>
            <w:noWrap/>
            <w:vAlign w:val="center"/>
            <w:hideMark/>
          </w:tcPr>
          <w:p w14:paraId="16865255" w14:textId="77777777" w:rsidR="0058240A" w:rsidRPr="000B6FD6" w:rsidRDefault="0058240A" w:rsidP="0058240A">
            <w:pPr>
              <w:spacing w:after="0" w:line="240" w:lineRule="auto"/>
              <w:jc w:val="both"/>
              <w:rPr>
                <w:rFonts w:eastAsia="Times New Roman"/>
                <w:sz w:val="20"/>
                <w:szCs w:val="20"/>
              </w:rPr>
            </w:pPr>
            <w:r w:rsidRPr="000B6FD6">
              <w:rPr>
                <w:rFonts w:eastAsia="Times New Roman"/>
                <w:sz w:val="20"/>
                <w:szCs w:val="20"/>
              </w:rPr>
              <w:t>I like to have a yard at home</w:t>
            </w:r>
          </w:p>
        </w:tc>
        <w:tc>
          <w:tcPr>
            <w:tcW w:w="1149" w:type="dxa"/>
            <w:tcBorders>
              <w:top w:val="nil"/>
              <w:left w:val="nil"/>
              <w:right w:val="nil"/>
            </w:tcBorders>
            <w:shd w:val="clear" w:color="auto" w:fill="auto"/>
            <w:noWrap/>
            <w:vAlign w:val="center"/>
            <w:hideMark/>
          </w:tcPr>
          <w:p w14:paraId="3A114991" w14:textId="5EDF2F45"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right w:val="single" w:sz="4" w:space="0" w:color="auto"/>
            </w:tcBorders>
            <w:shd w:val="clear" w:color="auto" w:fill="auto"/>
            <w:noWrap/>
            <w:vAlign w:val="center"/>
            <w:hideMark/>
          </w:tcPr>
          <w:p w14:paraId="44400C7A"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right w:val="nil"/>
            </w:tcBorders>
            <w:shd w:val="clear" w:color="auto" w:fill="auto"/>
            <w:noWrap/>
            <w:vAlign w:val="bottom"/>
            <w:hideMark/>
          </w:tcPr>
          <w:p w14:paraId="682B8520" w14:textId="56AF5632"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color w:val="000000"/>
                <w:sz w:val="20"/>
                <w:szCs w:val="20"/>
              </w:rPr>
              <w:t>0.251</w:t>
            </w:r>
          </w:p>
        </w:tc>
        <w:tc>
          <w:tcPr>
            <w:tcW w:w="766" w:type="dxa"/>
            <w:tcBorders>
              <w:top w:val="nil"/>
              <w:left w:val="nil"/>
              <w:right w:val="single" w:sz="4" w:space="0" w:color="auto"/>
            </w:tcBorders>
            <w:shd w:val="clear" w:color="auto" w:fill="auto"/>
            <w:noWrap/>
            <w:vAlign w:val="bottom"/>
            <w:hideMark/>
          </w:tcPr>
          <w:p w14:paraId="689F1089" w14:textId="2416859D"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color w:val="000000"/>
                <w:sz w:val="20"/>
                <w:szCs w:val="20"/>
              </w:rPr>
              <w:t>8.642</w:t>
            </w:r>
          </w:p>
        </w:tc>
        <w:tc>
          <w:tcPr>
            <w:tcW w:w="1149" w:type="dxa"/>
            <w:tcBorders>
              <w:top w:val="nil"/>
              <w:left w:val="nil"/>
              <w:right w:val="nil"/>
            </w:tcBorders>
            <w:shd w:val="clear" w:color="auto" w:fill="auto"/>
            <w:noWrap/>
            <w:vAlign w:val="center"/>
            <w:hideMark/>
          </w:tcPr>
          <w:p w14:paraId="394A57E6" w14:textId="35AAD6BE"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right w:val="single" w:sz="4" w:space="0" w:color="auto"/>
            </w:tcBorders>
            <w:shd w:val="clear" w:color="auto" w:fill="auto"/>
            <w:noWrap/>
            <w:vAlign w:val="center"/>
            <w:hideMark/>
          </w:tcPr>
          <w:p w14:paraId="741ADD41"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014761F7" w14:textId="77777777" w:rsidTr="00D74089">
        <w:trPr>
          <w:trHeight w:val="144"/>
        </w:trPr>
        <w:tc>
          <w:tcPr>
            <w:tcW w:w="7105" w:type="dxa"/>
            <w:tcBorders>
              <w:top w:val="nil"/>
              <w:left w:val="single" w:sz="4" w:space="0" w:color="auto"/>
              <w:bottom w:val="dashSmallGap" w:sz="4" w:space="0" w:color="auto"/>
              <w:right w:val="single" w:sz="4" w:space="0" w:color="auto"/>
            </w:tcBorders>
            <w:shd w:val="clear" w:color="auto" w:fill="auto"/>
            <w:noWrap/>
            <w:vAlign w:val="center"/>
            <w:hideMark/>
          </w:tcPr>
          <w:p w14:paraId="344A2B43"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Number of household vehicles</w:t>
            </w:r>
          </w:p>
        </w:tc>
        <w:tc>
          <w:tcPr>
            <w:tcW w:w="1149" w:type="dxa"/>
            <w:tcBorders>
              <w:top w:val="nil"/>
              <w:left w:val="nil"/>
              <w:bottom w:val="dashSmallGap" w:sz="4" w:space="0" w:color="auto"/>
              <w:right w:val="nil"/>
            </w:tcBorders>
            <w:shd w:val="clear" w:color="auto" w:fill="auto"/>
            <w:noWrap/>
            <w:vAlign w:val="center"/>
            <w:hideMark/>
          </w:tcPr>
          <w:p w14:paraId="1C6A789E" w14:textId="07799895"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dashSmallGap" w:sz="4" w:space="0" w:color="auto"/>
              <w:right w:val="single" w:sz="4" w:space="0" w:color="auto"/>
            </w:tcBorders>
            <w:shd w:val="clear" w:color="auto" w:fill="auto"/>
            <w:noWrap/>
            <w:vAlign w:val="center"/>
            <w:hideMark/>
          </w:tcPr>
          <w:p w14:paraId="3BA1FF9E"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dashSmallGap" w:sz="4" w:space="0" w:color="auto"/>
              <w:right w:val="nil"/>
            </w:tcBorders>
            <w:shd w:val="clear" w:color="auto" w:fill="auto"/>
            <w:noWrap/>
            <w:vAlign w:val="bottom"/>
            <w:hideMark/>
          </w:tcPr>
          <w:p w14:paraId="50D82F68" w14:textId="0AC1BB60"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color w:val="000000"/>
                <w:sz w:val="20"/>
                <w:szCs w:val="20"/>
              </w:rPr>
              <w:t>0.622</w:t>
            </w:r>
          </w:p>
        </w:tc>
        <w:tc>
          <w:tcPr>
            <w:tcW w:w="766" w:type="dxa"/>
            <w:tcBorders>
              <w:top w:val="nil"/>
              <w:left w:val="nil"/>
              <w:bottom w:val="dashSmallGap" w:sz="4" w:space="0" w:color="auto"/>
              <w:right w:val="single" w:sz="4" w:space="0" w:color="auto"/>
            </w:tcBorders>
            <w:shd w:val="clear" w:color="auto" w:fill="auto"/>
            <w:noWrap/>
            <w:vAlign w:val="bottom"/>
            <w:hideMark/>
          </w:tcPr>
          <w:p w14:paraId="109F8EE9" w14:textId="773AC10C"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color w:val="000000"/>
                <w:sz w:val="20"/>
                <w:szCs w:val="20"/>
              </w:rPr>
              <w:t>10.436</w:t>
            </w:r>
          </w:p>
        </w:tc>
        <w:tc>
          <w:tcPr>
            <w:tcW w:w="1149" w:type="dxa"/>
            <w:tcBorders>
              <w:top w:val="nil"/>
              <w:left w:val="nil"/>
              <w:bottom w:val="dashSmallGap" w:sz="4" w:space="0" w:color="auto"/>
              <w:right w:val="nil"/>
            </w:tcBorders>
            <w:shd w:val="clear" w:color="auto" w:fill="auto"/>
            <w:noWrap/>
            <w:vAlign w:val="center"/>
            <w:hideMark/>
          </w:tcPr>
          <w:p w14:paraId="543A4A39" w14:textId="20D50F06" w:rsidR="0058240A" w:rsidRPr="000B6FD6" w:rsidRDefault="0058240A" w:rsidP="0058240A">
            <w:pPr>
              <w:tabs>
                <w:tab w:val="decimal" w:pos="323"/>
              </w:tabs>
              <w:spacing w:after="0" w:line="240" w:lineRule="auto"/>
              <w:jc w:val="center"/>
              <w:rPr>
                <w:rFonts w:eastAsia="Times New Roman"/>
                <w:color w:val="000000"/>
                <w:sz w:val="20"/>
                <w:szCs w:val="20"/>
              </w:rPr>
            </w:pPr>
            <w:r>
              <w:rPr>
                <w:rFonts w:eastAsia="Times New Roman"/>
                <w:color w:val="000000"/>
                <w:sz w:val="20"/>
                <w:szCs w:val="20"/>
              </w:rPr>
              <w:t>--</w:t>
            </w:r>
          </w:p>
        </w:tc>
        <w:tc>
          <w:tcPr>
            <w:tcW w:w="912" w:type="dxa"/>
            <w:gridSpan w:val="2"/>
            <w:tcBorders>
              <w:top w:val="nil"/>
              <w:left w:val="nil"/>
              <w:bottom w:val="dashSmallGap" w:sz="4" w:space="0" w:color="auto"/>
              <w:right w:val="single" w:sz="4" w:space="0" w:color="auto"/>
            </w:tcBorders>
            <w:shd w:val="clear" w:color="auto" w:fill="auto"/>
            <w:noWrap/>
            <w:vAlign w:val="center"/>
            <w:hideMark/>
          </w:tcPr>
          <w:p w14:paraId="5B3E54C8" w14:textId="77777777"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58240A" w:rsidRPr="000B6FD6" w14:paraId="62D20A8E" w14:textId="77777777" w:rsidTr="00D74089">
        <w:trPr>
          <w:trHeight w:val="144"/>
        </w:trPr>
        <w:tc>
          <w:tcPr>
            <w:tcW w:w="7105" w:type="dxa"/>
            <w:tcBorders>
              <w:top w:val="dashSmallGap" w:sz="4" w:space="0" w:color="auto"/>
              <w:left w:val="single" w:sz="4" w:space="0" w:color="auto"/>
              <w:bottom w:val="nil"/>
              <w:right w:val="single" w:sz="4" w:space="0" w:color="auto"/>
            </w:tcBorders>
            <w:shd w:val="clear" w:color="auto" w:fill="auto"/>
            <w:noWrap/>
            <w:vAlign w:val="center"/>
            <w:hideMark/>
          </w:tcPr>
          <w:p w14:paraId="2A85E406"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I like working from home</w:t>
            </w:r>
          </w:p>
        </w:tc>
        <w:tc>
          <w:tcPr>
            <w:tcW w:w="1149" w:type="dxa"/>
            <w:tcBorders>
              <w:top w:val="dashSmallGap" w:sz="4" w:space="0" w:color="auto"/>
              <w:left w:val="nil"/>
              <w:bottom w:val="nil"/>
              <w:right w:val="nil"/>
            </w:tcBorders>
            <w:shd w:val="clear" w:color="auto" w:fill="auto"/>
            <w:noWrap/>
            <w:vAlign w:val="center"/>
            <w:hideMark/>
          </w:tcPr>
          <w:p w14:paraId="6D8982DC" w14:textId="73D32D31"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dashSmallGap" w:sz="4" w:space="0" w:color="auto"/>
              <w:left w:val="nil"/>
              <w:bottom w:val="nil"/>
              <w:right w:val="single" w:sz="4" w:space="0" w:color="auto"/>
            </w:tcBorders>
            <w:shd w:val="clear" w:color="auto" w:fill="auto"/>
            <w:noWrap/>
            <w:vAlign w:val="center"/>
            <w:hideMark/>
          </w:tcPr>
          <w:p w14:paraId="4F6E1E9B"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dashSmallGap" w:sz="4" w:space="0" w:color="auto"/>
              <w:left w:val="nil"/>
              <w:bottom w:val="nil"/>
              <w:right w:val="nil"/>
            </w:tcBorders>
            <w:shd w:val="clear" w:color="auto" w:fill="auto"/>
            <w:noWrap/>
            <w:vAlign w:val="center"/>
            <w:hideMark/>
          </w:tcPr>
          <w:p w14:paraId="4E98F919" w14:textId="28AE193F"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dashSmallGap" w:sz="4" w:space="0" w:color="auto"/>
              <w:left w:val="nil"/>
              <w:bottom w:val="nil"/>
              <w:right w:val="single" w:sz="4" w:space="0" w:color="auto"/>
            </w:tcBorders>
            <w:shd w:val="clear" w:color="auto" w:fill="auto"/>
            <w:noWrap/>
            <w:vAlign w:val="center"/>
            <w:hideMark/>
          </w:tcPr>
          <w:p w14:paraId="5D991749"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dashSmallGap" w:sz="4" w:space="0" w:color="auto"/>
              <w:left w:val="nil"/>
              <w:bottom w:val="nil"/>
              <w:right w:val="nil"/>
            </w:tcBorders>
            <w:shd w:val="clear" w:color="auto" w:fill="auto"/>
            <w:noWrap/>
            <w:vAlign w:val="bottom"/>
            <w:hideMark/>
          </w:tcPr>
          <w:p w14:paraId="551F383D" w14:textId="7705EA60"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0.494</w:t>
            </w:r>
          </w:p>
        </w:tc>
        <w:tc>
          <w:tcPr>
            <w:tcW w:w="912" w:type="dxa"/>
            <w:gridSpan w:val="2"/>
            <w:tcBorders>
              <w:top w:val="dashSmallGap" w:sz="4" w:space="0" w:color="auto"/>
              <w:left w:val="nil"/>
              <w:bottom w:val="nil"/>
              <w:right w:val="single" w:sz="4" w:space="0" w:color="auto"/>
            </w:tcBorders>
            <w:shd w:val="clear" w:color="auto" w:fill="auto"/>
            <w:noWrap/>
            <w:vAlign w:val="bottom"/>
            <w:hideMark/>
          </w:tcPr>
          <w:p w14:paraId="29BD6B81" w14:textId="6CA85B99"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19.322</w:t>
            </w:r>
          </w:p>
        </w:tc>
      </w:tr>
      <w:tr w:rsidR="0058240A" w:rsidRPr="000B6FD6" w14:paraId="600B8F1E" w14:textId="77777777" w:rsidTr="00727DC4">
        <w:trPr>
          <w:trHeight w:val="144"/>
        </w:trPr>
        <w:tc>
          <w:tcPr>
            <w:tcW w:w="7105" w:type="dxa"/>
            <w:tcBorders>
              <w:top w:val="nil"/>
              <w:left w:val="single" w:sz="4" w:space="0" w:color="auto"/>
              <w:bottom w:val="nil"/>
              <w:right w:val="single" w:sz="4" w:space="0" w:color="auto"/>
            </w:tcBorders>
            <w:shd w:val="clear" w:color="auto" w:fill="auto"/>
            <w:noWrap/>
            <w:vAlign w:val="center"/>
            <w:hideMark/>
          </w:tcPr>
          <w:p w14:paraId="2EEBC97F" w14:textId="2DC06844"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How often would you want to work from home</w:t>
            </w:r>
          </w:p>
        </w:tc>
        <w:tc>
          <w:tcPr>
            <w:tcW w:w="1149" w:type="dxa"/>
            <w:tcBorders>
              <w:top w:val="nil"/>
              <w:left w:val="nil"/>
              <w:bottom w:val="nil"/>
              <w:right w:val="nil"/>
            </w:tcBorders>
            <w:shd w:val="clear" w:color="auto" w:fill="auto"/>
            <w:noWrap/>
            <w:vAlign w:val="center"/>
            <w:hideMark/>
          </w:tcPr>
          <w:p w14:paraId="269DD3CC" w14:textId="7E072995"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nil"/>
              <w:right w:val="single" w:sz="4" w:space="0" w:color="auto"/>
            </w:tcBorders>
            <w:shd w:val="clear" w:color="auto" w:fill="auto"/>
            <w:noWrap/>
            <w:vAlign w:val="center"/>
            <w:hideMark/>
          </w:tcPr>
          <w:p w14:paraId="0FD2F79A"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2B719528" w14:textId="3A0B44FA"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nil"/>
              <w:right w:val="single" w:sz="4" w:space="0" w:color="auto"/>
            </w:tcBorders>
            <w:shd w:val="clear" w:color="auto" w:fill="auto"/>
            <w:noWrap/>
            <w:vAlign w:val="center"/>
            <w:hideMark/>
          </w:tcPr>
          <w:p w14:paraId="3F73DA93"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bottom"/>
            <w:hideMark/>
          </w:tcPr>
          <w:p w14:paraId="5A951856" w14:textId="4B2F2F13"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0.730</w:t>
            </w:r>
          </w:p>
        </w:tc>
        <w:tc>
          <w:tcPr>
            <w:tcW w:w="912" w:type="dxa"/>
            <w:gridSpan w:val="2"/>
            <w:tcBorders>
              <w:top w:val="nil"/>
              <w:left w:val="nil"/>
              <w:bottom w:val="nil"/>
              <w:right w:val="single" w:sz="4" w:space="0" w:color="auto"/>
            </w:tcBorders>
            <w:shd w:val="clear" w:color="auto" w:fill="auto"/>
            <w:noWrap/>
            <w:vAlign w:val="bottom"/>
            <w:hideMark/>
          </w:tcPr>
          <w:p w14:paraId="24D37A67" w14:textId="35E4DAB8"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17.941</w:t>
            </w:r>
          </w:p>
        </w:tc>
      </w:tr>
      <w:tr w:rsidR="0058240A" w:rsidRPr="000B6FD6" w14:paraId="2D7FADAF" w14:textId="77777777" w:rsidTr="00727DC4">
        <w:trPr>
          <w:trHeight w:val="144"/>
        </w:trPr>
        <w:tc>
          <w:tcPr>
            <w:tcW w:w="7105" w:type="dxa"/>
            <w:tcBorders>
              <w:top w:val="nil"/>
              <w:left w:val="single" w:sz="4" w:space="0" w:color="auto"/>
              <w:bottom w:val="nil"/>
              <w:right w:val="single" w:sz="4" w:space="0" w:color="auto"/>
            </w:tcBorders>
            <w:shd w:val="clear" w:color="auto" w:fill="auto"/>
            <w:noWrap/>
            <w:vAlign w:val="center"/>
            <w:hideMark/>
          </w:tcPr>
          <w:p w14:paraId="367E599A"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Number of days with business meetings online</w:t>
            </w:r>
          </w:p>
        </w:tc>
        <w:tc>
          <w:tcPr>
            <w:tcW w:w="1149" w:type="dxa"/>
            <w:tcBorders>
              <w:top w:val="nil"/>
              <w:left w:val="nil"/>
              <w:bottom w:val="nil"/>
              <w:right w:val="nil"/>
            </w:tcBorders>
            <w:shd w:val="clear" w:color="auto" w:fill="auto"/>
            <w:noWrap/>
            <w:vAlign w:val="center"/>
            <w:hideMark/>
          </w:tcPr>
          <w:p w14:paraId="28402B69" w14:textId="0AE3D9CB"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nil"/>
              <w:right w:val="single" w:sz="4" w:space="0" w:color="auto"/>
            </w:tcBorders>
            <w:shd w:val="clear" w:color="auto" w:fill="auto"/>
            <w:noWrap/>
            <w:vAlign w:val="center"/>
            <w:hideMark/>
          </w:tcPr>
          <w:p w14:paraId="40CE130B"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center"/>
            <w:hideMark/>
          </w:tcPr>
          <w:p w14:paraId="3CBD53CE" w14:textId="5D620269"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nil"/>
              <w:right w:val="single" w:sz="4" w:space="0" w:color="auto"/>
            </w:tcBorders>
            <w:shd w:val="clear" w:color="auto" w:fill="auto"/>
            <w:noWrap/>
            <w:vAlign w:val="center"/>
            <w:hideMark/>
          </w:tcPr>
          <w:p w14:paraId="4644D243"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nil"/>
              <w:right w:val="nil"/>
            </w:tcBorders>
            <w:shd w:val="clear" w:color="auto" w:fill="auto"/>
            <w:noWrap/>
            <w:vAlign w:val="bottom"/>
            <w:hideMark/>
          </w:tcPr>
          <w:p w14:paraId="594338AB" w14:textId="622F4BE3"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0.639</w:t>
            </w:r>
          </w:p>
        </w:tc>
        <w:tc>
          <w:tcPr>
            <w:tcW w:w="912" w:type="dxa"/>
            <w:gridSpan w:val="2"/>
            <w:tcBorders>
              <w:top w:val="nil"/>
              <w:left w:val="nil"/>
              <w:bottom w:val="nil"/>
              <w:right w:val="single" w:sz="4" w:space="0" w:color="auto"/>
            </w:tcBorders>
            <w:shd w:val="clear" w:color="auto" w:fill="auto"/>
            <w:noWrap/>
            <w:vAlign w:val="bottom"/>
            <w:hideMark/>
          </w:tcPr>
          <w:p w14:paraId="02E1DA48" w14:textId="6740833F"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12.594</w:t>
            </w:r>
          </w:p>
        </w:tc>
      </w:tr>
      <w:tr w:rsidR="0058240A" w:rsidRPr="000B6FD6" w14:paraId="53BEFE6A" w14:textId="77777777" w:rsidTr="00727DC4">
        <w:trPr>
          <w:trHeight w:val="144"/>
        </w:trPr>
        <w:tc>
          <w:tcPr>
            <w:tcW w:w="7105" w:type="dxa"/>
            <w:tcBorders>
              <w:top w:val="nil"/>
              <w:left w:val="single" w:sz="4" w:space="0" w:color="auto"/>
              <w:bottom w:val="single" w:sz="4" w:space="0" w:color="auto"/>
              <w:right w:val="single" w:sz="4" w:space="0" w:color="auto"/>
            </w:tcBorders>
            <w:shd w:val="clear" w:color="auto" w:fill="auto"/>
            <w:noWrap/>
            <w:vAlign w:val="center"/>
            <w:hideMark/>
          </w:tcPr>
          <w:p w14:paraId="1636EEE4"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Number of days working from home</w:t>
            </w:r>
          </w:p>
        </w:tc>
        <w:tc>
          <w:tcPr>
            <w:tcW w:w="1149" w:type="dxa"/>
            <w:tcBorders>
              <w:top w:val="nil"/>
              <w:left w:val="nil"/>
              <w:bottom w:val="single" w:sz="4" w:space="0" w:color="auto"/>
              <w:right w:val="nil"/>
            </w:tcBorders>
            <w:shd w:val="clear" w:color="auto" w:fill="auto"/>
            <w:noWrap/>
            <w:vAlign w:val="center"/>
            <w:hideMark/>
          </w:tcPr>
          <w:p w14:paraId="547762EA" w14:textId="39B25E99"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single" w:sz="4" w:space="0" w:color="auto"/>
              <w:right w:val="single" w:sz="4" w:space="0" w:color="auto"/>
            </w:tcBorders>
            <w:shd w:val="clear" w:color="auto" w:fill="auto"/>
            <w:noWrap/>
            <w:vAlign w:val="center"/>
            <w:hideMark/>
          </w:tcPr>
          <w:p w14:paraId="031A8CCB"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single" w:sz="4" w:space="0" w:color="auto"/>
              <w:right w:val="nil"/>
            </w:tcBorders>
            <w:shd w:val="clear" w:color="auto" w:fill="auto"/>
            <w:noWrap/>
            <w:vAlign w:val="center"/>
            <w:hideMark/>
          </w:tcPr>
          <w:p w14:paraId="2C97FCCC" w14:textId="14035CF3"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5DC9E8AA" w14:textId="77777777"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single" w:sz="4" w:space="0" w:color="auto"/>
              <w:right w:val="nil"/>
            </w:tcBorders>
            <w:shd w:val="clear" w:color="auto" w:fill="auto"/>
            <w:noWrap/>
            <w:vAlign w:val="bottom"/>
            <w:hideMark/>
          </w:tcPr>
          <w:p w14:paraId="25EFA856" w14:textId="33BA8A4A"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0.818</w:t>
            </w:r>
          </w:p>
        </w:tc>
        <w:tc>
          <w:tcPr>
            <w:tcW w:w="912" w:type="dxa"/>
            <w:gridSpan w:val="2"/>
            <w:tcBorders>
              <w:top w:val="nil"/>
              <w:left w:val="nil"/>
              <w:bottom w:val="single" w:sz="4" w:space="0" w:color="auto"/>
              <w:right w:val="single" w:sz="4" w:space="0" w:color="auto"/>
            </w:tcBorders>
            <w:shd w:val="clear" w:color="auto" w:fill="auto"/>
            <w:noWrap/>
            <w:vAlign w:val="bottom"/>
            <w:hideMark/>
          </w:tcPr>
          <w:p w14:paraId="7619B844" w14:textId="4C8B0C9A"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14.038</w:t>
            </w:r>
          </w:p>
        </w:tc>
      </w:tr>
      <w:tr w:rsidR="0058240A" w:rsidRPr="000B6FD6" w14:paraId="156E2E52" w14:textId="77777777" w:rsidTr="00715CF8">
        <w:trPr>
          <w:trHeight w:val="144"/>
        </w:trPr>
        <w:tc>
          <w:tcPr>
            <w:tcW w:w="7105" w:type="dxa"/>
            <w:tcBorders>
              <w:top w:val="nil"/>
              <w:left w:val="single" w:sz="4" w:space="0" w:color="auto"/>
              <w:bottom w:val="single" w:sz="4" w:space="0" w:color="000000"/>
              <w:right w:val="nil"/>
            </w:tcBorders>
            <w:vAlign w:val="center"/>
            <w:hideMark/>
          </w:tcPr>
          <w:p w14:paraId="3A29FF8F" w14:textId="65C15D78" w:rsidR="0058240A" w:rsidRPr="000B6FD6" w:rsidRDefault="0058240A" w:rsidP="0058240A">
            <w:pPr>
              <w:spacing w:after="0" w:line="240" w:lineRule="auto"/>
              <w:jc w:val="both"/>
              <w:rPr>
                <w:rFonts w:eastAsia="Times New Roman"/>
                <w:b/>
                <w:bCs/>
                <w:color w:val="000000"/>
                <w:sz w:val="20"/>
                <w:szCs w:val="20"/>
              </w:rPr>
            </w:pPr>
            <w:r w:rsidRPr="000B6FD6">
              <w:rPr>
                <w:rFonts w:eastAsia="Times New Roman"/>
                <w:b/>
                <w:bCs/>
                <w:color w:val="000000"/>
                <w:sz w:val="20"/>
                <w:szCs w:val="20"/>
              </w:rPr>
              <w:t>Correlation between Latent Variables</w:t>
            </w:r>
          </w:p>
        </w:tc>
        <w:tc>
          <w:tcPr>
            <w:tcW w:w="1149" w:type="dxa"/>
            <w:tcBorders>
              <w:top w:val="nil"/>
              <w:left w:val="single" w:sz="4" w:space="0" w:color="auto"/>
              <w:bottom w:val="single" w:sz="4" w:space="0" w:color="auto"/>
              <w:right w:val="nil"/>
            </w:tcBorders>
            <w:shd w:val="clear" w:color="auto" w:fill="auto"/>
            <w:noWrap/>
            <w:vAlign w:val="center"/>
            <w:hideMark/>
          </w:tcPr>
          <w:p w14:paraId="783DF713" w14:textId="487488D6" w:rsidR="0058240A" w:rsidRPr="000B6FD6" w:rsidRDefault="0058240A" w:rsidP="0058240A">
            <w:pPr>
              <w:tabs>
                <w:tab w:val="decimal" w:pos="344"/>
              </w:tabs>
              <w:spacing w:after="0" w:line="240" w:lineRule="auto"/>
              <w:jc w:val="center"/>
              <w:rPr>
                <w:rFonts w:eastAsia="Times New Roman"/>
                <w:color w:val="000000"/>
                <w:sz w:val="20"/>
                <w:szCs w:val="20"/>
              </w:rPr>
            </w:pPr>
          </w:p>
        </w:tc>
        <w:tc>
          <w:tcPr>
            <w:tcW w:w="913" w:type="dxa"/>
            <w:tcBorders>
              <w:top w:val="nil"/>
              <w:left w:val="nil"/>
              <w:bottom w:val="single" w:sz="4" w:space="0" w:color="auto"/>
              <w:right w:val="single" w:sz="4" w:space="0" w:color="auto"/>
            </w:tcBorders>
            <w:shd w:val="clear" w:color="auto" w:fill="auto"/>
            <w:noWrap/>
            <w:vAlign w:val="center"/>
            <w:hideMark/>
          </w:tcPr>
          <w:p w14:paraId="7C3C83D8"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389ADDB2" w14:textId="77777777" w:rsidR="0058240A" w:rsidRPr="000B6FD6" w:rsidRDefault="0058240A" w:rsidP="0058240A">
            <w:pPr>
              <w:tabs>
                <w:tab w:val="decimal" w:pos="350"/>
              </w:tabs>
              <w:spacing w:after="0" w:line="240" w:lineRule="auto"/>
              <w:jc w:val="both"/>
              <w:rPr>
                <w:rFonts w:eastAsia="Times New Roman"/>
                <w:b/>
                <w:bCs/>
                <w:color w:val="000000"/>
                <w:sz w:val="20"/>
                <w:szCs w:val="20"/>
              </w:rPr>
            </w:pPr>
            <w:r w:rsidRPr="000B6FD6">
              <w:rPr>
                <w:rFonts w:eastAsia="Times New Roman"/>
                <w:b/>
                <w:bCs/>
                <w:color w:val="000000"/>
                <w:sz w:val="20"/>
                <w:szCs w:val="20"/>
              </w:rPr>
              <w:t>Coefficient</w:t>
            </w:r>
          </w:p>
        </w:tc>
        <w:tc>
          <w:tcPr>
            <w:tcW w:w="766" w:type="dxa"/>
            <w:tcBorders>
              <w:top w:val="nil"/>
              <w:left w:val="nil"/>
              <w:bottom w:val="single" w:sz="4" w:space="0" w:color="auto"/>
              <w:right w:val="single" w:sz="4" w:space="0" w:color="auto"/>
            </w:tcBorders>
            <w:shd w:val="clear" w:color="auto" w:fill="auto"/>
            <w:noWrap/>
            <w:vAlign w:val="center"/>
            <w:hideMark/>
          </w:tcPr>
          <w:p w14:paraId="2837C29E" w14:textId="77777777" w:rsidR="0058240A" w:rsidRPr="000B6FD6" w:rsidRDefault="0058240A" w:rsidP="0058240A">
            <w:pPr>
              <w:tabs>
                <w:tab w:val="decimal" w:pos="103"/>
              </w:tabs>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c>
          <w:tcPr>
            <w:tcW w:w="1149" w:type="dxa"/>
            <w:tcBorders>
              <w:top w:val="nil"/>
              <w:left w:val="nil"/>
              <w:bottom w:val="single" w:sz="4" w:space="0" w:color="auto"/>
              <w:right w:val="single" w:sz="4" w:space="0" w:color="auto"/>
            </w:tcBorders>
            <w:shd w:val="clear" w:color="auto" w:fill="auto"/>
            <w:noWrap/>
            <w:vAlign w:val="center"/>
            <w:hideMark/>
          </w:tcPr>
          <w:p w14:paraId="7E31EFC7" w14:textId="77777777" w:rsidR="0058240A" w:rsidRPr="000B6FD6" w:rsidRDefault="0058240A" w:rsidP="0058240A">
            <w:pPr>
              <w:tabs>
                <w:tab w:val="decimal" w:pos="323"/>
              </w:tabs>
              <w:spacing w:after="0" w:line="240" w:lineRule="auto"/>
              <w:jc w:val="both"/>
              <w:rPr>
                <w:rFonts w:eastAsia="Times New Roman"/>
                <w:b/>
                <w:bCs/>
                <w:color w:val="000000"/>
                <w:sz w:val="20"/>
                <w:szCs w:val="20"/>
              </w:rPr>
            </w:pPr>
            <w:r w:rsidRPr="000B6FD6">
              <w:rPr>
                <w:rFonts w:eastAsia="Times New Roman"/>
                <w:b/>
                <w:bCs/>
                <w:color w:val="000000"/>
                <w:sz w:val="20"/>
                <w:szCs w:val="20"/>
              </w:rPr>
              <w:t>Coefficient</w:t>
            </w:r>
          </w:p>
        </w:tc>
        <w:tc>
          <w:tcPr>
            <w:tcW w:w="912" w:type="dxa"/>
            <w:gridSpan w:val="2"/>
            <w:tcBorders>
              <w:top w:val="nil"/>
              <w:left w:val="nil"/>
              <w:bottom w:val="single" w:sz="4" w:space="0" w:color="auto"/>
              <w:right w:val="single" w:sz="4" w:space="0" w:color="auto"/>
            </w:tcBorders>
            <w:shd w:val="clear" w:color="auto" w:fill="auto"/>
            <w:noWrap/>
            <w:vAlign w:val="center"/>
            <w:hideMark/>
          </w:tcPr>
          <w:p w14:paraId="5CC890F7" w14:textId="77777777" w:rsidR="0058240A" w:rsidRPr="000B6FD6" w:rsidRDefault="0058240A" w:rsidP="0058240A">
            <w:pPr>
              <w:tabs>
                <w:tab w:val="decimal" w:pos="256"/>
              </w:tabs>
              <w:spacing w:after="0" w:line="240" w:lineRule="auto"/>
              <w:jc w:val="both"/>
              <w:rPr>
                <w:rFonts w:eastAsia="Times New Roman"/>
                <w:b/>
                <w:bCs/>
                <w:color w:val="000000"/>
                <w:sz w:val="20"/>
                <w:szCs w:val="20"/>
              </w:rPr>
            </w:pPr>
            <w:r w:rsidRPr="000B6FD6">
              <w:rPr>
                <w:rFonts w:eastAsia="Times New Roman"/>
                <w:b/>
                <w:bCs/>
                <w:color w:val="000000"/>
                <w:sz w:val="20"/>
                <w:szCs w:val="20"/>
              </w:rPr>
              <w:t>T-stat</w:t>
            </w:r>
          </w:p>
        </w:tc>
      </w:tr>
      <w:tr w:rsidR="0058240A" w:rsidRPr="000B6FD6" w14:paraId="582E7718" w14:textId="77777777" w:rsidTr="00727DC4">
        <w:trPr>
          <w:trHeight w:val="144"/>
        </w:trPr>
        <w:tc>
          <w:tcPr>
            <w:tcW w:w="7105" w:type="dxa"/>
            <w:tcBorders>
              <w:top w:val="nil"/>
              <w:left w:val="single" w:sz="4" w:space="0" w:color="auto"/>
              <w:right w:val="nil"/>
            </w:tcBorders>
            <w:shd w:val="clear" w:color="auto" w:fill="auto"/>
            <w:noWrap/>
            <w:vAlign w:val="center"/>
            <w:hideMark/>
          </w:tcPr>
          <w:p w14:paraId="3EF3CA6B" w14:textId="77777777" w:rsidR="0058240A" w:rsidRPr="000B6FD6" w:rsidRDefault="0058240A" w:rsidP="0058240A">
            <w:pPr>
              <w:spacing w:after="0" w:line="240" w:lineRule="auto"/>
              <w:jc w:val="both"/>
              <w:rPr>
                <w:rFonts w:eastAsia="Times New Roman"/>
                <w:b/>
                <w:bCs/>
                <w:color w:val="000000"/>
                <w:sz w:val="20"/>
                <w:szCs w:val="20"/>
              </w:rPr>
            </w:pPr>
            <w:r w:rsidRPr="000B6FD6">
              <w:rPr>
                <w:rFonts w:eastAsia="Times New Roman"/>
                <w:b/>
                <w:bCs/>
                <w:color w:val="000000"/>
                <w:sz w:val="20"/>
                <w:szCs w:val="20"/>
              </w:rPr>
              <w:t>Green Lifestyle</w:t>
            </w:r>
          </w:p>
        </w:tc>
        <w:tc>
          <w:tcPr>
            <w:tcW w:w="1149" w:type="dxa"/>
            <w:tcBorders>
              <w:top w:val="single" w:sz="4" w:space="0" w:color="auto"/>
              <w:left w:val="single" w:sz="4" w:space="0" w:color="auto"/>
              <w:right w:val="nil"/>
            </w:tcBorders>
            <w:shd w:val="clear" w:color="auto" w:fill="auto"/>
            <w:noWrap/>
            <w:vAlign w:val="center"/>
            <w:hideMark/>
          </w:tcPr>
          <w:p w14:paraId="29A9416A" w14:textId="1B5C8C06"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single" w:sz="4" w:space="0" w:color="auto"/>
              <w:left w:val="nil"/>
              <w:right w:val="single" w:sz="4" w:space="0" w:color="auto"/>
            </w:tcBorders>
            <w:shd w:val="clear" w:color="auto" w:fill="auto"/>
            <w:noWrap/>
            <w:vAlign w:val="center"/>
            <w:hideMark/>
          </w:tcPr>
          <w:p w14:paraId="5D3F517A"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right w:val="nil"/>
            </w:tcBorders>
            <w:shd w:val="clear" w:color="auto" w:fill="auto"/>
            <w:noWrap/>
            <w:vAlign w:val="bottom"/>
            <w:hideMark/>
          </w:tcPr>
          <w:p w14:paraId="6125AA95" w14:textId="37B15CBC" w:rsidR="0058240A" w:rsidRPr="000B6FD6" w:rsidRDefault="0058240A" w:rsidP="0058240A">
            <w:pPr>
              <w:tabs>
                <w:tab w:val="decimal" w:pos="350"/>
              </w:tabs>
              <w:spacing w:after="0" w:line="240" w:lineRule="auto"/>
              <w:jc w:val="both"/>
              <w:rPr>
                <w:rFonts w:eastAsia="Times New Roman"/>
                <w:color w:val="000000"/>
                <w:sz w:val="20"/>
                <w:szCs w:val="20"/>
              </w:rPr>
            </w:pPr>
            <w:r w:rsidRPr="000B6FD6">
              <w:rPr>
                <w:color w:val="000000"/>
                <w:sz w:val="20"/>
                <w:szCs w:val="20"/>
              </w:rPr>
              <w:t>-0.246</w:t>
            </w:r>
          </w:p>
        </w:tc>
        <w:tc>
          <w:tcPr>
            <w:tcW w:w="766" w:type="dxa"/>
            <w:tcBorders>
              <w:top w:val="nil"/>
              <w:left w:val="nil"/>
              <w:right w:val="single" w:sz="4" w:space="0" w:color="auto"/>
            </w:tcBorders>
            <w:shd w:val="clear" w:color="auto" w:fill="auto"/>
            <w:noWrap/>
            <w:vAlign w:val="bottom"/>
            <w:hideMark/>
          </w:tcPr>
          <w:p w14:paraId="7D0DFA3B" w14:textId="5C755821" w:rsidR="0058240A" w:rsidRPr="000B6FD6" w:rsidRDefault="0058240A" w:rsidP="0058240A">
            <w:pPr>
              <w:tabs>
                <w:tab w:val="decimal" w:pos="103"/>
              </w:tabs>
              <w:spacing w:after="0" w:line="240" w:lineRule="auto"/>
              <w:jc w:val="both"/>
              <w:rPr>
                <w:rFonts w:eastAsia="Times New Roman"/>
                <w:color w:val="000000"/>
                <w:sz w:val="20"/>
                <w:szCs w:val="20"/>
              </w:rPr>
            </w:pPr>
            <w:r w:rsidRPr="000B6FD6">
              <w:rPr>
                <w:color w:val="000000"/>
                <w:sz w:val="20"/>
                <w:szCs w:val="20"/>
              </w:rPr>
              <w:t>-7.261</w:t>
            </w:r>
          </w:p>
        </w:tc>
        <w:tc>
          <w:tcPr>
            <w:tcW w:w="1149" w:type="dxa"/>
            <w:tcBorders>
              <w:top w:val="nil"/>
              <w:left w:val="nil"/>
              <w:right w:val="nil"/>
            </w:tcBorders>
            <w:shd w:val="clear" w:color="auto" w:fill="auto"/>
            <w:noWrap/>
            <w:vAlign w:val="bottom"/>
            <w:hideMark/>
          </w:tcPr>
          <w:p w14:paraId="1C459D0D" w14:textId="7078EA7C"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0.158</w:t>
            </w:r>
          </w:p>
        </w:tc>
        <w:tc>
          <w:tcPr>
            <w:tcW w:w="912" w:type="dxa"/>
            <w:gridSpan w:val="2"/>
            <w:tcBorders>
              <w:top w:val="nil"/>
              <w:left w:val="nil"/>
              <w:right w:val="single" w:sz="4" w:space="0" w:color="auto"/>
            </w:tcBorders>
            <w:shd w:val="clear" w:color="auto" w:fill="auto"/>
            <w:noWrap/>
            <w:vAlign w:val="bottom"/>
            <w:hideMark/>
          </w:tcPr>
          <w:p w14:paraId="35A6B9B0" w14:textId="4B0F75A8"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4.237</w:t>
            </w:r>
          </w:p>
        </w:tc>
      </w:tr>
      <w:tr w:rsidR="0058240A" w:rsidRPr="000B6FD6" w14:paraId="3D2CFB23" w14:textId="77777777" w:rsidTr="00727DC4">
        <w:trPr>
          <w:trHeight w:val="144"/>
        </w:trPr>
        <w:tc>
          <w:tcPr>
            <w:tcW w:w="7105" w:type="dxa"/>
            <w:tcBorders>
              <w:top w:val="nil"/>
              <w:left w:val="single" w:sz="4" w:space="0" w:color="auto"/>
              <w:bottom w:val="single" w:sz="4" w:space="0" w:color="auto"/>
              <w:right w:val="nil"/>
            </w:tcBorders>
            <w:shd w:val="clear" w:color="auto" w:fill="auto"/>
            <w:noWrap/>
            <w:vAlign w:val="center"/>
            <w:hideMark/>
          </w:tcPr>
          <w:p w14:paraId="099BAB9D" w14:textId="77777777" w:rsidR="0058240A" w:rsidRPr="000B6FD6" w:rsidRDefault="0058240A" w:rsidP="0058240A">
            <w:pPr>
              <w:spacing w:after="0" w:line="240" w:lineRule="auto"/>
              <w:jc w:val="both"/>
              <w:rPr>
                <w:rFonts w:eastAsia="Times New Roman"/>
                <w:b/>
                <w:bCs/>
                <w:color w:val="000000"/>
                <w:sz w:val="20"/>
                <w:szCs w:val="20"/>
              </w:rPr>
            </w:pPr>
            <w:r w:rsidRPr="000B6FD6">
              <w:rPr>
                <w:rFonts w:eastAsia="Times New Roman"/>
                <w:b/>
                <w:bCs/>
                <w:color w:val="000000"/>
                <w:sz w:val="20"/>
                <w:szCs w:val="20"/>
              </w:rPr>
              <w:t>Luxury Lifestyle</w:t>
            </w:r>
          </w:p>
        </w:tc>
        <w:tc>
          <w:tcPr>
            <w:tcW w:w="1149" w:type="dxa"/>
            <w:tcBorders>
              <w:top w:val="nil"/>
              <w:left w:val="single" w:sz="4" w:space="0" w:color="auto"/>
              <w:bottom w:val="single" w:sz="4" w:space="0" w:color="auto"/>
              <w:right w:val="nil"/>
            </w:tcBorders>
            <w:shd w:val="clear" w:color="auto" w:fill="auto"/>
            <w:noWrap/>
            <w:vAlign w:val="center"/>
            <w:hideMark/>
          </w:tcPr>
          <w:p w14:paraId="34135BFC" w14:textId="79FDDEE2" w:rsidR="0058240A" w:rsidRPr="000B6FD6" w:rsidRDefault="0058240A" w:rsidP="0058240A">
            <w:pPr>
              <w:tabs>
                <w:tab w:val="decimal" w:pos="344"/>
              </w:tabs>
              <w:spacing w:after="0" w:line="240" w:lineRule="auto"/>
              <w:jc w:val="center"/>
              <w:rPr>
                <w:rFonts w:eastAsia="Times New Roman"/>
                <w:color w:val="000000"/>
                <w:sz w:val="20"/>
                <w:szCs w:val="20"/>
              </w:rPr>
            </w:pPr>
            <w:r>
              <w:rPr>
                <w:rFonts w:eastAsia="Times New Roman"/>
                <w:color w:val="000000"/>
                <w:sz w:val="20"/>
                <w:szCs w:val="20"/>
              </w:rPr>
              <w:t>--</w:t>
            </w:r>
          </w:p>
        </w:tc>
        <w:tc>
          <w:tcPr>
            <w:tcW w:w="913" w:type="dxa"/>
            <w:tcBorders>
              <w:top w:val="nil"/>
              <w:left w:val="nil"/>
              <w:bottom w:val="single" w:sz="4" w:space="0" w:color="auto"/>
              <w:right w:val="single" w:sz="4" w:space="0" w:color="auto"/>
            </w:tcBorders>
            <w:shd w:val="clear" w:color="auto" w:fill="auto"/>
            <w:noWrap/>
            <w:vAlign w:val="center"/>
            <w:hideMark/>
          </w:tcPr>
          <w:p w14:paraId="65BCA3FE" w14:textId="77777777" w:rsidR="0058240A" w:rsidRPr="000B6FD6" w:rsidRDefault="0058240A" w:rsidP="0058240A">
            <w:pPr>
              <w:tabs>
                <w:tab w:val="decimal" w:pos="17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single" w:sz="4" w:space="0" w:color="auto"/>
              <w:right w:val="nil"/>
            </w:tcBorders>
            <w:shd w:val="clear" w:color="auto" w:fill="auto"/>
            <w:noWrap/>
            <w:vAlign w:val="center"/>
            <w:hideMark/>
          </w:tcPr>
          <w:p w14:paraId="10EC3220" w14:textId="604CB663" w:rsidR="0058240A" w:rsidRPr="000B6FD6" w:rsidRDefault="0058240A" w:rsidP="0058240A">
            <w:pPr>
              <w:tabs>
                <w:tab w:val="decimal" w:pos="350"/>
              </w:tabs>
              <w:spacing w:after="0" w:line="240" w:lineRule="auto"/>
              <w:jc w:val="center"/>
              <w:rPr>
                <w:rFonts w:eastAsia="Times New Roman"/>
                <w:color w:val="000000"/>
                <w:sz w:val="20"/>
                <w:szCs w:val="20"/>
              </w:rPr>
            </w:pPr>
            <w:r>
              <w:rPr>
                <w:rFonts w:eastAsia="Times New Roman"/>
                <w:color w:val="000000"/>
                <w:sz w:val="20"/>
                <w:szCs w:val="20"/>
              </w:rPr>
              <w:t>--</w:t>
            </w:r>
          </w:p>
        </w:tc>
        <w:tc>
          <w:tcPr>
            <w:tcW w:w="766" w:type="dxa"/>
            <w:tcBorders>
              <w:top w:val="nil"/>
              <w:left w:val="nil"/>
              <w:bottom w:val="single" w:sz="4" w:space="0" w:color="auto"/>
              <w:right w:val="single" w:sz="4" w:space="0" w:color="auto"/>
            </w:tcBorders>
            <w:shd w:val="clear" w:color="auto" w:fill="auto"/>
            <w:noWrap/>
            <w:vAlign w:val="center"/>
            <w:hideMark/>
          </w:tcPr>
          <w:p w14:paraId="504BA9D9" w14:textId="77777777" w:rsidR="0058240A" w:rsidRPr="000B6FD6" w:rsidRDefault="0058240A" w:rsidP="0058240A">
            <w:pPr>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1149" w:type="dxa"/>
            <w:tcBorders>
              <w:top w:val="nil"/>
              <w:left w:val="nil"/>
              <w:bottom w:val="single" w:sz="4" w:space="0" w:color="auto"/>
              <w:right w:val="nil"/>
            </w:tcBorders>
            <w:shd w:val="clear" w:color="auto" w:fill="auto"/>
            <w:noWrap/>
            <w:vAlign w:val="bottom"/>
            <w:hideMark/>
          </w:tcPr>
          <w:p w14:paraId="01BFDAD4" w14:textId="31E9B635" w:rsidR="0058240A" w:rsidRPr="000B6FD6" w:rsidRDefault="0058240A" w:rsidP="0058240A">
            <w:pPr>
              <w:tabs>
                <w:tab w:val="decimal" w:pos="323"/>
              </w:tabs>
              <w:spacing w:after="0" w:line="240" w:lineRule="auto"/>
              <w:jc w:val="both"/>
              <w:rPr>
                <w:rFonts w:eastAsia="Times New Roman"/>
                <w:color w:val="000000"/>
                <w:sz w:val="20"/>
                <w:szCs w:val="20"/>
              </w:rPr>
            </w:pPr>
            <w:r w:rsidRPr="000B6FD6">
              <w:rPr>
                <w:color w:val="000000"/>
                <w:sz w:val="20"/>
                <w:szCs w:val="20"/>
              </w:rPr>
              <w:t>-0.150</w:t>
            </w:r>
          </w:p>
        </w:tc>
        <w:tc>
          <w:tcPr>
            <w:tcW w:w="912" w:type="dxa"/>
            <w:gridSpan w:val="2"/>
            <w:tcBorders>
              <w:top w:val="nil"/>
              <w:left w:val="nil"/>
              <w:bottom w:val="single" w:sz="4" w:space="0" w:color="auto"/>
              <w:right w:val="single" w:sz="4" w:space="0" w:color="auto"/>
            </w:tcBorders>
            <w:shd w:val="clear" w:color="auto" w:fill="auto"/>
            <w:noWrap/>
            <w:vAlign w:val="bottom"/>
            <w:hideMark/>
          </w:tcPr>
          <w:p w14:paraId="383AA732" w14:textId="0CA6DA84" w:rsidR="0058240A" w:rsidRPr="000B6FD6" w:rsidRDefault="0058240A" w:rsidP="0058240A">
            <w:pPr>
              <w:tabs>
                <w:tab w:val="decimal" w:pos="256"/>
              </w:tabs>
              <w:spacing w:after="0" w:line="240" w:lineRule="auto"/>
              <w:jc w:val="both"/>
              <w:rPr>
                <w:rFonts w:eastAsia="Times New Roman"/>
                <w:color w:val="000000"/>
                <w:sz w:val="20"/>
                <w:szCs w:val="20"/>
              </w:rPr>
            </w:pPr>
            <w:r w:rsidRPr="000B6FD6">
              <w:rPr>
                <w:color w:val="000000"/>
                <w:sz w:val="20"/>
                <w:szCs w:val="20"/>
              </w:rPr>
              <w:t>-2.895</w:t>
            </w:r>
          </w:p>
        </w:tc>
      </w:tr>
      <w:bookmarkEnd w:id="60"/>
    </w:tbl>
    <w:p w14:paraId="74A6000D" w14:textId="77777777" w:rsidR="00B47BF8" w:rsidRPr="009B2F97" w:rsidRDefault="00B47BF8" w:rsidP="000B6FD6">
      <w:pPr>
        <w:spacing w:line="240" w:lineRule="auto"/>
        <w:jc w:val="both"/>
      </w:pPr>
    </w:p>
    <w:p w14:paraId="140D2A72" w14:textId="040BE281" w:rsidR="003E671F" w:rsidRPr="009B2F97" w:rsidRDefault="003E671F" w:rsidP="000B6FD6">
      <w:pPr>
        <w:spacing w:line="240" w:lineRule="auto"/>
        <w:jc w:val="both"/>
      </w:pPr>
    </w:p>
    <w:p w14:paraId="5E9AF768" w14:textId="3CDF07A7" w:rsidR="00584169" w:rsidRPr="009B2F97" w:rsidRDefault="00584169" w:rsidP="000B6FD6">
      <w:pPr>
        <w:spacing w:line="240" w:lineRule="auto"/>
        <w:jc w:val="both"/>
        <w:rPr>
          <w:b/>
          <w:bCs/>
        </w:rPr>
      </w:pPr>
      <w:r w:rsidRPr="009B2F97">
        <w:rPr>
          <w:b/>
          <w:bCs/>
        </w:rPr>
        <w:lastRenderedPageBreak/>
        <w:t xml:space="preserve">Table </w:t>
      </w:r>
      <w:r w:rsidR="00890907" w:rsidRPr="009B2F97">
        <w:rPr>
          <w:b/>
          <w:bCs/>
        </w:rPr>
        <w:t>4</w:t>
      </w:r>
      <w:r w:rsidRPr="009B2F97">
        <w:rPr>
          <w:b/>
          <w:bCs/>
        </w:rPr>
        <w:t xml:space="preserve">: </w:t>
      </w:r>
      <w:bookmarkStart w:id="61" w:name="_Hlk148698542"/>
      <w:r w:rsidRPr="009B2F97">
        <w:rPr>
          <w:b/>
          <w:bCs/>
        </w:rPr>
        <w:t>Main Estimation Results</w:t>
      </w:r>
      <w:bookmarkEnd w:id="61"/>
    </w:p>
    <w:tbl>
      <w:tblPr>
        <w:tblW w:w="14369" w:type="dxa"/>
        <w:jc w:val="center"/>
        <w:tblCellMar>
          <w:left w:w="29" w:type="dxa"/>
          <w:right w:w="29" w:type="dxa"/>
        </w:tblCellMar>
        <w:tblLook w:val="04A0" w:firstRow="1" w:lastRow="0" w:firstColumn="1" w:lastColumn="0" w:noHBand="0" w:noVBand="1"/>
      </w:tblPr>
      <w:tblGrid>
        <w:gridCol w:w="3235"/>
        <w:gridCol w:w="564"/>
        <w:gridCol w:w="660"/>
        <w:gridCol w:w="564"/>
        <w:gridCol w:w="551"/>
        <w:gridCol w:w="564"/>
        <w:gridCol w:w="516"/>
        <w:gridCol w:w="610"/>
        <w:gridCol w:w="508"/>
        <w:gridCol w:w="574"/>
        <w:gridCol w:w="586"/>
        <w:gridCol w:w="580"/>
        <w:gridCol w:w="565"/>
        <w:gridCol w:w="600"/>
        <w:gridCol w:w="500"/>
        <w:gridCol w:w="600"/>
        <w:gridCol w:w="500"/>
        <w:gridCol w:w="580"/>
        <w:gridCol w:w="547"/>
        <w:gridCol w:w="564"/>
        <w:gridCol w:w="516"/>
      </w:tblGrid>
      <w:tr w:rsidR="00584169" w:rsidRPr="000B6FD6" w14:paraId="63C50193" w14:textId="77777777" w:rsidTr="00691B56">
        <w:trPr>
          <w:trHeight w:val="216"/>
          <w:jc w:val="center"/>
        </w:trPr>
        <w:tc>
          <w:tcPr>
            <w:tcW w:w="3235"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A1232A3" w14:textId="77777777" w:rsidR="00584169" w:rsidRPr="000B6FD6" w:rsidRDefault="00584169" w:rsidP="000B6FD6">
            <w:pPr>
              <w:spacing w:after="0" w:line="240" w:lineRule="auto"/>
              <w:jc w:val="both"/>
              <w:rPr>
                <w:rFonts w:eastAsia="Times New Roman"/>
                <w:b/>
                <w:bCs/>
                <w:sz w:val="20"/>
                <w:szCs w:val="20"/>
              </w:rPr>
            </w:pPr>
            <w:bookmarkStart w:id="62" w:name="_Hlk148698570"/>
            <w:r w:rsidRPr="000B6FD6">
              <w:rPr>
                <w:rFonts w:eastAsia="Times New Roman"/>
                <w:b/>
                <w:bCs/>
                <w:sz w:val="20"/>
                <w:szCs w:val="20"/>
              </w:rPr>
              <w:t>Variables (base)</w:t>
            </w:r>
          </w:p>
        </w:tc>
        <w:tc>
          <w:tcPr>
            <w:tcW w:w="1224" w:type="dxa"/>
            <w:gridSpan w:val="2"/>
            <w:tcBorders>
              <w:top w:val="single" w:sz="12" w:space="0" w:color="auto"/>
              <w:left w:val="single" w:sz="12" w:space="0" w:color="auto"/>
              <w:bottom w:val="single" w:sz="4" w:space="0" w:color="auto"/>
              <w:right w:val="single" w:sz="4" w:space="0" w:color="000000"/>
            </w:tcBorders>
            <w:shd w:val="clear" w:color="auto" w:fill="auto"/>
            <w:vAlign w:val="center"/>
            <w:hideMark/>
          </w:tcPr>
          <w:p w14:paraId="272D8510"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Housing Type: Apt. (single family)</w:t>
            </w:r>
          </w:p>
        </w:tc>
        <w:tc>
          <w:tcPr>
            <w:tcW w:w="1080" w:type="dxa"/>
            <w:gridSpan w:val="2"/>
            <w:tcBorders>
              <w:top w:val="single" w:sz="12" w:space="0" w:color="auto"/>
              <w:left w:val="nil"/>
              <w:bottom w:val="single" w:sz="4" w:space="0" w:color="auto"/>
              <w:right w:val="nil"/>
            </w:tcBorders>
            <w:shd w:val="clear" w:color="auto" w:fill="auto"/>
            <w:vAlign w:val="center"/>
            <w:hideMark/>
          </w:tcPr>
          <w:p w14:paraId="18567561"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Tenure Type: Rent (own)</w:t>
            </w:r>
          </w:p>
        </w:tc>
        <w:tc>
          <w:tcPr>
            <w:tcW w:w="1080"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14:paraId="47E1D76A"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Presence of Patio or Yard</w:t>
            </w:r>
          </w:p>
        </w:tc>
        <w:tc>
          <w:tcPr>
            <w:tcW w:w="1118" w:type="dxa"/>
            <w:gridSpan w:val="2"/>
            <w:tcBorders>
              <w:top w:val="single" w:sz="12" w:space="0" w:color="auto"/>
              <w:left w:val="nil"/>
              <w:bottom w:val="single" w:sz="4" w:space="0" w:color="auto"/>
              <w:right w:val="nil"/>
            </w:tcBorders>
            <w:shd w:val="clear" w:color="auto" w:fill="auto"/>
            <w:noWrap/>
            <w:vAlign w:val="center"/>
            <w:hideMark/>
          </w:tcPr>
          <w:p w14:paraId="3E11DACB"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Number of Bedrooms</w:t>
            </w:r>
          </w:p>
        </w:tc>
        <w:tc>
          <w:tcPr>
            <w:tcW w:w="1160" w:type="dxa"/>
            <w:gridSpan w:val="2"/>
            <w:tcBorders>
              <w:top w:val="single" w:sz="12" w:space="0" w:color="auto"/>
              <w:left w:val="single" w:sz="4" w:space="0" w:color="auto"/>
              <w:bottom w:val="single" w:sz="4" w:space="0" w:color="auto"/>
              <w:right w:val="nil"/>
            </w:tcBorders>
            <w:shd w:val="clear" w:color="auto" w:fill="auto"/>
            <w:noWrap/>
            <w:vAlign w:val="center"/>
            <w:hideMark/>
          </w:tcPr>
          <w:p w14:paraId="4E037D0E"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Population Density</w:t>
            </w:r>
          </w:p>
        </w:tc>
        <w:tc>
          <w:tcPr>
            <w:tcW w:w="1100" w:type="dxa"/>
            <w:gridSpan w:val="2"/>
            <w:tcBorders>
              <w:top w:val="single" w:sz="12" w:space="0" w:color="auto"/>
              <w:left w:val="single" w:sz="4" w:space="0" w:color="auto"/>
              <w:bottom w:val="single" w:sz="4" w:space="0" w:color="auto"/>
              <w:right w:val="nil"/>
            </w:tcBorders>
            <w:shd w:val="clear" w:color="auto" w:fill="auto"/>
            <w:noWrap/>
            <w:vAlign w:val="center"/>
            <w:hideMark/>
          </w:tcPr>
          <w:p w14:paraId="76E15DB8"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Median Housing Cost</w:t>
            </w:r>
          </w:p>
        </w:tc>
        <w:tc>
          <w:tcPr>
            <w:tcW w:w="1100" w:type="dxa"/>
            <w:gridSpan w:val="2"/>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3ED561AB"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Amenities Rating</w:t>
            </w:r>
          </w:p>
        </w:tc>
        <w:tc>
          <w:tcPr>
            <w:tcW w:w="1100" w:type="dxa"/>
            <w:gridSpan w:val="2"/>
            <w:tcBorders>
              <w:top w:val="single" w:sz="12" w:space="0" w:color="auto"/>
              <w:left w:val="nil"/>
              <w:bottom w:val="single" w:sz="4" w:space="0" w:color="auto"/>
              <w:right w:val="nil"/>
            </w:tcBorders>
            <w:shd w:val="clear" w:color="auto" w:fill="auto"/>
            <w:noWrap/>
            <w:vAlign w:val="center"/>
            <w:hideMark/>
          </w:tcPr>
          <w:p w14:paraId="1B10A07C"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School Quality</w:t>
            </w:r>
          </w:p>
        </w:tc>
        <w:tc>
          <w:tcPr>
            <w:tcW w:w="1100" w:type="dxa"/>
            <w:gridSpan w:val="2"/>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67E973D6"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Crime Rate</w:t>
            </w:r>
          </w:p>
        </w:tc>
        <w:tc>
          <w:tcPr>
            <w:tcW w:w="1072" w:type="dxa"/>
            <w:gridSpan w:val="2"/>
            <w:tcBorders>
              <w:top w:val="single" w:sz="12" w:space="0" w:color="auto"/>
              <w:left w:val="nil"/>
              <w:bottom w:val="single" w:sz="4" w:space="0" w:color="auto"/>
              <w:right w:val="single" w:sz="12" w:space="0" w:color="auto"/>
            </w:tcBorders>
            <w:shd w:val="clear" w:color="auto" w:fill="auto"/>
            <w:vAlign w:val="center"/>
            <w:hideMark/>
          </w:tcPr>
          <w:p w14:paraId="020DBAD4" w14:textId="77777777" w:rsidR="00584169" w:rsidRPr="000B6FD6" w:rsidRDefault="00584169" w:rsidP="000B6FD6">
            <w:pPr>
              <w:spacing w:after="0" w:line="240" w:lineRule="auto"/>
              <w:jc w:val="center"/>
              <w:rPr>
                <w:rFonts w:eastAsia="Times New Roman"/>
                <w:b/>
                <w:bCs/>
                <w:sz w:val="20"/>
                <w:szCs w:val="20"/>
              </w:rPr>
            </w:pPr>
            <w:r w:rsidRPr="0064292D">
              <w:rPr>
                <w:rFonts w:eastAsia="Times New Roman"/>
                <w:b/>
                <w:bCs/>
                <w:sz w:val="20"/>
                <w:szCs w:val="20"/>
              </w:rPr>
              <w:t>Commute Distance</w:t>
            </w:r>
          </w:p>
        </w:tc>
      </w:tr>
      <w:tr w:rsidR="00584169" w:rsidRPr="000B6FD6" w14:paraId="72F02CF5" w14:textId="77777777" w:rsidTr="00691B56">
        <w:trPr>
          <w:trHeight w:val="216"/>
          <w:jc w:val="center"/>
        </w:trPr>
        <w:tc>
          <w:tcPr>
            <w:tcW w:w="3235" w:type="dxa"/>
            <w:vMerge/>
            <w:tcBorders>
              <w:top w:val="single" w:sz="4" w:space="0" w:color="000000"/>
              <w:left w:val="single" w:sz="12" w:space="0" w:color="auto"/>
              <w:bottom w:val="single" w:sz="12" w:space="0" w:color="auto"/>
              <w:right w:val="single" w:sz="12" w:space="0" w:color="auto"/>
            </w:tcBorders>
            <w:vAlign w:val="center"/>
            <w:hideMark/>
          </w:tcPr>
          <w:p w14:paraId="17DA44D7" w14:textId="77777777" w:rsidR="00584169" w:rsidRPr="000B6FD6" w:rsidRDefault="00584169" w:rsidP="000B6FD6">
            <w:pPr>
              <w:spacing w:after="0" w:line="240" w:lineRule="auto"/>
              <w:jc w:val="both"/>
              <w:rPr>
                <w:rFonts w:eastAsia="Times New Roman"/>
                <w:sz w:val="20"/>
                <w:szCs w:val="20"/>
              </w:rPr>
            </w:pPr>
          </w:p>
        </w:tc>
        <w:tc>
          <w:tcPr>
            <w:tcW w:w="564" w:type="dxa"/>
            <w:tcBorders>
              <w:top w:val="single" w:sz="4" w:space="0" w:color="auto"/>
              <w:left w:val="single" w:sz="12" w:space="0" w:color="auto"/>
              <w:bottom w:val="single" w:sz="12" w:space="0" w:color="auto"/>
              <w:right w:val="nil"/>
            </w:tcBorders>
            <w:shd w:val="clear" w:color="auto" w:fill="auto"/>
            <w:noWrap/>
            <w:vAlign w:val="center"/>
            <w:hideMark/>
          </w:tcPr>
          <w:p w14:paraId="2B8FADD2"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660" w:type="dxa"/>
            <w:tcBorders>
              <w:top w:val="single" w:sz="4" w:space="0" w:color="auto"/>
              <w:left w:val="nil"/>
              <w:bottom w:val="single" w:sz="12" w:space="0" w:color="auto"/>
              <w:right w:val="single" w:sz="4" w:space="0" w:color="auto"/>
            </w:tcBorders>
            <w:shd w:val="clear" w:color="auto" w:fill="auto"/>
            <w:noWrap/>
            <w:vAlign w:val="center"/>
            <w:hideMark/>
          </w:tcPr>
          <w:p w14:paraId="420C103B"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64" w:type="dxa"/>
            <w:tcBorders>
              <w:top w:val="single" w:sz="4" w:space="0" w:color="auto"/>
              <w:left w:val="nil"/>
              <w:bottom w:val="single" w:sz="12" w:space="0" w:color="auto"/>
              <w:right w:val="nil"/>
            </w:tcBorders>
            <w:shd w:val="clear" w:color="auto" w:fill="auto"/>
            <w:noWrap/>
            <w:vAlign w:val="center"/>
            <w:hideMark/>
          </w:tcPr>
          <w:p w14:paraId="63D77116"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16" w:type="dxa"/>
            <w:tcBorders>
              <w:top w:val="single" w:sz="4" w:space="0" w:color="auto"/>
              <w:left w:val="nil"/>
              <w:bottom w:val="single" w:sz="12" w:space="0" w:color="auto"/>
              <w:right w:val="single" w:sz="4" w:space="0" w:color="auto"/>
            </w:tcBorders>
            <w:shd w:val="clear" w:color="auto" w:fill="auto"/>
            <w:noWrap/>
            <w:vAlign w:val="center"/>
            <w:hideMark/>
          </w:tcPr>
          <w:p w14:paraId="5B1A4809"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64" w:type="dxa"/>
            <w:tcBorders>
              <w:top w:val="single" w:sz="4" w:space="0" w:color="auto"/>
              <w:left w:val="nil"/>
              <w:bottom w:val="single" w:sz="12" w:space="0" w:color="auto"/>
              <w:right w:val="nil"/>
            </w:tcBorders>
            <w:shd w:val="clear" w:color="auto" w:fill="auto"/>
            <w:noWrap/>
            <w:vAlign w:val="center"/>
            <w:hideMark/>
          </w:tcPr>
          <w:p w14:paraId="1A4A6274"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16" w:type="dxa"/>
            <w:tcBorders>
              <w:top w:val="single" w:sz="4" w:space="0" w:color="auto"/>
              <w:left w:val="nil"/>
              <w:bottom w:val="single" w:sz="12" w:space="0" w:color="auto"/>
              <w:right w:val="single" w:sz="4" w:space="0" w:color="auto"/>
            </w:tcBorders>
            <w:shd w:val="clear" w:color="auto" w:fill="auto"/>
            <w:noWrap/>
            <w:vAlign w:val="center"/>
            <w:hideMark/>
          </w:tcPr>
          <w:p w14:paraId="32AFC62C"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10" w:type="dxa"/>
            <w:tcBorders>
              <w:top w:val="single" w:sz="4" w:space="0" w:color="auto"/>
              <w:left w:val="nil"/>
              <w:bottom w:val="single" w:sz="12" w:space="0" w:color="auto"/>
              <w:right w:val="nil"/>
            </w:tcBorders>
            <w:shd w:val="clear" w:color="auto" w:fill="auto"/>
            <w:noWrap/>
            <w:vAlign w:val="center"/>
            <w:hideMark/>
          </w:tcPr>
          <w:p w14:paraId="1C524B25"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08" w:type="dxa"/>
            <w:tcBorders>
              <w:top w:val="single" w:sz="4" w:space="0" w:color="auto"/>
              <w:left w:val="nil"/>
              <w:bottom w:val="single" w:sz="12" w:space="0" w:color="auto"/>
              <w:right w:val="single" w:sz="4" w:space="0" w:color="auto"/>
            </w:tcBorders>
            <w:shd w:val="clear" w:color="auto" w:fill="auto"/>
            <w:noWrap/>
            <w:vAlign w:val="center"/>
            <w:hideMark/>
          </w:tcPr>
          <w:p w14:paraId="1C199705"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74" w:type="dxa"/>
            <w:tcBorders>
              <w:top w:val="single" w:sz="4" w:space="0" w:color="auto"/>
              <w:left w:val="nil"/>
              <w:bottom w:val="single" w:sz="12" w:space="0" w:color="auto"/>
              <w:right w:val="nil"/>
            </w:tcBorders>
            <w:shd w:val="clear" w:color="auto" w:fill="auto"/>
            <w:noWrap/>
            <w:vAlign w:val="center"/>
            <w:hideMark/>
          </w:tcPr>
          <w:p w14:paraId="1CC366B9"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86" w:type="dxa"/>
            <w:tcBorders>
              <w:top w:val="single" w:sz="4" w:space="0" w:color="auto"/>
              <w:left w:val="nil"/>
              <w:bottom w:val="single" w:sz="12" w:space="0" w:color="auto"/>
              <w:right w:val="single" w:sz="4" w:space="0" w:color="auto"/>
            </w:tcBorders>
            <w:shd w:val="clear" w:color="auto" w:fill="auto"/>
            <w:noWrap/>
            <w:vAlign w:val="center"/>
            <w:hideMark/>
          </w:tcPr>
          <w:p w14:paraId="0F487AC3"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80" w:type="dxa"/>
            <w:tcBorders>
              <w:top w:val="single" w:sz="4" w:space="0" w:color="auto"/>
              <w:left w:val="nil"/>
              <w:bottom w:val="single" w:sz="12" w:space="0" w:color="auto"/>
              <w:right w:val="nil"/>
            </w:tcBorders>
            <w:shd w:val="clear" w:color="auto" w:fill="auto"/>
            <w:noWrap/>
            <w:vAlign w:val="center"/>
            <w:hideMark/>
          </w:tcPr>
          <w:p w14:paraId="6A9A3D1D"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20" w:type="dxa"/>
            <w:tcBorders>
              <w:top w:val="single" w:sz="4" w:space="0" w:color="auto"/>
              <w:left w:val="nil"/>
              <w:bottom w:val="single" w:sz="12" w:space="0" w:color="auto"/>
              <w:right w:val="single" w:sz="4" w:space="0" w:color="auto"/>
            </w:tcBorders>
            <w:shd w:val="clear" w:color="auto" w:fill="auto"/>
            <w:noWrap/>
            <w:vAlign w:val="center"/>
            <w:hideMark/>
          </w:tcPr>
          <w:p w14:paraId="3A277D2B"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00" w:type="dxa"/>
            <w:tcBorders>
              <w:top w:val="single" w:sz="4" w:space="0" w:color="auto"/>
              <w:left w:val="nil"/>
              <w:bottom w:val="single" w:sz="12" w:space="0" w:color="auto"/>
              <w:right w:val="nil"/>
            </w:tcBorders>
            <w:shd w:val="clear" w:color="auto" w:fill="auto"/>
            <w:noWrap/>
            <w:vAlign w:val="center"/>
            <w:hideMark/>
          </w:tcPr>
          <w:p w14:paraId="17F9A939"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00" w:type="dxa"/>
            <w:tcBorders>
              <w:top w:val="single" w:sz="4" w:space="0" w:color="auto"/>
              <w:left w:val="nil"/>
              <w:bottom w:val="single" w:sz="12" w:space="0" w:color="auto"/>
              <w:right w:val="single" w:sz="4" w:space="0" w:color="auto"/>
            </w:tcBorders>
            <w:shd w:val="clear" w:color="auto" w:fill="auto"/>
            <w:noWrap/>
            <w:vAlign w:val="center"/>
            <w:hideMark/>
          </w:tcPr>
          <w:p w14:paraId="5FDDB7F0"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00" w:type="dxa"/>
            <w:tcBorders>
              <w:top w:val="single" w:sz="4" w:space="0" w:color="auto"/>
              <w:left w:val="nil"/>
              <w:bottom w:val="single" w:sz="12" w:space="0" w:color="auto"/>
              <w:right w:val="nil"/>
            </w:tcBorders>
            <w:shd w:val="clear" w:color="auto" w:fill="auto"/>
            <w:noWrap/>
            <w:vAlign w:val="center"/>
            <w:hideMark/>
          </w:tcPr>
          <w:p w14:paraId="57E64FEC"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00" w:type="dxa"/>
            <w:tcBorders>
              <w:top w:val="single" w:sz="4" w:space="0" w:color="auto"/>
              <w:left w:val="nil"/>
              <w:bottom w:val="single" w:sz="12" w:space="0" w:color="auto"/>
              <w:right w:val="single" w:sz="4" w:space="0" w:color="auto"/>
            </w:tcBorders>
            <w:shd w:val="clear" w:color="auto" w:fill="auto"/>
            <w:noWrap/>
            <w:vAlign w:val="center"/>
            <w:hideMark/>
          </w:tcPr>
          <w:p w14:paraId="3994F37E"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80" w:type="dxa"/>
            <w:tcBorders>
              <w:top w:val="single" w:sz="4" w:space="0" w:color="auto"/>
              <w:left w:val="nil"/>
              <w:bottom w:val="single" w:sz="12" w:space="0" w:color="auto"/>
              <w:right w:val="nil"/>
            </w:tcBorders>
            <w:shd w:val="clear" w:color="auto" w:fill="auto"/>
            <w:noWrap/>
            <w:vAlign w:val="center"/>
            <w:hideMark/>
          </w:tcPr>
          <w:p w14:paraId="224DEBB0"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20" w:type="dxa"/>
            <w:tcBorders>
              <w:top w:val="single" w:sz="4" w:space="0" w:color="auto"/>
              <w:left w:val="nil"/>
              <w:bottom w:val="single" w:sz="12" w:space="0" w:color="auto"/>
              <w:right w:val="single" w:sz="4" w:space="0" w:color="auto"/>
            </w:tcBorders>
            <w:shd w:val="clear" w:color="auto" w:fill="auto"/>
            <w:noWrap/>
            <w:vAlign w:val="center"/>
            <w:hideMark/>
          </w:tcPr>
          <w:p w14:paraId="22577A48"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64" w:type="dxa"/>
            <w:tcBorders>
              <w:top w:val="single" w:sz="4" w:space="0" w:color="auto"/>
              <w:left w:val="nil"/>
              <w:bottom w:val="single" w:sz="12" w:space="0" w:color="auto"/>
              <w:right w:val="nil"/>
            </w:tcBorders>
            <w:shd w:val="clear" w:color="auto" w:fill="auto"/>
            <w:noWrap/>
            <w:vAlign w:val="center"/>
            <w:hideMark/>
          </w:tcPr>
          <w:p w14:paraId="10FAF09B"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08" w:type="dxa"/>
            <w:tcBorders>
              <w:top w:val="single" w:sz="4" w:space="0" w:color="auto"/>
              <w:left w:val="nil"/>
              <w:bottom w:val="single" w:sz="12" w:space="0" w:color="auto"/>
              <w:right w:val="single" w:sz="12" w:space="0" w:color="auto"/>
            </w:tcBorders>
            <w:shd w:val="clear" w:color="auto" w:fill="auto"/>
            <w:noWrap/>
            <w:vAlign w:val="center"/>
            <w:hideMark/>
          </w:tcPr>
          <w:p w14:paraId="05ED12A0"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r>
      <w:tr w:rsidR="00584169" w:rsidRPr="000B6FD6" w14:paraId="5C04129D" w14:textId="77777777" w:rsidTr="00691B56">
        <w:trPr>
          <w:trHeight w:val="216"/>
          <w:jc w:val="center"/>
        </w:trPr>
        <w:tc>
          <w:tcPr>
            <w:tcW w:w="3235" w:type="dxa"/>
            <w:tcBorders>
              <w:top w:val="single" w:sz="12" w:space="0" w:color="auto"/>
              <w:left w:val="single" w:sz="12" w:space="0" w:color="auto"/>
              <w:bottom w:val="nil"/>
              <w:right w:val="single" w:sz="12" w:space="0" w:color="auto"/>
            </w:tcBorders>
            <w:shd w:val="clear" w:color="auto" w:fill="auto"/>
            <w:noWrap/>
            <w:vAlign w:val="bottom"/>
            <w:hideMark/>
          </w:tcPr>
          <w:p w14:paraId="02F9B2FC" w14:textId="77777777" w:rsidR="00584169" w:rsidRPr="000B6FD6" w:rsidRDefault="00584169" w:rsidP="000B6FD6">
            <w:pPr>
              <w:spacing w:after="0" w:line="240" w:lineRule="auto"/>
              <w:jc w:val="both"/>
              <w:rPr>
                <w:rFonts w:eastAsia="Times New Roman"/>
                <w:b/>
                <w:bCs/>
                <w:sz w:val="20"/>
                <w:szCs w:val="20"/>
              </w:rPr>
            </w:pPr>
            <w:r w:rsidRPr="000B6FD6">
              <w:rPr>
                <w:rFonts w:eastAsia="Times New Roman"/>
                <w:b/>
                <w:bCs/>
                <w:sz w:val="20"/>
                <w:szCs w:val="20"/>
              </w:rPr>
              <w:t>Latent Constructs</w:t>
            </w:r>
          </w:p>
        </w:tc>
        <w:tc>
          <w:tcPr>
            <w:tcW w:w="564" w:type="dxa"/>
            <w:tcBorders>
              <w:top w:val="single" w:sz="12" w:space="0" w:color="auto"/>
              <w:left w:val="single" w:sz="12" w:space="0" w:color="auto"/>
              <w:bottom w:val="nil"/>
              <w:right w:val="nil"/>
            </w:tcBorders>
            <w:shd w:val="clear" w:color="auto" w:fill="auto"/>
            <w:noWrap/>
            <w:vAlign w:val="center"/>
            <w:hideMark/>
          </w:tcPr>
          <w:p w14:paraId="40542A50" w14:textId="77777777" w:rsidR="00584169" w:rsidRPr="000B6FD6" w:rsidRDefault="00584169" w:rsidP="000B6FD6">
            <w:pPr>
              <w:tabs>
                <w:tab w:val="decimal" w:pos="231"/>
              </w:tabs>
              <w:spacing w:after="0" w:line="240" w:lineRule="auto"/>
              <w:jc w:val="both"/>
              <w:rPr>
                <w:rFonts w:eastAsia="Times New Roman"/>
                <w:b/>
                <w:bCs/>
                <w:sz w:val="20"/>
                <w:szCs w:val="20"/>
              </w:rPr>
            </w:pPr>
          </w:p>
        </w:tc>
        <w:tc>
          <w:tcPr>
            <w:tcW w:w="660" w:type="dxa"/>
            <w:tcBorders>
              <w:top w:val="single" w:sz="12" w:space="0" w:color="auto"/>
              <w:left w:val="nil"/>
              <w:bottom w:val="nil"/>
              <w:right w:val="single" w:sz="4" w:space="0" w:color="auto"/>
            </w:tcBorders>
            <w:shd w:val="clear" w:color="auto" w:fill="auto"/>
            <w:noWrap/>
            <w:vAlign w:val="center"/>
            <w:hideMark/>
          </w:tcPr>
          <w:p w14:paraId="77E824D0"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single" w:sz="12" w:space="0" w:color="auto"/>
              <w:left w:val="nil"/>
              <w:bottom w:val="nil"/>
              <w:right w:val="nil"/>
            </w:tcBorders>
            <w:shd w:val="clear" w:color="auto" w:fill="auto"/>
            <w:noWrap/>
            <w:vAlign w:val="center"/>
            <w:hideMark/>
          </w:tcPr>
          <w:p w14:paraId="1FD94A08" w14:textId="77777777" w:rsidR="00584169" w:rsidRPr="000B6FD6" w:rsidRDefault="00584169" w:rsidP="000B6FD6">
            <w:pPr>
              <w:tabs>
                <w:tab w:val="decimal" w:pos="180"/>
              </w:tabs>
              <w:spacing w:after="0" w:line="240" w:lineRule="auto"/>
              <w:jc w:val="both"/>
              <w:rPr>
                <w:rFonts w:eastAsia="Times New Roman"/>
                <w:sz w:val="20"/>
                <w:szCs w:val="20"/>
              </w:rPr>
            </w:pPr>
          </w:p>
        </w:tc>
        <w:tc>
          <w:tcPr>
            <w:tcW w:w="516" w:type="dxa"/>
            <w:tcBorders>
              <w:top w:val="single" w:sz="12" w:space="0" w:color="auto"/>
              <w:left w:val="nil"/>
              <w:bottom w:val="nil"/>
              <w:right w:val="nil"/>
            </w:tcBorders>
            <w:shd w:val="clear" w:color="auto" w:fill="auto"/>
            <w:noWrap/>
            <w:vAlign w:val="center"/>
            <w:hideMark/>
          </w:tcPr>
          <w:p w14:paraId="6DF9E228"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single" w:sz="12" w:space="0" w:color="auto"/>
              <w:left w:val="single" w:sz="4" w:space="0" w:color="auto"/>
              <w:bottom w:val="nil"/>
              <w:right w:val="nil"/>
            </w:tcBorders>
            <w:shd w:val="clear" w:color="auto" w:fill="auto"/>
            <w:noWrap/>
            <w:vAlign w:val="center"/>
            <w:hideMark/>
          </w:tcPr>
          <w:p w14:paraId="2665FCCA"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16" w:type="dxa"/>
            <w:tcBorders>
              <w:top w:val="single" w:sz="12" w:space="0" w:color="auto"/>
              <w:left w:val="nil"/>
              <w:bottom w:val="nil"/>
              <w:right w:val="nil"/>
            </w:tcBorders>
            <w:shd w:val="clear" w:color="auto" w:fill="auto"/>
            <w:noWrap/>
            <w:vAlign w:val="center"/>
            <w:hideMark/>
          </w:tcPr>
          <w:p w14:paraId="319F865C" w14:textId="77777777" w:rsidR="00584169" w:rsidRPr="000B6FD6" w:rsidRDefault="00584169" w:rsidP="000B6FD6">
            <w:pPr>
              <w:tabs>
                <w:tab w:val="decimal" w:pos="120"/>
              </w:tabs>
              <w:spacing w:after="0" w:line="240" w:lineRule="auto"/>
              <w:jc w:val="both"/>
              <w:rPr>
                <w:rFonts w:eastAsia="Times New Roman"/>
                <w:sz w:val="20"/>
                <w:szCs w:val="20"/>
              </w:rPr>
            </w:pPr>
          </w:p>
        </w:tc>
        <w:tc>
          <w:tcPr>
            <w:tcW w:w="610" w:type="dxa"/>
            <w:tcBorders>
              <w:top w:val="single" w:sz="12" w:space="0" w:color="auto"/>
              <w:left w:val="single" w:sz="4" w:space="0" w:color="auto"/>
              <w:bottom w:val="nil"/>
              <w:right w:val="nil"/>
            </w:tcBorders>
            <w:shd w:val="clear" w:color="auto" w:fill="auto"/>
            <w:noWrap/>
            <w:vAlign w:val="center"/>
            <w:hideMark/>
          </w:tcPr>
          <w:p w14:paraId="4FF23B02"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08" w:type="dxa"/>
            <w:tcBorders>
              <w:top w:val="single" w:sz="12" w:space="0" w:color="auto"/>
              <w:left w:val="nil"/>
              <w:bottom w:val="nil"/>
              <w:right w:val="nil"/>
            </w:tcBorders>
            <w:shd w:val="clear" w:color="auto" w:fill="auto"/>
            <w:noWrap/>
            <w:vAlign w:val="center"/>
            <w:hideMark/>
          </w:tcPr>
          <w:p w14:paraId="1ACE8F6D"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single" w:sz="12" w:space="0" w:color="auto"/>
              <w:left w:val="single" w:sz="4" w:space="0" w:color="auto"/>
              <w:bottom w:val="nil"/>
              <w:right w:val="nil"/>
            </w:tcBorders>
            <w:shd w:val="clear" w:color="auto" w:fill="auto"/>
            <w:noWrap/>
            <w:vAlign w:val="center"/>
            <w:hideMark/>
          </w:tcPr>
          <w:p w14:paraId="0160F7F5"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single" w:sz="12" w:space="0" w:color="auto"/>
              <w:left w:val="nil"/>
              <w:bottom w:val="nil"/>
              <w:right w:val="nil"/>
            </w:tcBorders>
            <w:shd w:val="clear" w:color="auto" w:fill="auto"/>
            <w:noWrap/>
            <w:vAlign w:val="center"/>
            <w:hideMark/>
          </w:tcPr>
          <w:p w14:paraId="00151DB1" w14:textId="77777777" w:rsidR="00584169" w:rsidRPr="000B6FD6" w:rsidRDefault="00584169" w:rsidP="000B6FD6">
            <w:pPr>
              <w:tabs>
                <w:tab w:val="decimal" w:pos="247"/>
              </w:tabs>
              <w:spacing w:after="0" w:line="240" w:lineRule="auto"/>
              <w:jc w:val="both"/>
              <w:rPr>
                <w:rFonts w:eastAsia="Times New Roman"/>
                <w:sz w:val="20"/>
                <w:szCs w:val="20"/>
              </w:rPr>
            </w:pPr>
          </w:p>
        </w:tc>
        <w:tc>
          <w:tcPr>
            <w:tcW w:w="580" w:type="dxa"/>
            <w:tcBorders>
              <w:top w:val="single" w:sz="12" w:space="0" w:color="auto"/>
              <w:left w:val="single" w:sz="4" w:space="0" w:color="auto"/>
              <w:bottom w:val="nil"/>
              <w:right w:val="nil"/>
            </w:tcBorders>
            <w:shd w:val="clear" w:color="auto" w:fill="auto"/>
            <w:noWrap/>
            <w:vAlign w:val="center"/>
            <w:hideMark/>
          </w:tcPr>
          <w:p w14:paraId="4520BECE"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single" w:sz="12" w:space="0" w:color="auto"/>
              <w:left w:val="nil"/>
              <w:bottom w:val="nil"/>
              <w:right w:val="nil"/>
            </w:tcBorders>
            <w:shd w:val="clear" w:color="auto" w:fill="auto"/>
            <w:noWrap/>
            <w:vAlign w:val="center"/>
            <w:hideMark/>
          </w:tcPr>
          <w:p w14:paraId="1444D052"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2EF8A132" w14:textId="77777777"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single" w:sz="12" w:space="0" w:color="auto"/>
              <w:left w:val="nil"/>
              <w:bottom w:val="nil"/>
              <w:right w:val="single" w:sz="4" w:space="0" w:color="auto"/>
            </w:tcBorders>
            <w:shd w:val="clear" w:color="auto" w:fill="auto"/>
            <w:noWrap/>
            <w:vAlign w:val="center"/>
            <w:hideMark/>
          </w:tcPr>
          <w:p w14:paraId="134CD8FA"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single" w:sz="12" w:space="0" w:color="auto"/>
              <w:left w:val="nil"/>
              <w:bottom w:val="nil"/>
              <w:right w:val="nil"/>
            </w:tcBorders>
            <w:shd w:val="clear" w:color="auto" w:fill="auto"/>
            <w:noWrap/>
            <w:vAlign w:val="center"/>
            <w:hideMark/>
          </w:tcPr>
          <w:p w14:paraId="062CB22F"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single" w:sz="12" w:space="0" w:color="auto"/>
              <w:left w:val="nil"/>
              <w:bottom w:val="nil"/>
              <w:right w:val="nil"/>
            </w:tcBorders>
            <w:shd w:val="clear" w:color="auto" w:fill="auto"/>
            <w:noWrap/>
            <w:vAlign w:val="center"/>
            <w:hideMark/>
          </w:tcPr>
          <w:p w14:paraId="7BBC73DC"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single" w:sz="12" w:space="0" w:color="auto"/>
              <w:left w:val="single" w:sz="4" w:space="0" w:color="auto"/>
              <w:bottom w:val="nil"/>
              <w:right w:val="nil"/>
            </w:tcBorders>
            <w:shd w:val="clear" w:color="auto" w:fill="auto"/>
            <w:noWrap/>
            <w:vAlign w:val="center"/>
            <w:hideMark/>
          </w:tcPr>
          <w:p w14:paraId="07B5C75F"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single" w:sz="12" w:space="0" w:color="auto"/>
              <w:left w:val="nil"/>
              <w:bottom w:val="nil"/>
              <w:right w:val="single" w:sz="4" w:space="0" w:color="auto"/>
            </w:tcBorders>
            <w:shd w:val="clear" w:color="auto" w:fill="auto"/>
            <w:noWrap/>
            <w:vAlign w:val="center"/>
            <w:hideMark/>
          </w:tcPr>
          <w:p w14:paraId="63AE3225"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single" w:sz="12" w:space="0" w:color="auto"/>
              <w:left w:val="nil"/>
              <w:bottom w:val="nil"/>
              <w:right w:val="nil"/>
            </w:tcBorders>
            <w:shd w:val="clear" w:color="auto" w:fill="auto"/>
            <w:noWrap/>
            <w:vAlign w:val="center"/>
            <w:hideMark/>
          </w:tcPr>
          <w:p w14:paraId="2CC69CD8" w14:textId="77777777" w:rsidR="00584169" w:rsidRPr="000B6FD6" w:rsidRDefault="00584169" w:rsidP="000B6FD6">
            <w:pPr>
              <w:tabs>
                <w:tab w:val="decimal" w:pos="232"/>
              </w:tabs>
              <w:spacing w:after="0" w:line="240" w:lineRule="auto"/>
              <w:jc w:val="both"/>
              <w:rPr>
                <w:rFonts w:eastAsia="Times New Roman"/>
                <w:sz w:val="20"/>
                <w:szCs w:val="20"/>
              </w:rPr>
            </w:pPr>
            <w:r w:rsidRPr="000B6FD6">
              <w:rPr>
                <w:rFonts w:eastAsia="Times New Roman"/>
                <w:sz w:val="20"/>
                <w:szCs w:val="20"/>
              </w:rPr>
              <w:t> </w:t>
            </w:r>
          </w:p>
        </w:tc>
        <w:tc>
          <w:tcPr>
            <w:tcW w:w="508" w:type="dxa"/>
            <w:tcBorders>
              <w:top w:val="single" w:sz="12" w:space="0" w:color="auto"/>
              <w:left w:val="nil"/>
              <w:bottom w:val="nil"/>
              <w:right w:val="single" w:sz="12" w:space="0" w:color="auto"/>
            </w:tcBorders>
            <w:shd w:val="clear" w:color="auto" w:fill="auto"/>
            <w:noWrap/>
            <w:vAlign w:val="center"/>
            <w:hideMark/>
          </w:tcPr>
          <w:p w14:paraId="5A7BD76B" w14:textId="77777777" w:rsidR="00584169" w:rsidRPr="000B6FD6" w:rsidRDefault="00584169" w:rsidP="000B6FD6">
            <w:pPr>
              <w:tabs>
                <w:tab w:val="decimal" w:pos="208"/>
              </w:tabs>
              <w:spacing w:after="0" w:line="240" w:lineRule="auto"/>
              <w:jc w:val="both"/>
              <w:rPr>
                <w:rFonts w:eastAsia="Times New Roman"/>
                <w:sz w:val="20"/>
                <w:szCs w:val="20"/>
              </w:rPr>
            </w:pPr>
            <w:r w:rsidRPr="000B6FD6">
              <w:rPr>
                <w:rFonts w:eastAsia="Times New Roman"/>
                <w:sz w:val="20"/>
                <w:szCs w:val="20"/>
              </w:rPr>
              <w:t> </w:t>
            </w:r>
          </w:p>
        </w:tc>
      </w:tr>
      <w:tr w:rsidR="00C56280" w:rsidRPr="000B6FD6" w14:paraId="7A75806E"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234AFCB6" w14:textId="6B1C8E1F" w:rsidR="00C56280" w:rsidRPr="000B6FD6" w:rsidRDefault="00C56280" w:rsidP="000B6FD6">
            <w:pPr>
              <w:spacing w:after="0" w:line="240" w:lineRule="auto"/>
              <w:jc w:val="both"/>
              <w:rPr>
                <w:rFonts w:eastAsia="Times New Roman"/>
                <w:sz w:val="20"/>
                <w:szCs w:val="20"/>
              </w:rPr>
            </w:pPr>
            <w:r w:rsidRPr="000B6FD6">
              <w:rPr>
                <w:rFonts w:eastAsia="Times New Roman"/>
                <w:sz w:val="20"/>
                <w:szCs w:val="20"/>
              </w:rPr>
              <w:t>Green lifestyle</w:t>
            </w:r>
            <w:r w:rsidR="006201A6">
              <w:rPr>
                <w:rFonts w:eastAsia="Times New Roman"/>
                <w:sz w:val="20"/>
                <w:szCs w:val="20"/>
              </w:rPr>
              <w:t xml:space="preserve"> propensity</w:t>
            </w:r>
          </w:p>
        </w:tc>
        <w:tc>
          <w:tcPr>
            <w:tcW w:w="564" w:type="dxa"/>
            <w:tcBorders>
              <w:top w:val="nil"/>
              <w:left w:val="single" w:sz="12" w:space="0" w:color="auto"/>
              <w:bottom w:val="nil"/>
              <w:right w:val="nil"/>
            </w:tcBorders>
            <w:shd w:val="clear" w:color="auto" w:fill="auto"/>
            <w:noWrap/>
            <w:vAlign w:val="center"/>
            <w:hideMark/>
          </w:tcPr>
          <w:p w14:paraId="0ECD8645" w14:textId="1D14F4D2" w:rsidR="00C56280" w:rsidRPr="000B6FD6" w:rsidRDefault="0058240A" w:rsidP="0058240A">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7DA4C8B9" w14:textId="77777777" w:rsidR="00C56280" w:rsidRPr="000B6FD6" w:rsidRDefault="00C56280"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35B5623C" w14:textId="66F60C08" w:rsidR="00C56280" w:rsidRPr="000B6FD6" w:rsidRDefault="00C56280" w:rsidP="000B6FD6">
            <w:pPr>
              <w:tabs>
                <w:tab w:val="decimal" w:pos="180"/>
              </w:tabs>
              <w:spacing w:after="0" w:line="240" w:lineRule="auto"/>
              <w:jc w:val="both"/>
              <w:rPr>
                <w:rFonts w:eastAsia="Times New Roman"/>
                <w:sz w:val="20"/>
                <w:szCs w:val="20"/>
              </w:rPr>
            </w:pPr>
            <w:r w:rsidRPr="000B6FD6">
              <w:rPr>
                <w:color w:val="000000"/>
                <w:sz w:val="20"/>
                <w:szCs w:val="20"/>
              </w:rPr>
              <w:t>-0.09</w:t>
            </w:r>
          </w:p>
        </w:tc>
        <w:tc>
          <w:tcPr>
            <w:tcW w:w="516" w:type="dxa"/>
            <w:tcBorders>
              <w:top w:val="nil"/>
              <w:left w:val="nil"/>
              <w:bottom w:val="nil"/>
              <w:right w:val="nil"/>
            </w:tcBorders>
            <w:shd w:val="clear" w:color="auto" w:fill="auto"/>
            <w:noWrap/>
            <w:vAlign w:val="bottom"/>
            <w:hideMark/>
          </w:tcPr>
          <w:p w14:paraId="0A86698C" w14:textId="7CAEB8A7" w:rsidR="00C56280" w:rsidRPr="000B6FD6" w:rsidRDefault="00C56280" w:rsidP="000B6FD6">
            <w:pPr>
              <w:tabs>
                <w:tab w:val="decimal" w:pos="243"/>
              </w:tabs>
              <w:spacing w:after="0" w:line="240" w:lineRule="auto"/>
              <w:jc w:val="both"/>
              <w:rPr>
                <w:rFonts w:eastAsia="Times New Roman"/>
                <w:sz w:val="20"/>
                <w:szCs w:val="20"/>
              </w:rPr>
            </w:pPr>
            <w:r w:rsidRPr="000B6FD6">
              <w:rPr>
                <w:color w:val="000000"/>
                <w:sz w:val="20"/>
                <w:szCs w:val="20"/>
              </w:rPr>
              <w:t>-1.83</w:t>
            </w:r>
          </w:p>
        </w:tc>
        <w:tc>
          <w:tcPr>
            <w:tcW w:w="564" w:type="dxa"/>
            <w:tcBorders>
              <w:top w:val="nil"/>
              <w:left w:val="single" w:sz="4" w:space="0" w:color="auto"/>
              <w:bottom w:val="nil"/>
              <w:right w:val="nil"/>
            </w:tcBorders>
            <w:shd w:val="clear" w:color="auto" w:fill="auto"/>
            <w:noWrap/>
            <w:vAlign w:val="bottom"/>
            <w:hideMark/>
          </w:tcPr>
          <w:p w14:paraId="618BD9DA" w14:textId="5243A707" w:rsidR="00C56280" w:rsidRPr="000B6FD6" w:rsidRDefault="00C56280" w:rsidP="000B6FD6">
            <w:pPr>
              <w:tabs>
                <w:tab w:val="decimal" w:pos="141"/>
              </w:tabs>
              <w:spacing w:after="0" w:line="240" w:lineRule="auto"/>
              <w:jc w:val="both"/>
              <w:rPr>
                <w:rFonts w:eastAsia="Times New Roman"/>
                <w:sz w:val="20"/>
                <w:szCs w:val="20"/>
              </w:rPr>
            </w:pPr>
            <w:r w:rsidRPr="000B6FD6">
              <w:rPr>
                <w:color w:val="000000"/>
                <w:sz w:val="20"/>
                <w:szCs w:val="20"/>
              </w:rPr>
              <w:t>0.15</w:t>
            </w:r>
          </w:p>
        </w:tc>
        <w:tc>
          <w:tcPr>
            <w:tcW w:w="516" w:type="dxa"/>
            <w:tcBorders>
              <w:top w:val="nil"/>
              <w:left w:val="nil"/>
              <w:bottom w:val="nil"/>
              <w:right w:val="nil"/>
            </w:tcBorders>
            <w:shd w:val="clear" w:color="auto" w:fill="auto"/>
            <w:noWrap/>
            <w:vAlign w:val="bottom"/>
            <w:hideMark/>
          </w:tcPr>
          <w:p w14:paraId="4D3170AA" w14:textId="24A92C43" w:rsidR="00C56280" w:rsidRPr="000B6FD6" w:rsidRDefault="00C56280" w:rsidP="000B6FD6">
            <w:pPr>
              <w:tabs>
                <w:tab w:val="decimal" w:pos="120"/>
              </w:tabs>
              <w:spacing w:after="0" w:line="240" w:lineRule="auto"/>
              <w:jc w:val="both"/>
              <w:rPr>
                <w:rFonts w:eastAsia="Times New Roman"/>
                <w:sz w:val="20"/>
                <w:szCs w:val="20"/>
              </w:rPr>
            </w:pPr>
            <w:r w:rsidRPr="000B6FD6">
              <w:rPr>
                <w:color w:val="000000"/>
                <w:sz w:val="20"/>
                <w:szCs w:val="20"/>
              </w:rPr>
              <w:t>2.86</w:t>
            </w:r>
          </w:p>
        </w:tc>
        <w:tc>
          <w:tcPr>
            <w:tcW w:w="610" w:type="dxa"/>
            <w:tcBorders>
              <w:top w:val="nil"/>
              <w:left w:val="single" w:sz="4" w:space="0" w:color="auto"/>
              <w:bottom w:val="nil"/>
              <w:right w:val="nil"/>
            </w:tcBorders>
            <w:shd w:val="clear" w:color="auto" w:fill="auto"/>
            <w:noWrap/>
            <w:vAlign w:val="center"/>
            <w:hideMark/>
          </w:tcPr>
          <w:p w14:paraId="7CBBF5E2" w14:textId="4BAE8B93" w:rsidR="00C56280" w:rsidRPr="000B6FD6" w:rsidRDefault="0058240A" w:rsidP="0058240A">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51D4CDEB" w14:textId="77777777" w:rsidR="00C56280" w:rsidRPr="000B6FD6" w:rsidRDefault="00C56280"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6BECA315" w14:textId="4C00E253" w:rsidR="00C56280" w:rsidRPr="000B6FD6" w:rsidRDefault="00C56280" w:rsidP="000B6FD6">
            <w:pPr>
              <w:tabs>
                <w:tab w:val="decimal" w:pos="197"/>
              </w:tabs>
              <w:spacing w:after="0" w:line="240" w:lineRule="auto"/>
              <w:jc w:val="both"/>
              <w:rPr>
                <w:rFonts w:eastAsia="Times New Roman"/>
                <w:sz w:val="20"/>
                <w:szCs w:val="20"/>
              </w:rPr>
            </w:pPr>
            <w:r w:rsidRPr="000B6FD6">
              <w:rPr>
                <w:color w:val="000000"/>
                <w:sz w:val="20"/>
                <w:szCs w:val="20"/>
              </w:rPr>
              <w:t>0.15</w:t>
            </w:r>
          </w:p>
        </w:tc>
        <w:tc>
          <w:tcPr>
            <w:tcW w:w="586" w:type="dxa"/>
            <w:tcBorders>
              <w:top w:val="nil"/>
              <w:left w:val="nil"/>
              <w:bottom w:val="nil"/>
              <w:right w:val="nil"/>
            </w:tcBorders>
            <w:shd w:val="clear" w:color="auto" w:fill="auto"/>
            <w:noWrap/>
            <w:vAlign w:val="bottom"/>
            <w:hideMark/>
          </w:tcPr>
          <w:p w14:paraId="7039605A" w14:textId="25A9FA1C" w:rsidR="00C56280" w:rsidRPr="000B6FD6" w:rsidRDefault="00C56280" w:rsidP="000B6FD6">
            <w:pPr>
              <w:tabs>
                <w:tab w:val="decimal" w:pos="247"/>
              </w:tabs>
              <w:spacing w:after="0" w:line="240" w:lineRule="auto"/>
              <w:jc w:val="both"/>
              <w:rPr>
                <w:rFonts w:eastAsia="Times New Roman"/>
                <w:sz w:val="20"/>
                <w:szCs w:val="20"/>
              </w:rPr>
            </w:pPr>
            <w:r w:rsidRPr="000B6FD6">
              <w:rPr>
                <w:color w:val="000000"/>
                <w:sz w:val="20"/>
                <w:szCs w:val="20"/>
              </w:rPr>
              <w:t>4.57</w:t>
            </w:r>
          </w:p>
        </w:tc>
        <w:tc>
          <w:tcPr>
            <w:tcW w:w="580" w:type="dxa"/>
            <w:tcBorders>
              <w:top w:val="nil"/>
              <w:left w:val="single" w:sz="4" w:space="0" w:color="auto"/>
              <w:bottom w:val="nil"/>
              <w:right w:val="nil"/>
            </w:tcBorders>
            <w:shd w:val="clear" w:color="auto" w:fill="auto"/>
            <w:noWrap/>
            <w:vAlign w:val="bottom"/>
            <w:hideMark/>
          </w:tcPr>
          <w:p w14:paraId="6432431F" w14:textId="36FAE320" w:rsidR="00C56280" w:rsidRPr="000B6FD6" w:rsidRDefault="00C56280" w:rsidP="000B6FD6">
            <w:pPr>
              <w:tabs>
                <w:tab w:val="decimal" w:pos="207"/>
              </w:tabs>
              <w:spacing w:after="0" w:line="240" w:lineRule="auto"/>
              <w:jc w:val="both"/>
              <w:rPr>
                <w:rFonts w:eastAsia="Times New Roman"/>
                <w:sz w:val="20"/>
                <w:szCs w:val="20"/>
              </w:rPr>
            </w:pPr>
            <w:r w:rsidRPr="000B6FD6">
              <w:rPr>
                <w:color w:val="000000"/>
                <w:sz w:val="20"/>
                <w:szCs w:val="20"/>
              </w:rPr>
              <w:t>0.13</w:t>
            </w:r>
          </w:p>
        </w:tc>
        <w:tc>
          <w:tcPr>
            <w:tcW w:w="520" w:type="dxa"/>
            <w:tcBorders>
              <w:top w:val="nil"/>
              <w:left w:val="nil"/>
              <w:bottom w:val="nil"/>
              <w:right w:val="nil"/>
            </w:tcBorders>
            <w:shd w:val="clear" w:color="auto" w:fill="auto"/>
            <w:noWrap/>
            <w:vAlign w:val="bottom"/>
            <w:hideMark/>
          </w:tcPr>
          <w:p w14:paraId="7745E1C9" w14:textId="4D73F71D" w:rsidR="00C56280" w:rsidRPr="000B6FD6" w:rsidRDefault="00C56280" w:rsidP="000B6FD6">
            <w:pPr>
              <w:tabs>
                <w:tab w:val="decimal" w:pos="256"/>
              </w:tabs>
              <w:spacing w:after="0" w:line="240" w:lineRule="auto"/>
              <w:jc w:val="both"/>
              <w:rPr>
                <w:rFonts w:eastAsia="Times New Roman"/>
                <w:sz w:val="20"/>
                <w:szCs w:val="20"/>
              </w:rPr>
            </w:pPr>
            <w:r w:rsidRPr="000B6FD6">
              <w:rPr>
                <w:color w:val="000000"/>
                <w:sz w:val="20"/>
                <w:szCs w:val="20"/>
              </w:rPr>
              <w:t>4.39</w:t>
            </w:r>
          </w:p>
        </w:tc>
        <w:tc>
          <w:tcPr>
            <w:tcW w:w="600" w:type="dxa"/>
            <w:tcBorders>
              <w:top w:val="nil"/>
              <w:left w:val="single" w:sz="4" w:space="0" w:color="auto"/>
              <w:bottom w:val="nil"/>
              <w:right w:val="nil"/>
            </w:tcBorders>
            <w:shd w:val="clear" w:color="auto" w:fill="auto"/>
            <w:noWrap/>
            <w:vAlign w:val="center"/>
            <w:hideMark/>
          </w:tcPr>
          <w:p w14:paraId="4EF3E0F1" w14:textId="64D3EC9F" w:rsidR="00C56280" w:rsidRPr="000B6FD6" w:rsidRDefault="0058240A" w:rsidP="0058240A">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7D096061" w14:textId="77777777" w:rsidR="00C56280" w:rsidRPr="000B6FD6" w:rsidRDefault="00C56280"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tcPr>
          <w:p w14:paraId="6BC3597B" w14:textId="1D380572" w:rsidR="00C56280" w:rsidRPr="000B6FD6" w:rsidRDefault="0058240A" w:rsidP="0058240A">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tcPr>
          <w:p w14:paraId="404CA16B" w14:textId="40482FD7" w:rsidR="00C56280" w:rsidRPr="000B6FD6" w:rsidRDefault="00C56280"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56D968B3" w14:textId="247D21B2" w:rsidR="00C56280" w:rsidRPr="000B6FD6" w:rsidRDefault="00C56280" w:rsidP="000B6FD6">
            <w:pPr>
              <w:tabs>
                <w:tab w:val="decimal" w:pos="191"/>
              </w:tabs>
              <w:spacing w:after="0" w:line="240" w:lineRule="auto"/>
              <w:jc w:val="both"/>
              <w:rPr>
                <w:rFonts w:eastAsia="Times New Roman"/>
                <w:sz w:val="20"/>
                <w:szCs w:val="20"/>
              </w:rPr>
            </w:pPr>
            <w:r w:rsidRPr="000B6FD6">
              <w:rPr>
                <w:color w:val="000000"/>
                <w:sz w:val="20"/>
                <w:szCs w:val="20"/>
              </w:rPr>
              <w:t>0.10</w:t>
            </w:r>
          </w:p>
        </w:tc>
        <w:tc>
          <w:tcPr>
            <w:tcW w:w="520" w:type="dxa"/>
            <w:tcBorders>
              <w:top w:val="nil"/>
              <w:left w:val="nil"/>
              <w:bottom w:val="nil"/>
              <w:right w:val="single" w:sz="4" w:space="0" w:color="auto"/>
            </w:tcBorders>
            <w:shd w:val="clear" w:color="auto" w:fill="auto"/>
            <w:noWrap/>
            <w:vAlign w:val="bottom"/>
            <w:hideMark/>
          </w:tcPr>
          <w:p w14:paraId="6D928B44" w14:textId="77DCF881" w:rsidR="00C56280" w:rsidRPr="000B6FD6" w:rsidRDefault="00C56280" w:rsidP="000B6FD6">
            <w:pPr>
              <w:tabs>
                <w:tab w:val="decimal" w:pos="239"/>
              </w:tabs>
              <w:spacing w:after="0" w:line="240" w:lineRule="auto"/>
              <w:jc w:val="both"/>
              <w:rPr>
                <w:rFonts w:eastAsia="Times New Roman"/>
                <w:sz w:val="20"/>
                <w:szCs w:val="20"/>
              </w:rPr>
            </w:pPr>
            <w:r w:rsidRPr="000B6FD6">
              <w:rPr>
                <w:color w:val="000000"/>
                <w:sz w:val="20"/>
                <w:szCs w:val="20"/>
              </w:rPr>
              <w:t>3.41</w:t>
            </w:r>
          </w:p>
        </w:tc>
        <w:tc>
          <w:tcPr>
            <w:tcW w:w="564" w:type="dxa"/>
            <w:tcBorders>
              <w:top w:val="nil"/>
              <w:left w:val="nil"/>
              <w:bottom w:val="nil"/>
              <w:right w:val="nil"/>
            </w:tcBorders>
            <w:shd w:val="clear" w:color="auto" w:fill="auto"/>
            <w:noWrap/>
            <w:vAlign w:val="bottom"/>
          </w:tcPr>
          <w:p w14:paraId="29F5B3A7" w14:textId="1CED199C" w:rsidR="00C56280" w:rsidRPr="000B6FD6" w:rsidRDefault="00E549C3" w:rsidP="000B6FD6">
            <w:pPr>
              <w:tabs>
                <w:tab w:val="decimal" w:pos="232"/>
              </w:tabs>
              <w:spacing w:after="0" w:line="240" w:lineRule="auto"/>
              <w:jc w:val="both"/>
              <w:rPr>
                <w:rFonts w:eastAsia="Times New Roman"/>
                <w:sz w:val="20"/>
                <w:szCs w:val="20"/>
              </w:rPr>
            </w:pPr>
            <w:r>
              <w:rPr>
                <w:rFonts w:eastAsia="Times New Roman"/>
                <w:sz w:val="20"/>
                <w:szCs w:val="20"/>
              </w:rPr>
              <w:t>-0.14</w:t>
            </w:r>
          </w:p>
        </w:tc>
        <w:tc>
          <w:tcPr>
            <w:tcW w:w="508" w:type="dxa"/>
            <w:tcBorders>
              <w:top w:val="nil"/>
              <w:left w:val="nil"/>
              <w:bottom w:val="nil"/>
              <w:right w:val="single" w:sz="12" w:space="0" w:color="auto"/>
            </w:tcBorders>
            <w:shd w:val="clear" w:color="auto" w:fill="auto"/>
            <w:noWrap/>
            <w:vAlign w:val="bottom"/>
          </w:tcPr>
          <w:p w14:paraId="51F9E290" w14:textId="705E4D03" w:rsidR="00C56280" w:rsidRPr="000B6FD6" w:rsidRDefault="00DB6D6B" w:rsidP="000B6FD6">
            <w:pPr>
              <w:tabs>
                <w:tab w:val="decimal" w:pos="208"/>
              </w:tabs>
              <w:spacing w:after="0" w:line="240" w:lineRule="auto"/>
              <w:jc w:val="both"/>
              <w:rPr>
                <w:rFonts w:eastAsia="Times New Roman"/>
                <w:sz w:val="20"/>
                <w:szCs w:val="20"/>
              </w:rPr>
            </w:pPr>
            <w:r>
              <w:rPr>
                <w:rFonts w:eastAsia="Times New Roman"/>
                <w:sz w:val="20"/>
                <w:szCs w:val="20"/>
              </w:rPr>
              <w:t>-8.27</w:t>
            </w:r>
          </w:p>
        </w:tc>
      </w:tr>
      <w:tr w:rsidR="005577E5" w:rsidRPr="000B6FD6" w14:paraId="1243FDE8"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08CCFF2A" w14:textId="53D1E928" w:rsidR="005577E5" w:rsidRPr="000B6FD6" w:rsidRDefault="005577E5" w:rsidP="000B6FD6">
            <w:pPr>
              <w:spacing w:after="0" w:line="240" w:lineRule="auto"/>
              <w:jc w:val="both"/>
              <w:rPr>
                <w:rFonts w:eastAsia="Times New Roman"/>
                <w:sz w:val="20"/>
                <w:szCs w:val="20"/>
              </w:rPr>
            </w:pPr>
            <w:r w:rsidRPr="000B6FD6">
              <w:rPr>
                <w:rFonts w:eastAsia="Times New Roman"/>
                <w:sz w:val="20"/>
                <w:szCs w:val="20"/>
              </w:rPr>
              <w:t>Luxury lifestyle</w:t>
            </w:r>
            <w:r w:rsidR="006201A6">
              <w:rPr>
                <w:rFonts w:eastAsia="Times New Roman"/>
                <w:sz w:val="20"/>
                <w:szCs w:val="20"/>
              </w:rPr>
              <w:t xml:space="preserve"> propensity</w:t>
            </w:r>
          </w:p>
        </w:tc>
        <w:tc>
          <w:tcPr>
            <w:tcW w:w="564" w:type="dxa"/>
            <w:tcBorders>
              <w:top w:val="nil"/>
              <w:left w:val="single" w:sz="12" w:space="0" w:color="auto"/>
              <w:bottom w:val="nil"/>
              <w:right w:val="nil"/>
            </w:tcBorders>
            <w:shd w:val="clear" w:color="auto" w:fill="auto"/>
            <w:noWrap/>
            <w:vAlign w:val="bottom"/>
            <w:hideMark/>
          </w:tcPr>
          <w:p w14:paraId="3B65A3D5" w14:textId="084AC1D6" w:rsidR="005577E5" w:rsidRPr="000B6FD6" w:rsidRDefault="005577E5" w:rsidP="000B6FD6">
            <w:pPr>
              <w:tabs>
                <w:tab w:val="decimal" w:pos="231"/>
              </w:tabs>
              <w:spacing w:after="0" w:line="240" w:lineRule="auto"/>
              <w:jc w:val="both"/>
              <w:rPr>
                <w:rFonts w:eastAsia="Times New Roman"/>
                <w:sz w:val="20"/>
                <w:szCs w:val="20"/>
              </w:rPr>
            </w:pPr>
            <w:r w:rsidRPr="000B6FD6">
              <w:rPr>
                <w:color w:val="000000"/>
                <w:sz w:val="20"/>
                <w:szCs w:val="20"/>
              </w:rPr>
              <w:t>-1.66</w:t>
            </w:r>
          </w:p>
        </w:tc>
        <w:tc>
          <w:tcPr>
            <w:tcW w:w="660" w:type="dxa"/>
            <w:tcBorders>
              <w:top w:val="nil"/>
              <w:left w:val="nil"/>
              <w:bottom w:val="nil"/>
              <w:right w:val="single" w:sz="4" w:space="0" w:color="auto"/>
            </w:tcBorders>
            <w:shd w:val="clear" w:color="auto" w:fill="auto"/>
            <w:noWrap/>
            <w:vAlign w:val="bottom"/>
            <w:hideMark/>
          </w:tcPr>
          <w:p w14:paraId="454AF759" w14:textId="537FFC19" w:rsidR="005577E5" w:rsidRPr="000B6FD6" w:rsidRDefault="005577E5" w:rsidP="000B6FD6">
            <w:pPr>
              <w:tabs>
                <w:tab w:val="decimal" w:pos="207"/>
              </w:tabs>
              <w:spacing w:after="0" w:line="240" w:lineRule="auto"/>
              <w:jc w:val="both"/>
              <w:rPr>
                <w:rFonts w:eastAsia="Times New Roman"/>
                <w:sz w:val="20"/>
                <w:szCs w:val="20"/>
              </w:rPr>
            </w:pPr>
            <w:r w:rsidRPr="000B6FD6">
              <w:rPr>
                <w:color w:val="000000"/>
                <w:sz w:val="20"/>
                <w:szCs w:val="20"/>
              </w:rPr>
              <w:t>-5.33</w:t>
            </w:r>
          </w:p>
        </w:tc>
        <w:tc>
          <w:tcPr>
            <w:tcW w:w="564" w:type="dxa"/>
            <w:tcBorders>
              <w:top w:val="nil"/>
              <w:left w:val="nil"/>
              <w:bottom w:val="nil"/>
              <w:right w:val="nil"/>
            </w:tcBorders>
            <w:shd w:val="clear" w:color="auto" w:fill="auto"/>
            <w:noWrap/>
            <w:vAlign w:val="bottom"/>
            <w:hideMark/>
          </w:tcPr>
          <w:p w14:paraId="67FFEA6B" w14:textId="46B905C9" w:rsidR="005577E5" w:rsidRPr="000B6FD6" w:rsidRDefault="005577E5" w:rsidP="000B6FD6">
            <w:pPr>
              <w:tabs>
                <w:tab w:val="decimal" w:pos="180"/>
              </w:tabs>
              <w:spacing w:after="0" w:line="240" w:lineRule="auto"/>
              <w:jc w:val="both"/>
              <w:rPr>
                <w:rFonts w:eastAsia="Times New Roman"/>
                <w:sz w:val="20"/>
                <w:szCs w:val="20"/>
              </w:rPr>
            </w:pPr>
            <w:r w:rsidRPr="000B6FD6">
              <w:rPr>
                <w:color w:val="000000"/>
                <w:sz w:val="20"/>
                <w:szCs w:val="20"/>
              </w:rPr>
              <w:t>-0.30</w:t>
            </w:r>
          </w:p>
        </w:tc>
        <w:tc>
          <w:tcPr>
            <w:tcW w:w="516" w:type="dxa"/>
            <w:tcBorders>
              <w:top w:val="nil"/>
              <w:left w:val="nil"/>
              <w:bottom w:val="nil"/>
              <w:right w:val="nil"/>
            </w:tcBorders>
            <w:shd w:val="clear" w:color="auto" w:fill="auto"/>
            <w:noWrap/>
            <w:vAlign w:val="bottom"/>
            <w:hideMark/>
          </w:tcPr>
          <w:p w14:paraId="5FD109F3" w14:textId="3675C440" w:rsidR="005577E5" w:rsidRPr="000B6FD6" w:rsidRDefault="005577E5" w:rsidP="000B6FD6">
            <w:pPr>
              <w:tabs>
                <w:tab w:val="decimal" w:pos="243"/>
              </w:tabs>
              <w:spacing w:after="0" w:line="240" w:lineRule="auto"/>
              <w:jc w:val="both"/>
              <w:rPr>
                <w:rFonts w:eastAsia="Times New Roman"/>
                <w:sz w:val="20"/>
                <w:szCs w:val="20"/>
              </w:rPr>
            </w:pPr>
            <w:r w:rsidRPr="000B6FD6">
              <w:rPr>
                <w:color w:val="000000"/>
                <w:sz w:val="20"/>
                <w:szCs w:val="20"/>
              </w:rPr>
              <w:t>-3.03</w:t>
            </w:r>
          </w:p>
        </w:tc>
        <w:tc>
          <w:tcPr>
            <w:tcW w:w="564" w:type="dxa"/>
            <w:tcBorders>
              <w:top w:val="nil"/>
              <w:left w:val="single" w:sz="4" w:space="0" w:color="auto"/>
              <w:bottom w:val="nil"/>
              <w:right w:val="nil"/>
            </w:tcBorders>
            <w:shd w:val="clear" w:color="auto" w:fill="auto"/>
            <w:noWrap/>
            <w:vAlign w:val="bottom"/>
            <w:hideMark/>
          </w:tcPr>
          <w:p w14:paraId="71778B83" w14:textId="24B98513" w:rsidR="005577E5" w:rsidRPr="000B6FD6" w:rsidRDefault="005577E5" w:rsidP="000B6FD6">
            <w:pPr>
              <w:tabs>
                <w:tab w:val="decimal" w:pos="141"/>
              </w:tabs>
              <w:spacing w:after="0" w:line="240" w:lineRule="auto"/>
              <w:jc w:val="both"/>
              <w:rPr>
                <w:rFonts w:eastAsia="Times New Roman"/>
                <w:sz w:val="20"/>
                <w:szCs w:val="20"/>
              </w:rPr>
            </w:pPr>
            <w:r w:rsidRPr="000B6FD6">
              <w:rPr>
                <w:color w:val="000000"/>
                <w:sz w:val="20"/>
                <w:szCs w:val="20"/>
              </w:rPr>
              <w:t>0.44</w:t>
            </w:r>
          </w:p>
        </w:tc>
        <w:tc>
          <w:tcPr>
            <w:tcW w:w="516" w:type="dxa"/>
            <w:tcBorders>
              <w:top w:val="nil"/>
              <w:left w:val="nil"/>
              <w:bottom w:val="nil"/>
              <w:right w:val="nil"/>
            </w:tcBorders>
            <w:shd w:val="clear" w:color="auto" w:fill="auto"/>
            <w:noWrap/>
            <w:vAlign w:val="bottom"/>
            <w:hideMark/>
          </w:tcPr>
          <w:p w14:paraId="1230116F" w14:textId="470A5C69" w:rsidR="005577E5" w:rsidRPr="000B6FD6" w:rsidRDefault="005577E5" w:rsidP="000B6FD6">
            <w:pPr>
              <w:tabs>
                <w:tab w:val="decimal" w:pos="120"/>
              </w:tabs>
              <w:spacing w:after="0" w:line="240" w:lineRule="auto"/>
              <w:jc w:val="both"/>
              <w:rPr>
                <w:rFonts w:eastAsia="Times New Roman"/>
                <w:sz w:val="20"/>
                <w:szCs w:val="20"/>
              </w:rPr>
            </w:pPr>
            <w:r w:rsidRPr="000B6FD6">
              <w:rPr>
                <w:color w:val="000000"/>
                <w:sz w:val="20"/>
                <w:szCs w:val="20"/>
              </w:rPr>
              <w:t>3.84</w:t>
            </w:r>
          </w:p>
        </w:tc>
        <w:tc>
          <w:tcPr>
            <w:tcW w:w="610" w:type="dxa"/>
            <w:tcBorders>
              <w:top w:val="nil"/>
              <w:left w:val="single" w:sz="4" w:space="0" w:color="auto"/>
              <w:bottom w:val="nil"/>
              <w:right w:val="nil"/>
            </w:tcBorders>
            <w:shd w:val="clear" w:color="auto" w:fill="auto"/>
            <w:noWrap/>
            <w:vAlign w:val="bottom"/>
            <w:hideMark/>
          </w:tcPr>
          <w:p w14:paraId="59199814" w14:textId="480B9085" w:rsidR="005577E5" w:rsidRPr="000B6FD6" w:rsidRDefault="005577E5" w:rsidP="000B6FD6">
            <w:pPr>
              <w:tabs>
                <w:tab w:val="decimal" w:pos="141"/>
              </w:tabs>
              <w:spacing w:after="0" w:line="240" w:lineRule="auto"/>
              <w:jc w:val="both"/>
              <w:rPr>
                <w:rFonts w:eastAsia="Times New Roman"/>
                <w:sz w:val="20"/>
                <w:szCs w:val="20"/>
              </w:rPr>
            </w:pPr>
            <w:r w:rsidRPr="000B6FD6">
              <w:rPr>
                <w:color w:val="000000"/>
                <w:sz w:val="20"/>
                <w:szCs w:val="20"/>
              </w:rPr>
              <w:t>0.35</w:t>
            </w:r>
          </w:p>
        </w:tc>
        <w:tc>
          <w:tcPr>
            <w:tcW w:w="508" w:type="dxa"/>
            <w:tcBorders>
              <w:top w:val="nil"/>
              <w:left w:val="nil"/>
              <w:bottom w:val="nil"/>
              <w:right w:val="nil"/>
            </w:tcBorders>
            <w:shd w:val="clear" w:color="auto" w:fill="auto"/>
            <w:noWrap/>
            <w:vAlign w:val="bottom"/>
            <w:hideMark/>
          </w:tcPr>
          <w:p w14:paraId="45EC1F6A" w14:textId="608ACB9F" w:rsidR="005577E5" w:rsidRPr="000B6FD6" w:rsidRDefault="005577E5" w:rsidP="000B6FD6">
            <w:pPr>
              <w:tabs>
                <w:tab w:val="decimal" w:pos="163"/>
              </w:tabs>
              <w:spacing w:after="0" w:line="240" w:lineRule="auto"/>
              <w:jc w:val="both"/>
              <w:rPr>
                <w:rFonts w:eastAsia="Times New Roman"/>
                <w:sz w:val="20"/>
                <w:szCs w:val="20"/>
              </w:rPr>
            </w:pPr>
            <w:r w:rsidRPr="000B6FD6">
              <w:rPr>
                <w:color w:val="000000"/>
                <w:sz w:val="20"/>
                <w:szCs w:val="20"/>
              </w:rPr>
              <w:t>6.25</w:t>
            </w:r>
          </w:p>
        </w:tc>
        <w:tc>
          <w:tcPr>
            <w:tcW w:w="574" w:type="dxa"/>
            <w:tcBorders>
              <w:top w:val="nil"/>
              <w:left w:val="single" w:sz="4" w:space="0" w:color="auto"/>
              <w:bottom w:val="nil"/>
              <w:right w:val="nil"/>
            </w:tcBorders>
            <w:shd w:val="clear" w:color="auto" w:fill="auto"/>
            <w:noWrap/>
            <w:vAlign w:val="bottom"/>
            <w:hideMark/>
          </w:tcPr>
          <w:p w14:paraId="0E7E11C8" w14:textId="0C08B8FC" w:rsidR="005577E5" w:rsidRPr="000B6FD6" w:rsidRDefault="005577E5" w:rsidP="000B6FD6">
            <w:pPr>
              <w:tabs>
                <w:tab w:val="decimal" w:pos="197"/>
              </w:tabs>
              <w:spacing w:after="0" w:line="240" w:lineRule="auto"/>
              <w:jc w:val="both"/>
              <w:rPr>
                <w:rFonts w:eastAsia="Times New Roman"/>
                <w:sz w:val="20"/>
                <w:szCs w:val="20"/>
              </w:rPr>
            </w:pPr>
            <w:r w:rsidRPr="000B6FD6">
              <w:rPr>
                <w:color w:val="000000"/>
                <w:sz w:val="20"/>
                <w:szCs w:val="20"/>
              </w:rPr>
              <w:t>-0.22</w:t>
            </w:r>
          </w:p>
        </w:tc>
        <w:tc>
          <w:tcPr>
            <w:tcW w:w="586" w:type="dxa"/>
            <w:tcBorders>
              <w:top w:val="nil"/>
              <w:left w:val="nil"/>
              <w:bottom w:val="nil"/>
              <w:right w:val="nil"/>
            </w:tcBorders>
            <w:shd w:val="clear" w:color="auto" w:fill="auto"/>
            <w:noWrap/>
            <w:vAlign w:val="bottom"/>
            <w:hideMark/>
          </w:tcPr>
          <w:p w14:paraId="157CEB31" w14:textId="26D132EE" w:rsidR="005577E5" w:rsidRPr="000B6FD6" w:rsidRDefault="005577E5" w:rsidP="000B6FD6">
            <w:pPr>
              <w:tabs>
                <w:tab w:val="decimal" w:pos="247"/>
              </w:tabs>
              <w:spacing w:after="0" w:line="240" w:lineRule="auto"/>
              <w:jc w:val="both"/>
              <w:rPr>
                <w:rFonts w:eastAsia="Times New Roman"/>
                <w:sz w:val="20"/>
                <w:szCs w:val="20"/>
              </w:rPr>
            </w:pPr>
            <w:r w:rsidRPr="000B6FD6">
              <w:rPr>
                <w:color w:val="000000"/>
                <w:sz w:val="20"/>
                <w:szCs w:val="20"/>
              </w:rPr>
              <w:t>-4.43</w:t>
            </w:r>
          </w:p>
        </w:tc>
        <w:tc>
          <w:tcPr>
            <w:tcW w:w="580" w:type="dxa"/>
            <w:tcBorders>
              <w:top w:val="nil"/>
              <w:left w:val="single" w:sz="4" w:space="0" w:color="auto"/>
              <w:bottom w:val="nil"/>
              <w:right w:val="nil"/>
            </w:tcBorders>
            <w:shd w:val="clear" w:color="auto" w:fill="auto"/>
            <w:noWrap/>
            <w:vAlign w:val="center"/>
            <w:hideMark/>
          </w:tcPr>
          <w:p w14:paraId="74577FDA" w14:textId="3F5C16CD" w:rsidR="005577E5" w:rsidRPr="000B6FD6" w:rsidRDefault="0058240A" w:rsidP="0058240A">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5BD0D238" w14:textId="77777777" w:rsidR="005577E5" w:rsidRPr="000B6FD6" w:rsidRDefault="005577E5"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hideMark/>
          </w:tcPr>
          <w:p w14:paraId="751D8A47" w14:textId="61E2DBC7" w:rsidR="005577E5" w:rsidRPr="000B6FD6" w:rsidRDefault="005577E5" w:rsidP="000B6FD6">
            <w:pPr>
              <w:tabs>
                <w:tab w:val="decimal" w:pos="229"/>
              </w:tabs>
              <w:spacing w:after="0" w:line="240" w:lineRule="auto"/>
              <w:jc w:val="both"/>
              <w:rPr>
                <w:rFonts w:eastAsia="Times New Roman"/>
                <w:sz w:val="20"/>
                <w:szCs w:val="20"/>
              </w:rPr>
            </w:pPr>
            <w:r w:rsidRPr="000B6FD6">
              <w:rPr>
                <w:color w:val="000000"/>
                <w:sz w:val="20"/>
                <w:szCs w:val="20"/>
              </w:rPr>
              <w:t>-0.16</w:t>
            </w:r>
          </w:p>
        </w:tc>
        <w:tc>
          <w:tcPr>
            <w:tcW w:w="500" w:type="dxa"/>
            <w:tcBorders>
              <w:top w:val="nil"/>
              <w:left w:val="nil"/>
              <w:bottom w:val="nil"/>
              <w:right w:val="single" w:sz="4" w:space="0" w:color="auto"/>
            </w:tcBorders>
            <w:shd w:val="clear" w:color="auto" w:fill="auto"/>
            <w:noWrap/>
            <w:vAlign w:val="bottom"/>
            <w:hideMark/>
          </w:tcPr>
          <w:p w14:paraId="094EC121" w14:textId="0DD87725" w:rsidR="005577E5" w:rsidRPr="000B6FD6" w:rsidRDefault="005577E5" w:rsidP="000B6FD6">
            <w:pPr>
              <w:tabs>
                <w:tab w:val="decimal" w:pos="170"/>
              </w:tabs>
              <w:spacing w:after="0" w:line="240" w:lineRule="auto"/>
              <w:jc w:val="both"/>
              <w:rPr>
                <w:rFonts w:eastAsia="Times New Roman"/>
                <w:sz w:val="20"/>
                <w:szCs w:val="20"/>
              </w:rPr>
            </w:pPr>
            <w:r w:rsidRPr="000B6FD6">
              <w:rPr>
                <w:color w:val="000000"/>
                <w:sz w:val="20"/>
                <w:szCs w:val="20"/>
              </w:rPr>
              <w:t>-2.86</w:t>
            </w:r>
          </w:p>
        </w:tc>
        <w:tc>
          <w:tcPr>
            <w:tcW w:w="600" w:type="dxa"/>
            <w:tcBorders>
              <w:top w:val="nil"/>
              <w:left w:val="nil"/>
              <w:bottom w:val="nil"/>
              <w:right w:val="nil"/>
            </w:tcBorders>
            <w:shd w:val="clear" w:color="auto" w:fill="auto"/>
            <w:noWrap/>
            <w:vAlign w:val="center"/>
          </w:tcPr>
          <w:p w14:paraId="2D53C1DE" w14:textId="6C5723B7" w:rsidR="005577E5" w:rsidRPr="000B6FD6" w:rsidRDefault="0058240A" w:rsidP="0058240A">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tcPr>
          <w:p w14:paraId="014121F1" w14:textId="7DFD9A86" w:rsidR="005577E5" w:rsidRPr="000B6FD6" w:rsidRDefault="005577E5"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3ABFC82F" w14:textId="19305D39" w:rsidR="005577E5" w:rsidRPr="000B6FD6" w:rsidRDefault="005577E5" w:rsidP="000B6FD6">
            <w:pPr>
              <w:tabs>
                <w:tab w:val="decimal" w:pos="191"/>
              </w:tabs>
              <w:spacing w:after="0" w:line="240" w:lineRule="auto"/>
              <w:jc w:val="both"/>
              <w:rPr>
                <w:rFonts w:eastAsia="Times New Roman"/>
                <w:sz w:val="20"/>
                <w:szCs w:val="20"/>
              </w:rPr>
            </w:pPr>
            <w:r w:rsidRPr="000B6FD6">
              <w:rPr>
                <w:color w:val="000000"/>
                <w:sz w:val="20"/>
                <w:szCs w:val="20"/>
              </w:rPr>
              <w:t>-0.19</w:t>
            </w:r>
          </w:p>
        </w:tc>
        <w:tc>
          <w:tcPr>
            <w:tcW w:w="520" w:type="dxa"/>
            <w:tcBorders>
              <w:top w:val="nil"/>
              <w:left w:val="nil"/>
              <w:bottom w:val="nil"/>
              <w:right w:val="single" w:sz="4" w:space="0" w:color="auto"/>
            </w:tcBorders>
            <w:shd w:val="clear" w:color="auto" w:fill="auto"/>
            <w:noWrap/>
            <w:vAlign w:val="bottom"/>
            <w:hideMark/>
          </w:tcPr>
          <w:p w14:paraId="6A6F7E4D" w14:textId="7B199FC8" w:rsidR="005577E5" w:rsidRPr="000B6FD6" w:rsidRDefault="005577E5" w:rsidP="000B6FD6">
            <w:pPr>
              <w:tabs>
                <w:tab w:val="decimal" w:pos="239"/>
              </w:tabs>
              <w:spacing w:after="0" w:line="240" w:lineRule="auto"/>
              <w:jc w:val="both"/>
              <w:rPr>
                <w:rFonts w:eastAsia="Times New Roman"/>
                <w:sz w:val="20"/>
                <w:szCs w:val="20"/>
              </w:rPr>
            </w:pPr>
            <w:r w:rsidRPr="000B6FD6">
              <w:rPr>
                <w:color w:val="000000"/>
                <w:sz w:val="20"/>
                <w:szCs w:val="20"/>
              </w:rPr>
              <w:t>-3.85</w:t>
            </w:r>
          </w:p>
        </w:tc>
        <w:tc>
          <w:tcPr>
            <w:tcW w:w="564" w:type="dxa"/>
            <w:tcBorders>
              <w:top w:val="nil"/>
              <w:left w:val="nil"/>
              <w:bottom w:val="nil"/>
              <w:right w:val="nil"/>
            </w:tcBorders>
            <w:shd w:val="clear" w:color="auto" w:fill="auto"/>
            <w:noWrap/>
            <w:vAlign w:val="bottom"/>
          </w:tcPr>
          <w:p w14:paraId="524D435D" w14:textId="47DCD7E8" w:rsidR="005577E5" w:rsidRPr="000B6FD6" w:rsidRDefault="00E549C3" w:rsidP="000B6FD6">
            <w:pPr>
              <w:tabs>
                <w:tab w:val="decimal" w:pos="232"/>
              </w:tabs>
              <w:spacing w:after="0" w:line="240" w:lineRule="auto"/>
              <w:jc w:val="both"/>
              <w:rPr>
                <w:rFonts w:eastAsia="Times New Roman"/>
                <w:sz w:val="20"/>
                <w:szCs w:val="20"/>
              </w:rPr>
            </w:pPr>
            <w:r>
              <w:rPr>
                <w:rFonts w:eastAsia="Times New Roman"/>
                <w:sz w:val="20"/>
                <w:szCs w:val="20"/>
              </w:rPr>
              <w:t>0.13</w:t>
            </w:r>
          </w:p>
        </w:tc>
        <w:tc>
          <w:tcPr>
            <w:tcW w:w="508" w:type="dxa"/>
            <w:tcBorders>
              <w:top w:val="nil"/>
              <w:left w:val="nil"/>
              <w:bottom w:val="nil"/>
              <w:right w:val="single" w:sz="12" w:space="0" w:color="auto"/>
            </w:tcBorders>
            <w:shd w:val="clear" w:color="auto" w:fill="auto"/>
            <w:noWrap/>
            <w:vAlign w:val="bottom"/>
          </w:tcPr>
          <w:p w14:paraId="791E1622" w14:textId="22A447FF" w:rsidR="005577E5" w:rsidRPr="000B6FD6" w:rsidRDefault="00DB6D6B" w:rsidP="000B6FD6">
            <w:pPr>
              <w:tabs>
                <w:tab w:val="decimal" w:pos="208"/>
              </w:tabs>
              <w:spacing w:after="0" w:line="240" w:lineRule="auto"/>
              <w:jc w:val="both"/>
              <w:rPr>
                <w:rFonts w:eastAsia="Times New Roman"/>
                <w:sz w:val="20"/>
                <w:szCs w:val="20"/>
              </w:rPr>
            </w:pPr>
            <w:r>
              <w:rPr>
                <w:rFonts w:eastAsia="Times New Roman"/>
                <w:sz w:val="20"/>
                <w:szCs w:val="20"/>
              </w:rPr>
              <w:t>4.85</w:t>
            </w:r>
          </w:p>
        </w:tc>
      </w:tr>
      <w:tr w:rsidR="00BC6553" w:rsidRPr="000B6FD6" w14:paraId="0B8A54A2" w14:textId="77777777" w:rsidTr="00794F9D">
        <w:trPr>
          <w:trHeight w:val="216"/>
          <w:jc w:val="center"/>
        </w:trPr>
        <w:tc>
          <w:tcPr>
            <w:tcW w:w="3235" w:type="dxa"/>
            <w:tcBorders>
              <w:top w:val="nil"/>
              <w:left w:val="single" w:sz="12" w:space="0" w:color="auto"/>
              <w:bottom w:val="single" w:sz="12" w:space="0" w:color="auto"/>
              <w:right w:val="single" w:sz="12" w:space="0" w:color="auto"/>
            </w:tcBorders>
            <w:shd w:val="clear" w:color="auto" w:fill="auto"/>
            <w:noWrap/>
            <w:vAlign w:val="bottom"/>
            <w:hideMark/>
          </w:tcPr>
          <w:p w14:paraId="557061F4" w14:textId="5D1398FB" w:rsidR="00BC6553" w:rsidRPr="000B6FD6" w:rsidRDefault="00BC6553" w:rsidP="000B6FD6">
            <w:pPr>
              <w:spacing w:after="0" w:line="240" w:lineRule="auto"/>
              <w:jc w:val="both"/>
              <w:rPr>
                <w:rFonts w:eastAsia="Times New Roman"/>
                <w:sz w:val="20"/>
                <w:szCs w:val="20"/>
              </w:rPr>
            </w:pPr>
            <w:r w:rsidRPr="000B6FD6">
              <w:rPr>
                <w:rFonts w:eastAsia="Times New Roman"/>
                <w:sz w:val="20"/>
                <w:szCs w:val="20"/>
              </w:rPr>
              <w:t xml:space="preserve">Telework </w:t>
            </w:r>
            <w:r w:rsidR="006201A6">
              <w:rPr>
                <w:rFonts w:eastAsia="Times New Roman"/>
                <w:sz w:val="20"/>
                <w:szCs w:val="20"/>
              </w:rPr>
              <w:t xml:space="preserve">lifestyle </w:t>
            </w:r>
            <w:r w:rsidRPr="000B6FD6">
              <w:rPr>
                <w:rFonts w:eastAsia="Times New Roman"/>
                <w:sz w:val="20"/>
                <w:szCs w:val="20"/>
              </w:rPr>
              <w:t>propensity</w:t>
            </w:r>
          </w:p>
        </w:tc>
        <w:tc>
          <w:tcPr>
            <w:tcW w:w="564" w:type="dxa"/>
            <w:tcBorders>
              <w:top w:val="nil"/>
              <w:left w:val="single" w:sz="12" w:space="0" w:color="auto"/>
              <w:bottom w:val="single" w:sz="12" w:space="0" w:color="auto"/>
              <w:right w:val="nil"/>
            </w:tcBorders>
            <w:shd w:val="clear" w:color="auto" w:fill="auto"/>
            <w:noWrap/>
            <w:vAlign w:val="bottom"/>
            <w:hideMark/>
          </w:tcPr>
          <w:p w14:paraId="536AC214" w14:textId="5BE83210" w:rsidR="00BC6553" w:rsidRPr="000B6FD6" w:rsidRDefault="00BC6553" w:rsidP="000B6FD6">
            <w:pPr>
              <w:tabs>
                <w:tab w:val="decimal" w:pos="231"/>
              </w:tabs>
              <w:spacing w:after="0" w:line="240" w:lineRule="auto"/>
              <w:jc w:val="both"/>
              <w:rPr>
                <w:rFonts w:eastAsia="Times New Roman"/>
                <w:color w:val="FF0000"/>
                <w:sz w:val="20"/>
                <w:szCs w:val="20"/>
              </w:rPr>
            </w:pPr>
            <w:r w:rsidRPr="000B6FD6">
              <w:rPr>
                <w:color w:val="000000"/>
                <w:sz w:val="20"/>
                <w:szCs w:val="20"/>
              </w:rPr>
              <w:t>-0.09</w:t>
            </w:r>
          </w:p>
        </w:tc>
        <w:tc>
          <w:tcPr>
            <w:tcW w:w="660" w:type="dxa"/>
            <w:tcBorders>
              <w:top w:val="nil"/>
              <w:left w:val="nil"/>
              <w:bottom w:val="single" w:sz="12" w:space="0" w:color="auto"/>
              <w:right w:val="single" w:sz="4" w:space="0" w:color="auto"/>
            </w:tcBorders>
            <w:shd w:val="clear" w:color="auto" w:fill="auto"/>
            <w:noWrap/>
            <w:vAlign w:val="bottom"/>
            <w:hideMark/>
          </w:tcPr>
          <w:p w14:paraId="41A45D72" w14:textId="18CCCBA0" w:rsidR="00BC6553" w:rsidRPr="000B6FD6" w:rsidRDefault="00BC6553" w:rsidP="000B6FD6">
            <w:pPr>
              <w:tabs>
                <w:tab w:val="decimal" w:pos="207"/>
              </w:tabs>
              <w:spacing w:after="0" w:line="240" w:lineRule="auto"/>
              <w:jc w:val="both"/>
              <w:rPr>
                <w:rFonts w:eastAsia="Times New Roman"/>
                <w:color w:val="FF0000"/>
                <w:sz w:val="20"/>
                <w:szCs w:val="20"/>
              </w:rPr>
            </w:pPr>
            <w:r w:rsidRPr="000B6FD6">
              <w:rPr>
                <w:color w:val="000000"/>
                <w:sz w:val="20"/>
                <w:szCs w:val="20"/>
              </w:rPr>
              <w:t>-1.23</w:t>
            </w:r>
          </w:p>
        </w:tc>
        <w:tc>
          <w:tcPr>
            <w:tcW w:w="564" w:type="dxa"/>
            <w:tcBorders>
              <w:top w:val="nil"/>
              <w:left w:val="nil"/>
              <w:bottom w:val="single" w:sz="12" w:space="0" w:color="auto"/>
              <w:right w:val="nil"/>
            </w:tcBorders>
            <w:shd w:val="clear" w:color="auto" w:fill="auto"/>
            <w:noWrap/>
            <w:vAlign w:val="center"/>
            <w:hideMark/>
          </w:tcPr>
          <w:p w14:paraId="59A1B2A2" w14:textId="198D481E" w:rsidR="00BC6553" w:rsidRPr="000B6FD6" w:rsidRDefault="0058240A" w:rsidP="0058240A">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single" w:sz="12" w:space="0" w:color="auto"/>
              <w:right w:val="nil"/>
            </w:tcBorders>
            <w:shd w:val="clear" w:color="auto" w:fill="auto"/>
            <w:noWrap/>
            <w:vAlign w:val="center"/>
            <w:hideMark/>
          </w:tcPr>
          <w:p w14:paraId="2B4ED0FC" w14:textId="77777777" w:rsidR="00BC6553" w:rsidRPr="000B6FD6" w:rsidRDefault="00BC6553" w:rsidP="000B6FD6">
            <w:pPr>
              <w:tabs>
                <w:tab w:val="decimal" w:pos="243"/>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single" w:sz="4" w:space="0" w:color="auto"/>
              <w:bottom w:val="single" w:sz="12" w:space="0" w:color="auto"/>
              <w:right w:val="nil"/>
            </w:tcBorders>
            <w:shd w:val="clear" w:color="auto" w:fill="auto"/>
            <w:noWrap/>
            <w:vAlign w:val="center"/>
            <w:hideMark/>
          </w:tcPr>
          <w:p w14:paraId="09B42F1D" w14:textId="18FFFCF0" w:rsidR="00BC6553" w:rsidRPr="000B6FD6" w:rsidRDefault="0058240A" w:rsidP="0058240A">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single" w:sz="12" w:space="0" w:color="auto"/>
              <w:right w:val="nil"/>
            </w:tcBorders>
            <w:shd w:val="clear" w:color="auto" w:fill="auto"/>
            <w:noWrap/>
            <w:vAlign w:val="center"/>
            <w:hideMark/>
          </w:tcPr>
          <w:p w14:paraId="60801DA9" w14:textId="77777777" w:rsidR="00BC6553" w:rsidRPr="000B6FD6" w:rsidRDefault="00BC6553"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single" w:sz="4" w:space="0" w:color="auto"/>
              <w:bottom w:val="single" w:sz="12" w:space="0" w:color="auto"/>
              <w:right w:val="nil"/>
            </w:tcBorders>
            <w:shd w:val="clear" w:color="auto" w:fill="auto"/>
            <w:noWrap/>
            <w:vAlign w:val="center"/>
            <w:hideMark/>
          </w:tcPr>
          <w:p w14:paraId="2DFECA17" w14:textId="34D88AA9" w:rsidR="00BC6553" w:rsidRPr="000B6FD6" w:rsidRDefault="0058240A" w:rsidP="0058240A">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single" w:sz="12" w:space="0" w:color="auto"/>
              <w:right w:val="nil"/>
            </w:tcBorders>
            <w:shd w:val="clear" w:color="auto" w:fill="auto"/>
            <w:noWrap/>
            <w:vAlign w:val="center"/>
            <w:hideMark/>
          </w:tcPr>
          <w:p w14:paraId="229BAB33" w14:textId="77777777" w:rsidR="00BC6553" w:rsidRPr="000B6FD6" w:rsidRDefault="00BC6553" w:rsidP="000B6FD6">
            <w:pPr>
              <w:tabs>
                <w:tab w:val="decimal" w:pos="163"/>
              </w:tabs>
              <w:spacing w:after="0" w:line="240" w:lineRule="auto"/>
              <w:jc w:val="both"/>
              <w:rPr>
                <w:rFonts w:eastAsia="Times New Roman"/>
                <w:sz w:val="20"/>
                <w:szCs w:val="20"/>
              </w:rPr>
            </w:pPr>
            <w:r w:rsidRPr="000B6FD6">
              <w:rPr>
                <w:rFonts w:eastAsia="Times New Roman"/>
                <w:sz w:val="20"/>
                <w:szCs w:val="20"/>
              </w:rPr>
              <w:t> </w:t>
            </w:r>
          </w:p>
        </w:tc>
        <w:tc>
          <w:tcPr>
            <w:tcW w:w="574" w:type="dxa"/>
            <w:tcBorders>
              <w:top w:val="nil"/>
              <w:left w:val="single" w:sz="4" w:space="0" w:color="auto"/>
              <w:bottom w:val="single" w:sz="12" w:space="0" w:color="auto"/>
              <w:right w:val="nil"/>
            </w:tcBorders>
            <w:shd w:val="clear" w:color="auto" w:fill="auto"/>
            <w:noWrap/>
            <w:vAlign w:val="bottom"/>
            <w:hideMark/>
          </w:tcPr>
          <w:p w14:paraId="49038B02" w14:textId="77E2A3DE" w:rsidR="00BC6553" w:rsidRPr="000B6FD6" w:rsidRDefault="00BC6553" w:rsidP="000B6FD6">
            <w:pPr>
              <w:tabs>
                <w:tab w:val="decimal" w:pos="197"/>
              </w:tabs>
              <w:spacing w:after="0" w:line="240" w:lineRule="auto"/>
              <w:jc w:val="both"/>
              <w:rPr>
                <w:rFonts w:eastAsia="Times New Roman"/>
                <w:sz w:val="20"/>
                <w:szCs w:val="20"/>
              </w:rPr>
            </w:pPr>
            <w:r w:rsidRPr="000B6FD6">
              <w:rPr>
                <w:color w:val="000000"/>
                <w:sz w:val="20"/>
                <w:szCs w:val="20"/>
              </w:rPr>
              <w:t>0.11</w:t>
            </w:r>
          </w:p>
        </w:tc>
        <w:tc>
          <w:tcPr>
            <w:tcW w:w="586" w:type="dxa"/>
            <w:tcBorders>
              <w:top w:val="nil"/>
              <w:left w:val="nil"/>
              <w:bottom w:val="single" w:sz="12" w:space="0" w:color="auto"/>
              <w:right w:val="single" w:sz="4" w:space="0" w:color="auto"/>
            </w:tcBorders>
            <w:shd w:val="clear" w:color="auto" w:fill="auto"/>
            <w:noWrap/>
            <w:vAlign w:val="bottom"/>
            <w:hideMark/>
          </w:tcPr>
          <w:p w14:paraId="27F8B082" w14:textId="6743A40D" w:rsidR="00BC6553" w:rsidRPr="000B6FD6" w:rsidRDefault="00BC6553" w:rsidP="000B6FD6">
            <w:pPr>
              <w:tabs>
                <w:tab w:val="decimal" w:pos="247"/>
              </w:tabs>
              <w:spacing w:after="0" w:line="240" w:lineRule="auto"/>
              <w:jc w:val="both"/>
              <w:rPr>
                <w:rFonts w:eastAsia="Times New Roman"/>
                <w:sz w:val="20"/>
                <w:szCs w:val="20"/>
              </w:rPr>
            </w:pPr>
            <w:r w:rsidRPr="000B6FD6">
              <w:rPr>
                <w:color w:val="000000"/>
                <w:sz w:val="20"/>
                <w:szCs w:val="20"/>
              </w:rPr>
              <w:t>3.31</w:t>
            </w:r>
          </w:p>
        </w:tc>
        <w:tc>
          <w:tcPr>
            <w:tcW w:w="580" w:type="dxa"/>
            <w:tcBorders>
              <w:top w:val="nil"/>
              <w:left w:val="nil"/>
              <w:bottom w:val="single" w:sz="12" w:space="0" w:color="auto"/>
              <w:right w:val="nil"/>
            </w:tcBorders>
            <w:shd w:val="clear" w:color="auto" w:fill="auto"/>
            <w:noWrap/>
            <w:vAlign w:val="center"/>
            <w:hideMark/>
          </w:tcPr>
          <w:p w14:paraId="0A982A78" w14:textId="415DDEA4" w:rsidR="00BC6553" w:rsidRPr="000B6FD6" w:rsidRDefault="0058240A" w:rsidP="0058240A">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nil"/>
            </w:tcBorders>
            <w:shd w:val="clear" w:color="auto" w:fill="auto"/>
            <w:noWrap/>
            <w:vAlign w:val="center"/>
            <w:hideMark/>
          </w:tcPr>
          <w:p w14:paraId="0AA1FCC3" w14:textId="77777777" w:rsidR="00BC6553" w:rsidRPr="000B6FD6" w:rsidRDefault="00BC6553" w:rsidP="000B6FD6">
            <w:pPr>
              <w:tabs>
                <w:tab w:val="decimal" w:pos="256"/>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single" w:sz="4" w:space="0" w:color="auto"/>
              <w:bottom w:val="single" w:sz="12" w:space="0" w:color="auto"/>
              <w:right w:val="nil"/>
            </w:tcBorders>
            <w:shd w:val="clear" w:color="auto" w:fill="auto"/>
            <w:noWrap/>
            <w:vAlign w:val="bottom"/>
            <w:hideMark/>
          </w:tcPr>
          <w:p w14:paraId="036A7D0A" w14:textId="7E874794" w:rsidR="00BC6553" w:rsidRPr="000B6FD6" w:rsidRDefault="00BC6553" w:rsidP="000B6FD6">
            <w:pPr>
              <w:tabs>
                <w:tab w:val="decimal" w:pos="229"/>
              </w:tabs>
              <w:spacing w:after="0" w:line="240" w:lineRule="auto"/>
              <w:jc w:val="both"/>
              <w:rPr>
                <w:rFonts w:eastAsia="Times New Roman"/>
                <w:sz w:val="20"/>
                <w:szCs w:val="20"/>
              </w:rPr>
            </w:pPr>
            <w:r w:rsidRPr="000B6FD6">
              <w:rPr>
                <w:color w:val="000000"/>
                <w:sz w:val="20"/>
                <w:szCs w:val="20"/>
              </w:rPr>
              <w:t>0.09</w:t>
            </w:r>
          </w:p>
        </w:tc>
        <w:tc>
          <w:tcPr>
            <w:tcW w:w="500" w:type="dxa"/>
            <w:tcBorders>
              <w:top w:val="nil"/>
              <w:left w:val="nil"/>
              <w:bottom w:val="single" w:sz="12" w:space="0" w:color="auto"/>
              <w:right w:val="single" w:sz="4" w:space="0" w:color="auto"/>
            </w:tcBorders>
            <w:shd w:val="clear" w:color="auto" w:fill="auto"/>
            <w:noWrap/>
            <w:vAlign w:val="bottom"/>
            <w:hideMark/>
          </w:tcPr>
          <w:p w14:paraId="274BA4F4" w14:textId="61E9E103" w:rsidR="00BC6553" w:rsidRPr="000B6FD6" w:rsidRDefault="00BC6553" w:rsidP="000B6FD6">
            <w:pPr>
              <w:tabs>
                <w:tab w:val="decimal" w:pos="170"/>
              </w:tabs>
              <w:spacing w:after="0" w:line="240" w:lineRule="auto"/>
              <w:jc w:val="both"/>
              <w:rPr>
                <w:rFonts w:eastAsia="Times New Roman"/>
                <w:sz w:val="20"/>
                <w:szCs w:val="20"/>
              </w:rPr>
            </w:pPr>
            <w:r w:rsidRPr="000B6FD6">
              <w:rPr>
                <w:color w:val="000000"/>
                <w:sz w:val="20"/>
                <w:szCs w:val="20"/>
              </w:rPr>
              <w:t>2.25</w:t>
            </w:r>
          </w:p>
        </w:tc>
        <w:tc>
          <w:tcPr>
            <w:tcW w:w="600" w:type="dxa"/>
            <w:tcBorders>
              <w:top w:val="nil"/>
              <w:left w:val="nil"/>
              <w:bottom w:val="single" w:sz="12" w:space="0" w:color="auto"/>
              <w:right w:val="nil"/>
            </w:tcBorders>
            <w:shd w:val="clear" w:color="auto" w:fill="auto"/>
            <w:noWrap/>
            <w:vAlign w:val="center"/>
            <w:hideMark/>
          </w:tcPr>
          <w:p w14:paraId="1C03E096" w14:textId="6EEE5E55" w:rsidR="00BC6553" w:rsidRPr="000B6FD6" w:rsidRDefault="0058240A" w:rsidP="0058240A">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single" w:sz="12" w:space="0" w:color="auto"/>
              <w:right w:val="nil"/>
            </w:tcBorders>
            <w:shd w:val="clear" w:color="auto" w:fill="auto"/>
            <w:noWrap/>
            <w:vAlign w:val="center"/>
            <w:hideMark/>
          </w:tcPr>
          <w:p w14:paraId="5BCB99F5" w14:textId="77777777" w:rsidR="00BC6553" w:rsidRPr="000B6FD6" w:rsidRDefault="00BC6553" w:rsidP="000B6FD6">
            <w:pPr>
              <w:tabs>
                <w:tab w:val="decimal" w:pos="151"/>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single" w:sz="4" w:space="0" w:color="auto"/>
              <w:bottom w:val="single" w:sz="12" w:space="0" w:color="auto"/>
              <w:right w:val="nil"/>
            </w:tcBorders>
            <w:shd w:val="clear" w:color="auto" w:fill="auto"/>
            <w:noWrap/>
            <w:vAlign w:val="bottom"/>
            <w:hideMark/>
          </w:tcPr>
          <w:p w14:paraId="2CDE2013" w14:textId="158EF910" w:rsidR="00BC6553" w:rsidRPr="000B6FD6" w:rsidRDefault="00BC6553" w:rsidP="000B6FD6">
            <w:pPr>
              <w:tabs>
                <w:tab w:val="decimal" w:pos="191"/>
              </w:tabs>
              <w:spacing w:after="0" w:line="240" w:lineRule="auto"/>
              <w:jc w:val="both"/>
              <w:rPr>
                <w:rFonts w:eastAsia="Times New Roman"/>
                <w:sz w:val="20"/>
                <w:szCs w:val="20"/>
              </w:rPr>
            </w:pPr>
            <w:r w:rsidRPr="000B6FD6">
              <w:rPr>
                <w:color w:val="000000"/>
                <w:sz w:val="20"/>
                <w:szCs w:val="20"/>
              </w:rPr>
              <w:t>0.13</w:t>
            </w:r>
          </w:p>
        </w:tc>
        <w:tc>
          <w:tcPr>
            <w:tcW w:w="520" w:type="dxa"/>
            <w:tcBorders>
              <w:top w:val="nil"/>
              <w:left w:val="nil"/>
              <w:bottom w:val="single" w:sz="12" w:space="0" w:color="auto"/>
              <w:right w:val="single" w:sz="4" w:space="0" w:color="auto"/>
            </w:tcBorders>
            <w:shd w:val="clear" w:color="auto" w:fill="auto"/>
            <w:noWrap/>
            <w:vAlign w:val="bottom"/>
            <w:hideMark/>
          </w:tcPr>
          <w:p w14:paraId="60814B19" w14:textId="6F777D84" w:rsidR="00BC6553" w:rsidRPr="000B6FD6" w:rsidRDefault="00BC6553" w:rsidP="000B6FD6">
            <w:pPr>
              <w:tabs>
                <w:tab w:val="decimal" w:pos="239"/>
              </w:tabs>
              <w:spacing w:after="0" w:line="240" w:lineRule="auto"/>
              <w:jc w:val="both"/>
              <w:rPr>
                <w:rFonts w:eastAsia="Times New Roman"/>
                <w:sz w:val="20"/>
                <w:szCs w:val="20"/>
              </w:rPr>
            </w:pPr>
            <w:r w:rsidRPr="000B6FD6">
              <w:rPr>
                <w:color w:val="000000"/>
                <w:sz w:val="20"/>
                <w:szCs w:val="20"/>
              </w:rPr>
              <w:t>4.68</w:t>
            </w:r>
          </w:p>
        </w:tc>
        <w:tc>
          <w:tcPr>
            <w:tcW w:w="564" w:type="dxa"/>
            <w:tcBorders>
              <w:top w:val="nil"/>
              <w:left w:val="nil"/>
              <w:bottom w:val="single" w:sz="12" w:space="0" w:color="auto"/>
              <w:right w:val="nil"/>
            </w:tcBorders>
            <w:shd w:val="clear" w:color="auto" w:fill="auto"/>
            <w:noWrap/>
            <w:vAlign w:val="bottom"/>
          </w:tcPr>
          <w:p w14:paraId="5B2AE1E3" w14:textId="0DB276B4" w:rsidR="00BC6553" w:rsidRPr="000B6FD6" w:rsidRDefault="00E549C3" w:rsidP="000B6FD6">
            <w:pPr>
              <w:tabs>
                <w:tab w:val="decimal" w:pos="232"/>
              </w:tabs>
              <w:spacing w:after="0" w:line="240" w:lineRule="auto"/>
              <w:jc w:val="both"/>
              <w:rPr>
                <w:rFonts w:eastAsia="Times New Roman"/>
                <w:sz w:val="20"/>
                <w:szCs w:val="20"/>
              </w:rPr>
            </w:pPr>
            <w:r>
              <w:rPr>
                <w:rFonts w:eastAsia="Times New Roman"/>
                <w:sz w:val="20"/>
                <w:szCs w:val="20"/>
              </w:rPr>
              <w:t>0.05</w:t>
            </w:r>
          </w:p>
        </w:tc>
        <w:tc>
          <w:tcPr>
            <w:tcW w:w="508" w:type="dxa"/>
            <w:tcBorders>
              <w:top w:val="nil"/>
              <w:left w:val="nil"/>
              <w:bottom w:val="single" w:sz="12" w:space="0" w:color="auto"/>
              <w:right w:val="single" w:sz="12" w:space="0" w:color="auto"/>
            </w:tcBorders>
            <w:shd w:val="clear" w:color="auto" w:fill="auto"/>
            <w:noWrap/>
            <w:vAlign w:val="bottom"/>
          </w:tcPr>
          <w:p w14:paraId="17289935" w14:textId="1A4361ED" w:rsidR="00BC6553" w:rsidRPr="000B6FD6" w:rsidRDefault="00DB6D6B" w:rsidP="000B6FD6">
            <w:pPr>
              <w:tabs>
                <w:tab w:val="decimal" w:pos="208"/>
              </w:tabs>
              <w:spacing w:after="0" w:line="240" w:lineRule="auto"/>
              <w:jc w:val="both"/>
              <w:rPr>
                <w:rFonts w:eastAsia="Times New Roman"/>
                <w:sz w:val="20"/>
                <w:szCs w:val="20"/>
              </w:rPr>
            </w:pPr>
            <w:r>
              <w:rPr>
                <w:rFonts w:eastAsia="Times New Roman"/>
                <w:sz w:val="20"/>
                <w:szCs w:val="20"/>
              </w:rPr>
              <w:t>3.62</w:t>
            </w:r>
          </w:p>
        </w:tc>
      </w:tr>
      <w:tr w:rsidR="00584169" w:rsidRPr="000B6FD6" w14:paraId="66C32501" w14:textId="77777777" w:rsidTr="00794F9D">
        <w:trPr>
          <w:trHeight w:val="216"/>
          <w:jc w:val="center"/>
        </w:trPr>
        <w:tc>
          <w:tcPr>
            <w:tcW w:w="3235" w:type="dxa"/>
            <w:tcBorders>
              <w:top w:val="single" w:sz="12" w:space="0" w:color="auto"/>
              <w:left w:val="single" w:sz="12" w:space="0" w:color="auto"/>
              <w:bottom w:val="nil"/>
              <w:right w:val="single" w:sz="12" w:space="0" w:color="auto"/>
            </w:tcBorders>
            <w:shd w:val="clear" w:color="auto" w:fill="auto"/>
            <w:noWrap/>
            <w:vAlign w:val="bottom"/>
            <w:hideMark/>
          </w:tcPr>
          <w:p w14:paraId="54DD7E2D" w14:textId="77777777" w:rsidR="00584169" w:rsidRPr="000B6FD6" w:rsidRDefault="00584169" w:rsidP="000B6FD6">
            <w:pPr>
              <w:spacing w:after="0" w:line="240" w:lineRule="auto"/>
              <w:jc w:val="both"/>
              <w:rPr>
                <w:rFonts w:eastAsia="Times New Roman"/>
                <w:b/>
                <w:bCs/>
                <w:sz w:val="20"/>
                <w:szCs w:val="20"/>
              </w:rPr>
            </w:pPr>
            <w:r w:rsidRPr="000B6FD6">
              <w:rPr>
                <w:rFonts w:eastAsia="Times New Roman"/>
                <w:b/>
                <w:bCs/>
                <w:sz w:val="20"/>
                <w:szCs w:val="20"/>
              </w:rPr>
              <w:t>Exogenous Variables</w:t>
            </w:r>
          </w:p>
        </w:tc>
        <w:tc>
          <w:tcPr>
            <w:tcW w:w="564" w:type="dxa"/>
            <w:tcBorders>
              <w:top w:val="single" w:sz="12" w:space="0" w:color="auto"/>
              <w:left w:val="single" w:sz="12" w:space="0" w:color="auto"/>
              <w:bottom w:val="nil"/>
              <w:right w:val="nil"/>
            </w:tcBorders>
            <w:shd w:val="clear" w:color="auto" w:fill="auto"/>
            <w:noWrap/>
            <w:vAlign w:val="bottom"/>
            <w:hideMark/>
          </w:tcPr>
          <w:p w14:paraId="503E6E72" w14:textId="77777777" w:rsidR="00584169" w:rsidRPr="000B6FD6" w:rsidRDefault="00584169" w:rsidP="000B6FD6">
            <w:pPr>
              <w:tabs>
                <w:tab w:val="decimal" w:pos="231"/>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660" w:type="dxa"/>
            <w:tcBorders>
              <w:top w:val="single" w:sz="12" w:space="0" w:color="auto"/>
              <w:left w:val="nil"/>
              <w:bottom w:val="nil"/>
              <w:right w:val="single" w:sz="4" w:space="0" w:color="auto"/>
            </w:tcBorders>
            <w:shd w:val="clear" w:color="auto" w:fill="auto"/>
            <w:noWrap/>
            <w:vAlign w:val="bottom"/>
            <w:hideMark/>
          </w:tcPr>
          <w:p w14:paraId="061FED0D" w14:textId="77777777" w:rsidR="00584169" w:rsidRPr="000B6FD6" w:rsidRDefault="00584169" w:rsidP="000B6FD6">
            <w:pPr>
              <w:tabs>
                <w:tab w:val="decimal" w:pos="207"/>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64" w:type="dxa"/>
            <w:tcBorders>
              <w:top w:val="single" w:sz="12" w:space="0" w:color="auto"/>
              <w:left w:val="nil"/>
              <w:bottom w:val="nil"/>
              <w:right w:val="nil"/>
            </w:tcBorders>
            <w:shd w:val="clear" w:color="auto" w:fill="auto"/>
            <w:noWrap/>
            <w:vAlign w:val="bottom"/>
            <w:hideMark/>
          </w:tcPr>
          <w:p w14:paraId="11D5B2D7" w14:textId="77777777" w:rsidR="00584169" w:rsidRPr="000B6FD6" w:rsidRDefault="00584169" w:rsidP="000B6FD6">
            <w:pPr>
              <w:tabs>
                <w:tab w:val="decimal" w:pos="180"/>
              </w:tabs>
              <w:spacing w:after="0" w:line="240" w:lineRule="auto"/>
              <w:jc w:val="both"/>
              <w:rPr>
                <w:rFonts w:eastAsia="Times New Roman"/>
                <w:color w:val="000000"/>
                <w:sz w:val="20"/>
                <w:szCs w:val="20"/>
              </w:rPr>
            </w:pPr>
          </w:p>
        </w:tc>
        <w:tc>
          <w:tcPr>
            <w:tcW w:w="516" w:type="dxa"/>
            <w:tcBorders>
              <w:top w:val="single" w:sz="12" w:space="0" w:color="auto"/>
              <w:left w:val="nil"/>
              <w:bottom w:val="nil"/>
              <w:right w:val="nil"/>
            </w:tcBorders>
            <w:shd w:val="clear" w:color="auto" w:fill="auto"/>
            <w:noWrap/>
            <w:vAlign w:val="bottom"/>
            <w:hideMark/>
          </w:tcPr>
          <w:p w14:paraId="4E3A8E8A"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single" w:sz="12" w:space="0" w:color="auto"/>
              <w:left w:val="single" w:sz="4" w:space="0" w:color="auto"/>
              <w:bottom w:val="nil"/>
              <w:right w:val="nil"/>
            </w:tcBorders>
            <w:shd w:val="clear" w:color="auto" w:fill="auto"/>
            <w:noWrap/>
            <w:vAlign w:val="bottom"/>
            <w:hideMark/>
          </w:tcPr>
          <w:p w14:paraId="377B12F5" w14:textId="77777777" w:rsidR="00584169" w:rsidRPr="000B6FD6" w:rsidRDefault="00584169" w:rsidP="000B6FD6">
            <w:pPr>
              <w:tabs>
                <w:tab w:val="decimal" w:pos="141"/>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16" w:type="dxa"/>
            <w:tcBorders>
              <w:top w:val="single" w:sz="12" w:space="0" w:color="auto"/>
              <w:left w:val="nil"/>
              <w:bottom w:val="nil"/>
              <w:right w:val="single" w:sz="4" w:space="0" w:color="auto"/>
            </w:tcBorders>
            <w:shd w:val="clear" w:color="auto" w:fill="auto"/>
            <w:noWrap/>
            <w:vAlign w:val="bottom"/>
            <w:hideMark/>
          </w:tcPr>
          <w:p w14:paraId="07931E25" w14:textId="77777777" w:rsidR="00584169" w:rsidRPr="000B6FD6" w:rsidRDefault="00584169" w:rsidP="000B6FD6">
            <w:pPr>
              <w:tabs>
                <w:tab w:val="decimal" w:pos="12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610" w:type="dxa"/>
            <w:tcBorders>
              <w:top w:val="single" w:sz="12" w:space="0" w:color="auto"/>
              <w:left w:val="nil"/>
              <w:bottom w:val="nil"/>
              <w:right w:val="nil"/>
            </w:tcBorders>
            <w:shd w:val="clear" w:color="auto" w:fill="auto"/>
            <w:noWrap/>
            <w:vAlign w:val="bottom"/>
            <w:hideMark/>
          </w:tcPr>
          <w:p w14:paraId="31F81C74" w14:textId="77777777" w:rsidR="00584169" w:rsidRPr="000B6FD6" w:rsidRDefault="00584169" w:rsidP="000B6FD6">
            <w:pPr>
              <w:tabs>
                <w:tab w:val="decimal" w:pos="141"/>
              </w:tabs>
              <w:spacing w:after="0" w:line="240" w:lineRule="auto"/>
              <w:jc w:val="both"/>
              <w:rPr>
                <w:rFonts w:eastAsia="Times New Roman"/>
                <w:color w:val="000000"/>
                <w:sz w:val="20"/>
                <w:szCs w:val="20"/>
              </w:rPr>
            </w:pPr>
          </w:p>
        </w:tc>
        <w:tc>
          <w:tcPr>
            <w:tcW w:w="508" w:type="dxa"/>
            <w:tcBorders>
              <w:top w:val="single" w:sz="12" w:space="0" w:color="auto"/>
              <w:left w:val="nil"/>
              <w:bottom w:val="nil"/>
              <w:right w:val="nil"/>
            </w:tcBorders>
            <w:shd w:val="clear" w:color="auto" w:fill="auto"/>
            <w:noWrap/>
            <w:vAlign w:val="bottom"/>
            <w:hideMark/>
          </w:tcPr>
          <w:p w14:paraId="16684BA9"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single" w:sz="12" w:space="0" w:color="auto"/>
              <w:left w:val="single" w:sz="4" w:space="0" w:color="auto"/>
              <w:bottom w:val="nil"/>
              <w:right w:val="nil"/>
            </w:tcBorders>
            <w:shd w:val="clear" w:color="auto" w:fill="auto"/>
            <w:noWrap/>
            <w:vAlign w:val="bottom"/>
            <w:hideMark/>
          </w:tcPr>
          <w:p w14:paraId="3A2B4ABE" w14:textId="77777777" w:rsidR="00584169" w:rsidRPr="000B6FD6" w:rsidRDefault="00584169" w:rsidP="000B6FD6">
            <w:pPr>
              <w:tabs>
                <w:tab w:val="decimal" w:pos="197"/>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86" w:type="dxa"/>
            <w:tcBorders>
              <w:top w:val="single" w:sz="12" w:space="0" w:color="auto"/>
              <w:left w:val="nil"/>
              <w:bottom w:val="nil"/>
              <w:right w:val="single" w:sz="4" w:space="0" w:color="auto"/>
            </w:tcBorders>
            <w:shd w:val="clear" w:color="auto" w:fill="auto"/>
            <w:noWrap/>
            <w:vAlign w:val="bottom"/>
            <w:hideMark/>
          </w:tcPr>
          <w:p w14:paraId="29DF2547" w14:textId="77777777" w:rsidR="00584169" w:rsidRPr="000B6FD6" w:rsidRDefault="00584169" w:rsidP="000B6FD6">
            <w:pPr>
              <w:tabs>
                <w:tab w:val="decimal" w:pos="247"/>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80" w:type="dxa"/>
            <w:tcBorders>
              <w:top w:val="single" w:sz="12" w:space="0" w:color="auto"/>
              <w:left w:val="nil"/>
              <w:bottom w:val="nil"/>
              <w:right w:val="nil"/>
            </w:tcBorders>
            <w:shd w:val="clear" w:color="auto" w:fill="auto"/>
            <w:noWrap/>
            <w:vAlign w:val="bottom"/>
            <w:hideMark/>
          </w:tcPr>
          <w:p w14:paraId="70A5EEDB" w14:textId="77777777" w:rsidR="00584169" w:rsidRPr="000B6FD6" w:rsidRDefault="00584169" w:rsidP="000B6FD6">
            <w:pPr>
              <w:tabs>
                <w:tab w:val="decimal" w:pos="207"/>
              </w:tabs>
              <w:spacing w:after="0" w:line="240" w:lineRule="auto"/>
              <w:jc w:val="both"/>
              <w:rPr>
                <w:rFonts w:eastAsia="Times New Roman"/>
                <w:color w:val="000000"/>
                <w:sz w:val="20"/>
                <w:szCs w:val="20"/>
              </w:rPr>
            </w:pPr>
          </w:p>
        </w:tc>
        <w:tc>
          <w:tcPr>
            <w:tcW w:w="520" w:type="dxa"/>
            <w:tcBorders>
              <w:top w:val="single" w:sz="12" w:space="0" w:color="auto"/>
              <w:left w:val="nil"/>
              <w:bottom w:val="nil"/>
              <w:right w:val="nil"/>
            </w:tcBorders>
            <w:shd w:val="clear" w:color="auto" w:fill="auto"/>
            <w:noWrap/>
            <w:vAlign w:val="bottom"/>
            <w:hideMark/>
          </w:tcPr>
          <w:p w14:paraId="28C92E23"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bottom"/>
            <w:hideMark/>
          </w:tcPr>
          <w:p w14:paraId="48FBC1D1" w14:textId="77777777" w:rsidR="00584169" w:rsidRPr="000B6FD6" w:rsidRDefault="00584169" w:rsidP="000B6FD6">
            <w:pPr>
              <w:tabs>
                <w:tab w:val="decimal" w:pos="22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00" w:type="dxa"/>
            <w:tcBorders>
              <w:top w:val="single" w:sz="12" w:space="0" w:color="auto"/>
              <w:left w:val="nil"/>
              <w:bottom w:val="nil"/>
              <w:right w:val="single" w:sz="4" w:space="0" w:color="auto"/>
            </w:tcBorders>
            <w:shd w:val="clear" w:color="auto" w:fill="auto"/>
            <w:noWrap/>
            <w:vAlign w:val="bottom"/>
            <w:hideMark/>
          </w:tcPr>
          <w:p w14:paraId="7D47453D" w14:textId="77777777" w:rsidR="00584169" w:rsidRPr="000B6FD6" w:rsidRDefault="00584169" w:rsidP="000B6FD6">
            <w:pPr>
              <w:tabs>
                <w:tab w:val="decimal" w:pos="170"/>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600" w:type="dxa"/>
            <w:tcBorders>
              <w:top w:val="single" w:sz="12" w:space="0" w:color="auto"/>
              <w:left w:val="nil"/>
              <w:bottom w:val="nil"/>
              <w:right w:val="nil"/>
            </w:tcBorders>
            <w:shd w:val="clear" w:color="auto" w:fill="auto"/>
            <w:noWrap/>
            <w:vAlign w:val="bottom"/>
            <w:hideMark/>
          </w:tcPr>
          <w:p w14:paraId="32383EF4" w14:textId="77777777" w:rsidR="00584169" w:rsidRPr="000B6FD6" w:rsidRDefault="00584169" w:rsidP="000B6FD6">
            <w:pPr>
              <w:tabs>
                <w:tab w:val="decimal" w:pos="210"/>
              </w:tabs>
              <w:spacing w:after="0" w:line="240" w:lineRule="auto"/>
              <w:jc w:val="both"/>
              <w:rPr>
                <w:rFonts w:eastAsia="Times New Roman"/>
                <w:color w:val="000000"/>
                <w:sz w:val="20"/>
                <w:szCs w:val="20"/>
              </w:rPr>
            </w:pPr>
          </w:p>
        </w:tc>
        <w:tc>
          <w:tcPr>
            <w:tcW w:w="500" w:type="dxa"/>
            <w:tcBorders>
              <w:top w:val="single" w:sz="12" w:space="0" w:color="auto"/>
              <w:left w:val="nil"/>
              <w:bottom w:val="nil"/>
              <w:right w:val="nil"/>
            </w:tcBorders>
            <w:shd w:val="clear" w:color="auto" w:fill="auto"/>
            <w:noWrap/>
            <w:vAlign w:val="bottom"/>
            <w:hideMark/>
          </w:tcPr>
          <w:p w14:paraId="32D3F1FB"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single" w:sz="12" w:space="0" w:color="auto"/>
              <w:left w:val="single" w:sz="4" w:space="0" w:color="auto"/>
              <w:bottom w:val="nil"/>
              <w:right w:val="nil"/>
            </w:tcBorders>
            <w:shd w:val="clear" w:color="auto" w:fill="auto"/>
            <w:noWrap/>
            <w:vAlign w:val="bottom"/>
            <w:hideMark/>
          </w:tcPr>
          <w:p w14:paraId="07F6EDC6" w14:textId="77777777" w:rsidR="00584169" w:rsidRPr="000B6FD6" w:rsidRDefault="00584169" w:rsidP="000B6FD6">
            <w:pPr>
              <w:tabs>
                <w:tab w:val="decimal" w:pos="191"/>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20" w:type="dxa"/>
            <w:tcBorders>
              <w:top w:val="single" w:sz="12" w:space="0" w:color="auto"/>
              <w:left w:val="nil"/>
              <w:bottom w:val="nil"/>
              <w:right w:val="single" w:sz="4" w:space="0" w:color="auto"/>
            </w:tcBorders>
            <w:shd w:val="clear" w:color="auto" w:fill="auto"/>
            <w:noWrap/>
            <w:vAlign w:val="bottom"/>
            <w:hideMark/>
          </w:tcPr>
          <w:p w14:paraId="270C7243" w14:textId="77777777" w:rsidR="00584169" w:rsidRPr="000B6FD6" w:rsidRDefault="00584169" w:rsidP="000B6FD6">
            <w:pPr>
              <w:tabs>
                <w:tab w:val="decimal" w:pos="239"/>
              </w:tabs>
              <w:spacing w:after="0" w:line="240" w:lineRule="auto"/>
              <w:jc w:val="both"/>
              <w:rPr>
                <w:rFonts w:eastAsia="Times New Roman"/>
                <w:color w:val="000000"/>
                <w:sz w:val="20"/>
                <w:szCs w:val="20"/>
              </w:rPr>
            </w:pPr>
            <w:r w:rsidRPr="000B6FD6">
              <w:rPr>
                <w:rFonts w:eastAsia="Times New Roman"/>
                <w:color w:val="000000"/>
                <w:sz w:val="20"/>
                <w:szCs w:val="20"/>
              </w:rPr>
              <w:t> </w:t>
            </w:r>
          </w:p>
        </w:tc>
        <w:tc>
          <w:tcPr>
            <w:tcW w:w="564" w:type="dxa"/>
            <w:tcBorders>
              <w:top w:val="single" w:sz="12" w:space="0" w:color="auto"/>
              <w:left w:val="nil"/>
              <w:bottom w:val="nil"/>
              <w:right w:val="nil"/>
            </w:tcBorders>
            <w:shd w:val="clear" w:color="auto" w:fill="auto"/>
            <w:noWrap/>
            <w:vAlign w:val="bottom"/>
          </w:tcPr>
          <w:p w14:paraId="23884A0F" w14:textId="52ECD3FF" w:rsidR="00584169" w:rsidRPr="000B6FD6" w:rsidRDefault="00584169" w:rsidP="000B6FD6">
            <w:pPr>
              <w:tabs>
                <w:tab w:val="decimal" w:pos="232"/>
              </w:tabs>
              <w:spacing w:after="0" w:line="240" w:lineRule="auto"/>
              <w:jc w:val="both"/>
              <w:rPr>
                <w:rFonts w:eastAsia="Times New Roman"/>
                <w:color w:val="000000"/>
                <w:sz w:val="20"/>
                <w:szCs w:val="20"/>
              </w:rPr>
            </w:pPr>
          </w:p>
        </w:tc>
        <w:tc>
          <w:tcPr>
            <w:tcW w:w="508" w:type="dxa"/>
            <w:tcBorders>
              <w:top w:val="single" w:sz="12" w:space="0" w:color="auto"/>
              <w:left w:val="nil"/>
              <w:bottom w:val="nil"/>
              <w:right w:val="single" w:sz="12" w:space="0" w:color="auto"/>
            </w:tcBorders>
            <w:shd w:val="clear" w:color="auto" w:fill="auto"/>
            <w:noWrap/>
            <w:vAlign w:val="bottom"/>
          </w:tcPr>
          <w:p w14:paraId="3E8DF37F" w14:textId="22528609" w:rsidR="00584169" w:rsidRPr="000B6FD6" w:rsidRDefault="00584169" w:rsidP="000B6FD6">
            <w:pPr>
              <w:tabs>
                <w:tab w:val="decimal" w:pos="208"/>
              </w:tabs>
              <w:spacing w:after="0" w:line="240" w:lineRule="auto"/>
              <w:jc w:val="both"/>
              <w:rPr>
                <w:rFonts w:eastAsia="Times New Roman"/>
                <w:color w:val="000000"/>
                <w:sz w:val="20"/>
                <w:szCs w:val="20"/>
              </w:rPr>
            </w:pPr>
          </w:p>
        </w:tc>
      </w:tr>
      <w:tr w:rsidR="00584169" w:rsidRPr="000B6FD6" w14:paraId="6467AB5F"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676F7758"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Household Composition (single adult)</w:t>
            </w:r>
          </w:p>
        </w:tc>
        <w:tc>
          <w:tcPr>
            <w:tcW w:w="564" w:type="dxa"/>
            <w:tcBorders>
              <w:top w:val="nil"/>
              <w:left w:val="single" w:sz="12" w:space="0" w:color="auto"/>
              <w:bottom w:val="nil"/>
              <w:right w:val="nil"/>
            </w:tcBorders>
            <w:shd w:val="clear" w:color="auto" w:fill="auto"/>
            <w:noWrap/>
            <w:vAlign w:val="center"/>
            <w:hideMark/>
          </w:tcPr>
          <w:p w14:paraId="3A425EF5" w14:textId="77777777" w:rsidR="00584169" w:rsidRPr="000B6FD6" w:rsidRDefault="00584169" w:rsidP="000B6FD6">
            <w:pPr>
              <w:tabs>
                <w:tab w:val="decimal" w:pos="231"/>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1F41BDBD"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3818C23E" w14:textId="68E90DC2" w:rsidR="00584169" w:rsidRPr="000B6FD6" w:rsidRDefault="00584169" w:rsidP="000B6FD6">
            <w:pPr>
              <w:tabs>
                <w:tab w:val="decimal" w:pos="180"/>
              </w:tabs>
              <w:spacing w:after="0" w:line="240" w:lineRule="auto"/>
              <w:jc w:val="both"/>
              <w:rPr>
                <w:rFonts w:eastAsia="Times New Roman"/>
                <w:sz w:val="20"/>
                <w:szCs w:val="20"/>
              </w:rPr>
            </w:pPr>
          </w:p>
        </w:tc>
        <w:tc>
          <w:tcPr>
            <w:tcW w:w="516" w:type="dxa"/>
            <w:tcBorders>
              <w:top w:val="nil"/>
              <w:left w:val="nil"/>
              <w:bottom w:val="nil"/>
              <w:right w:val="nil"/>
            </w:tcBorders>
            <w:shd w:val="clear" w:color="auto" w:fill="auto"/>
            <w:noWrap/>
            <w:vAlign w:val="center"/>
            <w:hideMark/>
          </w:tcPr>
          <w:p w14:paraId="28E0A269"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4CC36079"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16" w:type="dxa"/>
            <w:tcBorders>
              <w:top w:val="nil"/>
              <w:left w:val="nil"/>
              <w:bottom w:val="nil"/>
              <w:right w:val="single" w:sz="4" w:space="0" w:color="auto"/>
            </w:tcBorders>
            <w:shd w:val="clear" w:color="auto" w:fill="auto"/>
            <w:noWrap/>
            <w:vAlign w:val="center"/>
            <w:hideMark/>
          </w:tcPr>
          <w:p w14:paraId="7E58E2FC" w14:textId="77777777" w:rsidR="00584169" w:rsidRPr="000B6FD6" w:rsidRDefault="00584169"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3308E65E" w14:textId="77777777" w:rsidR="00584169" w:rsidRPr="000B6FD6" w:rsidRDefault="00584169" w:rsidP="000B6FD6">
            <w:pPr>
              <w:tabs>
                <w:tab w:val="decimal" w:pos="141"/>
              </w:tabs>
              <w:spacing w:after="0" w:line="240" w:lineRule="auto"/>
              <w:jc w:val="both"/>
              <w:rPr>
                <w:rFonts w:eastAsia="Times New Roman"/>
                <w:sz w:val="20"/>
                <w:szCs w:val="20"/>
              </w:rPr>
            </w:pPr>
          </w:p>
        </w:tc>
        <w:tc>
          <w:tcPr>
            <w:tcW w:w="508" w:type="dxa"/>
            <w:tcBorders>
              <w:top w:val="nil"/>
              <w:left w:val="nil"/>
              <w:bottom w:val="nil"/>
              <w:right w:val="nil"/>
            </w:tcBorders>
            <w:shd w:val="clear" w:color="auto" w:fill="auto"/>
            <w:noWrap/>
            <w:vAlign w:val="center"/>
            <w:hideMark/>
          </w:tcPr>
          <w:p w14:paraId="777A71B2"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2F68B9CB"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5FAC6B99" w14:textId="77777777" w:rsidR="00584169" w:rsidRPr="000B6FD6" w:rsidRDefault="0058416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74A8B807"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07A8D085"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7254280C" w14:textId="77777777"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single" w:sz="4" w:space="0" w:color="auto"/>
            </w:tcBorders>
            <w:shd w:val="clear" w:color="auto" w:fill="auto"/>
            <w:noWrap/>
            <w:vAlign w:val="center"/>
            <w:hideMark/>
          </w:tcPr>
          <w:p w14:paraId="21915B3C"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6065BE79"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center"/>
            <w:hideMark/>
          </w:tcPr>
          <w:p w14:paraId="3A491235"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204C4476"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4" w:space="0" w:color="auto"/>
            </w:tcBorders>
            <w:shd w:val="clear" w:color="auto" w:fill="auto"/>
            <w:noWrap/>
            <w:vAlign w:val="center"/>
            <w:hideMark/>
          </w:tcPr>
          <w:p w14:paraId="28EB281A"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606E40FD" w14:textId="71C494FD" w:rsidR="00584169" w:rsidRPr="000B6FD6" w:rsidRDefault="00584169" w:rsidP="000B6FD6">
            <w:pPr>
              <w:tabs>
                <w:tab w:val="decimal" w:pos="232"/>
              </w:tabs>
              <w:spacing w:after="0" w:line="240" w:lineRule="auto"/>
              <w:jc w:val="both"/>
              <w:rPr>
                <w:rFonts w:eastAsia="Times New Roman"/>
                <w:sz w:val="20"/>
                <w:szCs w:val="20"/>
              </w:rPr>
            </w:pPr>
          </w:p>
        </w:tc>
        <w:tc>
          <w:tcPr>
            <w:tcW w:w="508" w:type="dxa"/>
            <w:tcBorders>
              <w:top w:val="nil"/>
              <w:left w:val="nil"/>
              <w:bottom w:val="nil"/>
              <w:right w:val="single" w:sz="12" w:space="0" w:color="auto"/>
            </w:tcBorders>
            <w:shd w:val="clear" w:color="auto" w:fill="auto"/>
            <w:noWrap/>
            <w:vAlign w:val="center"/>
          </w:tcPr>
          <w:p w14:paraId="00C0180F" w14:textId="628DB779" w:rsidR="00584169" w:rsidRPr="000B6FD6" w:rsidRDefault="00584169" w:rsidP="000B6FD6">
            <w:pPr>
              <w:tabs>
                <w:tab w:val="decimal" w:pos="208"/>
              </w:tabs>
              <w:spacing w:after="0" w:line="240" w:lineRule="auto"/>
              <w:jc w:val="both"/>
              <w:rPr>
                <w:rFonts w:eastAsia="Times New Roman"/>
                <w:sz w:val="20"/>
                <w:szCs w:val="20"/>
              </w:rPr>
            </w:pPr>
          </w:p>
        </w:tc>
      </w:tr>
      <w:tr w:rsidR="004276EC" w:rsidRPr="000B6FD6" w14:paraId="39EC1E9E"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782656FE" w14:textId="04FE05E0" w:rsidR="004276EC" w:rsidRPr="000B6FD6" w:rsidRDefault="004276EC" w:rsidP="000B6FD6">
            <w:pPr>
              <w:spacing w:after="0" w:line="240" w:lineRule="auto"/>
              <w:jc w:val="both"/>
              <w:rPr>
                <w:rFonts w:eastAsia="Times New Roman"/>
                <w:sz w:val="20"/>
                <w:szCs w:val="20"/>
              </w:rPr>
            </w:pPr>
            <w:r w:rsidRPr="000B6FD6">
              <w:rPr>
                <w:rFonts w:eastAsia="Times New Roman"/>
                <w:sz w:val="20"/>
                <w:szCs w:val="20"/>
              </w:rPr>
              <w:t xml:space="preserve">      Couple</w:t>
            </w:r>
          </w:p>
        </w:tc>
        <w:tc>
          <w:tcPr>
            <w:tcW w:w="564" w:type="dxa"/>
            <w:tcBorders>
              <w:top w:val="nil"/>
              <w:left w:val="single" w:sz="12" w:space="0" w:color="auto"/>
              <w:bottom w:val="nil"/>
              <w:right w:val="nil"/>
            </w:tcBorders>
            <w:shd w:val="clear" w:color="auto" w:fill="auto"/>
            <w:noWrap/>
            <w:vAlign w:val="center"/>
            <w:hideMark/>
          </w:tcPr>
          <w:p w14:paraId="71E440C3" w14:textId="4FC1C0E3" w:rsidR="004276EC"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5C9567A8" w14:textId="77777777" w:rsidR="004276EC" w:rsidRPr="000B6FD6" w:rsidRDefault="004276EC"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6AB68ABF" w14:textId="7BA0199C" w:rsidR="004276EC" w:rsidRPr="000B6FD6" w:rsidRDefault="004276EC" w:rsidP="000B6FD6">
            <w:pPr>
              <w:tabs>
                <w:tab w:val="decimal" w:pos="180"/>
              </w:tabs>
              <w:spacing w:after="0" w:line="240" w:lineRule="auto"/>
              <w:jc w:val="both"/>
              <w:rPr>
                <w:rFonts w:eastAsia="Times New Roman"/>
                <w:sz w:val="20"/>
                <w:szCs w:val="20"/>
              </w:rPr>
            </w:pPr>
            <w:r w:rsidRPr="000B6FD6">
              <w:rPr>
                <w:color w:val="000000"/>
                <w:sz w:val="20"/>
                <w:szCs w:val="20"/>
              </w:rPr>
              <w:t>0.26</w:t>
            </w:r>
          </w:p>
        </w:tc>
        <w:tc>
          <w:tcPr>
            <w:tcW w:w="516" w:type="dxa"/>
            <w:tcBorders>
              <w:top w:val="nil"/>
              <w:left w:val="nil"/>
              <w:bottom w:val="nil"/>
              <w:right w:val="nil"/>
            </w:tcBorders>
            <w:shd w:val="clear" w:color="auto" w:fill="auto"/>
            <w:noWrap/>
            <w:vAlign w:val="bottom"/>
            <w:hideMark/>
          </w:tcPr>
          <w:p w14:paraId="77F59EBF" w14:textId="46E50EAC" w:rsidR="004276EC" w:rsidRPr="000B6FD6" w:rsidRDefault="004276EC" w:rsidP="000B6FD6">
            <w:pPr>
              <w:tabs>
                <w:tab w:val="decimal" w:pos="243"/>
              </w:tabs>
              <w:spacing w:after="0" w:line="240" w:lineRule="auto"/>
              <w:jc w:val="both"/>
              <w:rPr>
                <w:rFonts w:eastAsia="Times New Roman"/>
                <w:sz w:val="20"/>
                <w:szCs w:val="20"/>
              </w:rPr>
            </w:pPr>
            <w:r w:rsidRPr="000B6FD6">
              <w:rPr>
                <w:color w:val="000000"/>
                <w:sz w:val="20"/>
                <w:szCs w:val="20"/>
              </w:rPr>
              <w:t>2.53</w:t>
            </w:r>
          </w:p>
        </w:tc>
        <w:tc>
          <w:tcPr>
            <w:tcW w:w="564" w:type="dxa"/>
            <w:tcBorders>
              <w:top w:val="nil"/>
              <w:left w:val="single" w:sz="4" w:space="0" w:color="auto"/>
              <w:bottom w:val="nil"/>
              <w:right w:val="nil"/>
            </w:tcBorders>
            <w:shd w:val="clear" w:color="auto" w:fill="auto"/>
            <w:noWrap/>
            <w:vAlign w:val="center"/>
            <w:hideMark/>
          </w:tcPr>
          <w:p w14:paraId="24D7EBAA" w14:textId="61D594E7"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0A78B05A" w14:textId="77777777" w:rsidR="004276EC" w:rsidRPr="000B6FD6" w:rsidRDefault="004276EC"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hideMark/>
          </w:tcPr>
          <w:p w14:paraId="53122D22" w14:textId="0901DCF4" w:rsidR="004276EC" w:rsidRPr="000B6FD6" w:rsidRDefault="004276EC" w:rsidP="000B6FD6">
            <w:pPr>
              <w:tabs>
                <w:tab w:val="decimal" w:pos="141"/>
              </w:tabs>
              <w:spacing w:after="0" w:line="240" w:lineRule="auto"/>
              <w:jc w:val="both"/>
              <w:rPr>
                <w:rFonts w:eastAsia="Times New Roman"/>
                <w:sz w:val="20"/>
                <w:szCs w:val="20"/>
              </w:rPr>
            </w:pPr>
            <w:r w:rsidRPr="000B6FD6">
              <w:rPr>
                <w:color w:val="000000"/>
                <w:sz w:val="20"/>
                <w:szCs w:val="20"/>
              </w:rPr>
              <w:t>0.16</w:t>
            </w:r>
          </w:p>
        </w:tc>
        <w:tc>
          <w:tcPr>
            <w:tcW w:w="508" w:type="dxa"/>
            <w:tcBorders>
              <w:top w:val="nil"/>
              <w:left w:val="nil"/>
              <w:bottom w:val="nil"/>
              <w:right w:val="nil"/>
            </w:tcBorders>
            <w:shd w:val="clear" w:color="auto" w:fill="auto"/>
            <w:noWrap/>
            <w:vAlign w:val="bottom"/>
            <w:hideMark/>
          </w:tcPr>
          <w:p w14:paraId="7B5A5348" w14:textId="62C29721" w:rsidR="004276EC" w:rsidRPr="000B6FD6" w:rsidRDefault="004276EC" w:rsidP="000B6FD6">
            <w:pPr>
              <w:tabs>
                <w:tab w:val="decimal" w:pos="163"/>
              </w:tabs>
              <w:spacing w:after="0" w:line="240" w:lineRule="auto"/>
              <w:jc w:val="both"/>
              <w:rPr>
                <w:rFonts w:eastAsia="Times New Roman"/>
                <w:sz w:val="20"/>
                <w:szCs w:val="20"/>
              </w:rPr>
            </w:pPr>
            <w:r w:rsidRPr="000B6FD6">
              <w:rPr>
                <w:color w:val="000000"/>
                <w:sz w:val="20"/>
                <w:szCs w:val="20"/>
              </w:rPr>
              <w:t>2.34</w:t>
            </w:r>
          </w:p>
        </w:tc>
        <w:tc>
          <w:tcPr>
            <w:tcW w:w="574" w:type="dxa"/>
            <w:tcBorders>
              <w:top w:val="nil"/>
              <w:left w:val="single" w:sz="4" w:space="0" w:color="auto"/>
              <w:bottom w:val="nil"/>
              <w:right w:val="nil"/>
            </w:tcBorders>
            <w:shd w:val="clear" w:color="auto" w:fill="auto"/>
            <w:noWrap/>
            <w:vAlign w:val="center"/>
            <w:hideMark/>
          </w:tcPr>
          <w:p w14:paraId="5339DA81" w14:textId="636F9A25" w:rsidR="004276EC"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6D806FAF" w14:textId="77777777" w:rsidR="004276EC" w:rsidRPr="000B6FD6" w:rsidRDefault="004276EC"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73499132" w14:textId="2B8439D5" w:rsidR="004276EC" w:rsidRPr="000B6FD6" w:rsidRDefault="004276EC" w:rsidP="000B6FD6">
            <w:pPr>
              <w:tabs>
                <w:tab w:val="decimal" w:pos="207"/>
              </w:tabs>
              <w:spacing w:after="0" w:line="240" w:lineRule="auto"/>
              <w:jc w:val="both"/>
              <w:rPr>
                <w:rFonts w:eastAsia="Times New Roman"/>
                <w:sz w:val="20"/>
                <w:szCs w:val="20"/>
              </w:rPr>
            </w:pPr>
            <w:r w:rsidRPr="000B6FD6">
              <w:rPr>
                <w:color w:val="000000"/>
                <w:sz w:val="20"/>
                <w:szCs w:val="20"/>
              </w:rPr>
              <w:t>-0.17</w:t>
            </w:r>
          </w:p>
        </w:tc>
        <w:tc>
          <w:tcPr>
            <w:tcW w:w="520" w:type="dxa"/>
            <w:tcBorders>
              <w:top w:val="nil"/>
              <w:left w:val="nil"/>
              <w:bottom w:val="nil"/>
              <w:right w:val="nil"/>
            </w:tcBorders>
            <w:shd w:val="clear" w:color="auto" w:fill="auto"/>
            <w:noWrap/>
            <w:vAlign w:val="bottom"/>
            <w:hideMark/>
          </w:tcPr>
          <w:p w14:paraId="6854187B" w14:textId="6DCA7B8B" w:rsidR="004276EC" w:rsidRPr="000B6FD6" w:rsidRDefault="004276EC" w:rsidP="000B6FD6">
            <w:pPr>
              <w:tabs>
                <w:tab w:val="decimal" w:pos="256"/>
              </w:tabs>
              <w:spacing w:after="0" w:line="240" w:lineRule="auto"/>
              <w:jc w:val="both"/>
              <w:rPr>
                <w:rFonts w:eastAsia="Times New Roman"/>
                <w:sz w:val="20"/>
                <w:szCs w:val="20"/>
              </w:rPr>
            </w:pPr>
            <w:r w:rsidRPr="000B6FD6">
              <w:rPr>
                <w:color w:val="000000"/>
                <w:sz w:val="20"/>
                <w:szCs w:val="20"/>
              </w:rPr>
              <w:t>-3.05</w:t>
            </w:r>
          </w:p>
        </w:tc>
        <w:tc>
          <w:tcPr>
            <w:tcW w:w="600" w:type="dxa"/>
            <w:tcBorders>
              <w:top w:val="nil"/>
              <w:left w:val="single" w:sz="4" w:space="0" w:color="auto"/>
              <w:bottom w:val="nil"/>
              <w:right w:val="nil"/>
            </w:tcBorders>
            <w:shd w:val="clear" w:color="auto" w:fill="auto"/>
            <w:noWrap/>
            <w:vAlign w:val="center"/>
            <w:hideMark/>
          </w:tcPr>
          <w:p w14:paraId="7D3C277B" w14:textId="1FF78C26" w:rsidR="004276EC"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07C3A31B" w14:textId="77777777" w:rsidR="004276EC" w:rsidRPr="000B6FD6" w:rsidRDefault="004276EC"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7754FB60" w14:textId="6DC6FBB7" w:rsidR="004276EC"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123C9766" w14:textId="77777777" w:rsidR="004276EC" w:rsidRPr="000B6FD6" w:rsidRDefault="004276EC"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3988F1E8" w14:textId="4B3E7C26" w:rsidR="004276EC" w:rsidRPr="000B6FD6" w:rsidRDefault="00A503D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55B5208E" w14:textId="77777777" w:rsidR="004276EC" w:rsidRPr="000B6FD6" w:rsidRDefault="004276EC"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tcPr>
          <w:p w14:paraId="20AEC82C" w14:textId="2888D3CD" w:rsidR="004276EC" w:rsidRPr="000B6FD6" w:rsidRDefault="00090F58" w:rsidP="000B6FD6">
            <w:pPr>
              <w:tabs>
                <w:tab w:val="decimal" w:pos="232"/>
              </w:tabs>
              <w:spacing w:after="0" w:line="240" w:lineRule="auto"/>
              <w:jc w:val="both"/>
              <w:rPr>
                <w:rFonts w:eastAsia="Times New Roman"/>
                <w:sz w:val="20"/>
                <w:szCs w:val="20"/>
              </w:rPr>
            </w:pPr>
            <w:r>
              <w:rPr>
                <w:rFonts w:eastAsia="Times New Roman"/>
                <w:sz w:val="20"/>
                <w:szCs w:val="20"/>
              </w:rPr>
              <w:t>0.10</w:t>
            </w:r>
          </w:p>
        </w:tc>
        <w:tc>
          <w:tcPr>
            <w:tcW w:w="508" w:type="dxa"/>
            <w:tcBorders>
              <w:top w:val="nil"/>
              <w:left w:val="nil"/>
              <w:bottom w:val="nil"/>
              <w:right w:val="single" w:sz="12" w:space="0" w:color="auto"/>
            </w:tcBorders>
            <w:shd w:val="clear" w:color="auto" w:fill="auto"/>
            <w:noWrap/>
            <w:vAlign w:val="bottom"/>
          </w:tcPr>
          <w:p w14:paraId="6C41F8A1" w14:textId="116C13F3" w:rsidR="004276EC" w:rsidRPr="000B6FD6" w:rsidRDefault="00FC1A47" w:rsidP="000B6FD6">
            <w:pPr>
              <w:tabs>
                <w:tab w:val="decimal" w:pos="208"/>
              </w:tabs>
              <w:spacing w:after="0" w:line="240" w:lineRule="auto"/>
              <w:jc w:val="both"/>
              <w:rPr>
                <w:rFonts w:eastAsia="Times New Roman"/>
                <w:sz w:val="20"/>
                <w:szCs w:val="20"/>
              </w:rPr>
            </w:pPr>
            <w:r>
              <w:rPr>
                <w:rFonts w:eastAsia="Times New Roman"/>
                <w:sz w:val="20"/>
                <w:szCs w:val="20"/>
              </w:rPr>
              <w:t>2.95</w:t>
            </w:r>
          </w:p>
        </w:tc>
      </w:tr>
      <w:tr w:rsidR="00E03670" w:rsidRPr="000B6FD6" w14:paraId="728A0F1D"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325F5D0E" w14:textId="5E52664B" w:rsidR="00E03670" w:rsidRPr="000B6FD6" w:rsidRDefault="00E03670" w:rsidP="000B6FD6">
            <w:pPr>
              <w:spacing w:after="0" w:line="240" w:lineRule="auto"/>
              <w:jc w:val="both"/>
              <w:rPr>
                <w:rFonts w:eastAsia="Times New Roman"/>
                <w:sz w:val="20"/>
                <w:szCs w:val="20"/>
              </w:rPr>
            </w:pPr>
            <w:r w:rsidRPr="000B6FD6">
              <w:rPr>
                <w:rFonts w:eastAsia="Times New Roman"/>
                <w:sz w:val="20"/>
                <w:szCs w:val="20"/>
              </w:rPr>
              <w:t xml:space="preserve">      Related Adults</w:t>
            </w:r>
          </w:p>
        </w:tc>
        <w:tc>
          <w:tcPr>
            <w:tcW w:w="564" w:type="dxa"/>
            <w:tcBorders>
              <w:top w:val="nil"/>
              <w:left w:val="single" w:sz="12" w:space="0" w:color="auto"/>
              <w:bottom w:val="nil"/>
              <w:right w:val="nil"/>
            </w:tcBorders>
            <w:shd w:val="clear" w:color="auto" w:fill="auto"/>
            <w:noWrap/>
            <w:vAlign w:val="bottom"/>
            <w:hideMark/>
          </w:tcPr>
          <w:p w14:paraId="0F81AAC5" w14:textId="2583EEAC" w:rsidR="00E03670" w:rsidRPr="000B6FD6" w:rsidRDefault="00E03670" w:rsidP="000B6FD6">
            <w:pPr>
              <w:tabs>
                <w:tab w:val="decimal" w:pos="231"/>
              </w:tabs>
              <w:spacing w:after="0" w:line="240" w:lineRule="auto"/>
              <w:jc w:val="both"/>
              <w:rPr>
                <w:rFonts w:eastAsia="Times New Roman"/>
                <w:sz w:val="20"/>
                <w:szCs w:val="20"/>
              </w:rPr>
            </w:pPr>
            <w:r w:rsidRPr="000B6FD6">
              <w:rPr>
                <w:color w:val="000000"/>
                <w:sz w:val="20"/>
                <w:szCs w:val="20"/>
              </w:rPr>
              <w:t>-0.45</w:t>
            </w:r>
          </w:p>
        </w:tc>
        <w:tc>
          <w:tcPr>
            <w:tcW w:w="660" w:type="dxa"/>
            <w:tcBorders>
              <w:top w:val="nil"/>
              <w:left w:val="nil"/>
              <w:bottom w:val="nil"/>
              <w:right w:val="single" w:sz="4" w:space="0" w:color="auto"/>
            </w:tcBorders>
            <w:shd w:val="clear" w:color="auto" w:fill="auto"/>
            <w:noWrap/>
            <w:vAlign w:val="bottom"/>
            <w:hideMark/>
          </w:tcPr>
          <w:p w14:paraId="7C810262" w14:textId="1D4AAC93" w:rsidR="00E03670" w:rsidRPr="000B6FD6" w:rsidRDefault="00E03670" w:rsidP="000B6FD6">
            <w:pPr>
              <w:tabs>
                <w:tab w:val="decimal" w:pos="207"/>
              </w:tabs>
              <w:spacing w:after="0" w:line="240" w:lineRule="auto"/>
              <w:jc w:val="both"/>
              <w:rPr>
                <w:rFonts w:eastAsia="Times New Roman"/>
                <w:sz w:val="20"/>
                <w:szCs w:val="20"/>
              </w:rPr>
            </w:pPr>
            <w:r w:rsidRPr="000B6FD6">
              <w:rPr>
                <w:color w:val="000000"/>
                <w:sz w:val="20"/>
                <w:szCs w:val="20"/>
              </w:rPr>
              <w:t>-2.58</w:t>
            </w:r>
          </w:p>
        </w:tc>
        <w:tc>
          <w:tcPr>
            <w:tcW w:w="564" w:type="dxa"/>
            <w:tcBorders>
              <w:top w:val="nil"/>
              <w:left w:val="nil"/>
              <w:bottom w:val="nil"/>
              <w:right w:val="nil"/>
            </w:tcBorders>
            <w:shd w:val="clear" w:color="auto" w:fill="auto"/>
            <w:noWrap/>
            <w:vAlign w:val="bottom"/>
            <w:hideMark/>
          </w:tcPr>
          <w:p w14:paraId="7C4559FE" w14:textId="6B5CFC54" w:rsidR="00E03670" w:rsidRPr="000B6FD6" w:rsidRDefault="00E03670" w:rsidP="000B6FD6">
            <w:pPr>
              <w:tabs>
                <w:tab w:val="decimal" w:pos="180"/>
              </w:tabs>
              <w:spacing w:after="0" w:line="240" w:lineRule="auto"/>
              <w:jc w:val="both"/>
              <w:rPr>
                <w:rFonts w:eastAsia="Times New Roman"/>
                <w:sz w:val="20"/>
                <w:szCs w:val="20"/>
              </w:rPr>
            </w:pPr>
            <w:r w:rsidRPr="000B6FD6">
              <w:rPr>
                <w:color w:val="000000"/>
                <w:sz w:val="20"/>
                <w:szCs w:val="20"/>
              </w:rPr>
              <w:t>0.55</w:t>
            </w:r>
          </w:p>
        </w:tc>
        <w:tc>
          <w:tcPr>
            <w:tcW w:w="516" w:type="dxa"/>
            <w:tcBorders>
              <w:top w:val="nil"/>
              <w:left w:val="nil"/>
              <w:bottom w:val="nil"/>
              <w:right w:val="nil"/>
            </w:tcBorders>
            <w:shd w:val="clear" w:color="auto" w:fill="auto"/>
            <w:noWrap/>
            <w:vAlign w:val="bottom"/>
            <w:hideMark/>
          </w:tcPr>
          <w:p w14:paraId="0B9A50CD" w14:textId="364718B2" w:rsidR="00E03670" w:rsidRPr="000B6FD6" w:rsidRDefault="00E03670" w:rsidP="000B6FD6">
            <w:pPr>
              <w:tabs>
                <w:tab w:val="decimal" w:pos="243"/>
              </w:tabs>
              <w:spacing w:after="0" w:line="240" w:lineRule="auto"/>
              <w:jc w:val="both"/>
              <w:rPr>
                <w:rFonts w:eastAsia="Times New Roman"/>
                <w:sz w:val="20"/>
                <w:szCs w:val="20"/>
              </w:rPr>
            </w:pPr>
            <w:r w:rsidRPr="000B6FD6">
              <w:rPr>
                <w:color w:val="000000"/>
                <w:sz w:val="20"/>
                <w:szCs w:val="20"/>
              </w:rPr>
              <w:t>4.09</w:t>
            </w:r>
          </w:p>
        </w:tc>
        <w:tc>
          <w:tcPr>
            <w:tcW w:w="564" w:type="dxa"/>
            <w:tcBorders>
              <w:top w:val="nil"/>
              <w:left w:val="single" w:sz="4" w:space="0" w:color="auto"/>
              <w:bottom w:val="nil"/>
              <w:right w:val="nil"/>
            </w:tcBorders>
            <w:shd w:val="clear" w:color="auto" w:fill="auto"/>
            <w:noWrap/>
            <w:vAlign w:val="center"/>
            <w:hideMark/>
          </w:tcPr>
          <w:p w14:paraId="3A1A6EC3" w14:textId="40BE5BD3" w:rsidR="00E03670"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231801B6" w14:textId="77777777" w:rsidR="00E03670" w:rsidRPr="000B6FD6" w:rsidRDefault="00E03670"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hideMark/>
          </w:tcPr>
          <w:p w14:paraId="6B0678E8" w14:textId="72E07AFC" w:rsidR="00E03670" w:rsidRPr="000B6FD6" w:rsidRDefault="00E03670" w:rsidP="000B6FD6">
            <w:pPr>
              <w:tabs>
                <w:tab w:val="decimal" w:pos="141"/>
              </w:tabs>
              <w:spacing w:after="0" w:line="240" w:lineRule="auto"/>
              <w:jc w:val="both"/>
              <w:rPr>
                <w:rFonts w:eastAsia="Times New Roman"/>
                <w:sz w:val="20"/>
                <w:szCs w:val="20"/>
              </w:rPr>
            </w:pPr>
            <w:r w:rsidRPr="000B6FD6">
              <w:rPr>
                <w:color w:val="000000"/>
                <w:sz w:val="20"/>
                <w:szCs w:val="20"/>
              </w:rPr>
              <w:t>0.57</w:t>
            </w:r>
          </w:p>
        </w:tc>
        <w:tc>
          <w:tcPr>
            <w:tcW w:w="508" w:type="dxa"/>
            <w:tcBorders>
              <w:top w:val="nil"/>
              <w:left w:val="nil"/>
              <w:bottom w:val="nil"/>
              <w:right w:val="nil"/>
            </w:tcBorders>
            <w:shd w:val="clear" w:color="auto" w:fill="auto"/>
            <w:noWrap/>
            <w:vAlign w:val="bottom"/>
            <w:hideMark/>
          </w:tcPr>
          <w:p w14:paraId="72595BA8" w14:textId="77799CF2" w:rsidR="00E03670" w:rsidRPr="000B6FD6" w:rsidRDefault="00E03670" w:rsidP="000B6FD6">
            <w:pPr>
              <w:tabs>
                <w:tab w:val="decimal" w:pos="163"/>
              </w:tabs>
              <w:spacing w:after="0" w:line="240" w:lineRule="auto"/>
              <w:jc w:val="both"/>
              <w:rPr>
                <w:rFonts w:eastAsia="Times New Roman"/>
                <w:sz w:val="20"/>
                <w:szCs w:val="20"/>
              </w:rPr>
            </w:pPr>
            <w:r w:rsidRPr="000B6FD6">
              <w:rPr>
                <w:color w:val="000000"/>
                <w:sz w:val="20"/>
                <w:szCs w:val="20"/>
              </w:rPr>
              <w:t>6.84</w:t>
            </w:r>
          </w:p>
        </w:tc>
        <w:tc>
          <w:tcPr>
            <w:tcW w:w="574" w:type="dxa"/>
            <w:tcBorders>
              <w:top w:val="nil"/>
              <w:left w:val="single" w:sz="4" w:space="0" w:color="auto"/>
              <w:bottom w:val="nil"/>
              <w:right w:val="nil"/>
            </w:tcBorders>
            <w:shd w:val="clear" w:color="auto" w:fill="auto"/>
            <w:noWrap/>
            <w:vAlign w:val="center"/>
            <w:hideMark/>
          </w:tcPr>
          <w:p w14:paraId="691E3424" w14:textId="68997D7A" w:rsidR="00E03670"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46C32983" w14:textId="77777777" w:rsidR="00E03670" w:rsidRPr="000B6FD6" w:rsidRDefault="00E03670"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481C57A9" w14:textId="22CF0AAA" w:rsidR="00E03670"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025BDCC5" w14:textId="77777777" w:rsidR="00E03670" w:rsidRPr="000B6FD6" w:rsidRDefault="00E03670"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19311409" w14:textId="5ADB0910" w:rsidR="00E03670"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0ADA6608" w14:textId="77777777" w:rsidR="00E03670" w:rsidRPr="000B6FD6" w:rsidRDefault="00E03670"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bottom"/>
            <w:hideMark/>
          </w:tcPr>
          <w:p w14:paraId="7788F354" w14:textId="6CBEC2AC" w:rsidR="00E03670" w:rsidRPr="000B6FD6" w:rsidRDefault="00E03670" w:rsidP="000B6FD6">
            <w:pPr>
              <w:tabs>
                <w:tab w:val="decimal" w:pos="210"/>
              </w:tabs>
              <w:spacing w:after="0" w:line="240" w:lineRule="auto"/>
              <w:jc w:val="both"/>
              <w:rPr>
                <w:rFonts w:eastAsia="Times New Roman"/>
                <w:sz w:val="20"/>
                <w:szCs w:val="20"/>
              </w:rPr>
            </w:pPr>
            <w:r w:rsidRPr="000B6FD6">
              <w:rPr>
                <w:color w:val="000000"/>
                <w:sz w:val="20"/>
                <w:szCs w:val="20"/>
              </w:rPr>
              <w:t>-0.22</w:t>
            </w:r>
          </w:p>
        </w:tc>
        <w:tc>
          <w:tcPr>
            <w:tcW w:w="500" w:type="dxa"/>
            <w:tcBorders>
              <w:top w:val="nil"/>
              <w:left w:val="nil"/>
              <w:bottom w:val="nil"/>
              <w:right w:val="nil"/>
            </w:tcBorders>
            <w:shd w:val="clear" w:color="auto" w:fill="auto"/>
            <w:noWrap/>
            <w:vAlign w:val="bottom"/>
            <w:hideMark/>
          </w:tcPr>
          <w:p w14:paraId="5BEBE715" w14:textId="2D9BDD61" w:rsidR="00E03670" w:rsidRPr="000B6FD6" w:rsidRDefault="00E03670" w:rsidP="000B6FD6">
            <w:pPr>
              <w:tabs>
                <w:tab w:val="decimal" w:pos="151"/>
              </w:tabs>
              <w:spacing w:after="0" w:line="240" w:lineRule="auto"/>
              <w:jc w:val="both"/>
              <w:rPr>
                <w:rFonts w:eastAsia="Times New Roman"/>
                <w:sz w:val="20"/>
                <w:szCs w:val="20"/>
              </w:rPr>
            </w:pPr>
            <w:r w:rsidRPr="000B6FD6">
              <w:rPr>
                <w:color w:val="000000"/>
                <w:sz w:val="20"/>
                <w:szCs w:val="20"/>
              </w:rPr>
              <w:t>-3.02</w:t>
            </w:r>
          </w:p>
        </w:tc>
        <w:tc>
          <w:tcPr>
            <w:tcW w:w="580" w:type="dxa"/>
            <w:tcBorders>
              <w:top w:val="nil"/>
              <w:left w:val="single" w:sz="4" w:space="0" w:color="auto"/>
              <w:bottom w:val="nil"/>
              <w:right w:val="nil"/>
            </w:tcBorders>
            <w:shd w:val="clear" w:color="auto" w:fill="auto"/>
            <w:noWrap/>
            <w:vAlign w:val="center"/>
            <w:hideMark/>
          </w:tcPr>
          <w:p w14:paraId="040CFD5B" w14:textId="2547B6D9" w:rsidR="00E03670" w:rsidRPr="000B6FD6" w:rsidRDefault="00A503D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01602EAE" w14:textId="77777777" w:rsidR="00E03670" w:rsidRPr="000B6FD6" w:rsidRDefault="00E03670"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61EB798A" w14:textId="36871EF2" w:rsidR="00E03670"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21A2830B" w14:textId="371C0F2C" w:rsidR="00E03670" w:rsidRPr="000B6FD6" w:rsidRDefault="00E03670" w:rsidP="000B6FD6">
            <w:pPr>
              <w:tabs>
                <w:tab w:val="decimal" w:pos="208"/>
              </w:tabs>
              <w:spacing w:after="0" w:line="240" w:lineRule="auto"/>
              <w:jc w:val="both"/>
              <w:rPr>
                <w:rFonts w:eastAsia="Times New Roman"/>
                <w:sz w:val="20"/>
                <w:szCs w:val="20"/>
              </w:rPr>
            </w:pPr>
          </w:p>
        </w:tc>
      </w:tr>
      <w:tr w:rsidR="00CE6579" w:rsidRPr="000B6FD6" w14:paraId="4CA3DDD4"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3572CEBC" w14:textId="0880A192" w:rsidR="00CE6579" w:rsidRPr="000B6FD6" w:rsidRDefault="00CE6579" w:rsidP="000B6FD6">
            <w:pPr>
              <w:spacing w:after="0" w:line="240" w:lineRule="auto"/>
              <w:jc w:val="both"/>
              <w:rPr>
                <w:rFonts w:eastAsia="Times New Roman"/>
                <w:sz w:val="20"/>
                <w:szCs w:val="20"/>
              </w:rPr>
            </w:pPr>
            <w:r w:rsidRPr="000B6FD6">
              <w:rPr>
                <w:rFonts w:eastAsia="Times New Roman"/>
                <w:sz w:val="20"/>
                <w:szCs w:val="20"/>
              </w:rPr>
              <w:t xml:space="preserve">      Roommates</w:t>
            </w:r>
          </w:p>
        </w:tc>
        <w:tc>
          <w:tcPr>
            <w:tcW w:w="564" w:type="dxa"/>
            <w:tcBorders>
              <w:top w:val="nil"/>
              <w:left w:val="single" w:sz="12" w:space="0" w:color="auto"/>
              <w:bottom w:val="nil"/>
              <w:right w:val="nil"/>
            </w:tcBorders>
            <w:shd w:val="clear" w:color="auto" w:fill="auto"/>
            <w:noWrap/>
            <w:vAlign w:val="center"/>
            <w:hideMark/>
          </w:tcPr>
          <w:p w14:paraId="1071DE3D" w14:textId="5711B681" w:rsidR="00CE6579"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7B6778C3" w14:textId="77777777" w:rsidR="00CE6579" w:rsidRPr="000B6FD6" w:rsidRDefault="00CE657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4B90D04B" w14:textId="59CCC251" w:rsidR="00CE6579" w:rsidRPr="000B6FD6" w:rsidRDefault="00CE6579" w:rsidP="000B6FD6">
            <w:pPr>
              <w:tabs>
                <w:tab w:val="decimal" w:pos="180"/>
              </w:tabs>
              <w:spacing w:after="0" w:line="240" w:lineRule="auto"/>
              <w:jc w:val="both"/>
              <w:rPr>
                <w:rFonts w:eastAsia="Times New Roman"/>
                <w:sz w:val="20"/>
                <w:szCs w:val="20"/>
              </w:rPr>
            </w:pPr>
            <w:r w:rsidRPr="000B6FD6">
              <w:rPr>
                <w:color w:val="000000"/>
                <w:sz w:val="20"/>
                <w:szCs w:val="20"/>
              </w:rPr>
              <w:t>0.63</w:t>
            </w:r>
          </w:p>
        </w:tc>
        <w:tc>
          <w:tcPr>
            <w:tcW w:w="516" w:type="dxa"/>
            <w:tcBorders>
              <w:top w:val="nil"/>
              <w:left w:val="nil"/>
              <w:bottom w:val="nil"/>
              <w:right w:val="nil"/>
            </w:tcBorders>
            <w:shd w:val="clear" w:color="auto" w:fill="auto"/>
            <w:noWrap/>
            <w:vAlign w:val="bottom"/>
            <w:hideMark/>
          </w:tcPr>
          <w:p w14:paraId="0D93A60A" w14:textId="1699FC24" w:rsidR="00CE6579" w:rsidRPr="000B6FD6" w:rsidRDefault="00CE6579" w:rsidP="000B6FD6">
            <w:pPr>
              <w:tabs>
                <w:tab w:val="decimal" w:pos="243"/>
              </w:tabs>
              <w:spacing w:after="0" w:line="240" w:lineRule="auto"/>
              <w:jc w:val="both"/>
              <w:rPr>
                <w:rFonts w:eastAsia="Times New Roman"/>
                <w:sz w:val="20"/>
                <w:szCs w:val="20"/>
              </w:rPr>
            </w:pPr>
            <w:r w:rsidRPr="000B6FD6">
              <w:rPr>
                <w:color w:val="000000"/>
                <w:sz w:val="20"/>
                <w:szCs w:val="20"/>
              </w:rPr>
              <w:t>4.07</w:t>
            </w:r>
          </w:p>
        </w:tc>
        <w:tc>
          <w:tcPr>
            <w:tcW w:w="564" w:type="dxa"/>
            <w:tcBorders>
              <w:top w:val="nil"/>
              <w:left w:val="single" w:sz="4" w:space="0" w:color="auto"/>
              <w:bottom w:val="nil"/>
              <w:right w:val="nil"/>
            </w:tcBorders>
            <w:shd w:val="clear" w:color="auto" w:fill="auto"/>
            <w:noWrap/>
            <w:vAlign w:val="center"/>
            <w:hideMark/>
          </w:tcPr>
          <w:p w14:paraId="74558A79" w14:textId="51C2FF06" w:rsidR="00CE6579"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10AE30AE" w14:textId="77777777" w:rsidR="00CE6579" w:rsidRPr="000B6FD6" w:rsidRDefault="00CE6579"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hideMark/>
          </w:tcPr>
          <w:p w14:paraId="058E4C45" w14:textId="4543B167" w:rsidR="00CE6579" w:rsidRPr="000B6FD6" w:rsidRDefault="00CE6579" w:rsidP="000B6FD6">
            <w:pPr>
              <w:tabs>
                <w:tab w:val="decimal" w:pos="141"/>
              </w:tabs>
              <w:spacing w:after="0" w:line="240" w:lineRule="auto"/>
              <w:jc w:val="both"/>
              <w:rPr>
                <w:rFonts w:eastAsia="Times New Roman"/>
                <w:sz w:val="20"/>
                <w:szCs w:val="20"/>
              </w:rPr>
            </w:pPr>
            <w:r w:rsidRPr="000B6FD6">
              <w:rPr>
                <w:color w:val="000000"/>
                <w:sz w:val="20"/>
                <w:szCs w:val="20"/>
              </w:rPr>
              <w:t>0.33</w:t>
            </w:r>
          </w:p>
        </w:tc>
        <w:tc>
          <w:tcPr>
            <w:tcW w:w="508" w:type="dxa"/>
            <w:tcBorders>
              <w:top w:val="nil"/>
              <w:left w:val="nil"/>
              <w:bottom w:val="nil"/>
              <w:right w:val="nil"/>
            </w:tcBorders>
            <w:shd w:val="clear" w:color="auto" w:fill="auto"/>
            <w:noWrap/>
            <w:vAlign w:val="bottom"/>
            <w:hideMark/>
          </w:tcPr>
          <w:p w14:paraId="3F10AA5D" w14:textId="1339C5D0" w:rsidR="00CE6579" w:rsidRPr="000B6FD6" w:rsidRDefault="00CE6579" w:rsidP="000B6FD6">
            <w:pPr>
              <w:tabs>
                <w:tab w:val="decimal" w:pos="163"/>
              </w:tabs>
              <w:spacing w:after="0" w:line="240" w:lineRule="auto"/>
              <w:jc w:val="both"/>
              <w:rPr>
                <w:rFonts w:eastAsia="Times New Roman"/>
                <w:sz w:val="20"/>
                <w:szCs w:val="20"/>
              </w:rPr>
            </w:pPr>
            <w:r w:rsidRPr="000B6FD6">
              <w:rPr>
                <w:color w:val="000000"/>
                <w:sz w:val="20"/>
                <w:szCs w:val="20"/>
              </w:rPr>
              <w:t>3.28</w:t>
            </w:r>
          </w:p>
        </w:tc>
        <w:tc>
          <w:tcPr>
            <w:tcW w:w="574" w:type="dxa"/>
            <w:tcBorders>
              <w:top w:val="nil"/>
              <w:left w:val="single" w:sz="4" w:space="0" w:color="auto"/>
              <w:bottom w:val="nil"/>
              <w:right w:val="nil"/>
            </w:tcBorders>
            <w:shd w:val="clear" w:color="auto" w:fill="auto"/>
            <w:noWrap/>
            <w:vAlign w:val="center"/>
            <w:hideMark/>
          </w:tcPr>
          <w:p w14:paraId="7D648D92" w14:textId="776B4095" w:rsidR="00CE6579"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15980770" w14:textId="77777777" w:rsidR="00CE6579" w:rsidRPr="000B6FD6" w:rsidRDefault="00CE657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04620EA9" w14:textId="7BD8E110" w:rsidR="00CE6579"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40D91AFF" w14:textId="77777777" w:rsidR="00CE6579" w:rsidRPr="000B6FD6" w:rsidRDefault="00CE657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63ED8BEA" w14:textId="7A1A37C9" w:rsidR="00CE6579"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2B1D83B3" w14:textId="77777777" w:rsidR="00CE6579" w:rsidRPr="000B6FD6" w:rsidRDefault="00CE657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26522EE3" w14:textId="60A78BD5" w:rsidR="00CE6579"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39DD9188" w14:textId="77777777" w:rsidR="00CE6579" w:rsidRPr="000B6FD6" w:rsidRDefault="00CE657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0424EACC" w14:textId="23F82B0C" w:rsidR="00CE6579" w:rsidRPr="000B6FD6" w:rsidRDefault="00A503D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1750462A" w14:textId="77777777" w:rsidR="00CE6579" w:rsidRPr="000B6FD6" w:rsidRDefault="00CE657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7DA0799E" w14:textId="37E41DB0" w:rsidR="00CE6579"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1066A3BA" w14:textId="7E6B635C" w:rsidR="00CE6579" w:rsidRPr="000B6FD6" w:rsidRDefault="00CE6579" w:rsidP="000B6FD6">
            <w:pPr>
              <w:tabs>
                <w:tab w:val="decimal" w:pos="208"/>
              </w:tabs>
              <w:spacing w:after="0" w:line="240" w:lineRule="auto"/>
              <w:jc w:val="both"/>
              <w:rPr>
                <w:rFonts w:eastAsia="Times New Roman"/>
                <w:sz w:val="20"/>
                <w:szCs w:val="20"/>
              </w:rPr>
            </w:pPr>
          </w:p>
        </w:tc>
      </w:tr>
      <w:tr w:rsidR="004276EC" w:rsidRPr="000B6FD6" w14:paraId="3A9E71B4"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4581DDE4" w14:textId="5CE1BFB6" w:rsidR="004276EC" w:rsidRPr="000B6FD6" w:rsidRDefault="000B6FD6" w:rsidP="000B6FD6">
            <w:pPr>
              <w:spacing w:after="0" w:line="240" w:lineRule="auto"/>
              <w:jc w:val="both"/>
              <w:rPr>
                <w:rFonts w:eastAsia="Times New Roman"/>
                <w:sz w:val="20"/>
                <w:szCs w:val="20"/>
              </w:rPr>
            </w:pPr>
            <w:r>
              <w:rPr>
                <w:rFonts w:eastAsia="Times New Roman"/>
                <w:sz w:val="20"/>
                <w:szCs w:val="20"/>
              </w:rPr>
              <w:t xml:space="preserve">      </w:t>
            </w:r>
            <w:r w:rsidR="004276EC" w:rsidRPr="000B6FD6">
              <w:rPr>
                <w:rFonts w:eastAsia="Times New Roman"/>
                <w:sz w:val="20"/>
                <w:szCs w:val="20"/>
              </w:rPr>
              <w:t>Presence of adults over 65</w:t>
            </w:r>
          </w:p>
        </w:tc>
        <w:tc>
          <w:tcPr>
            <w:tcW w:w="564" w:type="dxa"/>
            <w:tcBorders>
              <w:top w:val="nil"/>
              <w:left w:val="single" w:sz="12" w:space="0" w:color="auto"/>
              <w:bottom w:val="nil"/>
              <w:right w:val="nil"/>
            </w:tcBorders>
            <w:shd w:val="clear" w:color="auto" w:fill="auto"/>
            <w:noWrap/>
            <w:vAlign w:val="bottom"/>
            <w:hideMark/>
          </w:tcPr>
          <w:p w14:paraId="222A3F6F" w14:textId="56FE47F3" w:rsidR="004276EC" w:rsidRPr="000B6FD6" w:rsidRDefault="004276EC" w:rsidP="000B6FD6">
            <w:pPr>
              <w:tabs>
                <w:tab w:val="decimal" w:pos="231"/>
              </w:tabs>
              <w:spacing w:after="0" w:line="240" w:lineRule="auto"/>
              <w:jc w:val="both"/>
              <w:rPr>
                <w:rFonts w:eastAsia="Times New Roman"/>
                <w:sz w:val="20"/>
                <w:szCs w:val="20"/>
              </w:rPr>
            </w:pPr>
            <w:r w:rsidRPr="000B6FD6">
              <w:rPr>
                <w:color w:val="000000"/>
                <w:sz w:val="20"/>
                <w:szCs w:val="20"/>
              </w:rPr>
              <w:t>-0.42</w:t>
            </w:r>
          </w:p>
        </w:tc>
        <w:tc>
          <w:tcPr>
            <w:tcW w:w="660" w:type="dxa"/>
            <w:tcBorders>
              <w:top w:val="nil"/>
              <w:left w:val="nil"/>
              <w:bottom w:val="nil"/>
              <w:right w:val="single" w:sz="4" w:space="0" w:color="auto"/>
            </w:tcBorders>
            <w:shd w:val="clear" w:color="auto" w:fill="auto"/>
            <w:noWrap/>
            <w:vAlign w:val="bottom"/>
            <w:hideMark/>
          </w:tcPr>
          <w:p w14:paraId="49D0435D" w14:textId="4E2837AC" w:rsidR="004276EC" w:rsidRPr="000B6FD6" w:rsidRDefault="004276EC" w:rsidP="000B6FD6">
            <w:pPr>
              <w:tabs>
                <w:tab w:val="decimal" w:pos="207"/>
              </w:tabs>
              <w:spacing w:after="0" w:line="240" w:lineRule="auto"/>
              <w:jc w:val="both"/>
              <w:rPr>
                <w:rFonts w:eastAsia="Times New Roman"/>
                <w:sz w:val="20"/>
                <w:szCs w:val="20"/>
              </w:rPr>
            </w:pPr>
            <w:r w:rsidRPr="000B6FD6">
              <w:rPr>
                <w:color w:val="000000"/>
                <w:sz w:val="20"/>
                <w:szCs w:val="20"/>
              </w:rPr>
              <w:t>-2.63</w:t>
            </w:r>
          </w:p>
        </w:tc>
        <w:tc>
          <w:tcPr>
            <w:tcW w:w="564" w:type="dxa"/>
            <w:tcBorders>
              <w:top w:val="nil"/>
              <w:left w:val="nil"/>
              <w:bottom w:val="nil"/>
              <w:right w:val="nil"/>
            </w:tcBorders>
            <w:shd w:val="clear" w:color="auto" w:fill="auto"/>
            <w:noWrap/>
            <w:vAlign w:val="bottom"/>
            <w:hideMark/>
          </w:tcPr>
          <w:p w14:paraId="55B52FE9" w14:textId="1468340B" w:rsidR="004276EC" w:rsidRPr="000B6FD6" w:rsidRDefault="004276EC" w:rsidP="000B6FD6">
            <w:pPr>
              <w:tabs>
                <w:tab w:val="decimal" w:pos="180"/>
              </w:tabs>
              <w:spacing w:after="0" w:line="240" w:lineRule="auto"/>
              <w:jc w:val="both"/>
              <w:rPr>
                <w:rFonts w:eastAsia="Times New Roman"/>
                <w:sz w:val="20"/>
                <w:szCs w:val="20"/>
              </w:rPr>
            </w:pPr>
            <w:r w:rsidRPr="000B6FD6">
              <w:rPr>
                <w:color w:val="000000"/>
                <w:sz w:val="20"/>
                <w:szCs w:val="20"/>
              </w:rPr>
              <w:t>-0.56</w:t>
            </w:r>
          </w:p>
        </w:tc>
        <w:tc>
          <w:tcPr>
            <w:tcW w:w="516" w:type="dxa"/>
            <w:tcBorders>
              <w:top w:val="nil"/>
              <w:left w:val="nil"/>
              <w:bottom w:val="nil"/>
              <w:right w:val="nil"/>
            </w:tcBorders>
            <w:shd w:val="clear" w:color="auto" w:fill="auto"/>
            <w:noWrap/>
            <w:vAlign w:val="bottom"/>
            <w:hideMark/>
          </w:tcPr>
          <w:p w14:paraId="22FBD16B" w14:textId="50FC79EA" w:rsidR="004276EC" w:rsidRPr="000B6FD6" w:rsidRDefault="004276EC" w:rsidP="000B6FD6">
            <w:pPr>
              <w:tabs>
                <w:tab w:val="decimal" w:pos="243"/>
              </w:tabs>
              <w:spacing w:after="0" w:line="240" w:lineRule="auto"/>
              <w:jc w:val="both"/>
              <w:rPr>
                <w:rFonts w:eastAsia="Times New Roman"/>
                <w:sz w:val="20"/>
                <w:szCs w:val="20"/>
              </w:rPr>
            </w:pPr>
            <w:r w:rsidRPr="000B6FD6">
              <w:rPr>
                <w:color w:val="000000"/>
                <w:sz w:val="20"/>
                <w:szCs w:val="20"/>
              </w:rPr>
              <w:t>-5.88</w:t>
            </w:r>
          </w:p>
        </w:tc>
        <w:tc>
          <w:tcPr>
            <w:tcW w:w="564" w:type="dxa"/>
            <w:tcBorders>
              <w:top w:val="nil"/>
              <w:left w:val="single" w:sz="4" w:space="0" w:color="auto"/>
              <w:bottom w:val="nil"/>
              <w:right w:val="nil"/>
            </w:tcBorders>
            <w:shd w:val="clear" w:color="auto" w:fill="auto"/>
            <w:noWrap/>
            <w:vAlign w:val="bottom"/>
            <w:hideMark/>
          </w:tcPr>
          <w:p w14:paraId="319DAC32" w14:textId="27D7FE7D" w:rsidR="004276EC" w:rsidRPr="000B6FD6" w:rsidRDefault="004276EC" w:rsidP="000B6FD6">
            <w:pPr>
              <w:tabs>
                <w:tab w:val="decimal" w:pos="141"/>
              </w:tabs>
              <w:spacing w:after="0" w:line="240" w:lineRule="auto"/>
              <w:jc w:val="both"/>
              <w:rPr>
                <w:rFonts w:eastAsia="Times New Roman"/>
                <w:sz w:val="20"/>
                <w:szCs w:val="20"/>
              </w:rPr>
            </w:pPr>
            <w:r w:rsidRPr="000B6FD6">
              <w:rPr>
                <w:color w:val="000000"/>
                <w:sz w:val="20"/>
                <w:szCs w:val="20"/>
              </w:rPr>
              <w:t>0.21</w:t>
            </w:r>
          </w:p>
        </w:tc>
        <w:tc>
          <w:tcPr>
            <w:tcW w:w="516" w:type="dxa"/>
            <w:tcBorders>
              <w:top w:val="nil"/>
              <w:left w:val="nil"/>
              <w:bottom w:val="nil"/>
              <w:right w:val="single" w:sz="4" w:space="0" w:color="auto"/>
            </w:tcBorders>
            <w:shd w:val="clear" w:color="auto" w:fill="auto"/>
            <w:noWrap/>
            <w:vAlign w:val="bottom"/>
            <w:hideMark/>
          </w:tcPr>
          <w:p w14:paraId="08E3C818" w14:textId="656867D4" w:rsidR="004276EC" w:rsidRPr="000B6FD6" w:rsidRDefault="004276EC" w:rsidP="000B6FD6">
            <w:pPr>
              <w:tabs>
                <w:tab w:val="decimal" w:pos="120"/>
              </w:tabs>
              <w:spacing w:after="0" w:line="240" w:lineRule="auto"/>
              <w:jc w:val="both"/>
              <w:rPr>
                <w:rFonts w:eastAsia="Times New Roman"/>
                <w:sz w:val="20"/>
                <w:szCs w:val="20"/>
              </w:rPr>
            </w:pPr>
            <w:r w:rsidRPr="000B6FD6">
              <w:rPr>
                <w:color w:val="000000"/>
                <w:sz w:val="20"/>
                <w:szCs w:val="20"/>
              </w:rPr>
              <w:t>1.88</w:t>
            </w:r>
          </w:p>
        </w:tc>
        <w:tc>
          <w:tcPr>
            <w:tcW w:w="610" w:type="dxa"/>
            <w:tcBorders>
              <w:top w:val="nil"/>
              <w:left w:val="nil"/>
              <w:bottom w:val="nil"/>
              <w:right w:val="nil"/>
            </w:tcBorders>
            <w:shd w:val="clear" w:color="auto" w:fill="auto"/>
            <w:noWrap/>
            <w:vAlign w:val="bottom"/>
            <w:hideMark/>
          </w:tcPr>
          <w:p w14:paraId="257FF09A" w14:textId="39BC4096" w:rsidR="004276EC" w:rsidRPr="000B6FD6" w:rsidRDefault="004276EC" w:rsidP="000B6FD6">
            <w:pPr>
              <w:tabs>
                <w:tab w:val="decimal" w:pos="141"/>
              </w:tabs>
              <w:spacing w:after="0" w:line="240" w:lineRule="auto"/>
              <w:jc w:val="both"/>
              <w:rPr>
                <w:rFonts w:eastAsia="Times New Roman"/>
                <w:sz w:val="20"/>
                <w:szCs w:val="20"/>
              </w:rPr>
            </w:pPr>
            <w:r w:rsidRPr="000B6FD6">
              <w:rPr>
                <w:color w:val="000000"/>
                <w:sz w:val="20"/>
                <w:szCs w:val="20"/>
              </w:rPr>
              <w:t>0.13</w:t>
            </w:r>
          </w:p>
        </w:tc>
        <w:tc>
          <w:tcPr>
            <w:tcW w:w="508" w:type="dxa"/>
            <w:tcBorders>
              <w:top w:val="nil"/>
              <w:left w:val="nil"/>
              <w:bottom w:val="nil"/>
              <w:right w:val="nil"/>
            </w:tcBorders>
            <w:shd w:val="clear" w:color="auto" w:fill="auto"/>
            <w:noWrap/>
            <w:vAlign w:val="bottom"/>
            <w:hideMark/>
          </w:tcPr>
          <w:p w14:paraId="383DFA0B" w14:textId="445E7F18" w:rsidR="004276EC" w:rsidRPr="000B6FD6" w:rsidRDefault="004276EC" w:rsidP="000B6FD6">
            <w:pPr>
              <w:tabs>
                <w:tab w:val="decimal" w:pos="163"/>
              </w:tabs>
              <w:spacing w:after="0" w:line="240" w:lineRule="auto"/>
              <w:jc w:val="both"/>
              <w:rPr>
                <w:rFonts w:eastAsia="Times New Roman"/>
                <w:sz w:val="20"/>
                <w:szCs w:val="20"/>
              </w:rPr>
            </w:pPr>
            <w:r w:rsidRPr="000B6FD6">
              <w:rPr>
                <w:color w:val="000000"/>
                <w:sz w:val="20"/>
                <w:szCs w:val="20"/>
              </w:rPr>
              <w:t>2.11</w:t>
            </w:r>
          </w:p>
        </w:tc>
        <w:tc>
          <w:tcPr>
            <w:tcW w:w="574" w:type="dxa"/>
            <w:tcBorders>
              <w:top w:val="nil"/>
              <w:left w:val="single" w:sz="4" w:space="0" w:color="auto"/>
              <w:bottom w:val="nil"/>
              <w:right w:val="nil"/>
            </w:tcBorders>
            <w:shd w:val="clear" w:color="auto" w:fill="auto"/>
            <w:noWrap/>
            <w:vAlign w:val="bottom"/>
            <w:hideMark/>
          </w:tcPr>
          <w:p w14:paraId="3CAE5761" w14:textId="4CEFE8AC" w:rsidR="004276EC" w:rsidRPr="000B6FD6" w:rsidRDefault="004276EC" w:rsidP="000B6FD6">
            <w:pPr>
              <w:tabs>
                <w:tab w:val="decimal" w:pos="197"/>
              </w:tabs>
              <w:spacing w:after="0" w:line="240" w:lineRule="auto"/>
              <w:jc w:val="both"/>
              <w:rPr>
                <w:rFonts w:eastAsia="Times New Roman"/>
                <w:sz w:val="20"/>
                <w:szCs w:val="20"/>
              </w:rPr>
            </w:pPr>
            <w:r w:rsidRPr="000B6FD6">
              <w:rPr>
                <w:color w:val="000000"/>
                <w:sz w:val="20"/>
                <w:szCs w:val="20"/>
              </w:rPr>
              <w:t>-0.15</w:t>
            </w:r>
          </w:p>
        </w:tc>
        <w:tc>
          <w:tcPr>
            <w:tcW w:w="586" w:type="dxa"/>
            <w:tcBorders>
              <w:top w:val="nil"/>
              <w:left w:val="nil"/>
              <w:bottom w:val="nil"/>
              <w:right w:val="single" w:sz="4" w:space="0" w:color="auto"/>
            </w:tcBorders>
            <w:shd w:val="clear" w:color="auto" w:fill="auto"/>
            <w:noWrap/>
            <w:vAlign w:val="bottom"/>
            <w:hideMark/>
          </w:tcPr>
          <w:p w14:paraId="075B06D9" w14:textId="5313637D" w:rsidR="004276EC" w:rsidRPr="000B6FD6" w:rsidRDefault="004276EC" w:rsidP="000B6FD6">
            <w:pPr>
              <w:tabs>
                <w:tab w:val="decimal" w:pos="247"/>
              </w:tabs>
              <w:spacing w:after="0" w:line="240" w:lineRule="auto"/>
              <w:jc w:val="both"/>
              <w:rPr>
                <w:rFonts w:eastAsia="Times New Roman"/>
                <w:sz w:val="20"/>
                <w:szCs w:val="20"/>
              </w:rPr>
            </w:pPr>
            <w:r w:rsidRPr="000B6FD6">
              <w:rPr>
                <w:color w:val="000000"/>
                <w:sz w:val="20"/>
                <w:szCs w:val="20"/>
              </w:rPr>
              <w:t>-2.17</w:t>
            </w:r>
          </w:p>
        </w:tc>
        <w:tc>
          <w:tcPr>
            <w:tcW w:w="580" w:type="dxa"/>
            <w:tcBorders>
              <w:top w:val="nil"/>
              <w:left w:val="nil"/>
              <w:bottom w:val="nil"/>
              <w:right w:val="nil"/>
            </w:tcBorders>
            <w:shd w:val="clear" w:color="auto" w:fill="auto"/>
            <w:noWrap/>
            <w:vAlign w:val="bottom"/>
            <w:hideMark/>
          </w:tcPr>
          <w:p w14:paraId="4A2267CE" w14:textId="7219166C" w:rsidR="004276EC" w:rsidRPr="000B6FD6" w:rsidRDefault="004276EC" w:rsidP="000B6FD6">
            <w:pPr>
              <w:tabs>
                <w:tab w:val="decimal" w:pos="207"/>
              </w:tabs>
              <w:spacing w:after="0" w:line="240" w:lineRule="auto"/>
              <w:jc w:val="both"/>
              <w:rPr>
                <w:rFonts w:eastAsia="Times New Roman"/>
                <w:sz w:val="20"/>
                <w:szCs w:val="20"/>
              </w:rPr>
            </w:pPr>
            <w:r w:rsidRPr="000B6FD6">
              <w:rPr>
                <w:color w:val="000000"/>
                <w:sz w:val="20"/>
                <w:szCs w:val="20"/>
              </w:rPr>
              <w:t>0.16</w:t>
            </w:r>
          </w:p>
        </w:tc>
        <w:tc>
          <w:tcPr>
            <w:tcW w:w="520" w:type="dxa"/>
            <w:tcBorders>
              <w:top w:val="nil"/>
              <w:left w:val="nil"/>
              <w:bottom w:val="nil"/>
              <w:right w:val="nil"/>
            </w:tcBorders>
            <w:shd w:val="clear" w:color="auto" w:fill="auto"/>
            <w:noWrap/>
            <w:vAlign w:val="bottom"/>
            <w:hideMark/>
          </w:tcPr>
          <w:p w14:paraId="24F533C9" w14:textId="4BDBF34D" w:rsidR="004276EC" w:rsidRPr="000B6FD6" w:rsidRDefault="004276EC" w:rsidP="000B6FD6">
            <w:pPr>
              <w:tabs>
                <w:tab w:val="decimal" w:pos="256"/>
              </w:tabs>
              <w:spacing w:after="0" w:line="240" w:lineRule="auto"/>
              <w:jc w:val="both"/>
              <w:rPr>
                <w:rFonts w:eastAsia="Times New Roman"/>
                <w:sz w:val="20"/>
                <w:szCs w:val="20"/>
              </w:rPr>
            </w:pPr>
            <w:r w:rsidRPr="000B6FD6">
              <w:rPr>
                <w:color w:val="000000"/>
                <w:sz w:val="20"/>
                <w:szCs w:val="20"/>
              </w:rPr>
              <w:t>2.97</w:t>
            </w:r>
          </w:p>
        </w:tc>
        <w:tc>
          <w:tcPr>
            <w:tcW w:w="600" w:type="dxa"/>
            <w:tcBorders>
              <w:top w:val="nil"/>
              <w:left w:val="single" w:sz="4" w:space="0" w:color="auto"/>
              <w:bottom w:val="nil"/>
              <w:right w:val="nil"/>
            </w:tcBorders>
            <w:shd w:val="clear" w:color="auto" w:fill="auto"/>
            <w:noWrap/>
            <w:vAlign w:val="bottom"/>
            <w:hideMark/>
          </w:tcPr>
          <w:p w14:paraId="6DD079B6" w14:textId="5CE26DB9" w:rsidR="004276EC" w:rsidRPr="000B6FD6" w:rsidRDefault="004276EC" w:rsidP="000B6FD6">
            <w:pPr>
              <w:tabs>
                <w:tab w:val="decimal" w:pos="229"/>
              </w:tabs>
              <w:spacing w:after="0" w:line="240" w:lineRule="auto"/>
              <w:jc w:val="both"/>
              <w:rPr>
                <w:rFonts w:eastAsia="Times New Roman"/>
                <w:sz w:val="20"/>
                <w:szCs w:val="20"/>
              </w:rPr>
            </w:pPr>
            <w:r w:rsidRPr="000B6FD6">
              <w:rPr>
                <w:color w:val="000000"/>
                <w:sz w:val="20"/>
                <w:szCs w:val="20"/>
              </w:rPr>
              <w:t>0.32</w:t>
            </w:r>
          </w:p>
        </w:tc>
        <w:tc>
          <w:tcPr>
            <w:tcW w:w="500" w:type="dxa"/>
            <w:tcBorders>
              <w:top w:val="nil"/>
              <w:left w:val="nil"/>
              <w:bottom w:val="nil"/>
              <w:right w:val="single" w:sz="4" w:space="0" w:color="auto"/>
            </w:tcBorders>
            <w:shd w:val="clear" w:color="auto" w:fill="auto"/>
            <w:noWrap/>
            <w:vAlign w:val="bottom"/>
            <w:hideMark/>
          </w:tcPr>
          <w:p w14:paraId="71DA3732" w14:textId="6C4E5DF7" w:rsidR="004276EC" w:rsidRPr="000B6FD6" w:rsidRDefault="004276EC" w:rsidP="000B6FD6">
            <w:pPr>
              <w:tabs>
                <w:tab w:val="decimal" w:pos="170"/>
              </w:tabs>
              <w:spacing w:after="0" w:line="240" w:lineRule="auto"/>
              <w:jc w:val="both"/>
              <w:rPr>
                <w:rFonts w:eastAsia="Times New Roman"/>
                <w:sz w:val="20"/>
                <w:szCs w:val="20"/>
              </w:rPr>
            </w:pPr>
            <w:r w:rsidRPr="000B6FD6">
              <w:rPr>
                <w:color w:val="000000"/>
                <w:sz w:val="20"/>
                <w:szCs w:val="20"/>
              </w:rPr>
              <w:t>3.31</w:t>
            </w:r>
          </w:p>
        </w:tc>
        <w:tc>
          <w:tcPr>
            <w:tcW w:w="600" w:type="dxa"/>
            <w:tcBorders>
              <w:top w:val="nil"/>
              <w:left w:val="nil"/>
              <w:bottom w:val="nil"/>
              <w:right w:val="nil"/>
            </w:tcBorders>
            <w:shd w:val="clear" w:color="auto" w:fill="auto"/>
            <w:noWrap/>
            <w:vAlign w:val="bottom"/>
            <w:hideMark/>
          </w:tcPr>
          <w:p w14:paraId="5B847193" w14:textId="1AAC043C" w:rsidR="004276EC" w:rsidRPr="000B6FD6" w:rsidRDefault="004276EC" w:rsidP="000B6FD6">
            <w:pPr>
              <w:tabs>
                <w:tab w:val="decimal" w:pos="210"/>
              </w:tabs>
              <w:spacing w:after="0" w:line="240" w:lineRule="auto"/>
              <w:jc w:val="both"/>
              <w:rPr>
                <w:rFonts w:eastAsia="Times New Roman"/>
                <w:sz w:val="20"/>
                <w:szCs w:val="20"/>
              </w:rPr>
            </w:pPr>
            <w:r w:rsidRPr="000B6FD6">
              <w:rPr>
                <w:color w:val="000000"/>
                <w:sz w:val="20"/>
                <w:szCs w:val="20"/>
              </w:rPr>
              <w:t>0.14</w:t>
            </w:r>
          </w:p>
        </w:tc>
        <w:tc>
          <w:tcPr>
            <w:tcW w:w="500" w:type="dxa"/>
            <w:tcBorders>
              <w:top w:val="nil"/>
              <w:left w:val="nil"/>
              <w:bottom w:val="nil"/>
              <w:right w:val="nil"/>
            </w:tcBorders>
            <w:shd w:val="clear" w:color="auto" w:fill="auto"/>
            <w:noWrap/>
            <w:vAlign w:val="bottom"/>
            <w:hideMark/>
          </w:tcPr>
          <w:p w14:paraId="0305EA59" w14:textId="175E534D" w:rsidR="004276EC" w:rsidRPr="000B6FD6" w:rsidRDefault="004276EC" w:rsidP="000B6FD6">
            <w:pPr>
              <w:tabs>
                <w:tab w:val="decimal" w:pos="151"/>
              </w:tabs>
              <w:spacing w:after="0" w:line="240" w:lineRule="auto"/>
              <w:jc w:val="both"/>
              <w:rPr>
                <w:rFonts w:eastAsia="Times New Roman"/>
                <w:sz w:val="20"/>
                <w:szCs w:val="20"/>
              </w:rPr>
            </w:pPr>
            <w:r w:rsidRPr="000B6FD6">
              <w:rPr>
                <w:color w:val="000000"/>
                <w:sz w:val="20"/>
                <w:szCs w:val="20"/>
              </w:rPr>
              <w:t>2.50</w:t>
            </w:r>
          </w:p>
        </w:tc>
        <w:tc>
          <w:tcPr>
            <w:tcW w:w="580" w:type="dxa"/>
            <w:tcBorders>
              <w:top w:val="nil"/>
              <w:left w:val="single" w:sz="4" w:space="0" w:color="auto"/>
              <w:bottom w:val="nil"/>
              <w:right w:val="nil"/>
            </w:tcBorders>
            <w:shd w:val="clear" w:color="auto" w:fill="auto"/>
            <w:noWrap/>
            <w:vAlign w:val="center"/>
            <w:hideMark/>
          </w:tcPr>
          <w:p w14:paraId="14FC18EC" w14:textId="02983C23" w:rsidR="004276EC" w:rsidRPr="000B6FD6" w:rsidRDefault="00A503D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2654DF3E" w14:textId="77777777" w:rsidR="004276EC" w:rsidRPr="000B6FD6" w:rsidRDefault="004276EC"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tcPr>
          <w:p w14:paraId="21051F46" w14:textId="6DEDFF31" w:rsidR="004276EC"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bottom"/>
          </w:tcPr>
          <w:p w14:paraId="5C8D7A6C" w14:textId="53CA5B22" w:rsidR="004276EC" w:rsidRPr="000B6FD6" w:rsidRDefault="004276EC" w:rsidP="000B6FD6">
            <w:pPr>
              <w:tabs>
                <w:tab w:val="decimal" w:pos="208"/>
              </w:tabs>
              <w:spacing w:after="0" w:line="240" w:lineRule="auto"/>
              <w:jc w:val="both"/>
              <w:rPr>
                <w:rFonts w:eastAsia="Times New Roman"/>
                <w:sz w:val="20"/>
                <w:szCs w:val="20"/>
              </w:rPr>
            </w:pPr>
          </w:p>
        </w:tc>
      </w:tr>
      <w:tr w:rsidR="004276EC" w:rsidRPr="000B6FD6" w14:paraId="51446A2D"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6B7CD284" w14:textId="2BAA6BF9" w:rsidR="004276EC" w:rsidRPr="000B6FD6" w:rsidRDefault="000B6FD6" w:rsidP="000B6FD6">
            <w:pPr>
              <w:spacing w:after="0" w:line="240" w:lineRule="auto"/>
              <w:jc w:val="both"/>
              <w:rPr>
                <w:rFonts w:eastAsia="Times New Roman"/>
                <w:sz w:val="20"/>
                <w:szCs w:val="20"/>
              </w:rPr>
            </w:pPr>
            <w:r>
              <w:rPr>
                <w:rFonts w:eastAsia="Times New Roman"/>
                <w:sz w:val="20"/>
                <w:szCs w:val="20"/>
              </w:rPr>
              <w:t xml:space="preserve">      </w:t>
            </w:r>
            <w:r w:rsidR="004276EC" w:rsidRPr="000B6FD6">
              <w:rPr>
                <w:rFonts w:eastAsia="Times New Roman"/>
                <w:sz w:val="20"/>
                <w:szCs w:val="20"/>
              </w:rPr>
              <w:t>Presence of adult students</w:t>
            </w:r>
          </w:p>
        </w:tc>
        <w:tc>
          <w:tcPr>
            <w:tcW w:w="564" w:type="dxa"/>
            <w:tcBorders>
              <w:top w:val="nil"/>
              <w:left w:val="single" w:sz="12" w:space="0" w:color="auto"/>
              <w:bottom w:val="nil"/>
              <w:right w:val="nil"/>
            </w:tcBorders>
            <w:shd w:val="clear" w:color="auto" w:fill="auto"/>
            <w:noWrap/>
            <w:vAlign w:val="center"/>
            <w:hideMark/>
          </w:tcPr>
          <w:p w14:paraId="2EA500C6" w14:textId="5D935E3C" w:rsidR="004276EC"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0B1B7849" w14:textId="77777777" w:rsidR="004276EC" w:rsidRPr="000B6FD6" w:rsidRDefault="004276EC"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37E23F85" w14:textId="39CDCEB7" w:rsidR="004276EC"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7DAB913A" w14:textId="77777777" w:rsidR="004276EC" w:rsidRPr="000B6FD6" w:rsidRDefault="004276EC"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39EF5BF3" w14:textId="4EDB651E"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2EA7591D" w14:textId="77777777" w:rsidR="004276EC" w:rsidRPr="000B6FD6" w:rsidRDefault="004276EC"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tcPr>
          <w:p w14:paraId="65126D39" w14:textId="7718C5F7" w:rsidR="004276EC" w:rsidRPr="000B6FD6" w:rsidRDefault="00A503D7" w:rsidP="00A503D7">
            <w:pPr>
              <w:tabs>
                <w:tab w:val="decimal" w:pos="141"/>
              </w:tabs>
              <w:spacing w:after="0" w:line="240" w:lineRule="auto"/>
              <w:jc w:val="center"/>
              <w:rPr>
                <w:rFonts w:eastAsia="Times New Roman"/>
                <w:sz w:val="20"/>
                <w:szCs w:val="20"/>
                <w:highlight w:val="yellow"/>
              </w:rPr>
            </w:pPr>
            <w:r w:rsidRPr="00A503D7">
              <w:rPr>
                <w:rFonts w:eastAsia="Times New Roman"/>
                <w:sz w:val="20"/>
                <w:szCs w:val="20"/>
              </w:rPr>
              <w:t>--</w:t>
            </w:r>
          </w:p>
        </w:tc>
        <w:tc>
          <w:tcPr>
            <w:tcW w:w="508" w:type="dxa"/>
            <w:tcBorders>
              <w:top w:val="nil"/>
              <w:left w:val="nil"/>
              <w:bottom w:val="nil"/>
              <w:right w:val="nil"/>
            </w:tcBorders>
            <w:shd w:val="clear" w:color="auto" w:fill="auto"/>
            <w:noWrap/>
            <w:vAlign w:val="bottom"/>
          </w:tcPr>
          <w:p w14:paraId="0EF50CAF" w14:textId="22254DEA" w:rsidR="004276EC" w:rsidRPr="000B6FD6" w:rsidRDefault="004276EC" w:rsidP="000B6FD6">
            <w:pPr>
              <w:tabs>
                <w:tab w:val="decimal" w:pos="163"/>
              </w:tabs>
              <w:spacing w:after="0" w:line="240" w:lineRule="auto"/>
              <w:jc w:val="both"/>
              <w:rPr>
                <w:rFonts w:eastAsia="Times New Roman"/>
                <w:sz w:val="20"/>
                <w:szCs w:val="20"/>
                <w:highlight w:val="yellow"/>
              </w:rPr>
            </w:pPr>
          </w:p>
        </w:tc>
        <w:tc>
          <w:tcPr>
            <w:tcW w:w="574" w:type="dxa"/>
            <w:tcBorders>
              <w:top w:val="nil"/>
              <w:left w:val="single" w:sz="4" w:space="0" w:color="auto"/>
              <w:bottom w:val="nil"/>
              <w:right w:val="nil"/>
            </w:tcBorders>
            <w:shd w:val="clear" w:color="auto" w:fill="auto"/>
            <w:noWrap/>
            <w:vAlign w:val="center"/>
            <w:hideMark/>
          </w:tcPr>
          <w:p w14:paraId="69F45B68" w14:textId="33CDC0D3" w:rsidR="004276EC"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5E6389B5" w14:textId="77777777" w:rsidR="004276EC" w:rsidRPr="000B6FD6" w:rsidRDefault="004276EC"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2BA6D84B" w14:textId="4A3F23B0" w:rsidR="004276EC"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3AC49288" w14:textId="77777777" w:rsidR="004276EC" w:rsidRPr="000B6FD6" w:rsidRDefault="004276EC"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22364AB8" w14:textId="61CFC089" w:rsidR="004276EC"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17DD2A1F" w14:textId="77777777" w:rsidR="004276EC" w:rsidRPr="000B6FD6" w:rsidRDefault="004276EC"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bottom"/>
            <w:hideMark/>
          </w:tcPr>
          <w:p w14:paraId="1AA5A05C" w14:textId="7758AA0A" w:rsidR="004276EC" w:rsidRPr="000B6FD6" w:rsidRDefault="004276EC" w:rsidP="000B6FD6">
            <w:pPr>
              <w:tabs>
                <w:tab w:val="decimal" w:pos="210"/>
              </w:tabs>
              <w:spacing w:after="0" w:line="240" w:lineRule="auto"/>
              <w:jc w:val="both"/>
              <w:rPr>
                <w:rFonts w:eastAsia="Times New Roman"/>
                <w:sz w:val="20"/>
                <w:szCs w:val="20"/>
              </w:rPr>
            </w:pPr>
            <w:r w:rsidRPr="000B6FD6">
              <w:rPr>
                <w:color w:val="000000"/>
                <w:sz w:val="20"/>
                <w:szCs w:val="20"/>
              </w:rPr>
              <w:t>0.18</w:t>
            </w:r>
          </w:p>
        </w:tc>
        <w:tc>
          <w:tcPr>
            <w:tcW w:w="500" w:type="dxa"/>
            <w:tcBorders>
              <w:top w:val="nil"/>
              <w:left w:val="nil"/>
              <w:bottom w:val="nil"/>
              <w:right w:val="nil"/>
            </w:tcBorders>
            <w:shd w:val="clear" w:color="auto" w:fill="auto"/>
            <w:noWrap/>
            <w:vAlign w:val="bottom"/>
            <w:hideMark/>
          </w:tcPr>
          <w:p w14:paraId="5F05ACA2" w14:textId="13CCBEB3" w:rsidR="004276EC" w:rsidRPr="000B6FD6" w:rsidRDefault="004276EC" w:rsidP="000B6FD6">
            <w:pPr>
              <w:tabs>
                <w:tab w:val="decimal" w:pos="151"/>
              </w:tabs>
              <w:spacing w:after="0" w:line="240" w:lineRule="auto"/>
              <w:jc w:val="both"/>
              <w:rPr>
                <w:rFonts w:eastAsia="Times New Roman"/>
                <w:sz w:val="20"/>
                <w:szCs w:val="20"/>
              </w:rPr>
            </w:pPr>
            <w:r w:rsidRPr="000B6FD6">
              <w:rPr>
                <w:color w:val="000000"/>
                <w:sz w:val="20"/>
                <w:szCs w:val="20"/>
              </w:rPr>
              <w:t>2.27</w:t>
            </w:r>
          </w:p>
        </w:tc>
        <w:tc>
          <w:tcPr>
            <w:tcW w:w="580" w:type="dxa"/>
            <w:tcBorders>
              <w:top w:val="nil"/>
              <w:left w:val="single" w:sz="4" w:space="0" w:color="auto"/>
              <w:bottom w:val="nil"/>
              <w:right w:val="nil"/>
            </w:tcBorders>
            <w:shd w:val="clear" w:color="auto" w:fill="auto"/>
            <w:noWrap/>
            <w:vAlign w:val="bottom"/>
            <w:hideMark/>
          </w:tcPr>
          <w:p w14:paraId="77BC9A11" w14:textId="41720ED6" w:rsidR="004276EC" w:rsidRPr="000B6FD6" w:rsidRDefault="004276EC" w:rsidP="000B6FD6">
            <w:pPr>
              <w:tabs>
                <w:tab w:val="decimal" w:pos="191"/>
              </w:tabs>
              <w:spacing w:after="0" w:line="240" w:lineRule="auto"/>
              <w:jc w:val="both"/>
              <w:rPr>
                <w:rFonts w:eastAsia="Times New Roman"/>
                <w:sz w:val="20"/>
                <w:szCs w:val="20"/>
              </w:rPr>
            </w:pPr>
            <w:r w:rsidRPr="000B6FD6">
              <w:rPr>
                <w:color w:val="000000"/>
                <w:sz w:val="20"/>
                <w:szCs w:val="20"/>
              </w:rPr>
              <w:t>0.14</w:t>
            </w:r>
          </w:p>
        </w:tc>
        <w:tc>
          <w:tcPr>
            <w:tcW w:w="520" w:type="dxa"/>
            <w:tcBorders>
              <w:top w:val="nil"/>
              <w:left w:val="nil"/>
              <w:bottom w:val="nil"/>
              <w:right w:val="single" w:sz="4" w:space="0" w:color="auto"/>
            </w:tcBorders>
            <w:shd w:val="clear" w:color="auto" w:fill="auto"/>
            <w:noWrap/>
            <w:vAlign w:val="bottom"/>
            <w:hideMark/>
          </w:tcPr>
          <w:p w14:paraId="196F6880" w14:textId="2F36776C" w:rsidR="004276EC" w:rsidRPr="000B6FD6" w:rsidRDefault="004276EC" w:rsidP="000B6FD6">
            <w:pPr>
              <w:tabs>
                <w:tab w:val="decimal" w:pos="239"/>
              </w:tabs>
              <w:spacing w:after="0" w:line="240" w:lineRule="auto"/>
              <w:jc w:val="both"/>
              <w:rPr>
                <w:rFonts w:eastAsia="Times New Roman"/>
                <w:sz w:val="20"/>
                <w:szCs w:val="20"/>
              </w:rPr>
            </w:pPr>
            <w:r w:rsidRPr="000B6FD6">
              <w:rPr>
                <w:color w:val="000000"/>
                <w:sz w:val="20"/>
                <w:szCs w:val="20"/>
              </w:rPr>
              <w:t>1.73</w:t>
            </w:r>
          </w:p>
        </w:tc>
        <w:tc>
          <w:tcPr>
            <w:tcW w:w="564" w:type="dxa"/>
            <w:tcBorders>
              <w:top w:val="nil"/>
              <w:left w:val="nil"/>
              <w:bottom w:val="nil"/>
              <w:right w:val="nil"/>
            </w:tcBorders>
            <w:shd w:val="clear" w:color="auto" w:fill="auto"/>
            <w:noWrap/>
            <w:vAlign w:val="bottom"/>
          </w:tcPr>
          <w:p w14:paraId="6208C6BF" w14:textId="43EA1671" w:rsidR="004276EC"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bottom"/>
          </w:tcPr>
          <w:p w14:paraId="05BD7BD6" w14:textId="2DB55090" w:rsidR="004276EC" w:rsidRPr="000B6FD6" w:rsidRDefault="004276EC" w:rsidP="000B6FD6">
            <w:pPr>
              <w:tabs>
                <w:tab w:val="decimal" w:pos="208"/>
              </w:tabs>
              <w:spacing w:after="0" w:line="240" w:lineRule="auto"/>
              <w:jc w:val="both"/>
              <w:rPr>
                <w:rFonts w:eastAsia="Times New Roman"/>
                <w:sz w:val="20"/>
                <w:szCs w:val="20"/>
              </w:rPr>
            </w:pPr>
          </w:p>
        </w:tc>
      </w:tr>
      <w:tr w:rsidR="004276EC" w:rsidRPr="000B6FD6" w14:paraId="50C20A14"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48AA2B58" w14:textId="46D7E2BA" w:rsidR="004276EC" w:rsidRPr="000B6FD6" w:rsidRDefault="000B6FD6" w:rsidP="000B6FD6">
            <w:pPr>
              <w:spacing w:after="0" w:line="240" w:lineRule="auto"/>
              <w:jc w:val="both"/>
              <w:rPr>
                <w:rFonts w:eastAsia="Times New Roman"/>
                <w:sz w:val="20"/>
                <w:szCs w:val="20"/>
              </w:rPr>
            </w:pPr>
            <w:r>
              <w:rPr>
                <w:rFonts w:eastAsia="Times New Roman"/>
                <w:sz w:val="20"/>
                <w:szCs w:val="20"/>
              </w:rPr>
              <w:t xml:space="preserve">      </w:t>
            </w:r>
            <w:r w:rsidR="004276EC" w:rsidRPr="000B6FD6">
              <w:rPr>
                <w:rFonts w:eastAsia="Times New Roman"/>
                <w:sz w:val="20"/>
                <w:szCs w:val="20"/>
              </w:rPr>
              <w:t>Presence of children</w:t>
            </w:r>
          </w:p>
        </w:tc>
        <w:tc>
          <w:tcPr>
            <w:tcW w:w="564" w:type="dxa"/>
            <w:tcBorders>
              <w:top w:val="nil"/>
              <w:left w:val="single" w:sz="12" w:space="0" w:color="auto"/>
              <w:bottom w:val="nil"/>
              <w:right w:val="nil"/>
            </w:tcBorders>
            <w:shd w:val="clear" w:color="auto" w:fill="auto"/>
            <w:noWrap/>
            <w:vAlign w:val="bottom"/>
            <w:hideMark/>
          </w:tcPr>
          <w:p w14:paraId="434DB77E" w14:textId="7933F0B8" w:rsidR="004276EC" w:rsidRPr="000B6FD6" w:rsidRDefault="004276EC" w:rsidP="000B6FD6">
            <w:pPr>
              <w:tabs>
                <w:tab w:val="decimal" w:pos="231"/>
              </w:tabs>
              <w:spacing w:after="0" w:line="240" w:lineRule="auto"/>
              <w:jc w:val="both"/>
              <w:rPr>
                <w:rFonts w:eastAsia="Times New Roman"/>
                <w:sz w:val="20"/>
                <w:szCs w:val="20"/>
              </w:rPr>
            </w:pPr>
            <w:r w:rsidRPr="000B6FD6">
              <w:rPr>
                <w:color w:val="000000"/>
                <w:sz w:val="20"/>
                <w:szCs w:val="20"/>
              </w:rPr>
              <w:t>-0.63</w:t>
            </w:r>
          </w:p>
        </w:tc>
        <w:tc>
          <w:tcPr>
            <w:tcW w:w="660" w:type="dxa"/>
            <w:tcBorders>
              <w:top w:val="nil"/>
              <w:left w:val="nil"/>
              <w:bottom w:val="nil"/>
              <w:right w:val="single" w:sz="4" w:space="0" w:color="auto"/>
            </w:tcBorders>
            <w:shd w:val="clear" w:color="auto" w:fill="auto"/>
            <w:noWrap/>
            <w:vAlign w:val="bottom"/>
            <w:hideMark/>
          </w:tcPr>
          <w:p w14:paraId="17854587" w14:textId="1089F5A0" w:rsidR="004276EC" w:rsidRPr="000B6FD6" w:rsidRDefault="004276EC" w:rsidP="000B6FD6">
            <w:pPr>
              <w:tabs>
                <w:tab w:val="decimal" w:pos="207"/>
              </w:tabs>
              <w:spacing w:after="0" w:line="240" w:lineRule="auto"/>
              <w:jc w:val="both"/>
              <w:rPr>
                <w:rFonts w:eastAsia="Times New Roman"/>
                <w:sz w:val="20"/>
                <w:szCs w:val="20"/>
              </w:rPr>
            </w:pPr>
            <w:r w:rsidRPr="000B6FD6">
              <w:rPr>
                <w:color w:val="000000"/>
                <w:sz w:val="20"/>
                <w:szCs w:val="20"/>
              </w:rPr>
              <w:t>-3.71</w:t>
            </w:r>
          </w:p>
        </w:tc>
        <w:tc>
          <w:tcPr>
            <w:tcW w:w="564" w:type="dxa"/>
            <w:tcBorders>
              <w:top w:val="nil"/>
              <w:left w:val="nil"/>
              <w:bottom w:val="nil"/>
              <w:right w:val="nil"/>
            </w:tcBorders>
            <w:shd w:val="clear" w:color="auto" w:fill="auto"/>
            <w:noWrap/>
            <w:vAlign w:val="center"/>
            <w:hideMark/>
          </w:tcPr>
          <w:p w14:paraId="6EC8FCF8" w14:textId="2B3B42B0" w:rsidR="004276EC"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2F9DA763" w14:textId="77777777" w:rsidR="004276EC" w:rsidRPr="000B6FD6" w:rsidRDefault="004276EC"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tcPr>
          <w:p w14:paraId="4E2B4D04" w14:textId="1F40ED72"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tcPr>
          <w:p w14:paraId="6E367A4D" w14:textId="346E1982" w:rsidR="004276EC" w:rsidRPr="000B6FD6" w:rsidRDefault="004276EC" w:rsidP="000B6FD6">
            <w:pPr>
              <w:tabs>
                <w:tab w:val="decimal" w:pos="120"/>
              </w:tabs>
              <w:spacing w:after="0" w:line="240" w:lineRule="auto"/>
              <w:jc w:val="both"/>
              <w:rPr>
                <w:rFonts w:eastAsia="Times New Roman"/>
                <w:sz w:val="20"/>
                <w:szCs w:val="20"/>
              </w:rPr>
            </w:pPr>
          </w:p>
        </w:tc>
        <w:tc>
          <w:tcPr>
            <w:tcW w:w="610" w:type="dxa"/>
            <w:tcBorders>
              <w:top w:val="nil"/>
              <w:left w:val="nil"/>
              <w:bottom w:val="nil"/>
              <w:right w:val="nil"/>
            </w:tcBorders>
            <w:shd w:val="clear" w:color="auto" w:fill="auto"/>
            <w:noWrap/>
            <w:vAlign w:val="bottom"/>
            <w:hideMark/>
          </w:tcPr>
          <w:p w14:paraId="3AFED2BC" w14:textId="624731A9" w:rsidR="004276EC" w:rsidRPr="000B6FD6" w:rsidRDefault="004276EC" w:rsidP="000B6FD6">
            <w:pPr>
              <w:tabs>
                <w:tab w:val="decimal" w:pos="141"/>
              </w:tabs>
              <w:spacing w:after="0" w:line="240" w:lineRule="auto"/>
              <w:jc w:val="both"/>
              <w:rPr>
                <w:rFonts w:eastAsia="Times New Roman"/>
                <w:sz w:val="20"/>
                <w:szCs w:val="20"/>
              </w:rPr>
            </w:pPr>
            <w:r w:rsidRPr="000B6FD6">
              <w:rPr>
                <w:color w:val="000000"/>
                <w:sz w:val="20"/>
                <w:szCs w:val="20"/>
              </w:rPr>
              <w:t>0.66</w:t>
            </w:r>
          </w:p>
        </w:tc>
        <w:tc>
          <w:tcPr>
            <w:tcW w:w="508" w:type="dxa"/>
            <w:tcBorders>
              <w:top w:val="nil"/>
              <w:left w:val="nil"/>
              <w:bottom w:val="nil"/>
              <w:right w:val="nil"/>
            </w:tcBorders>
            <w:shd w:val="clear" w:color="auto" w:fill="auto"/>
            <w:noWrap/>
            <w:vAlign w:val="bottom"/>
            <w:hideMark/>
          </w:tcPr>
          <w:p w14:paraId="5CE74C63" w14:textId="6EE4E83B" w:rsidR="004276EC" w:rsidRPr="000B6FD6" w:rsidRDefault="004276EC" w:rsidP="000B6FD6">
            <w:pPr>
              <w:tabs>
                <w:tab w:val="decimal" w:pos="163"/>
              </w:tabs>
              <w:spacing w:after="0" w:line="240" w:lineRule="auto"/>
              <w:jc w:val="both"/>
              <w:rPr>
                <w:rFonts w:eastAsia="Times New Roman"/>
                <w:sz w:val="20"/>
                <w:szCs w:val="20"/>
              </w:rPr>
            </w:pPr>
            <w:r w:rsidRPr="000B6FD6">
              <w:rPr>
                <w:color w:val="000000"/>
                <w:sz w:val="20"/>
                <w:szCs w:val="20"/>
              </w:rPr>
              <w:t>8.79</w:t>
            </w:r>
          </w:p>
        </w:tc>
        <w:tc>
          <w:tcPr>
            <w:tcW w:w="574" w:type="dxa"/>
            <w:tcBorders>
              <w:top w:val="nil"/>
              <w:left w:val="single" w:sz="4" w:space="0" w:color="auto"/>
              <w:bottom w:val="nil"/>
              <w:right w:val="nil"/>
            </w:tcBorders>
            <w:shd w:val="clear" w:color="auto" w:fill="auto"/>
            <w:noWrap/>
            <w:vAlign w:val="center"/>
            <w:hideMark/>
          </w:tcPr>
          <w:p w14:paraId="306A66DB" w14:textId="3E0DD5BE" w:rsidR="004276EC"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7CF8A0D1" w14:textId="77777777" w:rsidR="004276EC" w:rsidRPr="000B6FD6" w:rsidRDefault="004276EC"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693E7A25" w14:textId="734900F5" w:rsidR="004276EC"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1CE0BFF9" w14:textId="77777777" w:rsidR="004276EC" w:rsidRPr="000B6FD6" w:rsidRDefault="004276EC"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753187D3" w14:textId="7050AB7D" w:rsidR="004276EC"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083497BA" w14:textId="77777777" w:rsidR="004276EC" w:rsidRPr="000B6FD6" w:rsidRDefault="004276EC"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64AD679A" w14:textId="5824D7BC" w:rsidR="004276EC"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6B6C5F27" w14:textId="77777777" w:rsidR="004276EC" w:rsidRPr="000B6FD6" w:rsidRDefault="004276EC"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378B3DB3" w14:textId="6298CADC" w:rsidR="004276EC" w:rsidRPr="000B6FD6" w:rsidRDefault="004276EC" w:rsidP="000B6FD6">
            <w:pPr>
              <w:tabs>
                <w:tab w:val="decimal" w:pos="191"/>
              </w:tabs>
              <w:spacing w:after="0" w:line="240" w:lineRule="auto"/>
              <w:jc w:val="both"/>
              <w:rPr>
                <w:rFonts w:eastAsia="Times New Roman"/>
                <w:sz w:val="20"/>
                <w:szCs w:val="20"/>
              </w:rPr>
            </w:pPr>
            <w:r w:rsidRPr="000B6FD6">
              <w:rPr>
                <w:color w:val="000000"/>
                <w:sz w:val="20"/>
                <w:szCs w:val="20"/>
              </w:rPr>
              <w:t>-0.18</w:t>
            </w:r>
          </w:p>
        </w:tc>
        <w:tc>
          <w:tcPr>
            <w:tcW w:w="520" w:type="dxa"/>
            <w:tcBorders>
              <w:top w:val="nil"/>
              <w:left w:val="nil"/>
              <w:bottom w:val="nil"/>
              <w:right w:val="single" w:sz="4" w:space="0" w:color="auto"/>
            </w:tcBorders>
            <w:shd w:val="clear" w:color="auto" w:fill="auto"/>
            <w:noWrap/>
            <w:vAlign w:val="bottom"/>
            <w:hideMark/>
          </w:tcPr>
          <w:p w14:paraId="73CAD078" w14:textId="371578AF" w:rsidR="004276EC" w:rsidRPr="000B6FD6" w:rsidRDefault="004276EC" w:rsidP="000B6FD6">
            <w:pPr>
              <w:tabs>
                <w:tab w:val="decimal" w:pos="239"/>
              </w:tabs>
              <w:spacing w:after="0" w:line="240" w:lineRule="auto"/>
              <w:jc w:val="both"/>
              <w:rPr>
                <w:rFonts w:eastAsia="Times New Roman"/>
                <w:sz w:val="20"/>
                <w:szCs w:val="20"/>
              </w:rPr>
            </w:pPr>
            <w:r w:rsidRPr="000B6FD6">
              <w:rPr>
                <w:color w:val="000000"/>
                <w:sz w:val="20"/>
                <w:szCs w:val="20"/>
              </w:rPr>
              <w:t>-2.73</w:t>
            </w:r>
          </w:p>
        </w:tc>
        <w:tc>
          <w:tcPr>
            <w:tcW w:w="564" w:type="dxa"/>
            <w:tcBorders>
              <w:top w:val="nil"/>
              <w:left w:val="nil"/>
              <w:bottom w:val="nil"/>
              <w:right w:val="nil"/>
            </w:tcBorders>
            <w:shd w:val="clear" w:color="auto" w:fill="auto"/>
            <w:noWrap/>
            <w:vAlign w:val="bottom"/>
          </w:tcPr>
          <w:p w14:paraId="46AC80A2" w14:textId="18C7EE3A" w:rsidR="004276EC"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bottom"/>
          </w:tcPr>
          <w:p w14:paraId="62CF9633" w14:textId="7EB119BD" w:rsidR="004276EC" w:rsidRPr="000B6FD6" w:rsidRDefault="004276EC" w:rsidP="000B6FD6">
            <w:pPr>
              <w:tabs>
                <w:tab w:val="decimal" w:pos="208"/>
              </w:tabs>
              <w:spacing w:after="0" w:line="240" w:lineRule="auto"/>
              <w:jc w:val="both"/>
              <w:rPr>
                <w:rFonts w:eastAsia="Times New Roman"/>
                <w:sz w:val="20"/>
                <w:szCs w:val="20"/>
              </w:rPr>
            </w:pPr>
          </w:p>
        </w:tc>
      </w:tr>
      <w:tr w:rsidR="00584169" w:rsidRPr="000B6FD6" w14:paraId="2C208B2B"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3F097C27"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Household Income (&lt; $25,000)</w:t>
            </w:r>
          </w:p>
        </w:tc>
        <w:tc>
          <w:tcPr>
            <w:tcW w:w="564" w:type="dxa"/>
            <w:tcBorders>
              <w:top w:val="nil"/>
              <w:left w:val="single" w:sz="12" w:space="0" w:color="auto"/>
              <w:bottom w:val="nil"/>
              <w:right w:val="nil"/>
            </w:tcBorders>
            <w:shd w:val="clear" w:color="auto" w:fill="auto"/>
            <w:noWrap/>
            <w:vAlign w:val="center"/>
            <w:hideMark/>
          </w:tcPr>
          <w:p w14:paraId="69ECCAAB" w14:textId="799308CC" w:rsidR="00584169" w:rsidRPr="000B6FD6" w:rsidRDefault="00584169" w:rsidP="00A503D7">
            <w:pPr>
              <w:tabs>
                <w:tab w:val="decimal" w:pos="231"/>
              </w:tabs>
              <w:spacing w:after="0" w:line="240" w:lineRule="auto"/>
              <w:jc w:val="center"/>
              <w:rPr>
                <w:rFonts w:eastAsia="Times New Roman"/>
                <w:sz w:val="20"/>
                <w:szCs w:val="20"/>
              </w:rPr>
            </w:pPr>
          </w:p>
        </w:tc>
        <w:tc>
          <w:tcPr>
            <w:tcW w:w="660" w:type="dxa"/>
            <w:tcBorders>
              <w:top w:val="nil"/>
              <w:left w:val="nil"/>
              <w:bottom w:val="nil"/>
              <w:right w:val="single" w:sz="4" w:space="0" w:color="auto"/>
            </w:tcBorders>
            <w:shd w:val="clear" w:color="auto" w:fill="auto"/>
            <w:noWrap/>
            <w:vAlign w:val="center"/>
            <w:hideMark/>
          </w:tcPr>
          <w:p w14:paraId="3C27EE8B"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62F71DF7" w14:textId="77777777" w:rsidR="00584169" w:rsidRPr="000B6FD6" w:rsidRDefault="00584169" w:rsidP="000B6FD6">
            <w:pPr>
              <w:tabs>
                <w:tab w:val="decimal" w:pos="180"/>
              </w:tabs>
              <w:spacing w:after="0" w:line="240" w:lineRule="auto"/>
              <w:jc w:val="both"/>
              <w:rPr>
                <w:rFonts w:eastAsia="Times New Roman"/>
                <w:sz w:val="20"/>
                <w:szCs w:val="20"/>
              </w:rPr>
            </w:pPr>
          </w:p>
        </w:tc>
        <w:tc>
          <w:tcPr>
            <w:tcW w:w="516" w:type="dxa"/>
            <w:tcBorders>
              <w:top w:val="nil"/>
              <w:left w:val="nil"/>
              <w:bottom w:val="nil"/>
              <w:right w:val="nil"/>
            </w:tcBorders>
            <w:shd w:val="clear" w:color="auto" w:fill="auto"/>
            <w:noWrap/>
            <w:vAlign w:val="center"/>
            <w:hideMark/>
          </w:tcPr>
          <w:p w14:paraId="3D4573E8"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tcPr>
          <w:p w14:paraId="2C7C69B1" w14:textId="7AD7BD4C" w:rsidR="00584169" w:rsidRPr="000B6FD6" w:rsidRDefault="00584169" w:rsidP="000B6FD6">
            <w:pPr>
              <w:tabs>
                <w:tab w:val="decimal" w:pos="141"/>
              </w:tabs>
              <w:spacing w:after="0" w:line="240" w:lineRule="auto"/>
              <w:jc w:val="both"/>
              <w:rPr>
                <w:rFonts w:eastAsia="Times New Roman"/>
                <w:sz w:val="20"/>
                <w:szCs w:val="20"/>
              </w:rPr>
            </w:pPr>
          </w:p>
        </w:tc>
        <w:tc>
          <w:tcPr>
            <w:tcW w:w="516" w:type="dxa"/>
            <w:tcBorders>
              <w:top w:val="nil"/>
              <w:left w:val="nil"/>
              <w:bottom w:val="nil"/>
              <w:right w:val="single" w:sz="4" w:space="0" w:color="auto"/>
            </w:tcBorders>
            <w:shd w:val="clear" w:color="auto" w:fill="auto"/>
            <w:noWrap/>
            <w:vAlign w:val="center"/>
          </w:tcPr>
          <w:p w14:paraId="3BEF800C" w14:textId="58D4E811" w:rsidR="00584169" w:rsidRPr="000B6FD6" w:rsidRDefault="00584169" w:rsidP="000B6FD6">
            <w:pPr>
              <w:tabs>
                <w:tab w:val="decimal" w:pos="120"/>
              </w:tabs>
              <w:spacing w:after="0" w:line="240" w:lineRule="auto"/>
              <w:jc w:val="both"/>
              <w:rPr>
                <w:rFonts w:eastAsia="Times New Roman"/>
                <w:sz w:val="20"/>
                <w:szCs w:val="20"/>
              </w:rPr>
            </w:pPr>
          </w:p>
        </w:tc>
        <w:tc>
          <w:tcPr>
            <w:tcW w:w="610" w:type="dxa"/>
            <w:tcBorders>
              <w:top w:val="nil"/>
              <w:left w:val="nil"/>
              <w:bottom w:val="nil"/>
              <w:right w:val="nil"/>
            </w:tcBorders>
            <w:shd w:val="clear" w:color="auto" w:fill="auto"/>
            <w:noWrap/>
            <w:vAlign w:val="center"/>
            <w:hideMark/>
          </w:tcPr>
          <w:p w14:paraId="6E10108B" w14:textId="77777777" w:rsidR="00584169" w:rsidRPr="000B6FD6" w:rsidRDefault="00584169" w:rsidP="000B6FD6">
            <w:pPr>
              <w:tabs>
                <w:tab w:val="decimal" w:pos="141"/>
              </w:tabs>
              <w:spacing w:after="0" w:line="240" w:lineRule="auto"/>
              <w:jc w:val="both"/>
              <w:rPr>
                <w:rFonts w:eastAsia="Times New Roman"/>
                <w:sz w:val="20"/>
                <w:szCs w:val="20"/>
              </w:rPr>
            </w:pPr>
          </w:p>
        </w:tc>
        <w:tc>
          <w:tcPr>
            <w:tcW w:w="508" w:type="dxa"/>
            <w:tcBorders>
              <w:top w:val="nil"/>
              <w:left w:val="nil"/>
              <w:bottom w:val="nil"/>
              <w:right w:val="nil"/>
            </w:tcBorders>
            <w:shd w:val="clear" w:color="auto" w:fill="auto"/>
            <w:noWrap/>
            <w:vAlign w:val="center"/>
            <w:hideMark/>
          </w:tcPr>
          <w:p w14:paraId="79578992"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2E45A797"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413B27F1" w14:textId="77777777" w:rsidR="00584169" w:rsidRPr="000B6FD6" w:rsidRDefault="0058416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15782B76"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3E27F85A"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1E6F6E29" w14:textId="77777777"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single" w:sz="4" w:space="0" w:color="auto"/>
            </w:tcBorders>
            <w:shd w:val="clear" w:color="auto" w:fill="auto"/>
            <w:noWrap/>
            <w:vAlign w:val="center"/>
            <w:hideMark/>
          </w:tcPr>
          <w:p w14:paraId="33E1F017"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7DC469FC"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center"/>
            <w:hideMark/>
          </w:tcPr>
          <w:p w14:paraId="7322DB42"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1B4276C7"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4" w:space="0" w:color="auto"/>
            </w:tcBorders>
            <w:shd w:val="clear" w:color="auto" w:fill="auto"/>
            <w:noWrap/>
            <w:vAlign w:val="center"/>
            <w:hideMark/>
          </w:tcPr>
          <w:p w14:paraId="5FD37740"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4E92AC9D" w14:textId="162F49EE" w:rsidR="00584169" w:rsidRPr="000B6FD6" w:rsidRDefault="00584169" w:rsidP="000B6FD6">
            <w:pPr>
              <w:tabs>
                <w:tab w:val="decimal" w:pos="232"/>
              </w:tabs>
              <w:spacing w:after="0" w:line="240" w:lineRule="auto"/>
              <w:jc w:val="both"/>
              <w:rPr>
                <w:rFonts w:eastAsia="Times New Roman"/>
                <w:sz w:val="20"/>
                <w:szCs w:val="20"/>
              </w:rPr>
            </w:pPr>
          </w:p>
        </w:tc>
        <w:tc>
          <w:tcPr>
            <w:tcW w:w="508" w:type="dxa"/>
            <w:tcBorders>
              <w:top w:val="nil"/>
              <w:left w:val="nil"/>
              <w:bottom w:val="nil"/>
              <w:right w:val="single" w:sz="12" w:space="0" w:color="auto"/>
            </w:tcBorders>
            <w:shd w:val="clear" w:color="auto" w:fill="auto"/>
            <w:noWrap/>
            <w:vAlign w:val="center"/>
          </w:tcPr>
          <w:p w14:paraId="6BF4DF1F" w14:textId="79ADA8BD" w:rsidR="00584169" w:rsidRPr="000B6FD6" w:rsidRDefault="00584169" w:rsidP="000B6FD6">
            <w:pPr>
              <w:tabs>
                <w:tab w:val="decimal" w:pos="208"/>
              </w:tabs>
              <w:spacing w:after="0" w:line="240" w:lineRule="auto"/>
              <w:jc w:val="both"/>
              <w:rPr>
                <w:rFonts w:eastAsia="Times New Roman"/>
                <w:sz w:val="20"/>
                <w:szCs w:val="20"/>
              </w:rPr>
            </w:pPr>
          </w:p>
        </w:tc>
      </w:tr>
      <w:tr w:rsidR="001442A1" w:rsidRPr="000B6FD6" w14:paraId="233FF333"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7787C177" w14:textId="77777777" w:rsidR="001442A1" w:rsidRPr="000B6FD6" w:rsidRDefault="001442A1" w:rsidP="000B6FD6">
            <w:pPr>
              <w:spacing w:after="0" w:line="240" w:lineRule="auto"/>
              <w:jc w:val="both"/>
              <w:rPr>
                <w:rFonts w:eastAsia="Times New Roman"/>
                <w:sz w:val="20"/>
                <w:szCs w:val="20"/>
              </w:rPr>
            </w:pPr>
            <w:r w:rsidRPr="000B6FD6">
              <w:rPr>
                <w:rFonts w:eastAsia="Times New Roman"/>
                <w:sz w:val="20"/>
                <w:szCs w:val="20"/>
              </w:rPr>
              <w:t xml:space="preserve">      $25,000-$49,999</w:t>
            </w:r>
          </w:p>
        </w:tc>
        <w:tc>
          <w:tcPr>
            <w:tcW w:w="564" w:type="dxa"/>
            <w:tcBorders>
              <w:top w:val="nil"/>
              <w:left w:val="single" w:sz="12" w:space="0" w:color="auto"/>
              <w:bottom w:val="nil"/>
              <w:right w:val="nil"/>
            </w:tcBorders>
            <w:shd w:val="clear" w:color="auto" w:fill="auto"/>
            <w:noWrap/>
            <w:vAlign w:val="center"/>
            <w:hideMark/>
          </w:tcPr>
          <w:p w14:paraId="2E15F20F" w14:textId="18C5749F" w:rsidR="001442A1"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1AF3FECC" w14:textId="77777777" w:rsidR="001442A1" w:rsidRPr="000B6FD6" w:rsidRDefault="001442A1"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1D828751" w14:textId="7DCB50C4" w:rsidR="001442A1" w:rsidRPr="000B6FD6" w:rsidRDefault="001442A1" w:rsidP="000B6FD6">
            <w:pPr>
              <w:tabs>
                <w:tab w:val="decimal" w:pos="180"/>
              </w:tabs>
              <w:spacing w:after="0" w:line="240" w:lineRule="auto"/>
              <w:jc w:val="both"/>
              <w:rPr>
                <w:rFonts w:eastAsia="Times New Roman"/>
                <w:sz w:val="20"/>
                <w:szCs w:val="20"/>
              </w:rPr>
            </w:pPr>
            <w:r w:rsidRPr="000B6FD6">
              <w:rPr>
                <w:color w:val="000000"/>
                <w:sz w:val="20"/>
                <w:szCs w:val="20"/>
              </w:rPr>
              <w:t>-0.37</w:t>
            </w:r>
          </w:p>
        </w:tc>
        <w:tc>
          <w:tcPr>
            <w:tcW w:w="516" w:type="dxa"/>
            <w:tcBorders>
              <w:top w:val="nil"/>
              <w:left w:val="nil"/>
              <w:bottom w:val="nil"/>
              <w:right w:val="nil"/>
            </w:tcBorders>
            <w:shd w:val="clear" w:color="auto" w:fill="auto"/>
            <w:noWrap/>
            <w:vAlign w:val="bottom"/>
            <w:hideMark/>
          </w:tcPr>
          <w:p w14:paraId="338DF289" w14:textId="53B12A7E" w:rsidR="001442A1" w:rsidRPr="000B6FD6" w:rsidRDefault="001442A1" w:rsidP="000B6FD6">
            <w:pPr>
              <w:tabs>
                <w:tab w:val="decimal" w:pos="243"/>
              </w:tabs>
              <w:spacing w:after="0" w:line="240" w:lineRule="auto"/>
              <w:jc w:val="both"/>
              <w:rPr>
                <w:rFonts w:eastAsia="Times New Roman"/>
                <w:sz w:val="20"/>
                <w:szCs w:val="20"/>
              </w:rPr>
            </w:pPr>
            <w:r w:rsidRPr="000B6FD6">
              <w:rPr>
                <w:color w:val="000000"/>
                <w:sz w:val="20"/>
                <w:szCs w:val="20"/>
              </w:rPr>
              <w:t>-2.55</w:t>
            </w:r>
          </w:p>
        </w:tc>
        <w:tc>
          <w:tcPr>
            <w:tcW w:w="564" w:type="dxa"/>
            <w:tcBorders>
              <w:top w:val="nil"/>
              <w:left w:val="single" w:sz="4" w:space="0" w:color="auto"/>
              <w:bottom w:val="nil"/>
              <w:right w:val="nil"/>
            </w:tcBorders>
            <w:shd w:val="clear" w:color="auto" w:fill="auto"/>
            <w:noWrap/>
            <w:vAlign w:val="center"/>
            <w:hideMark/>
          </w:tcPr>
          <w:p w14:paraId="679E4FE1" w14:textId="25BC9636" w:rsidR="001442A1"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3F6B49F9" w14:textId="77777777" w:rsidR="001442A1" w:rsidRPr="000B6FD6" w:rsidRDefault="001442A1"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1201AA21" w14:textId="4542125B" w:rsidR="001442A1"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64E87134" w14:textId="77777777" w:rsidR="001442A1" w:rsidRPr="000B6FD6" w:rsidRDefault="001442A1"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444BC117" w14:textId="60A1E653" w:rsidR="001442A1"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293B6A18" w14:textId="77777777" w:rsidR="001442A1" w:rsidRPr="000B6FD6" w:rsidRDefault="001442A1"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6761F348" w14:textId="7C10891A" w:rsidR="001442A1" w:rsidRPr="000B6FD6" w:rsidRDefault="001442A1" w:rsidP="000B6FD6">
            <w:pPr>
              <w:tabs>
                <w:tab w:val="decimal" w:pos="207"/>
              </w:tabs>
              <w:spacing w:after="0" w:line="240" w:lineRule="auto"/>
              <w:jc w:val="both"/>
              <w:rPr>
                <w:rFonts w:eastAsia="Times New Roman"/>
                <w:sz w:val="20"/>
                <w:szCs w:val="20"/>
              </w:rPr>
            </w:pPr>
            <w:r w:rsidRPr="000B6FD6">
              <w:rPr>
                <w:color w:val="000000"/>
                <w:sz w:val="20"/>
                <w:szCs w:val="20"/>
              </w:rPr>
              <w:t>0.37</w:t>
            </w:r>
          </w:p>
        </w:tc>
        <w:tc>
          <w:tcPr>
            <w:tcW w:w="520" w:type="dxa"/>
            <w:tcBorders>
              <w:top w:val="nil"/>
              <w:left w:val="nil"/>
              <w:bottom w:val="nil"/>
              <w:right w:val="nil"/>
            </w:tcBorders>
            <w:shd w:val="clear" w:color="auto" w:fill="auto"/>
            <w:noWrap/>
            <w:vAlign w:val="bottom"/>
            <w:hideMark/>
          </w:tcPr>
          <w:p w14:paraId="33BF05D2" w14:textId="46987D5D" w:rsidR="001442A1" w:rsidRPr="000B6FD6" w:rsidRDefault="001442A1" w:rsidP="000B6FD6">
            <w:pPr>
              <w:tabs>
                <w:tab w:val="decimal" w:pos="256"/>
              </w:tabs>
              <w:spacing w:after="0" w:line="240" w:lineRule="auto"/>
              <w:jc w:val="both"/>
              <w:rPr>
                <w:rFonts w:eastAsia="Times New Roman"/>
                <w:sz w:val="20"/>
                <w:szCs w:val="20"/>
              </w:rPr>
            </w:pPr>
            <w:r w:rsidRPr="000B6FD6">
              <w:rPr>
                <w:color w:val="000000"/>
                <w:sz w:val="20"/>
                <w:szCs w:val="20"/>
              </w:rPr>
              <w:t>3.58</w:t>
            </w:r>
          </w:p>
        </w:tc>
        <w:tc>
          <w:tcPr>
            <w:tcW w:w="600" w:type="dxa"/>
            <w:tcBorders>
              <w:top w:val="nil"/>
              <w:left w:val="single" w:sz="4" w:space="0" w:color="auto"/>
              <w:bottom w:val="nil"/>
              <w:right w:val="nil"/>
            </w:tcBorders>
            <w:shd w:val="clear" w:color="auto" w:fill="auto"/>
            <w:noWrap/>
            <w:vAlign w:val="center"/>
            <w:hideMark/>
          </w:tcPr>
          <w:p w14:paraId="424F1C03" w14:textId="742FFED8" w:rsidR="001442A1"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6FF266F2" w14:textId="77777777" w:rsidR="001442A1" w:rsidRPr="000B6FD6" w:rsidRDefault="001442A1"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4164332C" w14:textId="18D2E0B6" w:rsidR="001442A1" w:rsidRPr="000B6FD6" w:rsidRDefault="003E0AE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3C0BF022" w14:textId="77777777" w:rsidR="001442A1" w:rsidRPr="000B6FD6" w:rsidRDefault="001442A1"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31081754" w14:textId="16ED2D86" w:rsidR="001442A1"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1E73B63A" w14:textId="77777777" w:rsidR="001442A1" w:rsidRPr="000B6FD6" w:rsidRDefault="001442A1"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58229833" w14:textId="4941755E" w:rsidR="001442A1"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4235C128" w14:textId="2F33FF43" w:rsidR="001442A1" w:rsidRPr="000B6FD6" w:rsidRDefault="001442A1" w:rsidP="000B6FD6">
            <w:pPr>
              <w:tabs>
                <w:tab w:val="decimal" w:pos="208"/>
              </w:tabs>
              <w:spacing w:after="0" w:line="240" w:lineRule="auto"/>
              <w:jc w:val="both"/>
              <w:rPr>
                <w:rFonts w:eastAsia="Times New Roman"/>
                <w:sz w:val="20"/>
                <w:szCs w:val="20"/>
              </w:rPr>
            </w:pPr>
          </w:p>
        </w:tc>
      </w:tr>
      <w:tr w:rsidR="00E03670" w:rsidRPr="000B6FD6" w14:paraId="7BEA97C5"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6761B2EF" w14:textId="77777777" w:rsidR="00E03670" w:rsidRPr="000B6FD6" w:rsidRDefault="00E03670" w:rsidP="000B6FD6">
            <w:pPr>
              <w:spacing w:after="0" w:line="240" w:lineRule="auto"/>
              <w:jc w:val="both"/>
              <w:rPr>
                <w:rFonts w:eastAsia="Times New Roman"/>
                <w:sz w:val="20"/>
                <w:szCs w:val="20"/>
              </w:rPr>
            </w:pPr>
            <w:r w:rsidRPr="000B6FD6">
              <w:rPr>
                <w:rFonts w:eastAsia="Times New Roman"/>
                <w:sz w:val="20"/>
                <w:szCs w:val="20"/>
              </w:rPr>
              <w:t xml:space="preserve">      $50,000-$99,999</w:t>
            </w:r>
          </w:p>
        </w:tc>
        <w:tc>
          <w:tcPr>
            <w:tcW w:w="564" w:type="dxa"/>
            <w:tcBorders>
              <w:top w:val="nil"/>
              <w:left w:val="single" w:sz="12" w:space="0" w:color="auto"/>
              <w:bottom w:val="nil"/>
              <w:right w:val="nil"/>
            </w:tcBorders>
            <w:shd w:val="clear" w:color="auto" w:fill="auto"/>
            <w:noWrap/>
            <w:vAlign w:val="center"/>
            <w:hideMark/>
          </w:tcPr>
          <w:p w14:paraId="2A1A58A3" w14:textId="6A17AAA3" w:rsidR="00E03670"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4FC72893" w14:textId="77777777" w:rsidR="00E03670" w:rsidRPr="000B6FD6" w:rsidRDefault="00E03670"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266C748F" w14:textId="02AECB8A" w:rsidR="00E03670" w:rsidRPr="000B6FD6" w:rsidRDefault="00E03670" w:rsidP="000B6FD6">
            <w:pPr>
              <w:tabs>
                <w:tab w:val="decimal" w:pos="180"/>
              </w:tabs>
              <w:spacing w:after="0" w:line="240" w:lineRule="auto"/>
              <w:jc w:val="both"/>
              <w:rPr>
                <w:rFonts w:eastAsia="Times New Roman"/>
                <w:sz w:val="20"/>
                <w:szCs w:val="20"/>
              </w:rPr>
            </w:pPr>
            <w:r w:rsidRPr="000B6FD6">
              <w:rPr>
                <w:color w:val="000000"/>
                <w:sz w:val="20"/>
                <w:szCs w:val="20"/>
              </w:rPr>
              <w:t>-0.62</w:t>
            </w:r>
          </w:p>
        </w:tc>
        <w:tc>
          <w:tcPr>
            <w:tcW w:w="516" w:type="dxa"/>
            <w:tcBorders>
              <w:top w:val="nil"/>
              <w:left w:val="nil"/>
              <w:bottom w:val="nil"/>
              <w:right w:val="nil"/>
            </w:tcBorders>
            <w:shd w:val="clear" w:color="auto" w:fill="auto"/>
            <w:noWrap/>
            <w:vAlign w:val="bottom"/>
            <w:hideMark/>
          </w:tcPr>
          <w:p w14:paraId="29C04DAB" w14:textId="07A70843" w:rsidR="00E03670" w:rsidRPr="000B6FD6" w:rsidRDefault="00E03670" w:rsidP="000B6FD6">
            <w:pPr>
              <w:tabs>
                <w:tab w:val="decimal" w:pos="243"/>
              </w:tabs>
              <w:spacing w:after="0" w:line="240" w:lineRule="auto"/>
              <w:jc w:val="both"/>
              <w:rPr>
                <w:rFonts w:eastAsia="Times New Roman"/>
                <w:sz w:val="20"/>
                <w:szCs w:val="20"/>
              </w:rPr>
            </w:pPr>
            <w:r w:rsidRPr="000B6FD6">
              <w:rPr>
                <w:color w:val="000000"/>
                <w:sz w:val="20"/>
                <w:szCs w:val="20"/>
              </w:rPr>
              <w:t>-4.19</w:t>
            </w:r>
          </w:p>
        </w:tc>
        <w:tc>
          <w:tcPr>
            <w:tcW w:w="564" w:type="dxa"/>
            <w:tcBorders>
              <w:top w:val="nil"/>
              <w:left w:val="single" w:sz="4" w:space="0" w:color="auto"/>
              <w:bottom w:val="nil"/>
              <w:right w:val="nil"/>
            </w:tcBorders>
            <w:shd w:val="clear" w:color="auto" w:fill="auto"/>
            <w:noWrap/>
            <w:vAlign w:val="center"/>
            <w:hideMark/>
          </w:tcPr>
          <w:p w14:paraId="51706A0B" w14:textId="508BFED8" w:rsidR="00E03670"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60A1086D" w14:textId="77777777" w:rsidR="00E03670" w:rsidRPr="000B6FD6" w:rsidRDefault="00E03670"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1CCD3509" w14:textId="1CDD959D" w:rsidR="00E03670"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07786248" w14:textId="77777777" w:rsidR="00E03670" w:rsidRPr="000B6FD6" w:rsidRDefault="00E03670"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305F06A0" w14:textId="4A59586B" w:rsidR="00E03670"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488DF0E1" w14:textId="77777777" w:rsidR="00E03670" w:rsidRPr="000B6FD6" w:rsidRDefault="00E03670"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085ECFE4" w14:textId="322C1C23" w:rsidR="00E03670" w:rsidRPr="000B6FD6" w:rsidRDefault="00E03670" w:rsidP="000B6FD6">
            <w:pPr>
              <w:tabs>
                <w:tab w:val="decimal" w:pos="207"/>
              </w:tabs>
              <w:spacing w:after="0" w:line="240" w:lineRule="auto"/>
              <w:jc w:val="both"/>
              <w:rPr>
                <w:rFonts w:eastAsia="Times New Roman"/>
                <w:sz w:val="20"/>
                <w:szCs w:val="20"/>
              </w:rPr>
            </w:pPr>
            <w:r w:rsidRPr="000B6FD6">
              <w:rPr>
                <w:color w:val="000000"/>
                <w:sz w:val="20"/>
                <w:szCs w:val="20"/>
              </w:rPr>
              <w:t>0.74</w:t>
            </w:r>
          </w:p>
        </w:tc>
        <w:tc>
          <w:tcPr>
            <w:tcW w:w="520" w:type="dxa"/>
            <w:tcBorders>
              <w:top w:val="nil"/>
              <w:left w:val="nil"/>
              <w:bottom w:val="nil"/>
              <w:right w:val="nil"/>
            </w:tcBorders>
            <w:shd w:val="clear" w:color="auto" w:fill="auto"/>
            <w:noWrap/>
            <w:vAlign w:val="bottom"/>
            <w:hideMark/>
          </w:tcPr>
          <w:p w14:paraId="385A23BD" w14:textId="7545DEC9" w:rsidR="00E03670" w:rsidRPr="000B6FD6" w:rsidRDefault="00E03670" w:rsidP="000B6FD6">
            <w:pPr>
              <w:tabs>
                <w:tab w:val="decimal" w:pos="256"/>
              </w:tabs>
              <w:spacing w:after="0" w:line="240" w:lineRule="auto"/>
              <w:jc w:val="both"/>
              <w:rPr>
                <w:rFonts w:eastAsia="Times New Roman"/>
                <w:sz w:val="20"/>
                <w:szCs w:val="20"/>
              </w:rPr>
            </w:pPr>
            <w:r w:rsidRPr="000B6FD6">
              <w:rPr>
                <w:color w:val="000000"/>
                <w:sz w:val="20"/>
                <w:szCs w:val="20"/>
              </w:rPr>
              <w:t>7.41</w:t>
            </w:r>
          </w:p>
        </w:tc>
        <w:tc>
          <w:tcPr>
            <w:tcW w:w="600" w:type="dxa"/>
            <w:tcBorders>
              <w:top w:val="nil"/>
              <w:left w:val="single" w:sz="4" w:space="0" w:color="auto"/>
              <w:bottom w:val="nil"/>
              <w:right w:val="nil"/>
            </w:tcBorders>
            <w:shd w:val="clear" w:color="auto" w:fill="auto"/>
            <w:noWrap/>
            <w:vAlign w:val="center"/>
            <w:hideMark/>
          </w:tcPr>
          <w:p w14:paraId="7519CF31" w14:textId="4B1B5F9E" w:rsidR="00E03670"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7A2E7A37" w14:textId="77777777" w:rsidR="00E03670" w:rsidRPr="000B6FD6" w:rsidRDefault="00E03670"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bottom"/>
            <w:hideMark/>
          </w:tcPr>
          <w:p w14:paraId="64139414" w14:textId="5110E479" w:rsidR="00E03670" w:rsidRPr="000B6FD6" w:rsidRDefault="00E03670" w:rsidP="000B6FD6">
            <w:pPr>
              <w:tabs>
                <w:tab w:val="decimal" w:pos="210"/>
              </w:tabs>
              <w:spacing w:after="0" w:line="240" w:lineRule="auto"/>
              <w:jc w:val="both"/>
              <w:rPr>
                <w:rFonts w:eastAsia="Times New Roman"/>
                <w:sz w:val="20"/>
                <w:szCs w:val="20"/>
              </w:rPr>
            </w:pPr>
            <w:r w:rsidRPr="000B6FD6">
              <w:rPr>
                <w:color w:val="000000"/>
                <w:sz w:val="20"/>
                <w:szCs w:val="20"/>
              </w:rPr>
              <w:t>0.18</w:t>
            </w:r>
          </w:p>
        </w:tc>
        <w:tc>
          <w:tcPr>
            <w:tcW w:w="500" w:type="dxa"/>
            <w:tcBorders>
              <w:top w:val="nil"/>
              <w:left w:val="nil"/>
              <w:bottom w:val="nil"/>
              <w:right w:val="nil"/>
            </w:tcBorders>
            <w:shd w:val="clear" w:color="auto" w:fill="auto"/>
            <w:noWrap/>
            <w:vAlign w:val="bottom"/>
            <w:hideMark/>
          </w:tcPr>
          <w:p w14:paraId="5E24A618" w14:textId="494876A7" w:rsidR="00E03670" w:rsidRPr="000B6FD6" w:rsidRDefault="00E03670" w:rsidP="000B6FD6">
            <w:pPr>
              <w:tabs>
                <w:tab w:val="decimal" w:pos="151"/>
              </w:tabs>
              <w:spacing w:after="0" w:line="240" w:lineRule="auto"/>
              <w:jc w:val="both"/>
              <w:rPr>
                <w:rFonts w:eastAsia="Times New Roman"/>
                <w:sz w:val="20"/>
                <w:szCs w:val="20"/>
              </w:rPr>
            </w:pPr>
            <w:r w:rsidRPr="000B6FD6">
              <w:rPr>
                <w:color w:val="000000"/>
                <w:sz w:val="20"/>
                <w:szCs w:val="20"/>
              </w:rPr>
              <w:t>2.79</w:t>
            </w:r>
          </w:p>
        </w:tc>
        <w:tc>
          <w:tcPr>
            <w:tcW w:w="580" w:type="dxa"/>
            <w:tcBorders>
              <w:top w:val="nil"/>
              <w:left w:val="single" w:sz="4" w:space="0" w:color="auto"/>
              <w:bottom w:val="nil"/>
              <w:right w:val="nil"/>
            </w:tcBorders>
            <w:shd w:val="clear" w:color="auto" w:fill="auto"/>
            <w:noWrap/>
            <w:vAlign w:val="center"/>
            <w:hideMark/>
          </w:tcPr>
          <w:p w14:paraId="3F04D6F6" w14:textId="46571C80" w:rsidR="00E03670"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37B778F4" w14:textId="77777777" w:rsidR="00E03670" w:rsidRPr="000B6FD6" w:rsidRDefault="00E03670"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14A7FD76" w14:textId="682721FC" w:rsidR="00E03670"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0BB36306" w14:textId="092545FC" w:rsidR="00E03670" w:rsidRPr="000B6FD6" w:rsidRDefault="00E03670" w:rsidP="000B6FD6">
            <w:pPr>
              <w:tabs>
                <w:tab w:val="decimal" w:pos="208"/>
              </w:tabs>
              <w:spacing w:after="0" w:line="240" w:lineRule="auto"/>
              <w:jc w:val="both"/>
              <w:rPr>
                <w:rFonts w:eastAsia="Times New Roman"/>
                <w:sz w:val="20"/>
                <w:szCs w:val="20"/>
              </w:rPr>
            </w:pPr>
          </w:p>
        </w:tc>
      </w:tr>
      <w:tr w:rsidR="00E03670" w:rsidRPr="000B6FD6" w14:paraId="54263611"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71CD626A" w14:textId="77777777" w:rsidR="00E03670" w:rsidRPr="000B6FD6" w:rsidRDefault="00E03670" w:rsidP="000B6FD6">
            <w:pPr>
              <w:spacing w:after="0" w:line="240" w:lineRule="auto"/>
              <w:jc w:val="both"/>
              <w:rPr>
                <w:rFonts w:eastAsia="Times New Roman"/>
                <w:sz w:val="20"/>
                <w:szCs w:val="20"/>
              </w:rPr>
            </w:pPr>
            <w:r w:rsidRPr="000B6FD6">
              <w:rPr>
                <w:rFonts w:eastAsia="Times New Roman"/>
                <w:sz w:val="20"/>
                <w:szCs w:val="20"/>
              </w:rPr>
              <w:t xml:space="preserve">      $100,000-$149,999</w:t>
            </w:r>
          </w:p>
        </w:tc>
        <w:tc>
          <w:tcPr>
            <w:tcW w:w="564" w:type="dxa"/>
            <w:tcBorders>
              <w:top w:val="nil"/>
              <w:left w:val="single" w:sz="12" w:space="0" w:color="auto"/>
              <w:bottom w:val="nil"/>
              <w:right w:val="nil"/>
            </w:tcBorders>
            <w:shd w:val="clear" w:color="auto" w:fill="auto"/>
            <w:noWrap/>
            <w:vAlign w:val="center"/>
            <w:hideMark/>
          </w:tcPr>
          <w:p w14:paraId="6F457477" w14:textId="28FA15DE" w:rsidR="00E03670"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5691F217" w14:textId="77777777" w:rsidR="00E03670" w:rsidRPr="000B6FD6" w:rsidRDefault="00E03670"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380135BF" w14:textId="1EBD4AC7" w:rsidR="00E03670" w:rsidRPr="000B6FD6" w:rsidRDefault="00E03670" w:rsidP="000B6FD6">
            <w:pPr>
              <w:tabs>
                <w:tab w:val="decimal" w:pos="180"/>
              </w:tabs>
              <w:spacing w:after="0" w:line="240" w:lineRule="auto"/>
              <w:jc w:val="both"/>
              <w:rPr>
                <w:rFonts w:eastAsia="Times New Roman"/>
                <w:sz w:val="20"/>
                <w:szCs w:val="20"/>
              </w:rPr>
            </w:pPr>
            <w:r w:rsidRPr="000B6FD6">
              <w:rPr>
                <w:color w:val="000000"/>
                <w:sz w:val="20"/>
                <w:szCs w:val="20"/>
              </w:rPr>
              <w:t>-0.84</w:t>
            </w:r>
          </w:p>
        </w:tc>
        <w:tc>
          <w:tcPr>
            <w:tcW w:w="516" w:type="dxa"/>
            <w:tcBorders>
              <w:top w:val="nil"/>
              <w:left w:val="nil"/>
              <w:bottom w:val="nil"/>
              <w:right w:val="nil"/>
            </w:tcBorders>
            <w:shd w:val="clear" w:color="auto" w:fill="auto"/>
            <w:noWrap/>
            <w:vAlign w:val="bottom"/>
            <w:hideMark/>
          </w:tcPr>
          <w:p w14:paraId="2177AE9D" w14:textId="653F1856" w:rsidR="00E03670" w:rsidRPr="000B6FD6" w:rsidRDefault="00E03670" w:rsidP="000B6FD6">
            <w:pPr>
              <w:tabs>
                <w:tab w:val="decimal" w:pos="243"/>
              </w:tabs>
              <w:spacing w:after="0" w:line="240" w:lineRule="auto"/>
              <w:jc w:val="both"/>
              <w:rPr>
                <w:rFonts w:eastAsia="Times New Roman"/>
                <w:sz w:val="20"/>
                <w:szCs w:val="20"/>
              </w:rPr>
            </w:pPr>
            <w:r w:rsidRPr="000B6FD6">
              <w:rPr>
                <w:color w:val="000000"/>
                <w:sz w:val="20"/>
                <w:szCs w:val="20"/>
              </w:rPr>
              <w:t>-4.86</w:t>
            </w:r>
          </w:p>
        </w:tc>
        <w:tc>
          <w:tcPr>
            <w:tcW w:w="564" w:type="dxa"/>
            <w:tcBorders>
              <w:top w:val="nil"/>
              <w:left w:val="single" w:sz="4" w:space="0" w:color="auto"/>
              <w:bottom w:val="nil"/>
              <w:right w:val="nil"/>
            </w:tcBorders>
            <w:shd w:val="clear" w:color="auto" w:fill="auto"/>
            <w:noWrap/>
            <w:vAlign w:val="center"/>
            <w:hideMark/>
          </w:tcPr>
          <w:p w14:paraId="077288CB" w14:textId="18A01681" w:rsidR="00E03670"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4FF6795C" w14:textId="77777777" w:rsidR="00E03670" w:rsidRPr="000B6FD6" w:rsidRDefault="00E03670"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3D9A9F4E" w14:textId="6A860F41" w:rsidR="00E03670"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6FDE47DA" w14:textId="77777777" w:rsidR="00E03670" w:rsidRPr="000B6FD6" w:rsidRDefault="00E03670"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3D777234" w14:textId="4CCF5E16" w:rsidR="00E03670"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2A65000C" w14:textId="77777777" w:rsidR="00E03670" w:rsidRPr="000B6FD6" w:rsidRDefault="00E03670"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7FBF86F3" w14:textId="2BDB84DE" w:rsidR="00E03670" w:rsidRPr="000B6FD6" w:rsidRDefault="00E03670" w:rsidP="000B6FD6">
            <w:pPr>
              <w:tabs>
                <w:tab w:val="decimal" w:pos="207"/>
              </w:tabs>
              <w:spacing w:after="0" w:line="240" w:lineRule="auto"/>
              <w:jc w:val="both"/>
              <w:rPr>
                <w:rFonts w:eastAsia="Times New Roman"/>
                <w:sz w:val="20"/>
                <w:szCs w:val="20"/>
              </w:rPr>
            </w:pPr>
            <w:r w:rsidRPr="000B6FD6">
              <w:rPr>
                <w:color w:val="000000"/>
                <w:sz w:val="20"/>
                <w:szCs w:val="20"/>
              </w:rPr>
              <w:t>1.02</w:t>
            </w:r>
          </w:p>
        </w:tc>
        <w:tc>
          <w:tcPr>
            <w:tcW w:w="520" w:type="dxa"/>
            <w:tcBorders>
              <w:top w:val="nil"/>
              <w:left w:val="nil"/>
              <w:bottom w:val="nil"/>
              <w:right w:val="nil"/>
            </w:tcBorders>
            <w:shd w:val="clear" w:color="auto" w:fill="auto"/>
            <w:noWrap/>
            <w:vAlign w:val="bottom"/>
            <w:hideMark/>
          </w:tcPr>
          <w:p w14:paraId="71A91A20" w14:textId="4A466F14" w:rsidR="00E03670" w:rsidRPr="000B6FD6" w:rsidRDefault="00E03670" w:rsidP="000B6FD6">
            <w:pPr>
              <w:tabs>
                <w:tab w:val="decimal" w:pos="256"/>
              </w:tabs>
              <w:spacing w:after="0" w:line="240" w:lineRule="auto"/>
              <w:jc w:val="both"/>
              <w:rPr>
                <w:rFonts w:eastAsia="Times New Roman"/>
                <w:sz w:val="20"/>
                <w:szCs w:val="20"/>
              </w:rPr>
            </w:pPr>
            <w:r w:rsidRPr="000B6FD6">
              <w:rPr>
                <w:color w:val="000000"/>
                <w:sz w:val="20"/>
                <w:szCs w:val="20"/>
              </w:rPr>
              <w:t>9.24</w:t>
            </w:r>
          </w:p>
        </w:tc>
        <w:tc>
          <w:tcPr>
            <w:tcW w:w="600" w:type="dxa"/>
            <w:tcBorders>
              <w:top w:val="nil"/>
              <w:left w:val="single" w:sz="4" w:space="0" w:color="auto"/>
              <w:bottom w:val="nil"/>
              <w:right w:val="nil"/>
            </w:tcBorders>
            <w:shd w:val="clear" w:color="auto" w:fill="auto"/>
            <w:noWrap/>
            <w:vAlign w:val="bottom"/>
            <w:hideMark/>
          </w:tcPr>
          <w:p w14:paraId="7F5C3595" w14:textId="4BF8272F" w:rsidR="00E03670" w:rsidRPr="000B6FD6" w:rsidRDefault="00E03670" w:rsidP="000B6FD6">
            <w:pPr>
              <w:tabs>
                <w:tab w:val="decimal" w:pos="229"/>
              </w:tabs>
              <w:spacing w:after="0" w:line="240" w:lineRule="auto"/>
              <w:jc w:val="both"/>
              <w:rPr>
                <w:rFonts w:eastAsia="Times New Roman"/>
                <w:sz w:val="20"/>
                <w:szCs w:val="20"/>
              </w:rPr>
            </w:pPr>
            <w:r w:rsidRPr="000B6FD6">
              <w:rPr>
                <w:color w:val="000000"/>
                <w:sz w:val="20"/>
                <w:szCs w:val="20"/>
              </w:rPr>
              <w:t>0.19</w:t>
            </w:r>
          </w:p>
        </w:tc>
        <w:tc>
          <w:tcPr>
            <w:tcW w:w="500" w:type="dxa"/>
            <w:tcBorders>
              <w:top w:val="nil"/>
              <w:left w:val="nil"/>
              <w:bottom w:val="nil"/>
              <w:right w:val="single" w:sz="4" w:space="0" w:color="auto"/>
            </w:tcBorders>
            <w:shd w:val="clear" w:color="auto" w:fill="auto"/>
            <w:noWrap/>
            <w:vAlign w:val="bottom"/>
            <w:hideMark/>
          </w:tcPr>
          <w:p w14:paraId="0F808DFE" w14:textId="5B223BD0" w:rsidR="00E03670" w:rsidRPr="000B6FD6" w:rsidRDefault="00E03670" w:rsidP="000B6FD6">
            <w:pPr>
              <w:tabs>
                <w:tab w:val="decimal" w:pos="170"/>
              </w:tabs>
              <w:spacing w:after="0" w:line="240" w:lineRule="auto"/>
              <w:jc w:val="both"/>
              <w:rPr>
                <w:rFonts w:eastAsia="Times New Roman"/>
                <w:sz w:val="20"/>
                <w:szCs w:val="20"/>
              </w:rPr>
            </w:pPr>
            <w:r w:rsidRPr="000B6FD6">
              <w:rPr>
                <w:color w:val="000000"/>
                <w:sz w:val="20"/>
                <w:szCs w:val="20"/>
              </w:rPr>
              <w:t>1.63</w:t>
            </w:r>
          </w:p>
        </w:tc>
        <w:tc>
          <w:tcPr>
            <w:tcW w:w="600" w:type="dxa"/>
            <w:tcBorders>
              <w:top w:val="nil"/>
              <w:left w:val="nil"/>
              <w:bottom w:val="nil"/>
              <w:right w:val="nil"/>
            </w:tcBorders>
            <w:shd w:val="clear" w:color="auto" w:fill="auto"/>
            <w:noWrap/>
            <w:vAlign w:val="bottom"/>
            <w:hideMark/>
          </w:tcPr>
          <w:p w14:paraId="51D3FC4D" w14:textId="2975FACA" w:rsidR="00E03670" w:rsidRPr="000B6FD6" w:rsidRDefault="00E03670" w:rsidP="000B6FD6">
            <w:pPr>
              <w:tabs>
                <w:tab w:val="decimal" w:pos="210"/>
              </w:tabs>
              <w:spacing w:after="0" w:line="240" w:lineRule="auto"/>
              <w:jc w:val="both"/>
              <w:rPr>
                <w:rFonts w:eastAsia="Times New Roman"/>
                <w:sz w:val="20"/>
                <w:szCs w:val="20"/>
              </w:rPr>
            </w:pPr>
            <w:r w:rsidRPr="000B6FD6">
              <w:rPr>
                <w:color w:val="000000"/>
                <w:sz w:val="20"/>
                <w:szCs w:val="20"/>
              </w:rPr>
              <w:t>0.21</w:t>
            </w:r>
          </w:p>
        </w:tc>
        <w:tc>
          <w:tcPr>
            <w:tcW w:w="500" w:type="dxa"/>
            <w:tcBorders>
              <w:top w:val="nil"/>
              <w:left w:val="nil"/>
              <w:bottom w:val="nil"/>
              <w:right w:val="nil"/>
            </w:tcBorders>
            <w:shd w:val="clear" w:color="auto" w:fill="auto"/>
            <w:noWrap/>
            <w:vAlign w:val="bottom"/>
            <w:hideMark/>
          </w:tcPr>
          <w:p w14:paraId="4C82E433" w14:textId="0AEC47A5" w:rsidR="00E03670" w:rsidRPr="000B6FD6" w:rsidRDefault="00E03670" w:rsidP="000B6FD6">
            <w:pPr>
              <w:tabs>
                <w:tab w:val="decimal" w:pos="151"/>
              </w:tabs>
              <w:spacing w:after="0" w:line="240" w:lineRule="auto"/>
              <w:jc w:val="both"/>
              <w:rPr>
                <w:rFonts w:eastAsia="Times New Roman"/>
                <w:sz w:val="20"/>
                <w:szCs w:val="20"/>
              </w:rPr>
            </w:pPr>
            <w:r w:rsidRPr="000B6FD6">
              <w:rPr>
                <w:color w:val="000000"/>
                <w:sz w:val="20"/>
                <w:szCs w:val="20"/>
              </w:rPr>
              <w:t>2.98</w:t>
            </w:r>
          </w:p>
        </w:tc>
        <w:tc>
          <w:tcPr>
            <w:tcW w:w="580" w:type="dxa"/>
            <w:tcBorders>
              <w:top w:val="nil"/>
              <w:left w:val="single" w:sz="4" w:space="0" w:color="auto"/>
              <w:bottom w:val="nil"/>
              <w:right w:val="nil"/>
            </w:tcBorders>
            <w:shd w:val="clear" w:color="auto" w:fill="auto"/>
            <w:noWrap/>
            <w:vAlign w:val="center"/>
            <w:hideMark/>
          </w:tcPr>
          <w:p w14:paraId="54794447" w14:textId="6419A18A" w:rsidR="00E03670"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4B3D4A22" w14:textId="77777777" w:rsidR="00E03670" w:rsidRPr="000B6FD6" w:rsidRDefault="00E03670"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0951DB3D" w14:textId="1C722D11" w:rsidR="00E03670"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24546151" w14:textId="298005FD" w:rsidR="00E03670" w:rsidRPr="000B6FD6" w:rsidRDefault="00E03670" w:rsidP="000B6FD6">
            <w:pPr>
              <w:tabs>
                <w:tab w:val="decimal" w:pos="208"/>
              </w:tabs>
              <w:spacing w:after="0" w:line="240" w:lineRule="auto"/>
              <w:jc w:val="both"/>
              <w:rPr>
                <w:rFonts w:eastAsia="Times New Roman"/>
                <w:sz w:val="20"/>
                <w:szCs w:val="20"/>
              </w:rPr>
            </w:pPr>
          </w:p>
        </w:tc>
      </w:tr>
      <w:tr w:rsidR="00E03670" w:rsidRPr="000B6FD6" w14:paraId="145118B5"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58F51B9E" w14:textId="77777777" w:rsidR="00E03670" w:rsidRPr="000B6FD6" w:rsidRDefault="00E03670" w:rsidP="000B6FD6">
            <w:pPr>
              <w:spacing w:after="0" w:line="240" w:lineRule="auto"/>
              <w:jc w:val="both"/>
              <w:rPr>
                <w:rFonts w:eastAsia="Times New Roman"/>
                <w:sz w:val="20"/>
                <w:szCs w:val="20"/>
              </w:rPr>
            </w:pPr>
            <w:r w:rsidRPr="000B6FD6">
              <w:rPr>
                <w:rFonts w:eastAsia="Times New Roman"/>
                <w:sz w:val="20"/>
                <w:szCs w:val="20"/>
              </w:rPr>
              <w:t xml:space="preserve">      $150,000-$199,999</w:t>
            </w:r>
          </w:p>
        </w:tc>
        <w:tc>
          <w:tcPr>
            <w:tcW w:w="564" w:type="dxa"/>
            <w:tcBorders>
              <w:top w:val="nil"/>
              <w:left w:val="single" w:sz="12" w:space="0" w:color="auto"/>
              <w:bottom w:val="nil"/>
              <w:right w:val="nil"/>
            </w:tcBorders>
            <w:shd w:val="clear" w:color="auto" w:fill="auto"/>
            <w:noWrap/>
            <w:vAlign w:val="center"/>
            <w:hideMark/>
          </w:tcPr>
          <w:p w14:paraId="4E315663" w14:textId="1D25B9A5" w:rsidR="00E03670"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55CBF393" w14:textId="4B4FBA2B" w:rsidR="00E03670" w:rsidRPr="000B6FD6" w:rsidRDefault="00E03670" w:rsidP="00A503D7">
            <w:pPr>
              <w:tabs>
                <w:tab w:val="decimal" w:pos="207"/>
              </w:tabs>
              <w:spacing w:after="0" w:line="240" w:lineRule="auto"/>
              <w:jc w:val="center"/>
              <w:rPr>
                <w:rFonts w:eastAsia="Times New Roman"/>
                <w:sz w:val="20"/>
                <w:szCs w:val="20"/>
              </w:rPr>
            </w:pPr>
          </w:p>
        </w:tc>
        <w:tc>
          <w:tcPr>
            <w:tcW w:w="564" w:type="dxa"/>
            <w:tcBorders>
              <w:top w:val="nil"/>
              <w:left w:val="nil"/>
              <w:bottom w:val="nil"/>
              <w:right w:val="nil"/>
            </w:tcBorders>
            <w:shd w:val="clear" w:color="auto" w:fill="auto"/>
            <w:noWrap/>
            <w:vAlign w:val="bottom"/>
            <w:hideMark/>
          </w:tcPr>
          <w:p w14:paraId="0C4C1F8E" w14:textId="25BA7453" w:rsidR="00E03670" w:rsidRPr="000B6FD6" w:rsidRDefault="00E03670" w:rsidP="000B6FD6">
            <w:pPr>
              <w:tabs>
                <w:tab w:val="decimal" w:pos="180"/>
              </w:tabs>
              <w:spacing w:after="0" w:line="240" w:lineRule="auto"/>
              <w:jc w:val="both"/>
              <w:rPr>
                <w:rFonts w:eastAsia="Times New Roman"/>
                <w:sz w:val="20"/>
                <w:szCs w:val="20"/>
              </w:rPr>
            </w:pPr>
            <w:r w:rsidRPr="000B6FD6">
              <w:rPr>
                <w:color w:val="000000"/>
                <w:sz w:val="20"/>
                <w:szCs w:val="20"/>
              </w:rPr>
              <w:t>-0.84</w:t>
            </w:r>
          </w:p>
        </w:tc>
        <w:tc>
          <w:tcPr>
            <w:tcW w:w="516" w:type="dxa"/>
            <w:tcBorders>
              <w:top w:val="nil"/>
              <w:left w:val="nil"/>
              <w:bottom w:val="nil"/>
              <w:right w:val="nil"/>
            </w:tcBorders>
            <w:shd w:val="clear" w:color="auto" w:fill="auto"/>
            <w:noWrap/>
            <w:vAlign w:val="bottom"/>
            <w:hideMark/>
          </w:tcPr>
          <w:p w14:paraId="5F633332" w14:textId="01E378C4" w:rsidR="00E03670" w:rsidRPr="000B6FD6" w:rsidRDefault="00E03670" w:rsidP="000B6FD6">
            <w:pPr>
              <w:tabs>
                <w:tab w:val="decimal" w:pos="243"/>
              </w:tabs>
              <w:spacing w:after="0" w:line="240" w:lineRule="auto"/>
              <w:jc w:val="both"/>
              <w:rPr>
                <w:rFonts w:eastAsia="Times New Roman"/>
                <w:sz w:val="20"/>
                <w:szCs w:val="20"/>
              </w:rPr>
            </w:pPr>
            <w:r w:rsidRPr="000B6FD6">
              <w:rPr>
                <w:color w:val="000000"/>
                <w:sz w:val="20"/>
                <w:szCs w:val="20"/>
              </w:rPr>
              <w:t>-4.86</w:t>
            </w:r>
          </w:p>
        </w:tc>
        <w:tc>
          <w:tcPr>
            <w:tcW w:w="564" w:type="dxa"/>
            <w:tcBorders>
              <w:top w:val="nil"/>
              <w:left w:val="single" w:sz="4" w:space="0" w:color="auto"/>
              <w:bottom w:val="nil"/>
              <w:right w:val="nil"/>
            </w:tcBorders>
            <w:shd w:val="clear" w:color="auto" w:fill="auto"/>
            <w:noWrap/>
            <w:vAlign w:val="center"/>
            <w:hideMark/>
          </w:tcPr>
          <w:p w14:paraId="7BAFF03C" w14:textId="21496B24" w:rsidR="00E03670"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27A01D4B" w14:textId="77777777" w:rsidR="00E03670" w:rsidRPr="000B6FD6" w:rsidRDefault="00E03670"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hideMark/>
          </w:tcPr>
          <w:p w14:paraId="44908483" w14:textId="1327667E" w:rsidR="00E03670" w:rsidRPr="000B6FD6" w:rsidRDefault="00E03670" w:rsidP="000B6FD6">
            <w:pPr>
              <w:tabs>
                <w:tab w:val="decimal" w:pos="141"/>
              </w:tabs>
              <w:spacing w:after="0" w:line="240" w:lineRule="auto"/>
              <w:jc w:val="both"/>
              <w:rPr>
                <w:rFonts w:eastAsia="Times New Roman"/>
                <w:sz w:val="20"/>
                <w:szCs w:val="20"/>
              </w:rPr>
            </w:pPr>
            <w:r w:rsidRPr="000B6FD6">
              <w:rPr>
                <w:color w:val="000000"/>
                <w:sz w:val="20"/>
                <w:szCs w:val="20"/>
              </w:rPr>
              <w:t>0.26</w:t>
            </w:r>
          </w:p>
        </w:tc>
        <w:tc>
          <w:tcPr>
            <w:tcW w:w="508" w:type="dxa"/>
            <w:tcBorders>
              <w:top w:val="nil"/>
              <w:left w:val="nil"/>
              <w:bottom w:val="nil"/>
              <w:right w:val="nil"/>
            </w:tcBorders>
            <w:shd w:val="clear" w:color="auto" w:fill="auto"/>
            <w:noWrap/>
            <w:vAlign w:val="bottom"/>
            <w:hideMark/>
          </w:tcPr>
          <w:p w14:paraId="77386D41" w14:textId="5E5DF1C4" w:rsidR="00E03670" w:rsidRPr="000B6FD6" w:rsidRDefault="00E03670" w:rsidP="000B6FD6">
            <w:pPr>
              <w:tabs>
                <w:tab w:val="decimal" w:pos="163"/>
              </w:tabs>
              <w:spacing w:after="0" w:line="240" w:lineRule="auto"/>
              <w:jc w:val="both"/>
              <w:rPr>
                <w:rFonts w:eastAsia="Times New Roman"/>
                <w:sz w:val="20"/>
                <w:szCs w:val="20"/>
              </w:rPr>
            </w:pPr>
            <w:r w:rsidRPr="000B6FD6">
              <w:rPr>
                <w:color w:val="000000"/>
                <w:sz w:val="20"/>
                <w:szCs w:val="20"/>
              </w:rPr>
              <w:t>3.30</w:t>
            </w:r>
          </w:p>
        </w:tc>
        <w:tc>
          <w:tcPr>
            <w:tcW w:w="574" w:type="dxa"/>
            <w:tcBorders>
              <w:top w:val="nil"/>
              <w:left w:val="single" w:sz="4" w:space="0" w:color="auto"/>
              <w:bottom w:val="nil"/>
              <w:right w:val="nil"/>
            </w:tcBorders>
            <w:shd w:val="clear" w:color="auto" w:fill="auto"/>
            <w:noWrap/>
            <w:vAlign w:val="center"/>
            <w:hideMark/>
          </w:tcPr>
          <w:p w14:paraId="4AC44462" w14:textId="79BFC401" w:rsidR="00E03670"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6680417C" w14:textId="77777777" w:rsidR="00E03670" w:rsidRPr="000B6FD6" w:rsidRDefault="00E03670"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615D22BD" w14:textId="6F2B983E" w:rsidR="00E03670" w:rsidRPr="000B6FD6" w:rsidRDefault="00E03670" w:rsidP="000B6FD6">
            <w:pPr>
              <w:tabs>
                <w:tab w:val="decimal" w:pos="207"/>
              </w:tabs>
              <w:spacing w:after="0" w:line="240" w:lineRule="auto"/>
              <w:jc w:val="both"/>
              <w:rPr>
                <w:rFonts w:eastAsia="Times New Roman"/>
                <w:sz w:val="20"/>
                <w:szCs w:val="20"/>
              </w:rPr>
            </w:pPr>
            <w:r w:rsidRPr="000B6FD6">
              <w:rPr>
                <w:color w:val="000000"/>
                <w:sz w:val="20"/>
                <w:szCs w:val="20"/>
              </w:rPr>
              <w:t>1.28</w:t>
            </w:r>
          </w:p>
        </w:tc>
        <w:tc>
          <w:tcPr>
            <w:tcW w:w="520" w:type="dxa"/>
            <w:tcBorders>
              <w:top w:val="nil"/>
              <w:left w:val="nil"/>
              <w:bottom w:val="nil"/>
              <w:right w:val="nil"/>
            </w:tcBorders>
            <w:shd w:val="clear" w:color="auto" w:fill="auto"/>
            <w:noWrap/>
            <w:vAlign w:val="bottom"/>
            <w:hideMark/>
          </w:tcPr>
          <w:p w14:paraId="4D0A8DB1" w14:textId="1E20B464" w:rsidR="00E03670" w:rsidRPr="000B6FD6" w:rsidRDefault="00E03670" w:rsidP="000B6FD6">
            <w:pPr>
              <w:tabs>
                <w:tab w:val="decimal" w:pos="256"/>
              </w:tabs>
              <w:spacing w:after="0" w:line="240" w:lineRule="auto"/>
              <w:jc w:val="both"/>
              <w:rPr>
                <w:rFonts w:eastAsia="Times New Roman"/>
                <w:sz w:val="20"/>
                <w:szCs w:val="20"/>
              </w:rPr>
            </w:pPr>
            <w:r w:rsidRPr="000B6FD6">
              <w:rPr>
                <w:color w:val="000000"/>
                <w:sz w:val="20"/>
                <w:szCs w:val="20"/>
              </w:rPr>
              <w:t>9.49</w:t>
            </w:r>
          </w:p>
        </w:tc>
        <w:tc>
          <w:tcPr>
            <w:tcW w:w="600" w:type="dxa"/>
            <w:tcBorders>
              <w:top w:val="nil"/>
              <w:left w:val="single" w:sz="4" w:space="0" w:color="auto"/>
              <w:bottom w:val="nil"/>
              <w:right w:val="nil"/>
            </w:tcBorders>
            <w:shd w:val="clear" w:color="auto" w:fill="auto"/>
            <w:noWrap/>
            <w:vAlign w:val="bottom"/>
            <w:hideMark/>
          </w:tcPr>
          <w:p w14:paraId="28EAA1C2" w14:textId="5E2D03B9" w:rsidR="00E03670" w:rsidRPr="000B6FD6" w:rsidRDefault="00E03670" w:rsidP="000B6FD6">
            <w:pPr>
              <w:tabs>
                <w:tab w:val="decimal" w:pos="229"/>
              </w:tabs>
              <w:spacing w:after="0" w:line="240" w:lineRule="auto"/>
              <w:jc w:val="both"/>
              <w:rPr>
                <w:rFonts w:eastAsia="Times New Roman"/>
                <w:sz w:val="20"/>
                <w:szCs w:val="20"/>
              </w:rPr>
            </w:pPr>
            <w:r w:rsidRPr="000B6FD6">
              <w:rPr>
                <w:color w:val="000000"/>
                <w:sz w:val="20"/>
                <w:szCs w:val="20"/>
              </w:rPr>
              <w:t>0.37</w:t>
            </w:r>
          </w:p>
        </w:tc>
        <w:tc>
          <w:tcPr>
            <w:tcW w:w="500" w:type="dxa"/>
            <w:tcBorders>
              <w:top w:val="nil"/>
              <w:left w:val="nil"/>
              <w:bottom w:val="nil"/>
              <w:right w:val="single" w:sz="4" w:space="0" w:color="auto"/>
            </w:tcBorders>
            <w:shd w:val="clear" w:color="auto" w:fill="auto"/>
            <w:noWrap/>
            <w:vAlign w:val="bottom"/>
            <w:hideMark/>
          </w:tcPr>
          <w:p w14:paraId="4C4C5CE1" w14:textId="69BECDEC" w:rsidR="00E03670" w:rsidRPr="000B6FD6" w:rsidRDefault="00E03670" w:rsidP="000B6FD6">
            <w:pPr>
              <w:tabs>
                <w:tab w:val="decimal" w:pos="170"/>
              </w:tabs>
              <w:spacing w:after="0" w:line="240" w:lineRule="auto"/>
              <w:jc w:val="both"/>
              <w:rPr>
                <w:rFonts w:eastAsia="Times New Roman"/>
                <w:sz w:val="20"/>
                <w:szCs w:val="20"/>
              </w:rPr>
            </w:pPr>
            <w:r w:rsidRPr="000B6FD6">
              <w:rPr>
                <w:color w:val="000000"/>
                <w:sz w:val="20"/>
                <w:szCs w:val="20"/>
              </w:rPr>
              <w:t>2.62</w:t>
            </w:r>
          </w:p>
        </w:tc>
        <w:tc>
          <w:tcPr>
            <w:tcW w:w="600" w:type="dxa"/>
            <w:tcBorders>
              <w:top w:val="nil"/>
              <w:left w:val="nil"/>
              <w:bottom w:val="nil"/>
              <w:right w:val="nil"/>
            </w:tcBorders>
            <w:shd w:val="clear" w:color="auto" w:fill="auto"/>
            <w:noWrap/>
            <w:vAlign w:val="bottom"/>
            <w:hideMark/>
          </w:tcPr>
          <w:p w14:paraId="2893EF91" w14:textId="489076A4" w:rsidR="00E03670" w:rsidRPr="000B6FD6" w:rsidRDefault="00E03670" w:rsidP="000B6FD6">
            <w:pPr>
              <w:tabs>
                <w:tab w:val="decimal" w:pos="210"/>
              </w:tabs>
              <w:spacing w:after="0" w:line="240" w:lineRule="auto"/>
              <w:jc w:val="both"/>
              <w:rPr>
                <w:rFonts w:eastAsia="Times New Roman"/>
                <w:sz w:val="20"/>
                <w:szCs w:val="20"/>
              </w:rPr>
            </w:pPr>
            <w:r w:rsidRPr="000B6FD6">
              <w:rPr>
                <w:color w:val="000000"/>
                <w:sz w:val="20"/>
                <w:szCs w:val="20"/>
              </w:rPr>
              <w:t>0.21</w:t>
            </w:r>
          </w:p>
        </w:tc>
        <w:tc>
          <w:tcPr>
            <w:tcW w:w="500" w:type="dxa"/>
            <w:tcBorders>
              <w:top w:val="nil"/>
              <w:left w:val="nil"/>
              <w:bottom w:val="nil"/>
              <w:right w:val="nil"/>
            </w:tcBorders>
            <w:shd w:val="clear" w:color="auto" w:fill="auto"/>
            <w:noWrap/>
            <w:vAlign w:val="bottom"/>
            <w:hideMark/>
          </w:tcPr>
          <w:p w14:paraId="4E5A609F" w14:textId="2E463260" w:rsidR="00E03670" w:rsidRPr="000B6FD6" w:rsidRDefault="00E03670" w:rsidP="000B6FD6">
            <w:pPr>
              <w:tabs>
                <w:tab w:val="decimal" w:pos="151"/>
              </w:tabs>
              <w:spacing w:after="0" w:line="240" w:lineRule="auto"/>
              <w:jc w:val="both"/>
              <w:rPr>
                <w:rFonts w:eastAsia="Times New Roman"/>
                <w:sz w:val="20"/>
                <w:szCs w:val="20"/>
              </w:rPr>
            </w:pPr>
            <w:r w:rsidRPr="000B6FD6">
              <w:rPr>
                <w:color w:val="000000"/>
                <w:sz w:val="20"/>
                <w:szCs w:val="20"/>
              </w:rPr>
              <w:t>2.98</w:t>
            </w:r>
          </w:p>
        </w:tc>
        <w:tc>
          <w:tcPr>
            <w:tcW w:w="580" w:type="dxa"/>
            <w:tcBorders>
              <w:top w:val="nil"/>
              <w:left w:val="single" w:sz="4" w:space="0" w:color="auto"/>
              <w:bottom w:val="nil"/>
              <w:right w:val="nil"/>
            </w:tcBorders>
            <w:shd w:val="clear" w:color="auto" w:fill="auto"/>
            <w:noWrap/>
            <w:vAlign w:val="center"/>
            <w:hideMark/>
          </w:tcPr>
          <w:p w14:paraId="7C399085" w14:textId="1940C030" w:rsidR="00E03670"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476A3993" w14:textId="77777777" w:rsidR="00E03670" w:rsidRPr="000B6FD6" w:rsidRDefault="00E03670"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512F8E99" w14:textId="1C7DF38B" w:rsidR="00E03670"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287E6763" w14:textId="56ECFC03" w:rsidR="00E03670" w:rsidRPr="000B6FD6" w:rsidRDefault="00E03670" w:rsidP="000B6FD6">
            <w:pPr>
              <w:tabs>
                <w:tab w:val="decimal" w:pos="208"/>
              </w:tabs>
              <w:spacing w:after="0" w:line="240" w:lineRule="auto"/>
              <w:jc w:val="both"/>
              <w:rPr>
                <w:rFonts w:eastAsia="Times New Roman"/>
                <w:sz w:val="20"/>
                <w:szCs w:val="20"/>
              </w:rPr>
            </w:pPr>
          </w:p>
        </w:tc>
      </w:tr>
      <w:tr w:rsidR="00200F95" w:rsidRPr="000B6FD6" w14:paraId="3A792808"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062DA622" w14:textId="77777777" w:rsidR="00200F95" w:rsidRPr="000B6FD6" w:rsidRDefault="00200F95" w:rsidP="000B6FD6">
            <w:pPr>
              <w:spacing w:after="0" w:line="240" w:lineRule="auto"/>
              <w:jc w:val="both"/>
              <w:rPr>
                <w:rFonts w:eastAsia="Times New Roman"/>
                <w:sz w:val="20"/>
                <w:szCs w:val="20"/>
              </w:rPr>
            </w:pPr>
            <w:r w:rsidRPr="000B6FD6">
              <w:rPr>
                <w:rFonts w:eastAsia="Times New Roman"/>
                <w:sz w:val="20"/>
                <w:szCs w:val="20"/>
              </w:rPr>
              <w:t xml:space="preserve">      $200,000+</w:t>
            </w:r>
          </w:p>
        </w:tc>
        <w:tc>
          <w:tcPr>
            <w:tcW w:w="564" w:type="dxa"/>
            <w:tcBorders>
              <w:top w:val="nil"/>
              <w:left w:val="single" w:sz="12" w:space="0" w:color="auto"/>
              <w:bottom w:val="nil"/>
              <w:right w:val="nil"/>
            </w:tcBorders>
            <w:shd w:val="clear" w:color="auto" w:fill="auto"/>
            <w:noWrap/>
            <w:vAlign w:val="center"/>
          </w:tcPr>
          <w:p w14:paraId="204B19AE" w14:textId="43EEB2D1" w:rsidR="00200F95"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tcPr>
          <w:p w14:paraId="7C24EBF1" w14:textId="6181EE5F" w:rsidR="00200F95" w:rsidRPr="000B6FD6" w:rsidRDefault="00200F95" w:rsidP="000B6FD6">
            <w:pPr>
              <w:tabs>
                <w:tab w:val="decimal" w:pos="2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bottom"/>
            <w:hideMark/>
          </w:tcPr>
          <w:p w14:paraId="2F7C848C" w14:textId="6994431E" w:rsidR="00200F95" w:rsidRPr="000B6FD6" w:rsidRDefault="00200F95" w:rsidP="000B6FD6">
            <w:pPr>
              <w:tabs>
                <w:tab w:val="decimal" w:pos="180"/>
              </w:tabs>
              <w:spacing w:after="0" w:line="240" w:lineRule="auto"/>
              <w:jc w:val="both"/>
              <w:rPr>
                <w:rFonts w:eastAsia="Times New Roman"/>
                <w:sz w:val="20"/>
                <w:szCs w:val="20"/>
              </w:rPr>
            </w:pPr>
            <w:r w:rsidRPr="000B6FD6">
              <w:rPr>
                <w:color w:val="000000"/>
                <w:sz w:val="20"/>
                <w:szCs w:val="20"/>
              </w:rPr>
              <w:t>-1.21</w:t>
            </w:r>
          </w:p>
        </w:tc>
        <w:tc>
          <w:tcPr>
            <w:tcW w:w="516" w:type="dxa"/>
            <w:tcBorders>
              <w:top w:val="nil"/>
              <w:left w:val="nil"/>
              <w:bottom w:val="nil"/>
              <w:right w:val="nil"/>
            </w:tcBorders>
            <w:shd w:val="clear" w:color="auto" w:fill="auto"/>
            <w:noWrap/>
            <w:vAlign w:val="bottom"/>
            <w:hideMark/>
          </w:tcPr>
          <w:p w14:paraId="56F5BC69" w14:textId="5E065911" w:rsidR="00200F95" w:rsidRPr="000B6FD6" w:rsidRDefault="00200F95" w:rsidP="000B6FD6">
            <w:pPr>
              <w:tabs>
                <w:tab w:val="decimal" w:pos="243"/>
              </w:tabs>
              <w:spacing w:after="0" w:line="240" w:lineRule="auto"/>
              <w:jc w:val="both"/>
              <w:rPr>
                <w:rFonts w:eastAsia="Times New Roman"/>
                <w:sz w:val="20"/>
                <w:szCs w:val="20"/>
              </w:rPr>
            </w:pPr>
            <w:r w:rsidRPr="000B6FD6">
              <w:rPr>
                <w:color w:val="000000"/>
                <w:sz w:val="20"/>
                <w:szCs w:val="20"/>
              </w:rPr>
              <w:t>-5.16</w:t>
            </w:r>
          </w:p>
        </w:tc>
        <w:tc>
          <w:tcPr>
            <w:tcW w:w="564" w:type="dxa"/>
            <w:tcBorders>
              <w:top w:val="nil"/>
              <w:left w:val="single" w:sz="4" w:space="0" w:color="auto"/>
              <w:bottom w:val="nil"/>
              <w:right w:val="nil"/>
            </w:tcBorders>
            <w:shd w:val="clear" w:color="auto" w:fill="auto"/>
            <w:noWrap/>
            <w:vAlign w:val="center"/>
            <w:hideMark/>
          </w:tcPr>
          <w:p w14:paraId="2C49E1E9" w14:textId="4CB6F107" w:rsidR="00200F95"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296C725A" w14:textId="77777777" w:rsidR="00200F95" w:rsidRPr="000B6FD6" w:rsidRDefault="00200F95"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hideMark/>
          </w:tcPr>
          <w:p w14:paraId="406B9DD8" w14:textId="04362FDF" w:rsidR="00200F95" w:rsidRPr="000B6FD6" w:rsidRDefault="00200F95" w:rsidP="000B6FD6">
            <w:pPr>
              <w:tabs>
                <w:tab w:val="decimal" w:pos="141"/>
              </w:tabs>
              <w:spacing w:after="0" w:line="240" w:lineRule="auto"/>
              <w:jc w:val="both"/>
              <w:rPr>
                <w:rFonts w:eastAsia="Times New Roman"/>
                <w:sz w:val="20"/>
                <w:szCs w:val="20"/>
              </w:rPr>
            </w:pPr>
            <w:r w:rsidRPr="000B6FD6">
              <w:rPr>
                <w:color w:val="000000"/>
                <w:sz w:val="20"/>
                <w:szCs w:val="20"/>
              </w:rPr>
              <w:t>0.26</w:t>
            </w:r>
          </w:p>
        </w:tc>
        <w:tc>
          <w:tcPr>
            <w:tcW w:w="508" w:type="dxa"/>
            <w:tcBorders>
              <w:top w:val="nil"/>
              <w:left w:val="nil"/>
              <w:bottom w:val="nil"/>
              <w:right w:val="nil"/>
            </w:tcBorders>
            <w:shd w:val="clear" w:color="auto" w:fill="auto"/>
            <w:noWrap/>
            <w:vAlign w:val="bottom"/>
            <w:hideMark/>
          </w:tcPr>
          <w:p w14:paraId="7B933551" w14:textId="354D062B" w:rsidR="00200F95" w:rsidRPr="000B6FD6" w:rsidRDefault="00200F95" w:rsidP="000B6FD6">
            <w:pPr>
              <w:tabs>
                <w:tab w:val="decimal" w:pos="163"/>
              </w:tabs>
              <w:spacing w:after="0" w:line="240" w:lineRule="auto"/>
              <w:jc w:val="both"/>
              <w:rPr>
                <w:rFonts w:eastAsia="Times New Roman"/>
                <w:sz w:val="20"/>
                <w:szCs w:val="20"/>
              </w:rPr>
            </w:pPr>
            <w:r w:rsidRPr="000B6FD6">
              <w:rPr>
                <w:color w:val="000000"/>
                <w:sz w:val="20"/>
                <w:szCs w:val="20"/>
              </w:rPr>
              <w:t>3.30</w:t>
            </w:r>
          </w:p>
        </w:tc>
        <w:tc>
          <w:tcPr>
            <w:tcW w:w="574" w:type="dxa"/>
            <w:tcBorders>
              <w:top w:val="nil"/>
              <w:left w:val="single" w:sz="4" w:space="0" w:color="auto"/>
              <w:bottom w:val="nil"/>
              <w:right w:val="nil"/>
            </w:tcBorders>
            <w:shd w:val="clear" w:color="auto" w:fill="auto"/>
            <w:noWrap/>
            <w:vAlign w:val="bottom"/>
            <w:hideMark/>
          </w:tcPr>
          <w:p w14:paraId="59715A10" w14:textId="2B3F9ED1" w:rsidR="00200F95" w:rsidRPr="000B6FD6" w:rsidRDefault="00200F95" w:rsidP="000B6FD6">
            <w:pPr>
              <w:tabs>
                <w:tab w:val="decimal" w:pos="197"/>
              </w:tabs>
              <w:spacing w:after="0" w:line="240" w:lineRule="auto"/>
              <w:jc w:val="both"/>
              <w:rPr>
                <w:rFonts w:eastAsia="Times New Roman"/>
                <w:sz w:val="20"/>
                <w:szCs w:val="20"/>
              </w:rPr>
            </w:pPr>
            <w:r w:rsidRPr="000B6FD6">
              <w:rPr>
                <w:color w:val="000000"/>
                <w:sz w:val="20"/>
                <w:szCs w:val="20"/>
              </w:rPr>
              <w:t>0.15</w:t>
            </w:r>
          </w:p>
        </w:tc>
        <w:tc>
          <w:tcPr>
            <w:tcW w:w="586" w:type="dxa"/>
            <w:tcBorders>
              <w:top w:val="nil"/>
              <w:left w:val="nil"/>
              <w:bottom w:val="nil"/>
              <w:right w:val="single" w:sz="4" w:space="0" w:color="auto"/>
            </w:tcBorders>
            <w:shd w:val="clear" w:color="auto" w:fill="auto"/>
            <w:noWrap/>
            <w:vAlign w:val="bottom"/>
            <w:hideMark/>
          </w:tcPr>
          <w:p w14:paraId="6C98F88B" w14:textId="52D86FEC" w:rsidR="00200F95" w:rsidRPr="000B6FD6" w:rsidRDefault="00200F95" w:rsidP="000B6FD6">
            <w:pPr>
              <w:tabs>
                <w:tab w:val="decimal" w:pos="247"/>
              </w:tabs>
              <w:spacing w:after="0" w:line="240" w:lineRule="auto"/>
              <w:jc w:val="both"/>
              <w:rPr>
                <w:rFonts w:eastAsia="Times New Roman"/>
                <w:sz w:val="20"/>
                <w:szCs w:val="20"/>
              </w:rPr>
            </w:pPr>
            <w:r w:rsidRPr="000B6FD6">
              <w:rPr>
                <w:color w:val="000000"/>
                <w:sz w:val="20"/>
                <w:szCs w:val="20"/>
              </w:rPr>
              <w:t>1.32</w:t>
            </w:r>
          </w:p>
        </w:tc>
        <w:tc>
          <w:tcPr>
            <w:tcW w:w="580" w:type="dxa"/>
            <w:tcBorders>
              <w:top w:val="nil"/>
              <w:left w:val="nil"/>
              <w:bottom w:val="nil"/>
              <w:right w:val="nil"/>
            </w:tcBorders>
            <w:shd w:val="clear" w:color="auto" w:fill="auto"/>
            <w:noWrap/>
            <w:vAlign w:val="bottom"/>
            <w:hideMark/>
          </w:tcPr>
          <w:p w14:paraId="4383D971" w14:textId="2B1B7C9C" w:rsidR="00200F95" w:rsidRPr="000B6FD6" w:rsidRDefault="00200F95" w:rsidP="000B6FD6">
            <w:pPr>
              <w:tabs>
                <w:tab w:val="decimal" w:pos="207"/>
              </w:tabs>
              <w:spacing w:after="0" w:line="240" w:lineRule="auto"/>
              <w:jc w:val="both"/>
              <w:rPr>
                <w:rFonts w:eastAsia="Times New Roman"/>
                <w:sz w:val="20"/>
                <w:szCs w:val="20"/>
              </w:rPr>
            </w:pPr>
            <w:r w:rsidRPr="000B6FD6">
              <w:rPr>
                <w:color w:val="000000"/>
                <w:sz w:val="20"/>
                <w:szCs w:val="20"/>
              </w:rPr>
              <w:t>1.50</w:t>
            </w:r>
          </w:p>
        </w:tc>
        <w:tc>
          <w:tcPr>
            <w:tcW w:w="520" w:type="dxa"/>
            <w:tcBorders>
              <w:top w:val="nil"/>
              <w:left w:val="nil"/>
              <w:bottom w:val="nil"/>
              <w:right w:val="nil"/>
            </w:tcBorders>
            <w:shd w:val="clear" w:color="auto" w:fill="auto"/>
            <w:noWrap/>
            <w:vAlign w:val="bottom"/>
            <w:hideMark/>
          </w:tcPr>
          <w:p w14:paraId="3439A216" w14:textId="7CFAB8CC" w:rsidR="00200F95" w:rsidRPr="000B6FD6" w:rsidRDefault="00200F95" w:rsidP="000B6FD6">
            <w:pPr>
              <w:tabs>
                <w:tab w:val="decimal" w:pos="256"/>
              </w:tabs>
              <w:spacing w:after="0" w:line="240" w:lineRule="auto"/>
              <w:jc w:val="both"/>
              <w:rPr>
                <w:rFonts w:eastAsia="Times New Roman"/>
                <w:sz w:val="20"/>
                <w:szCs w:val="20"/>
              </w:rPr>
            </w:pPr>
            <w:r w:rsidRPr="000B6FD6">
              <w:rPr>
                <w:color w:val="000000"/>
                <w:sz w:val="20"/>
                <w:szCs w:val="20"/>
              </w:rPr>
              <w:t>11.64</w:t>
            </w:r>
          </w:p>
        </w:tc>
        <w:tc>
          <w:tcPr>
            <w:tcW w:w="600" w:type="dxa"/>
            <w:tcBorders>
              <w:top w:val="nil"/>
              <w:left w:val="single" w:sz="4" w:space="0" w:color="auto"/>
              <w:bottom w:val="nil"/>
              <w:right w:val="nil"/>
            </w:tcBorders>
            <w:shd w:val="clear" w:color="auto" w:fill="auto"/>
            <w:noWrap/>
            <w:vAlign w:val="bottom"/>
            <w:hideMark/>
          </w:tcPr>
          <w:p w14:paraId="220BFE43" w14:textId="053C708E" w:rsidR="00200F95" w:rsidRPr="000B6FD6" w:rsidRDefault="00200F95" w:rsidP="000B6FD6">
            <w:pPr>
              <w:tabs>
                <w:tab w:val="decimal" w:pos="229"/>
              </w:tabs>
              <w:spacing w:after="0" w:line="240" w:lineRule="auto"/>
              <w:jc w:val="both"/>
              <w:rPr>
                <w:rFonts w:eastAsia="Times New Roman"/>
                <w:sz w:val="20"/>
                <w:szCs w:val="20"/>
              </w:rPr>
            </w:pPr>
            <w:r w:rsidRPr="000B6FD6">
              <w:rPr>
                <w:color w:val="000000"/>
                <w:sz w:val="20"/>
                <w:szCs w:val="20"/>
              </w:rPr>
              <w:t>0.37</w:t>
            </w:r>
          </w:p>
        </w:tc>
        <w:tc>
          <w:tcPr>
            <w:tcW w:w="500" w:type="dxa"/>
            <w:tcBorders>
              <w:top w:val="nil"/>
              <w:left w:val="nil"/>
              <w:bottom w:val="nil"/>
              <w:right w:val="single" w:sz="4" w:space="0" w:color="auto"/>
            </w:tcBorders>
            <w:shd w:val="clear" w:color="auto" w:fill="auto"/>
            <w:noWrap/>
            <w:vAlign w:val="bottom"/>
            <w:hideMark/>
          </w:tcPr>
          <w:p w14:paraId="412602C4" w14:textId="4DC1AB7E" w:rsidR="00200F95" w:rsidRPr="000B6FD6" w:rsidRDefault="00200F95" w:rsidP="000B6FD6">
            <w:pPr>
              <w:tabs>
                <w:tab w:val="decimal" w:pos="170"/>
              </w:tabs>
              <w:spacing w:after="0" w:line="240" w:lineRule="auto"/>
              <w:jc w:val="both"/>
              <w:rPr>
                <w:rFonts w:eastAsia="Times New Roman"/>
                <w:sz w:val="20"/>
                <w:szCs w:val="20"/>
              </w:rPr>
            </w:pPr>
            <w:r w:rsidRPr="000B6FD6">
              <w:rPr>
                <w:color w:val="000000"/>
                <w:sz w:val="20"/>
                <w:szCs w:val="20"/>
              </w:rPr>
              <w:t>2.62</w:t>
            </w:r>
          </w:p>
        </w:tc>
        <w:tc>
          <w:tcPr>
            <w:tcW w:w="600" w:type="dxa"/>
            <w:tcBorders>
              <w:top w:val="nil"/>
              <w:left w:val="nil"/>
              <w:bottom w:val="nil"/>
              <w:right w:val="nil"/>
            </w:tcBorders>
            <w:shd w:val="clear" w:color="auto" w:fill="auto"/>
            <w:noWrap/>
            <w:vAlign w:val="bottom"/>
            <w:hideMark/>
          </w:tcPr>
          <w:p w14:paraId="6A44FC68" w14:textId="0FE20512" w:rsidR="00200F95" w:rsidRPr="000B6FD6" w:rsidRDefault="00200F95" w:rsidP="000B6FD6">
            <w:pPr>
              <w:tabs>
                <w:tab w:val="decimal" w:pos="210"/>
              </w:tabs>
              <w:spacing w:after="0" w:line="240" w:lineRule="auto"/>
              <w:jc w:val="both"/>
              <w:rPr>
                <w:rFonts w:eastAsia="Times New Roman"/>
                <w:sz w:val="20"/>
                <w:szCs w:val="20"/>
              </w:rPr>
            </w:pPr>
            <w:r w:rsidRPr="000B6FD6">
              <w:rPr>
                <w:color w:val="000000"/>
                <w:sz w:val="20"/>
                <w:szCs w:val="20"/>
              </w:rPr>
              <w:t>0.29</w:t>
            </w:r>
          </w:p>
        </w:tc>
        <w:tc>
          <w:tcPr>
            <w:tcW w:w="500" w:type="dxa"/>
            <w:tcBorders>
              <w:top w:val="nil"/>
              <w:left w:val="nil"/>
              <w:bottom w:val="nil"/>
              <w:right w:val="nil"/>
            </w:tcBorders>
            <w:shd w:val="clear" w:color="auto" w:fill="auto"/>
            <w:noWrap/>
            <w:vAlign w:val="bottom"/>
            <w:hideMark/>
          </w:tcPr>
          <w:p w14:paraId="73940E80" w14:textId="4D2C40E1" w:rsidR="00200F95" w:rsidRPr="000B6FD6" w:rsidRDefault="00200F95" w:rsidP="000B6FD6">
            <w:pPr>
              <w:tabs>
                <w:tab w:val="decimal" w:pos="151"/>
              </w:tabs>
              <w:spacing w:after="0" w:line="240" w:lineRule="auto"/>
              <w:jc w:val="both"/>
              <w:rPr>
                <w:rFonts w:eastAsia="Times New Roman"/>
                <w:sz w:val="20"/>
                <w:szCs w:val="20"/>
              </w:rPr>
            </w:pPr>
            <w:r w:rsidRPr="000B6FD6">
              <w:rPr>
                <w:color w:val="000000"/>
                <w:sz w:val="20"/>
                <w:szCs w:val="20"/>
              </w:rPr>
              <w:t>2.65</w:t>
            </w:r>
          </w:p>
        </w:tc>
        <w:tc>
          <w:tcPr>
            <w:tcW w:w="580" w:type="dxa"/>
            <w:tcBorders>
              <w:top w:val="nil"/>
              <w:left w:val="single" w:sz="4" w:space="0" w:color="auto"/>
              <w:bottom w:val="nil"/>
              <w:right w:val="nil"/>
            </w:tcBorders>
            <w:shd w:val="clear" w:color="auto" w:fill="auto"/>
            <w:noWrap/>
            <w:vAlign w:val="bottom"/>
            <w:hideMark/>
          </w:tcPr>
          <w:p w14:paraId="11FD33D9" w14:textId="6F3E3F94" w:rsidR="00200F95" w:rsidRPr="000B6FD6" w:rsidRDefault="00200F95" w:rsidP="000B6FD6">
            <w:pPr>
              <w:tabs>
                <w:tab w:val="decimal" w:pos="191"/>
              </w:tabs>
              <w:spacing w:after="0" w:line="240" w:lineRule="auto"/>
              <w:jc w:val="both"/>
              <w:rPr>
                <w:rFonts w:eastAsia="Times New Roman"/>
                <w:sz w:val="20"/>
                <w:szCs w:val="20"/>
              </w:rPr>
            </w:pPr>
            <w:r w:rsidRPr="000B6FD6">
              <w:rPr>
                <w:color w:val="000000"/>
                <w:sz w:val="20"/>
                <w:szCs w:val="20"/>
              </w:rPr>
              <w:t>0.20</w:t>
            </w:r>
          </w:p>
        </w:tc>
        <w:tc>
          <w:tcPr>
            <w:tcW w:w="520" w:type="dxa"/>
            <w:tcBorders>
              <w:top w:val="nil"/>
              <w:left w:val="nil"/>
              <w:bottom w:val="nil"/>
              <w:right w:val="single" w:sz="4" w:space="0" w:color="auto"/>
            </w:tcBorders>
            <w:shd w:val="clear" w:color="auto" w:fill="auto"/>
            <w:noWrap/>
            <w:vAlign w:val="bottom"/>
            <w:hideMark/>
          </w:tcPr>
          <w:p w14:paraId="39BABC50" w14:textId="7DCD430B" w:rsidR="00200F95" w:rsidRPr="000B6FD6" w:rsidRDefault="00200F95" w:rsidP="000B6FD6">
            <w:pPr>
              <w:tabs>
                <w:tab w:val="decimal" w:pos="239"/>
              </w:tabs>
              <w:spacing w:after="0" w:line="240" w:lineRule="auto"/>
              <w:jc w:val="both"/>
              <w:rPr>
                <w:rFonts w:eastAsia="Times New Roman"/>
                <w:sz w:val="20"/>
                <w:szCs w:val="20"/>
              </w:rPr>
            </w:pPr>
            <w:r w:rsidRPr="000B6FD6">
              <w:rPr>
                <w:color w:val="000000"/>
                <w:sz w:val="20"/>
                <w:szCs w:val="20"/>
              </w:rPr>
              <w:t>2.17</w:t>
            </w:r>
          </w:p>
        </w:tc>
        <w:tc>
          <w:tcPr>
            <w:tcW w:w="564" w:type="dxa"/>
            <w:tcBorders>
              <w:top w:val="nil"/>
              <w:left w:val="nil"/>
              <w:bottom w:val="nil"/>
              <w:right w:val="nil"/>
            </w:tcBorders>
            <w:shd w:val="clear" w:color="auto" w:fill="auto"/>
            <w:noWrap/>
            <w:vAlign w:val="center"/>
          </w:tcPr>
          <w:p w14:paraId="4BD7108B" w14:textId="21BFE7BE" w:rsidR="00200F95"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14A28947" w14:textId="22C13041" w:rsidR="00200F95" w:rsidRPr="000B6FD6" w:rsidRDefault="00200F95" w:rsidP="000B6FD6">
            <w:pPr>
              <w:tabs>
                <w:tab w:val="decimal" w:pos="208"/>
              </w:tabs>
              <w:spacing w:after="0" w:line="240" w:lineRule="auto"/>
              <w:jc w:val="both"/>
              <w:rPr>
                <w:rFonts w:eastAsia="Times New Roman"/>
                <w:sz w:val="20"/>
                <w:szCs w:val="20"/>
              </w:rPr>
            </w:pPr>
          </w:p>
        </w:tc>
      </w:tr>
      <w:tr w:rsidR="00584169" w:rsidRPr="000B6FD6" w14:paraId="567117A3"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5501A06F"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Race: (white)</w:t>
            </w:r>
          </w:p>
        </w:tc>
        <w:tc>
          <w:tcPr>
            <w:tcW w:w="564" w:type="dxa"/>
            <w:tcBorders>
              <w:top w:val="nil"/>
              <w:left w:val="single" w:sz="12" w:space="0" w:color="auto"/>
              <w:bottom w:val="nil"/>
              <w:right w:val="nil"/>
            </w:tcBorders>
            <w:shd w:val="clear" w:color="auto" w:fill="auto"/>
            <w:noWrap/>
            <w:vAlign w:val="center"/>
            <w:hideMark/>
          </w:tcPr>
          <w:p w14:paraId="3A74A0E2" w14:textId="77777777" w:rsidR="00584169" w:rsidRPr="000B6FD6" w:rsidRDefault="00584169" w:rsidP="000B6FD6">
            <w:pPr>
              <w:tabs>
                <w:tab w:val="decimal" w:pos="231"/>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274CE0C9"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4B583AF6" w14:textId="77777777" w:rsidR="00584169" w:rsidRPr="000B6FD6" w:rsidRDefault="00584169" w:rsidP="000B6FD6">
            <w:pPr>
              <w:tabs>
                <w:tab w:val="decimal" w:pos="180"/>
              </w:tabs>
              <w:spacing w:after="0" w:line="240" w:lineRule="auto"/>
              <w:jc w:val="both"/>
              <w:rPr>
                <w:rFonts w:eastAsia="Times New Roman"/>
                <w:sz w:val="20"/>
                <w:szCs w:val="20"/>
              </w:rPr>
            </w:pPr>
          </w:p>
        </w:tc>
        <w:tc>
          <w:tcPr>
            <w:tcW w:w="516" w:type="dxa"/>
            <w:tcBorders>
              <w:top w:val="nil"/>
              <w:left w:val="nil"/>
              <w:bottom w:val="nil"/>
              <w:right w:val="nil"/>
            </w:tcBorders>
            <w:shd w:val="clear" w:color="auto" w:fill="auto"/>
            <w:noWrap/>
            <w:vAlign w:val="center"/>
            <w:hideMark/>
          </w:tcPr>
          <w:p w14:paraId="12DAD533"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7031B33B"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16" w:type="dxa"/>
            <w:tcBorders>
              <w:top w:val="nil"/>
              <w:left w:val="nil"/>
              <w:bottom w:val="nil"/>
              <w:right w:val="single" w:sz="4" w:space="0" w:color="auto"/>
            </w:tcBorders>
            <w:shd w:val="clear" w:color="auto" w:fill="auto"/>
            <w:noWrap/>
            <w:vAlign w:val="center"/>
            <w:hideMark/>
          </w:tcPr>
          <w:p w14:paraId="3DB5D6FE" w14:textId="77777777" w:rsidR="00584169" w:rsidRPr="000B6FD6" w:rsidRDefault="00584169"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0405B228" w14:textId="77777777" w:rsidR="00584169" w:rsidRPr="000B6FD6" w:rsidRDefault="00584169" w:rsidP="000B6FD6">
            <w:pPr>
              <w:tabs>
                <w:tab w:val="decimal" w:pos="141"/>
              </w:tabs>
              <w:spacing w:after="0" w:line="240" w:lineRule="auto"/>
              <w:jc w:val="both"/>
              <w:rPr>
                <w:rFonts w:eastAsia="Times New Roman"/>
                <w:sz w:val="20"/>
                <w:szCs w:val="20"/>
              </w:rPr>
            </w:pPr>
          </w:p>
        </w:tc>
        <w:tc>
          <w:tcPr>
            <w:tcW w:w="508" w:type="dxa"/>
            <w:tcBorders>
              <w:top w:val="nil"/>
              <w:left w:val="nil"/>
              <w:bottom w:val="nil"/>
              <w:right w:val="nil"/>
            </w:tcBorders>
            <w:shd w:val="clear" w:color="auto" w:fill="auto"/>
            <w:noWrap/>
            <w:vAlign w:val="center"/>
            <w:hideMark/>
          </w:tcPr>
          <w:p w14:paraId="699060E0"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62E161FE"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7B792755" w14:textId="77777777" w:rsidR="00584169" w:rsidRPr="000B6FD6" w:rsidRDefault="0058416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71E6F4D1"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bottom"/>
            <w:hideMark/>
          </w:tcPr>
          <w:p w14:paraId="444AE964"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8E877B9" w14:textId="6A705143"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single" w:sz="4" w:space="0" w:color="auto"/>
            </w:tcBorders>
            <w:shd w:val="clear" w:color="auto" w:fill="auto"/>
            <w:noWrap/>
            <w:vAlign w:val="center"/>
            <w:hideMark/>
          </w:tcPr>
          <w:p w14:paraId="5945B83E"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62B9F9AA"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center"/>
            <w:hideMark/>
          </w:tcPr>
          <w:p w14:paraId="13ABD21E"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41A876D4"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4" w:space="0" w:color="auto"/>
            </w:tcBorders>
            <w:shd w:val="clear" w:color="auto" w:fill="auto"/>
            <w:noWrap/>
            <w:vAlign w:val="center"/>
            <w:hideMark/>
          </w:tcPr>
          <w:p w14:paraId="76E38A1D"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12367858" w14:textId="06326814" w:rsidR="00584169" w:rsidRPr="000B6FD6" w:rsidRDefault="00584169" w:rsidP="000B6FD6">
            <w:pPr>
              <w:tabs>
                <w:tab w:val="decimal" w:pos="232"/>
              </w:tabs>
              <w:spacing w:after="0" w:line="240" w:lineRule="auto"/>
              <w:jc w:val="both"/>
              <w:rPr>
                <w:rFonts w:eastAsia="Times New Roman"/>
                <w:sz w:val="20"/>
                <w:szCs w:val="20"/>
              </w:rPr>
            </w:pPr>
          </w:p>
        </w:tc>
        <w:tc>
          <w:tcPr>
            <w:tcW w:w="508" w:type="dxa"/>
            <w:tcBorders>
              <w:top w:val="nil"/>
              <w:left w:val="nil"/>
              <w:bottom w:val="nil"/>
              <w:right w:val="single" w:sz="12" w:space="0" w:color="auto"/>
            </w:tcBorders>
            <w:shd w:val="clear" w:color="auto" w:fill="auto"/>
            <w:noWrap/>
            <w:vAlign w:val="center"/>
          </w:tcPr>
          <w:p w14:paraId="4EB37A8B" w14:textId="0582CE56" w:rsidR="00584169" w:rsidRPr="000B6FD6" w:rsidRDefault="00584169" w:rsidP="000B6FD6">
            <w:pPr>
              <w:tabs>
                <w:tab w:val="decimal" w:pos="208"/>
              </w:tabs>
              <w:spacing w:after="0" w:line="240" w:lineRule="auto"/>
              <w:jc w:val="both"/>
              <w:rPr>
                <w:rFonts w:eastAsia="Times New Roman"/>
                <w:sz w:val="20"/>
                <w:szCs w:val="20"/>
              </w:rPr>
            </w:pPr>
          </w:p>
        </w:tc>
      </w:tr>
      <w:tr w:rsidR="001442A1" w:rsidRPr="000B6FD6" w14:paraId="6F6CE43D"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4BA4ACB1" w14:textId="77777777" w:rsidR="001442A1" w:rsidRPr="000B6FD6" w:rsidRDefault="001442A1" w:rsidP="000B6FD6">
            <w:pPr>
              <w:spacing w:after="0" w:line="240" w:lineRule="auto"/>
              <w:jc w:val="both"/>
              <w:rPr>
                <w:rFonts w:eastAsia="Times New Roman"/>
                <w:sz w:val="20"/>
                <w:szCs w:val="20"/>
              </w:rPr>
            </w:pPr>
            <w:r w:rsidRPr="000B6FD6">
              <w:rPr>
                <w:rFonts w:eastAsia="Times New Roman"/>
                <w:sz w:val="20"/>
                <w:szCs w:val="20"/>
              </w:rPr>
              <w:t xml:space="preserve">      Asian</w:t>
            </w:r>
          </w:p>
        </w:tc>
        <w:tc>
          <w:tcPr>
            <w:tcW w:w="564" w:type="dxa"/>
            <w:tcBorders>
              <w:top w:val="nil"/>
              <w:left w:val="single" w:sz="12" w:space="0" w:color="auto"/>
              <w:bottom w:val="nil"/>
              <w:right w:val="nil"/>
            </w:tcBorders>
            <w:shd w:val="clear" w:color="auto" w:fill="auto"/>
            <w:noWrap/>
            <w:vAlign w:val="center"/>
            <w:hideMark/>
          </w:tcPr>
          <w:p w14:paraId="0781F266" w14:textId="4CA5EB8C" w:rsidR="001442A1"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1F3CDC58" w14:textId="77777777" w:rsidR="001442A1" w:rsidRPr="000B6FD6" w:rsidRDefault="001442A1"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7CDDD2AA" w14:textId="35474F82" w:rsidR="001442A1"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64E7B486" w14:textId="77777777" w:rsidR="001442A1" w:rsidRPr="000B6FD6" w:rsidRDefault="001442A1"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280560C2" w14:textId="2BD2B001" w:rsidR="001442A1"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715DB16A" w14:textId="77777777" w:rsidR="001442A1" w:rsidRPr="000B6FD6" w:rsidRDefault="001442A1"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bottom"/>
            <w:hideMark/>
          </w:tcPr>
          <w:p w14:paraId="326C1F87" w14:textId="3FD8D2A7" w:rsidR="001442A1" w:rsidRPr="000B6FD6" w:rsidRDefault="001442A1" w:rsidP="000B6FD6">
            <w:pPr>
              <w:tabs>
                <w:tab w:val="decimal" w:pos="141"/>
              </w:tabs>
              <w:spacing w:after="0" w:line="240" w:lineRule="auto"/>
              <w:jc w:val="both"/>
              <w:rPr>
                <w:rFonts w:eastAsia="Times New Roman"/>
                <w:sz w:val="20"/>
                <w:szCs w:val="20"/>
              </w:rPr>
            </w:pPr>
            <w:r w:rsidRPr="000B6FD6">
              <w:rPr>
                <w:color w:val="000000"/>
                <w:sz w:val="20"/>
                <w:szCs w:val="20"/>
              </w:rPr>
              <w:t>0.19</w:t>
            </w:r>
          </w:p>
        </w:tc>
        <w:tc>
          <w:tcPr>
            <w:tcW w:w="508" w:type="dxa"/>
            <w:tcBorders>
              <w:top w:val="nil"/>
              <w:left w:val="nil"/>
              <w:bottom w:val="nil"/>
              <w:right w:val="nil"/>
            </w:tcBorders>
            <w:shd w:val="clear" w:color="auto" w:fill="auto"/>
            <w:noWrap/>
            <w:vAlign w:val="bottom"/>
            <w:hideMark/>
          </w:tcPr>
          <w:p w14:paraId="790246CC" w14:textId="7B71D77D" w:rsidR="001442A1" w:rsidRPr="000B6FD6" w:rsidRDefault="001442A1" w:rsidP="000B6FD6">
            <w:pPr>
              <w:tabs>
                <w:tab w:val="decimal" w:pos="163"/>
              </w:tabs>
              <w:spacing w:after="0" w:line="240" w:lineRule="auto"/>
              <w:jc w:val="both"/>
              <w:rPr>
                <w:rFonts w:eastAsia="Times New Roman"/>
                <w:sz w:val="20"/>
                <w:szCs w:val="20"/>
              </w:rPr>
            </w:pPr>
            <w:r w:rsidRPr="000B6FD6">
              <w:rPr>
                <w:color w:val="000000"/>
                <w:sz w:val="20"/>
                <w:szCs w:val="20"/>
              </w:rPr>
              <w:t>1.66</w:t>
            </w:r>
          </w:p>
        </w:tc>
        <w:tc>
          <w:tcPr>
            <w:tcW w:w="574" w:type="dxa"/>
            <w:tcBorders>
              <w:top w:val="nil"/>
              <w:left w:val="single" w:sz="4" w:space="0" w:color="auto"/>
              <w:bottom w:val="nil"/>
              <w:right w:val="nil"/>
            </w:tcBorders>
            <w:shd w:val="clear" w:color="auto" w:fill="auto"/>
            <w:noWrap/>
            <w:vAlign w:val="bottom"/>
            <w:hideMark/>
          </w:tcPr>
          <w:p w14:paraId="6762E842" w14:textId="0CCB1A96" w:rsidR="001442A1" w:rsidRPr="000B6FD6" w:rsidRDefault="001442A1" w:rsidP="000B6FD6">
            <w:pPr>
              <w:tabs>
                <w:tab w:val="decimal" w:pos="197"/>
              </w:tabs>
              <w:spacing w:after="0" w:line="240" w:lineRule="auto"/>
              <w:jc w:val="both"/>
              <w:rPr>
                <w:rFonts w:eastAsia="Times New Roman"/>
                <w:sz w:val="20"/>
                <w:szCs w:val="20"/>
              </w:rPr>
            </w:pPr>
            <w:r w:rsidRPr="000B6FD6">
              <w:rPr>
                <w:color w:val="000000"/>
                <w:sz w:val="20"/>
                <w:szCs w:val="20"/>
              </w:rPr>
              <w:t>0.68</w:t>
            </w:r>
          </w:p>
        </w:tc>
        <w:tc>
          <w:tcPr>
            <w:tcW w:w="586" w:type="dxa"/>
            <w:tcBorders>
              <w:top w:val="nil"/>
              <w:left w:val="nil"/>
              <w:bottom w:val="nil"/>
              <w:right w:val="single" w:sz="4" w:space="0" w:color="auto"/>
            </w:tcBorders>
            <w:shd w:val="clear" w:color="auto" w:fill="auto"/>
            <w:noWrap/>
            <w:vAlign w:val="bottom"/>
            <w:hideMark/>
          </w:tcPr>
          <w:p w14:paraId="58751866" w14:textId="13733D37" w:rsidR="001442A1" w:rsidRPr="000B6FD6" w:rsidRDefault="001442A1" w:rsidP="000B6FD6">
            <w:pPr>
              <w:tabs>
                <w:tab w:val="decimal" w:pos="247"/>
              </w:tabs>
              <w:spacing w:after="0" w:line="240" w:lineRule="auto"/>
              <w:jc w:val="both"/>
              <w:rPr>
                <w:rFonts w:eastAsia="Times New Roman"/>
                <w:sz w:val="20"/>
                <w:szCs w:val="20"/>
              </w:rPr>
            </w:pPr>
            <w:r w:rsidRPr="000B6FD6">
              <w:rPr>
                <w:color w:val="000000"/>
                <w:sz w:val="20"/>
                <w:szCs w:val="20"/>
              </w:rPr>
              <w:t>5.20</w:t>
            </w:r>
          </w:p>
        </w:tc>
        <w:tc>
          <w:tcPr>
            <w:tcW w:w="580" w:type="dxa"/>
            <w:tcBorders>
              <w:top w:val="nil"/>
              <w:left w:val="nil"/>
              <w:bottom w:val="nil"/>
              <w:right w:val="nil"/>
            </w:tcBorders>
            <w:shd w:val="clear" w:color="auto" w:fill="auto"/>
            <w:noWrap/>
            <w:vAlign w:val="bottom"/>
            <w:hideMark/>
          </w:tcPr>
          <w:p w14:paraId="1F35D487" w14:textId="0C443221" w:rsidR="001442A1" w:rsidRPr="000B6FD6" w:rsidRDefault="001442A1" w:rsidP="000B6FD6">
            <w:pPr>
              <w:tabs>
                <w:tab w:val="decimal" w:pos="207"/>
              </w:tabs>
              <w:spacing w:after="0" w:line="240" w:lineRule="auto"/>
              <w:jc w:val="both"/>
              <w:rPr>
                <w:rFonts w:eastAsia="Times New Roman"/>
                <w:sz w:val="20"/>
                <w:szCs w:val="20"/>
              </w:rPr>
            </w:pPr>
            <w:r w:rsidRPr="000B6FD6">
              <w:rPr>
                <w:color w:val="000000"/>
                <w:sz w:val="20"/>
                <w:szCs w:val="20"/>
              </w:rPr>
              <w:t>0.74</w:t>
            </w:r>
          </w:p>
        </w:tc>
        <w:tc>
          <w:tcPr>
            <w:tcW w:w="520" w:type="dxa"/>
            <w:tcBorders>
              <w:top w:val="nil"/>
              <w:left w:val="nil"/>
              <w:bottom w:val="nil"/>
              <w:right w:val="nil"/>
            </w:tcBorders>
            <w:shd w:val="clear" w:color="auto" w:fill="auto"/>
            <w:noWrap/>
            <w:vAlign w:val="bottom"/>
            <w:hideMark/>
          </w:tcPr>
          <w:p w14:paraId="6F26FFDA" w14:textId="57FF13F4" w:rsidR="001442A1" w:rsidRPr="000B6FD6" w:rsidRDefault="001442A1" w:rsidP="000B6FD6">
            <w:pPr>
              <w:tabs>
                <w:tab w:val="decimal" w:pos="256"/>
              </w:tabs>
              <w:spacing w:after="0" w:line="240" w:lineRule="auto"/>
              <w:jc w:val="both"/>
              <w:rPr>
                <w:rFonts w:eastAsia="Times New Roman"/>
                <w:sz w:val="20"/>
                <w:szCs w:val="20"/>
              </w:rPr>
            </w:pPr>
            <w:r w:rsidRPr="000B6FD6">
              <w:rPr>
                <w:color w:val="000000"/>
                <w:sz w:val="20"/>
                <w:szCs w:val="20"/>
              </w:rPr>
              <w:t>5.59</w:t>
            </w:r>
          </w:p>
        </w:tc>
        <w:tc>
          <w:tcPr>
            <w:tcW w:w="600" w:type="dxa"/>
            <w:tcBorders>
              <w:top w:val="nil"/>
              <w:left w:val="single" w:sz="4" w:space="0" w:color="auto"/>
              <w:bottom w:val="nil"/>
              <w:right w:val="nil"/>
            </w:tcBorders>
            <w:shd w:val="clear" w:color="auto" w:fill="auto"/>
            <w:noWrap/>
            <w:vAlign w:val="center"/>
            <w:hideMark/>
          </w:tcPr>
          <w:p w14:paraId="463252F8" w14:textId="71EA7870" w:rsidR="001442A1"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13A5C8D7" w14:textId="77777777" w:rsidR="001442A1" w:rsidRPr="000B6FD6" w:rsidRDefault="001442A1"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5A16A44A" w14:textId="243F7A1E" w:rsidR="001442A1"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31A98FF6" w14:textId="77777777" w:rsidR="001442A1" w:rsidRPr="000B6FD6" w:rsidRDefault="001442A1"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5104AB7B" w14:textId="5B59A5F6" w:rsidR="001442A1"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3B3362BA" w14:textId="77777777" w:rsidR="001442A1" w:rsidRPr="000B6FD6" w:rsidRDefault="001442A1"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3D5F59A1" w14:textId="7C580D6D" w:rsidR="001442A1"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0DFE4A16" w14:textId="56CF6888" w:rsidR="001442A1" w:rsidRPr="000B6FD6" w:rsidRDefault="001442A1" w:rsidP="000B6FD6">
            <w:pPr>
              <w:tabs>
                <w:tab w:val="decimal" w:pos="208"/>
              </w:tabs>
              <w:spacing w:after="0" w:line="240" w:lineRule="auto"/>
              <w:jc w:val="both"/>
              <w:rPr>
                <w:rFonts w:eastAsia="Times New Roman"/>
                <w:sz w:val="20"/>
                <w:szCs w:val="20"/>
              </w:rPr>
            </w:pPr>
          </w:p>
        </w:tc>
      </w:tr>
      <w:tr w:rsidR="00200F95" w:rsidRPr="000B6FD6" w14:paraId="5E5CD181"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3F7CE57B" w14:textId="77777777" w:rsidR="00200F95" w:rsidRPr="000B6FD6" w:rsidRDefault="00200F95" w:rsidP="000B6FD6">
            <w:pPr>
              <w:spacing w:after="0" w:line="240" w:lineRule="auto"/>
              <w:jc w:val="both"/>
              <w:rPr>
                <w:rFonts w:eastAsia="Times New Roman"/>
                <w:sz w:val="20"/>
                <w:szCs w:val="20"/>
              </w:rPr>
            </w:pPr>
            <w:r w:rsidRPr="000B6FD6">
              <w:rPr>
                <w:rFonts w:eastAsia="Times New Roman"/>
                <w:sz w:val="20"/>
                <w:szCs w:val="20"/>
              </w:rPr>
              <w:t xml:space="preserve">      Black or other</w:t>
            </w:r>
          </w:p>
        </w:tc>
        <w:tc>
          <w:tcPr>
            <w:tcW w:w="564" w:type="dxa"/>
            <w:tcBorders>
              <w:top w:val="nil"/>
              <w:left w:val="single" w:sz="12" w:space="0" w:color="auto"/>
              <w:bottom w:val="nil"/>
              <w:right w:val="nil"/>
            </w:tcBorders>
            <w:shd w:val="clear" w:color="auto" w:fill="auto"/>
            <w:noWrap/>
            <w:vAlign w:val="bottom"/>
            <w:hideMark/>
          </w:tcPr>
          <w:p w14:paraId="357C7A1F" w14:textId="66C09EFA" w:rsidR="00200F95" w:rsidRPr="000B6FD6" w:rsidRDefault="00200F95" w:rsidP="000B6FD6">
            <w:pPr>
              <w:tabs>
                <w:tab w:val="decimal" w:pos="231"/>
              </w:tabs>
              <w:spacing w:after="0" w:line="240" w:lineRule="auto"/>
              <w:jc w:val="both"/>
              <w:rPr>
                <w:rFonts w:eastAsia="Times New Roman"/>
                <w:sz w:val="20"/>
                <w:szCs w:val="20"/>
              </w:rPr>
            </w:pPr>
            <w:r w:rsidRPr="000B6FD6">
              <w:rPr>
                <w:color w:val="000000"/>
                <w:sz w:val="20"/>
                <w:szCs w:val="20"/>
              </w:rPr>
              <w:t>0.38</w:t>
            </w:r>
          </w:p>
        </w:tc>
        <w:tc>
          <w:tcPr>
            <w:tcW w:w="660" w:type="dxa"/>
            <w:tcBorders>
              <w:top w:val="nil"/>
              <w:left w:val="nil"/>
              <w:bottom w:val="nil"/>
              <w:right w:val="single" w:sz="4" w:space="0" w:color="auto"/>
            </w:tcBorders>
            <w:shd w:val="clear" w:color="auto" w:fill="auto"/>
            <w:noWrap/>
            <w:vAlign w:val="bottom"/>
            <w:hideMark/>
          </w:tcPr>
          <w:p w14:paraId="0365DA52" w14:textId="3B56FEBA" w:rsidR="00200F95" w:rsidRPr="000B6FD6" w:rsidRDefault="00200F95" w:rsidP="000B6FD6">
            <w:pPr>
              <w:tabs>
                <w:tab w:val="decimal" w:pos="207"/>
              </w:tabs>
              <w:spacing w:after="0" w:line="240" w:lineRule="auto"/>
              <w:jc w:val="both"/>
              <w:rPr>
                <w:rFonts w:eastAsia="Times New Roman"/>
                <w:sz w:val="20"/>
                <w:szCs w:val="20"/>
              </w:rPr>
            </w:pPr>
            <w:r w:rsidRPr="000B6FD6">
              <w:rPr>
                <w:color w:val="000000"/>
                <w:sz w:val="20"/>
                <w:szCs w:val="20"/>
              </w:rPr>
              <w:t>1.65</w:t>
            </w:r>
          </w:p>
        </w:tc>
        <w:tc>
          <w:tcPr>
            <w:tcW w:w="564" w:type="dxa"/>
            <w:tcBorders>
              <w:top w:val="nil"/>
              <w:left w:val="nil"/>
              <w:bottom w:val="nil"/>
              <w:right w:val="nil"/>
            </w:tcBorders>
            <w:shd w:val="clear" w:color="auto" w:fill="auto"/>
            <w:noWrap/>
            <w:vAlign w:val="bottom"/>
            <w:hideMark/>
          </w:tcPr>
          <w:p w14:paraId="75753435" w14:textId="75E1CEEC" w:rsidR="00200F95" w:rsidRPr="000B6FD6" w:rsidRDefault="00200F95" w:rsidP="000B6FD6">
            <w:pPr>
              <w:tabs>
                <w:tab w:val="decimal" w:pos="180"/>
              </w:tabs>
              <w:spacing w:after="0" w:line="240" w:lineRule="auto"/>
              <w:jc w:val="both"/>
              <w:rPr>
                <w:rFonts w:eastAsia="Times New Roman"/>
                <w:sz w:val="20"/>
                <w:szCs w:val="20"/>
              </w:rPr>
            </w:pPr>
            <w:r w:rsidRPr="000B6FD6">
              <w:rPr>
                <w:color w:val="000000"/>
                <w:sz w:val="20"/>
                <w:szCs w:val="20"/>
              </w:rPr>
              <w:t>0.28</w:t>
            </w:r>
          </w:p>
        </w:tc>
        <w:tc>
          <w:tcPr>
            <w:tcW w:w="516" w:type="dxa"/>
            <w:tcBorders>
              <w:top w:val="nil"/>
              <w:left w:val="nil"/>
              <w:bottom w:val="nil"/>
              <w:right w:val="nil"/>
            </w:tcBorders>
            <w:shd w:val="clear" w:color="auto" w:fill="auto"/>
            <w:noWrap/>
            <w:vAlign w:val="bottom"/>
            <w:hideMark/>
          </w:tcPr>
          <w:p w14:paraId="2C60CCD7" w14:textId="1D30E41D" w:rsidR="00200F95" w:rsidRPr="000B6FD6" w:rsidRDefault="00200F95" w:rsidP="000B6FD6">
            <w:pPr>
              <w:tabs>
                <w:tab w:val="decimal" w:pos="243"/>
              </w:tabs>
              <w:spacing w:after="0" w:line="240" w:lineRule="auto"/>
              <w:jc w:val="both"/>
              <w:rPr>
                <w:rFonts w:eastAsia="Times New Roman"/>
                <w:sz w:val="20"/>
                <w:szCs w:val="20"/>
              </w:rPr>
            </w:pPr>
            <w:r w:rsidRPr="000B6FD6">
              <w:rPr>
                <w:color w:val="000000"/>
                <w:sz w:val="20"/>
                <w:szCs w:val="20"/>
              </w:rPr>
              <w:t>1.96</w:t>
            </w:r>
          </w:p>
        </w:tc>
        <w:tc>
          <w:tcPr>
            <w:tcW w:w="564" w:type="dxa"/>
            <w:tcBorders>
              <w:top w:val="nil"/>
              <w:left w:val="single" w:sz="4" w:space="0" w:color="auto"/>
              <w:bottom w:val="nil"/>
              <w:right w:val="nil"/>
            </w:tcBorders>
            <w:shd w:val="clear" w:color="auto" w:fill="auto"/>
            <w:noWrap/>
            <w:vAlign w:val="bottom"/>
            <w:hideMark/>
          </w:tcPr>
          <w:p w14:paraId="189F2A0D" w14:textId="26EFFFCD" w:rsidR="00200F95" w:rsidRPr="000B6FD6" w:rsidRDefault="00200F95" w:rsidP="000B6FD6">
            <w:pPr>
              <w:tabs>
                <w:tab w:val="decimal" w:pos="141"/>
              </w:tabs>
              <w:spacing w:after="0" w:line="240" w:lineRule="auto"/>
              <w:jc w:val="both"/>
              <w:rPr>
                <w:rFonts w:eastAsia="Times New Roman"/>
                <w:sz w:val="20"/>
                <w:szCs w:val="20"/>
              </w:rPr>
            </w:pPr>
            <w:r w:rsidRPr="000B6FD6">
              <w:rPr>
                <w:color w:val="000000"/>
                <w:sz w:val="20"/>
                <w:szCs w:val="20"/>
              </w:rPr>
              <w:t>-0.31</w:t>
            </w:r>
          </w:p>
        </w:tc>
        <w:tc>
          <w:tcPr>
            <w:tcW w:w="516" w:type="dxa"/>
            <w:tcBorders>
              <w:top w:val="nil"/>
              <w:left w:val="nil"/>
              <w:bottom w:val="nil"/>
              <w:right w:val="single" w:sz="4" w:space="0" w:color="auto"/>
            </w:tcBorders>
            <w:shd w:val="clear" w:color="auto" w:fill="auto"/>
            <w:noWrap/>
            <w:vAlign w:val="bottom"/>
            <w:hideMark/>
          </w:tcPr>
          <w:p w14:paraId="2D1CF550" w14:textId="74568F37" w:rsidR="00200F95" w:rsidRPr="000B6FD6" w:rsidRDefault="00200F95" w:rsidP="000B6FD6">
            <w:pPr>
              <w:tabs>
                <w:tab w:val="decimal" w:pos="120"/>
              </w:tabs>
              <w:spacing w:after="0" w:line="240" w:lineRule="auto"/>
              <w:jc w:val="both"/>
              <w:rPr>
                <w:rFonts w:eastAsia="Times New Roman"/>
                <w:sz w:val="20"/>
                <w:szCs w:val="20"/>
              </w:rPr>
            </w:pPr>
            <w:r w:rsidRPr="000B6FD6">
              <w:rPr>
                <w:color w:val="000000"/>
                <w:sz w:val="20"/>
                <w:szCs w:val="20"/>
              </w:rPr>
              <w:t>-2.32</w:t>
            </w:r>
          </w:p>
        </w:tc>
        <w:tc>
          <w:tcPr>
            <w:tcW w:w="610" w:type="dxa"/>
            <w:tcBorders>
              <w:top w:val="nil"/>
              <w:left w:val="nil"/>
              <w:bottom w:val="nil"/>
              <w:right w:val="nil"/>
            </w:tcBorders>
            <w:shd w:val="clear" w:color="auto" w:fill="auto"/>
            <w:noWrap/>
            <w:vAlign w:val="center"/>
            <w:hideMark/>
          </w:tcPr>
          <w:p w14:paraId="4AFBC791" w14:textId="0E0D4A71" w:rsidR="00200F95"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3823E6C9" w14:textId="77777777" w:rsidR="00200F95" w:rsidRPr="000B6FD6" w:rsidRDefault="00200F95"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54597014" w14:textId="6E08DDE0" w:rsidR="00200F95" w:rsidRPr="000B6FD6" w:rsidRDefault="00200F95" w:rsidP="000B6FD6">
            <w:pPr>
              <w:tabs>
                <w:tab w:val="decimal" w:pos="197"/>
              </w:tabs>
              <w:spacing w:after="0" w:line="240" w:lineRule="auto"/>
              <w:jc w:val="both"/>
              <w:rPr>
                <w:rFonts w:eastAsia="Times New Roman"/>
                <w:sz w:val="20"/>
                <w:szCs w:val="20"/>
              </w:rPr>
            </w:pPr>
            <w:r w:rsidRPr="000B6FD6">
              <w:rPr>
                <w:color w:val="000000"/>
                <w:sz w:val="20"/>
                <w:szCs w:val="20"/>
              </w:rPr>
              <w:t>0.26</w:t>
            </w:r>
          </w:p>
        </w:tc>
        <w:tc>
          <w:tcPr>
            <w:tcW w:w="586" w:type="dxa"/>
            <w:tcBorders>
              <w:top w:val="nil"/>
              <w:left w:val="nil"/>
              <w:bottom w:val="nil"/>
              <w:right w:val="single" w:sz="4" w:space="0" w:color="auto"/>
            </w:tcBorders>
            <w:shd w:val="clear" w:color="auto" w:fill="auto"/>
            <w:noWrap/>
            <w:vAlign w:val="bottom"/>
            <w:hideMark/>
          </w:tcPr>
          <w:p w14:paraId="062D9EEA" w14:textId="3500508D" w:rsidR="00200F95" w:rsidRPr="000B6FD6" w:rsidRDefault="00200F95" w:rsidP="000B6FD6">
            <w:pPr>
              <w:tabs>
                <w:tab w:val="decimal" w:pos="247"/>
              </w:tabs>
              <w:spacing w:after="0" w:line="240" w:lineRule="auto"/>
              <w:jc w:val="both"/>
              <w:rPr>
                <w:rFonts w:eastAsia="Times New Roman"/>
                <w:sz w:val="20"/>
                <w:szCs w:val="20"/>
              </w:rPr>
            </w:pPr>
            <w:r w:rsidRPr="000B6FD6">
              <w:rPr>
                <w:color w:val="000000"/>
                <w:sz w:val="20"/>
                <w:szCs w:val="20"/>
              </w:rPr>
              <w:t>2.69</w:t>
            </w:r>
          </w:p>
        </w:tc>
        <w:tc>
          <w:tcPr>
            <w:tcW w:w="580" w:type="dxa"/>
            <w:tcBorders>
              <w:top w:val="nil"/>
              <w:left w:val="nil"/>
              <w:bottom w:val="nil"/>
              <w:right w:val="nil"/>
            </w:tcBorders>
            <w:shd w:val="clear" w:color="auto" w:fill="auto"/>
            <w:noWrap/>
            <w:vAlign w:val="center"/>
            <w:hideMark/>
          </w:tcPr>
          <w:p w14:paraId="1F361CD9" w14:textId="52B6B808" w:rsidR="00200F95"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79FD8041" w14:textId="77777777" w:rsidR="00200F95" w:rsidRPr="000B6FD6" w:rsidRDefault="00200F95"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D2E2C23" w14:textId="3CFE3079" w:rsidR="00200F95"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3F5FEB32" w14:textId="77777777" w:rsidR="00200F95" w:rsidRPr="000B6FD6" w:rsidRDefault="00200F95"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bottom"/>
            <w:hideMark/>
          </w:tcPr>
          <w:p w14:paraId="5DCEA4A5" w14:textId="18B4311F" w:rsidR="00200F95" w:rsidRPr="000B6FD6" w:rsidRDefault="00200F95" w:rsidP="000B6FD6">
            <w:pPr>
              <w:tabs>
                <w:tab w:val="decimal" w:pos="210"/>
              </w:tabs>
              <w:spacing w:after="0" w:line="240" w:lineRule="auto"/>
              <w:jc w:val="both"/>
              <w:rPr>
                <w:rFonts w:eastAsia="Times New Roman"/>
                <w:sz w:val="20"/>
                <w:szCs w:val="20"/>
              </w:rPr>
            </w:pPr>
            <w:r w:rsidRPr="000B6FD6">
              <w:rPr>
                <w:color w:val="000000"/>
                <w:sz w:val="20"/>
                <w:szCs w:val="20"/>
              </w:rPr>
              <w:t>-0.44</w:t>
            </w:r>
          </w:p>
        </w:tc>
        <w:tc>
          <w:tcPr>
            <w:tcW w:w="500" w:type="dxa"/>
            <w:tcBorders>
              <w:top w:val="nil"/>
              <w:left w:val="nil"/>
              <w:bottom w:val="nil"/>
              <w:right w:val="nil"/>
            </w:tcBorders>
            <w:shd w:val="clear" w:color="auto" w:fill="auto"/>
            <w:noWrap/>
            <w:vAlign w:val="bottom"/>
            <w:hideMark/>
          </w:tcPr>
          <w:p w14:paraId="5B8F32B8" w14:textId="0443E643" w:rsidR="00200F95" w:rsidRPr="000B6FD6" w:rsidRDefault="00200F95" w:rsidP="000B6FD6">
            <w:pPr>
              <w:tabs>
                <w:tab w:val="decimal" w:pos="151"/>
              </w:tabs>
              <w:spacing w:after="0" w:line="240" w:lineRule="auto"/>
              <w:jc w:val="both"/>
              <w:rPr>
                <w:rFonts w:eastAsia="Times New Roman"/>
                <w:sz w:val="20"/>
                <w:szCs w:val="20"/>
              </w:rPr>
            </w:pPr>
            <w:r w:rsidRPr="000B6FD6">
              <w:rPr>
                <w:color w:val="000000"/>
                <w:sz w:val="20"/>
                <w:szCs w:val="20"/>
              </w:rPr>
              <w:t>-5.27</w:t>
            </w:r>
          </w:p>
        </w:tc>
        <w:tc>
          <w:tcPr>
            <w:tcW w:w="580" w:type="dxa"/>
            <w:tcBorders>
              <w:top w:val="nil"/>
              <w:left w:val="single" w:sz="4" w:space="0" w:color="auto"/>
              <w:bottom w:val="nil"/>
              <w:right w:val="nil"/>
            </w:tcBorders>
            <w:shd w:val="clear" w:color="auto" w:fill="auto"/>
            <w:noWrap/>
            <w:vAlign w:val="bottom"/>
            <w:hideMark/>
          </w:tcPr>
          <w:p w14:paraId="1F99A273" w14:textId="76B24C96" w:rsidR="00200F95" w:rsidRPr="000B6FD6" w:rsidRDefault="00200F95" w:rsidP="000B6FD6">
            <w:pPr>
              <w:tabs>
                <w:tab w:val="decimal" w:pos="191"/>
              </w:tabs>
              <w:spacing w:after="0" w:line="240" w:lineRule="auto"/>
              <w:jc w:val="both"/>
              <w:rPr>
                <w:rFonts w:eastAsia="Times New Roman"/>
                <w:sz w:val="20"/>
                <w:szCs w:val="20"/>
              </w:rPr>
            </w:pPr>
            <w:r w:rsidRPr="000B6FD6">
              <w:rPr>
                <w:color w:val="000000"/>
                <w:sz w:val="20"/>
                <w:szCs w:val="20"/>
              </w:rPr>
              <w:t>0.33</w:t>
            </w:r>
          </w:p>
        </w:tc>
        <w:tc>
          <w:tcPr>
            <w:tcW w:w="520" w:type="dxa"/>
            <w:tcBorders>
              <w:top w:val="nil"/>
              <w:left w:val="nil"/>
              <w:bottom w:val="nil"/>
              <w:right w:val="single" w:sz="4" w:space="0" w:color="auto"/>
            </w:tcBorders>
            <w:shd w:val="clear" w:color="auto" w:fill="auto"/>
            <w:noWrap/>
            <w:vAlign w:val="bottom"/>
            <w:hideMark/>
          </w:tcPr>
          <w:p w14:paraId="63F9D4F1" w14:textId="4182F062" w:rsidR="00200F95" w:rsidRPr="000B6FD6" w:rsidRDefault="00200F95" w:rsidP="000B6FD6">
            <w:pPr>
              <w:tabs>
                <w:tab w:val="decimal" w:pos="239"/>
              </w:tabs>
              <w:spacing w:after="0" w:line="240" w:lineRule="auto"/>
              <w:jc w:val="both"/>
              <w:rPr>
                <w:rFonts w:eastAsia="Times New Roman"/>
                <w:sz w:val="20"/>
                <w:szCs w:val="20"/>
              </w:rPr>
            </w:pPr>
            <w:r w:rsidRPr="000B6FD6">
              <w:rPr>
                <w:color w:val="000000"/>
                <w:sz w:val="20"/>
                <w:szCs w:val="20"/>
              </w:rPr>
              <w:t>3.60</w:t>
            </w:r>
          </w:p>
        </w:tc>
        <w:tc>
          <w:tcPr>
            <w:tcW w:w="564" w:type="dxa"/>
            <w:tcBorders>
              <w:top w:val="nil"/>
              <w:left w:val="nil"/>
              <w:bottom w:val="nil"/>
              <w:right w:val="nil"/>
            </w:tcBorders>
            <w:shd w:val="clear" w:color="auto" w:fill="auto"/>
            <w:noWrap/>
            <w:vAlign w:val="center"/>
          </w:tcPr>
          <w:p w14:paraId="026B001D" w14:textId="6975D93F" w:rsidR="00200F95"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5DF014DA" w14:textId="4945AE9F" w:rsidR="00200F95" w:rsidRPr="000B6FD6" w:rsidRDefault="00200F95" w:rsidP="000B6FD6">
            <w:pPr>
              <w:tabs>
                <w:tab w:val="decimal" w:pos="208"/>
              </w:tabs>
              <w:spacing w:after="0" w:line="240" w:lineRule="auto"/>
              <w:jc w:val="both"/>
              <w:rPr>
                <w:rFonts w:eastAsia="Times New Roman"/>
                <w:sz w:val="20"/>
                <w:szCs w:val="20"/>
              </w:rPr>
            </w:pPr>
          </w:p>
        </w:tc>
      </w:tr>
      <w:tr w:rsidR="00584169" w:rsidRPr="000B6FD6" w14:paraId="31467CFF"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29DE1855"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Ethnicity (not Hispanic)</w:t>
            </w:r>
          </w:p>
        </w:tc>
        <w:tc>
          <w:tcPr>
            <w:tcW w:w="564" w:type="dxa"/>
            <w:tcBorders>
              <w:top w:val="nil"/>
              <w:left w:val="single" w:sz="12" w:space="0" w:color="auto"/>
              <w:bottom w:val="nil"/>
              <w:right w:val="nil"/>
            </w:tcBorders>
            <w:shd w:val="clear" w:color="auto" w:fill="auto"/>
            <w:noWrap/>
            <w:vAlign w:val="center"/>
            <w:hideMark/>
          </w:tcPr>
          <w:p w14:paraId="48583FE2" w14:textId="77777777" w:rsidR="00584169" w:rsidRPr="000B6FD6" w:rsidRDefault="00584169" w:rsidP="000B6FD6">
            <w:pPr>
              <w:tabs>
                <w:tab w:val="decimal" w:pos="231"/>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7C97941E"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5E1A4CFD" w14:textId="77777777" w:rsidR="00584169" w:rsidRPr="000B6FD6" w:rsidRDefault="00584169" w:rsidP="000B6FD6">
            <w:pPr>
              <w:tabs>
                <w:tab w:val="decimal" w:pos="180"/>
              </w:tabs>
              <w:spacing w:after="0" w:line="240" w:lineRule="auto"/>
              <w:jc w:val="both"/>
              <w:rPr>
                <w:rFonts w:eastAsia="Times New Roman"/>
                <w:sz w:val="20"/>
                <w:szCs w:val="20"/>
              </w:rPr>
            </w:pPr>
          </w:p>
        </w:tc>
        <w:tc>
          <w:tcPr>
            <w:tcW w:w="516" w:type="dxa"/>
            <w:tcBorders>
              <w:top w:val="nil"/>
              <w:left w:val="nil"/>
              <w:bottom w:val="nil"/>
              <w:right w:val="nil"/>
            </w:tcBorders>
            <w:shd w:val="clear" w:color="auto" w:fill="auto"/>
            <w:noWrap/>
            <w:vAlign w:val="center"/>
            <w:hideMark/>
          </w:tcPr>
          <w:p w14:paraId="32087D1F"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0AB4E7BB"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16" w:type="dxa"/>
            <w:tcBorders>
              <w:top w:val="nil"/>
              <w:left w:val="nil"/>
              <w:bottom w:val="nil"/>
              <w:right w:val="single" w:sz="4" w:space="0" w:color="auto"/>
            </w:tcBorders>
            <w:shd w:val="clear" w:color="auto" w:fill="auto"/>
            <w:noWrap/>
            <w:vAlign w:val="center"/>
            <w:hideMark/>
          </w:tcPr>
          <w:p w14:paraId="592A9FC3" w14:textId="77777777" w:rsidR="00584169" w:rsidRPr="000B6FD6" w:rsidRDefault="00584169"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533FE9D5" w14:textId="77777777" w:rsidR="00584169" w:rsidRPr="000B6FD6" w:rsidRDefault="00584169" w:rsidP="000B6FD6">
            <w:pPr>
              <w:tabs>
                <w:tab w:val="decimal" w:pos="141"/>
              </w:tabs>
              <w:spacing w:after="0" w:line="240" w:lineRule="auto"/>
              <w:jc w:val="both"/>
              <w:rPr>
                <w:rFonts w:eastAsia="Times New Roman"/>
                <w:sz w:val="20"/>
                <w:szCs w:val="20"/>
              </w:rPr>
            </w:pPr>
          </w:p>
        </w:tc>
        <w:tc>
          <w:tcPr>
            <w:tcW w:w="508" w:type="dxa"/>
            <w:tcBorders>
              <w:top w:val="nil"/>
              <w:left w:val="nil"/>
              <w:bottom w:val="nil"/>
              <w:right w:val="nil"/>
            </w:tcBorders>
            <w:shd w:val="clear" w:color="auto" w:fill="auto"/>
            <w:noWrap/>
            <w:vAlign w:val="center"/>
            <w:hideMark/>
          </w:tcPr>
          <w:p w14:paraId="55FA8318"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06840D15"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12F69E8C" w14:textId="77777777" w:rsidR="00584169" w:rsidRPr="000B6FD6" w:rsidRDefault="0058416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1A2D1204"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4E18DCEC"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2AE02FCA" w14:textId="77777777"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single" w:sz="4" w:space="0" w:color="auto"/>
            </w:tcBorders>
            <w:shd w:val="clear" w:color="auto" w:fill="auto"/>
            <w:noWrap/>
            <w:vAlign w:val="center"/>
            <w:hideMark/>
          </w:tcPr>
          <w:p w14:paraId="75961AFE"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1A966E79"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center"/>
            <w:hideMark/>
          </w:tcPr>
          <w:p w14:paraId="1818D686"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0BEA9FDC"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4" w:space="0" w:color="auto"/>
            </w:tcBorders>
            <w:shd w:val="clear" w:color="auto" w:fill="auto"/>
            <w:noWrap/>
            <w:vAlign w:val="center"/>
            <w:hideMark/>
          </w:tcPr>
          <w:p w14:paraId="430371D8"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76334AC6" w14:textId="6833706B" w:rsidR="00584169" w:rsidRPr="000B6FD6" w:rsidRDefault="00584169" w:rsidP="000B6FD6">
            <w:pPr>
              <w:tabs>
                <w:tab w:val="decimal" w:pos="232"/>
              </w:tabs>
              <w:spacing w:after="0" w:line="240" w:lineRule="auto"/>
              <w:jc w:val="both"/>
              <w:rPr>
                <w:rFonts w:eastAsia="Times New Roman"/>
                <w:sz w:val="20"/>
                <w:szCs w:val="20"/>
              </w:rPr>
            </w:pPr>
          </w:p>
        </w:tc>
        <w:tc>
          <w:tcPr>
            <w:tcW w:w="508" w:type="dxa"/>
            <w:tcBorders>
              <w:top w:val="nil"/>
              <w:left w:val="nil"/>
              <w:bottom w:val="nil"/>
              <w:right w:val="single" w:sz="12" w:space="0" w:color="auto"/>
            </w:tcBorders>
            <w:shd w:val="clear" w:color="auto" w:fill="auto"/>
            <w:noWrap/>
            <w:vAlign w:val="center"/>
          </w:tcPr>
          <w:p w14:paraId="28C88FEF" w14:textId="363346E4" w:rsidR="00584169" w:rsidRPr="000B6FD6" w:rsidRDefault="00584169" w:rsidP="000B6FD6">
            <w:pPr>
              <w:tabs>
                <w:tab w:val="decimal" w:pos="208"/>
              </w:tabs>
              <w:spacing w:after="0" w:line="240" w:lineRule="auto"/>
              <w:jc w:val="both"/>
              <w:rPr>
                <w:rFonts w:eastAsia="Times New Roman"/>
                <w:sz w:val="20"/>
                <w:szCs w:val="20"/>
              </w:rPr>
            </w:pPr>
          </w:p>
        </w:tc>
      </w:tr>
      <w:tr w:rsidR="004276EC" w:rsidRPr="000B6FD6" w14:paraId="30766E70"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78360CD0" w14:textId="0203096F" w:rsidR="004276EC" w:rsidRPr="000B6FD6" w:rsidRDefault="004276EC"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Hispanic</w:t>
            </w:r>
          </w:p>
        </w:tc>
        <w:tc>
          <w:tcPr>
            <w:tcW w:w="564" w:type="dxa"/>
            <w:tcBorders>
              <w:top w:val="nil"/>
              <w:left w:val="single" w:sz="12" w:space="0" w:color="auto"/>
              <w:bottom w:val="nil"/>
              <w:right w:val="nil"/>
            </w:tcBorders>
            <w:shd w:val="clear" w:color="auto" w:fill="auto"/>
            <w:noWrap/>
            <w:vAlign w:val="bottom"/>
            <w:hideMark/>
          </w:tcPr>
          <w:p w14:paraId="4C968105" w14:textId="44916657" w:rsidR="004276EC" w:rsidRPr="000B6FD6" w:rsidRDefault="004276EC" w:rsidP="000B6FD6">
            <w:pPr>
              <w:tabs>
                <w:tab w:val="decimal" w:pos="231"/>
              </w:tabs>
              <w:spacing w:after="0" w:line="240" w:lineRule="auto"/>
              <w:jc w:val="both"/>
              <w:rPr>
                <w:rFonts w:eastAsia="Times New Roman"/>
                <w:sz w:val="20"/>
                <w:szCs w:val="20"/>
              </w:rPr>
            </w:pPr>
            <w:r w:rsidRPr="000B6FD6">
              <w:rPr>
                <w:color w:val="000000"/>
                <w:sz w:val="20"/>
                <w:szCs w:val="20"/>
              </w:rPr>
              <w:t>0.39</w:t>
            </w:r>
          </w:p>
        </w:tc>
        <w:tc>
          <w:tcPr>
            <w:tcW w:w="660" w:type="dxa"/>
            <w:tcBorders>
              <w:top w:val="nil"/>
              <w:left w:val="nil"/>
              <w:bottom w:val="nil"/>
              <w:right w:val="single" w:sz="4" w:space="0" w:color="auto"/>
            </w:tcBorders>
            <w:shd w:val="clear" w:color="auto" w:fill="auto"/>
            <w:noWrap/>
            <w:vAlign w:val="bottom"/>
            <w:hideMark/>
          </w:tcPr>
          <w:p w14:paraId="44E08797" w14:textId="1529E305" w:rsidR="004276EC" w:rsidRPr="000B6FD6" w:rsidRDefault="004276EC" w:rsidP="000B6FD6">
            <w:pPr>
              <w:tabs>
                <w:tab w:val="decimal" w:pos="207"/>
              </w:tabs>
              <w:spacing w:after="0" w:line="240" w:lineRule="auto"/>
              <w:jc w:val="both"/>
              <w:rPr>
                <w:rFonts w:eastAsia="Times New Roman"/>
                <w:sz w:val="20"/>
                <w:szCs w:val="20"/>
              </w:rPr>
            </w:pPr>
            <w:r w:rsidRPr="000B6FD6">
              <w:rPr>
                <w:color w:val="000000"/>
                <w:sz w:val="20"/>
                <w:szCs w:val="20"/>
              </w:rPr>
              <w:t>1.57</w:t>
            </w:r>
          </w:p>
        </w:tc>
        <w:tc>
          <w:tcPr>
            <w:tcW w:w="564" w:type="dxa"/>
            <w:tcBorders>
              <w:top w:val="nil"/>
              <w:left w:val="nil"/>
              <w:bottom w:val="nil"/>
              <w:right w:val="nil"/>
            </w:tcBorders>
            <w:shd w:val="clear" w:color="auto" w:fill="auto"/>
            <w:noWrap/>
            <w:vAlign w:val="center"/>
            <w:hideMark/>
          </w:tcPr>
          <w:p w14:paraId="74BE7F79" w14:textId="20ADC32A" w:rsidR="004276EC"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4B2D3A12" w14:textId="77777777" w:rsidR="004276EC" w:rsidRPr="000B6FD6" w:rsidRDefault="004276EC"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21199AC9" w14:textId="2BCB2838"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6E53C71E" w14:textId="77777777" w:rsidR="004276EC" w:rsidRPr="000B6FD6" w:rsidRDefault="004276EC"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1F0AA949" w14:textId="32F89901"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770D11D5" w14:textId="77777777" w:rsidR="004276EC" w:rsidRPr="000B6FD6" w:rsidRDefault="004276EC"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4B72210C" w14:textId="5EC30384" w:rsidR="004276EC" w:rsidRPr="000B6FD6" w:rsidRDefault="004276EC" w:rsidP="000B6FD6">
            <w:pPr>
              <w:tabs>
                <w:tab w:val="decimal" w:pos="197"/>
              </w:tabs>
              <w:spacing w:after="0" w:line="240" w:lineRule="auto"/>
              <w:jc w:val="both"/>
              <w:rPr>
                <w:rFonts w:eastAsia="Times New Roman"/>
                <w:sz w:val="20"/>
                <w:szCs w:val="20"/>
              </w:rPr>
            </w:pPr>
            <w:r w:rsidRPr="000B6FD6">
              <w:rPr>
                <w:color w:val="000000"/>
                <w:sz w:val="20"/>
                <w:szCs w:val="20"/>
              </w:rPr>
              <w:t>0.45</w:t>
            </w:r>
          </w:p>
        </w:tc>
        <w:tc>
          <w:tcPr>
            <w:tcW w:w="586" w:type="dxa"/>
            <w:tcBorders>
              <w:top w:val="nil"/>
              <w:left w:val="nil"/>
              <w:bottom w:val="nil"/>
              <w:right w:val="single" w:sz="4" w:space="0" w:color="auto"/>
            </w:tcBorders>
            <w:shd w:val="clear" w:color="auto" w:fill="auto"/>
            <w:noWrap/>
            <w:vAlign w:val="bottom"/>
            <w:hideMark/>
          </w:tcPr>
          <w:p w14:paraId="746AAF2F" w14:textId="6F95A37F" w:rsidR="004276EC" w:rsidRPr="000B6FD6" w:rsidRDefault="004276EC" w:rsidP="000B6FD6">
            <w:pPr>
              <w:tabs>
                <w:tab w:val="decimal" w:pos="247"/>
              </w:tabs>
              <w:spacing w:after="0" w:line="240" w:lineRule="auto"/>
              <w:jc w:val="both"/>
              <w:rPr>
                <w:rFonts w:eastAsia="Times New Roman"/>
                <w:sz w:val="20"/>
                <w:szCs w:val="20"/>
              </w:rPr>
            </w:pPr>
            <w:r w:rsidRPr="000B6FD6">
              <w:rPr>
                <w:color w:val="000000"/>
                <w:sz w:val="20"/>
                <w:szCs w:val="20"/>
              </w:rPr>
              <w:t>3.86</w:t>
            </w:r>
          </w:p>
        </w:tc>
        <w:tc>
          <w:tcPr>
            <w:tcW w:w="580" w:type="dxa"/>
            <w:tcBorders>
              <w:top w:val="nil"/>
              <w:left w:val="nil"/>
              <w:bottom w:val="nil"/>
              <w:right w:val="nil"/>
            </w:tcBorders>
            <w:shd w:val="clear" w:color="auto" w:fill="auto"/>
            <w:noWrap/>
            <w:vAlign w:val="center"/>
          </w:tcPr>
          <w:p w14:paraId="3BCF9882" w14:textId="0023588E" w:rsidR="004276EC"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tcPr>
          <w:p w14:paraId="261A8593" w14:textId="34086338" w:rsidR="004276EC" w:rsidRPr="000B6FD6" w:rsidRDefault="004276EC"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628323C7" w14:textId="14A5F03E" w:rsidR="004276EC"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5C007F27" w14:textId="77777777" w:rsidR="004276EC" w:rsidRPr="000B6FD6" w:rsidRDefault="004276EC"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1A1AF0A8" w14:textId="4D44DA76" w:rsidR="004276EC"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168F2FAE" w14:textId="77777777" w:rsidR="004276EC" w:rsidRPr="000B6FD6" w:rsidRDefault="004276EC"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tcPr>
          <w:p w14:paraId="0E24E71A" w14:textId="075D1950" w:rsidR="004276EC"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tcPr>
          <w:p w14:paraId="38C28F76" w14:textId="56A8901E" w:rsidR="004276EC" w:rsidRPr="000B6FD6" w:rsidRDefault="004276EC" w:rsidP="000B6FD6">
            <w:pPr>
              <w:tabs>
                <w:tab w:val="decimal" w:pos="239"/>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bottom"/>
          </w:tcPr>
          <w:p w14:paraId="1B06727E" w14:textId="62737642" w:rsidR="004276EC"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bottom"/>
          </w:tcPr>
          <w:p w14:paraId="61631055" w14:textId="186C9FAD" w:rsidR="004276EC" w:rsidRPr="000B6FD6" w:rsidRDefault="004276EC" w:rsidP="000B6FD6">
            <w:pPr>
              <w:tabs>
                <w:tab w:val="decimal" w:pos="208"/>
              </w:tabs>
              <w:spacing w:after="0" w:line="240" w:lineRule="auto"/>
              <w:jc w:val="both"/>
              <w:rPr>
                <w:rFonts w:eastAsia="Times New Roman"/>
                <w:sz w:val="20"/>
                <w:szCs w:val="20"/>
              </w:rPr>
            </w:pPr>
          </w:p>
        </w:tc>
      </w:tr>
      <w:tr w:rsidR="00584169" w:rsidRPr="000B6FD6" w14:paraId="5CA00400"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4A778532" w14:textId="6388A76B"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 xml:space="preserve">Number of </w:t>
            </w:r>
            <w:r w:rsidR="00AA384C" w:rsidRPr="000B6FD6">
              <w:rPr>
                <w:rFonts w:eastAsia="Times New Roman"/>
                <w:sz w:val="20"/>
                <w:szCs w:val="20"/>
              </w:rPr>
              <w:t xml:space="preserve">Motorized </w:t>
            </w:r>
            <w:r w:rsidRPr="000B6FD6">
              <w:rPr>
                <w:rFonts w:eastAsia="Times New Roman"/>
                <w:sz w:val="20"/>
                <w:szCs w:val="20"/>
              </w:rPr>
              <w:t>Vehicles</w:t>
            </w:r>
          </w:p>
        </w:tc>
        <w:tc>
          <w:tcPr>
            <w:tcW w:w="564" w:type="dxa"/>
            <w:tcBorders>
              <w:top w:val="nil"/>
              <w:left w:val="single" w:sz="12" w:space="0" w:color="auto"/>
              <w:bottom w:val="nil"/>
              <w:right w:val="nil"/>
            </w:tcBorders>
            <w:shd w:val="clear" w:color="auto" w:fill="auto"/>
            <w:noWrap/>
            <w:vAlign w:val="center"/>
            <w:hideMark/>
          </w:tcPr>
          <w:p w14:paraId="663DA614" w14:textId="77777777" w:rsidR="00584169" w:rsidRPr="000B6FD6" w:rsidRDefault="00584169" w:rsidP="000B6FD6">
            <w:pPr>
              <w:tabs>
                <w:tab w:val="decimal" w:pos="231"/>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66194214"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7208D9EC" w14:textId="77777777" w:rsidR="00584169" w:rsidRPr="000B6FD6" w:rsidRDefault="00584169" w:rsidP="00A503D7">
            <w:pPr>
              <w:tabs>
                <w:tab w:val="decimal" w:pos="180"/>
              </w:tabs>
              <w:spacing w:after="0" w:line="240" w:lineRule="auto"/>
              <w:jc w:val="center"/>
              <w:rPr>
                <w:rFonts w:eastAsia="Times New Roman"/>
                <w:sz w:val="20"/>
                <w:szCs w:val="20"/>
              </w:rPr>
            </w:pPr>
          </w:p>
        </w:tc>
        <w:tc>
          <w:tcPr>
            <w:tcW w:w="516" w:type="dxa"/>
            <w:tcBorders>
              <w:top w:val="nil"/>
              <w:left w:val="nil"/>
              <w:bottom w:val="nil"/>
              <w:right w:val="nil"/>
            </w:tcBorders>
            <w:shd w:val="clear" w:color="auto" w:fill="auto"/>
            <w:noWrap/>
            <w:vAlign w:val="center"/>
            <w:hideMark/>
          </w:tcPr>
          <w:p w14:paraId="589D18B6"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1DC9E033"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16" w:type="dxa"/>
            <w:tcBorders>
              <w:top w:val="nil"/>
              <w:left w:val="nil"/>
              <w:bottom w:val="nil"/>
              <w:right w:val="single" w:sz="4" w:space="0" w:color="auto"/>
            </w:tcBorders>
            <w:shd w:val="clear" w:color="auto" w:fill="auto"/>
            <w:noWrap/>
            <w:vAlign w:val="center"/>
            <w:hideMark/>
          </w:tcPr>
          <w:p w14:paraId="64AAD573" w14:textId="77777777" w:rsidR="00584169" w:rsidRPr="000B6FD6" w:rsidRDefault="00584169"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08CB7D37" w14:textId="77777777" w:rsidR="00584169" w:rsidRPr="000B6FD6" w:rsidRDefault="00584169" w:rsidP="00A503D7">
            <w:pPr>
              <w:tabs>
                <w:tab w:val="decimal" w:pos="141"/>
              </w:tabs>
              <w:spacing w:after="0" w:line="240" w:lineRule="auto"/>
              <w:jc w:val="center"/>
              <w:rPr>
                <w:rFonts w:eastAsia="Times New Roman"/>
                <w:sz w:val="20"/>
                <w:szCs w:val="20"/>
              </w:rPr>
            </w:pPr>
          </w:p>
        </w:tc>
        <w:tc>
          <w:tcPr>
            <w:tcW w:w="508" w:type="dxa"/>
            <w:tcBorders>
              <w:top w:val="nil"/>
              <w:left w:val="nil"/>
              <w:bottom w:val="nil"/>
              <w:right w:val="nil"/>
            </w:tcBorders>
            <w:shd w:val="clear" w:color="auto" w:fill="auto"/>
            <w:noWrap/>
            <w:vAlign w:val="center"/>
            <w:hideMark/>
          </w:tcPr>
          <w:p w14:paraId="018F51B2"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723DBB4E"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45478E88" w14:textId="77777777" w:rsidR="00584169" w:rsidRPr="000B6FD6" w:rsidRDefault="0058416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6533CBB3"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0F1A7922"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5A5BE6F" w14:textId="77777777"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single" w:sz="4" w:space="0" w:color="auto"/>
            </w:tcBorders>
            <w:shd w:val="clear" w:color="auto" w:fill="auto"/>
            <w:noWrap/>
            <w:vAlign w:val="center"/>
            <w:hideMark/>
          </w:tcPr>
          <w:p w14:paraId="42875AD3"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5DB43AD3"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center"/>
            <w:hideMark/>
          </w:tcPr>
          <w:p w14:paraId="66419940"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7DA11BF7"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4" w:space="0" w:color="auto"/>
            </w:tcBorders>
            <w:shd w:val="clear" w:color="auto" w:fill="auto"/>
            <w:noWrap/>
            <w:vAlign w:val="center"/>
            <w:hideMark/>
          </w:tcPr>
          <w:p w14:paraId="28BACC44"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213B1828" w14:textId="517E7C3C" w:rsidR="00584169" w:rsidRPr="000B6FD6" w:rsidRDefault="00584169" w:rsidP="000B6FD6">
            <w:pPr>
              <w:tabs>
                <w:tab w:val="decimal" w:pos="232"/>
              </w:tabs>
              <w:spacing w:after="0" w:line="240" w:lineRule="auto"/>
              <w:jc w:val="both"/>
              <w:rPr>
                <w:rFonts w:eastAsia="Times New Roman"/>
                <w:sz w:val="20"/>
                <w:szCs w:val="20"/>
              </w:rPr>
            </w:pPr>
          </w:p>
        </w:tc>
        <w:tc>
          <w:tcPr>
            <w:tcW w:w="508" w:type="dxa"/>
            <w:tcBorders>
              <w:top w:val="nil"/>
              <w:left w:val="nil"/>
              <w:bottom w:val="nil"/>
              <w:right w:val="single" w:sz="12" w:space="0" w:color="auto"/>
            </w:tcBorders>
            <w:shd w:val="clear" w:color="auto" w:fill="auto"/>
            <w:noWrap/>
            <w:vAlign w:val="center"/>
          </w:tcPr>
          <w:p w14:paraId="731A8CFF" w14:textId="34C3AADC" w:rsidR="00584169" w:rsidRPr="000B6FD6" w:rsidRDefault="00584169" w:rsidP="000B6FD6">
            <w:pPr>
              <w:tabs>
                <w:tab w:val="decimal" w:pos="208"/>
              </w:tabs>
              <w:spacing w:after="0" w:line="240" w:lineRule="auto"/>
              <w:jc w:val="both"/>
              <w:rPr>
                <w:rFonts w:eastAsia="Times New Roman"/>
                <w:sz w:val="20"/>
                <w:szCs w:val="20"/>
              </w:rPr>
            </w:pPr>
          </w:p>
        </w:tc>
      </w:tr>
      <w:tr w:rsidR="00433C2E" w:rsidRPr="000B6FD6" w14:paraId="10D109E6"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01C66D76" w14:textId="57088CB3" w:rsidR="00433C2E" w:rsidRPr="000B6FD6" w:rsidRDefault="00433C2E"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1</w:t>
            </w:r>
          </w:p>
        </w:tc>
        <w:tc>
          <w:tcPr>
            <w:tcW w:w="564" w:type="dxa"/>
            <w:tcBorders>
              <w:top w:val="nil"/>
              <w:left w:val="single" w:sz="12" w:space="0" w:color="auto"/>
              <w:bottom w:val="nil"/>
              <w:right w:val="nil"/>
            </w:tcBorders>
            <w:shd w:val="clear" w:color="auto" w:fill="auto"/>
            <w:noWrap/>
            <w:vAlign w:val="bottom"/>
            <w:hideMark/>
          </w:tcPr>
          <w:p w14:paraId="34620C34" w14:textId="65E99948" w:rsidR="00433C2E" w:rsidRPr="000B6FD6" w:rsidRDefault="00433C2E" w:rsidP="000B6FD6">
            <w:pPr>
              <w:tabs>
                <w:tab w:val="decimal" w:pos="231"/>
              </w:tabs>
              <w:spacing w:after="0" w:line="240" w:lineRule="auto"/>
              <w:jc w:val="both"/>
              <w:rPr>
                <w:rFonts w:eastAsia="Times New Roman"/>
                <w:sz w:val="20"/>
                <w:szCs w:val="20"/>
              </w:rPr>
            </w:pPr>
            <w:r w:rsidRPr="000B6FD6">
              <w:rPr>
                <w:color w:val="000000"/>
                <w:sz w:val="20"/>
                <w:szCs w:val="20"/>
              </w:rPr>
              <w:t>0.30</w:t>
            </w:r>
          </w:p>
        </w:tc>
        <w:tc>
          <w:tcPr>
            <w:tcW w:w="660" w:type="dxa"/>
            <w:tcBorders>
              <w:top w:val="nil"/>
              <w:left w:val="nil"/>
              <w:bottom w:val="nil"/>
              <w:right w:val="single" w:sz="4" w:space="0" w:color="auto"/>
            </w:tcBorders>
            <w:shd w:val="clear" w:color="auto" w:fill="auto"/>
            <w:noWrap/>
            <w:vAlign w:val="bottom"/>
            <w:hideMark/>
          </w:tcPr>
          <w:p w14:paraId="307AF38C" w14:textId="19811BF8" w:rsidR="00433C2E" w:rsidRPr="000B6FD6" w:rsidRDefault="00433C2E" w:rsidP="000B6FD6">
            <w:pPr>
              <w:tabs>
                <w:tab w:val="decimal" w:pos="207"/>
              </w:tabs>
              <w:spacing w:after="0" w:line="240" w:lineRule="auto"/>
              <w:jc w:val="both"/>
              <w:rPr>
                <w:rFonts w:eastAsia="Times New Roman"/>
                <w:sz w:val="20"/>
                <w:szCs w:val="20"/>
              </w:rPr>
            </w:pPr>
            <w:r w:rsidRPr="000B6FD6">
              <w:rPr>
                <w:color w:val="000000"/>
                <w:sz w:val="20"/>
                <w:szCs w:val="20"/>
              </w:rPr>
              <w:t>1.66</w:t>
            </w:r>
          </w:p>
        </w:tc>
        <w:tc>
          <w:tcPr>
            <w:tcW w:w="564" w:type="dxa"/>
            <w:tcBorders>
              <w:top w:val="nil"/>
              <w:left w:val="nil"/>
              <w:bottom w:val="nil"/>
              <w:right w:val="nil"/>
            </w:tcBorders>
            <w:shd w:val="clear" w:color="auto" w:fill="auto"/>
            <w:noWrap/>
            <w:vAlign w:val="center"/>
            <w:hideMark/>
          </w:tcPr>
          <w:p w14:paraId="77DE055E" w14:textId="78F476A8" w:rsidR="00433C2E"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1B80DA3E" w14:textId="77777777" w:rsidR="00433C2E" w:rsidRPr="000B6FD6" w:rsidRDefault="00433C2E"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39413000" w14:textId="7668C143" w:rsidR="00433C2E"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14DB41AD" w14:textId="77777777" w:rsidR="00433C2E" w:rsidRPr="000B6FD6" w:rsidRDefault="00433C2E"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3A733CE0" w14:textId="58E80EEB" w:rsidR="00433C2E"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71F32B99" w14:textId="77777777" w:rsidR="00433C2E" w:rsidRPr="000B6FD6" w:rsidRDefault="00433C2E"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18DC7EB3" w14:textId="43BB0BC8" w:rsidR="00433C2E"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5DF56514" w14:textId="77777777" w:rsidR="00433C2E" w:rsidRPr="000B6FD6" w:rsidRDefault="00433C2E"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2A33981E" w14:textId="58DA8B52" w:rsidR="00433C2E" w:rsidRPr="000B6FD6" w:rsidRDefault="00433C2E" w:rsidP="000B6FD6">
            <w:pPr>
              <w:tabs>
                <w:tab w:val="decimal" w:pos="207"/>
              </w:tabs>
              <w:spacing w:after="0" w:line="240" w:lineRule="auto"/>
              <w:jc w:val="both"/>
              <w:rPr>
                <w:rFonts w:eastAsia="Times New Roman"/>
                <w:sz w:val="20"/>
                <w:szCs w:val="20"/>
              </w:rPr>
            </w:pPr>
            <w:r w:rsidRPr="000B6FD6">
              <w:rPr>
                <w:color w:val="000000"/>
                <w:sz w:val="20"/>
                <w:szCs w:val="20"/>
              </w:rPr>
              <w:t>-0.22</w:t>
            </w:r>
          </w:p>
        </w:tc>
        <w:tc>
          <w:tcPr>
            <w:tcW w:w="520" w:type="dxa"/>
            <w:tcBorders>
              <w:top w:val="nil"/>
              <w:left w:val="nil"/>
              <w:bottom w:val="nil"/>
              <w:right w:val="nil"/>
            </w:tcBorders>
            <w:shd w:val="clear" w:color="auto" w:fill="auto"/>
            <w:noWrap/>
            <w:vAlign w:val="bottom"/>
            <w:hideMark/>
          </w:tcPr>
          <w:p w14:paraId="185F874D" w14:textId="7F167303" w:rsidR="00433C2E" w:rsidRPr="000B6FD6" w:rsidRDefault="00433C2E" w:rsidP="000B6FD6">
            <w:pPr>
              <w:tabs>
                <w:tab w:val="decimal" w:pos="256"/>
              </w:tabs>
              <w:spacing w:after="0" w:line="240" w:lineRule="auto"/>
              <w:jc w:val="both"/>
              <w:rPr>
                <w:rFonts w:eastAsia="Times New Roman"/>
                <w:sz w:val="20"/>
                <w:szCs w:val="20"/>
              </w:rPr>
            </w:pPr>
            <w:r w:rsidRPr="000B6FD6">
              <w:rPr>
                <w:color w:val="000000"/>
                <w:sz w:val="20"/>
                <w:szCs w:val="20"/>
              </w:rPr>
              <w:t>-1.94</w:t>
            </w:r>
          </w:p>
        </w:tc>
        <w:tc>
          <w:tcPr>
            <w:tcW w:w="600" w:type="dxa"/>
            <w:tcBorders>
              <w:top w:val="nil"/>
              <w:left w:val="single" w:sz="4" w:space="0" w:color="auto"/>
              <w:bottom w:val="nil"/>
              <w:right w:val="nil"/>
            </w:tcBorders>
            <w:shd w:val="clear" w:color="auto" w:fill="auto"/>
            <w:noWrap/>
            <w:vAlign w:val="center"/>
            <w:hideMark/>
          </w:tcPr>
          <w:p w14:paraId="23D644A1" w14:textId="4AC2222D" w:rsidR="00433C2E"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6E139C0B" w14:textId="77777777" w:rsidR="00433C2E" w:rsidRPr="000B6FD6" w:rsidRDefault="00433C2E"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01563DBF" w14:textId="171D63BE" w:rsidR="00433C2E"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648B83A7" w14:textId="77777777" w:rsidR="00433C2E" w:rsidRPr="000B6FD6" w:rsidRDefault="00433C2E"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57469182" w14:textId="373DDD25" w:rsidR="00433C2E"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4949067C" w14:textId="77777777" w:rsidR="00433C2E" w:rsidRPr="000B6FD6" w:rsidRDefault="00433C2E"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118AB038" w14:textId="66D0A56C" w:rsidR="00433C2E" w:rsidRPr="000B6FD6" w:rsidRDefault="00090F58" w:rsidP="000B6FD6">
            <w:pPr>
              <w:tabs>
                <w:tab w:val="decimal" w:pos="232"/>
              </w:tabs>
              <w:spacing w:after="0" w:line="240" w:lineRule="auto"/>
              <w:jc w:val="both"/>
              <w:rPr>
                <w:rFonts w:eastAsia="Times New Roman"/>
                <w:sz w:val="20"/>
                <w:szCs w:val="20"/>
              </w:rPr>
            </w:pPr>
            <w:r>
              <w:rPr>
                <w:rFonts w:eastAsia="Times New Roman"/>
                <w:sz w:val="20"/>
                <w:szCs w:val="20"/>
              </w:rPr>
              <w:t>0.49</w:t>
            </w:r>
          </w:p>
        </w:tc>
        <w:tc>
          <w:tcPr>
            <w:tcW w:w="508" w:type="dxa"/>
            <w:tcBorders>
              <w:top w:val="nil"/>
              <w:left w:val="nil"/>
              <w:bottom w:val="nil"/>
              <w:right w:val="single" w:sz="12" w:space="0" w:color="auto"/>
            </w:tcBorders>
            <w:shd w:val="clear" w:color="auto" w:fill="auto"/>
            <w:noWrap/>
            <w:vAlign w:val="center"/>
          </w:tcPr>
          <w:p w14:paraId="109720C6" w14:textId="47DBDA7A" w:rsidR="00433C2E" w:rsidRPr="000B6FD6" w:rsidRDefault="00FC1A47" w:rsidP="000B6FD6">
            <w:pPr>
              <w:tabs>
                <w:tab w:val="decimal" w:pos="208"/>
              </w:tabs>
              <w:spacing w:after="0" w:line="240" w:lineRule="auto"/>
              <w:jc w:val="both"/>
              <w:rPr>
                <w:rFonts w:eastAsia="Times New Roman"/>
                <w:sz w:val="20"/>
                <w:szCs w:val="20"/>
              </w:rPr>
            </w:pPr>
            <w:r>
              <w:rPr>
                <w:rFonts w:eastAsia="Times New Roman"/>
                <w:sz w:val="20"/>
                <w:szCs w:val="20"/>
              </w:rPr>
              <w:t>5.26</w:t>
            </w:r>
          </w:p>
        </w:tc>
      </w:tr>
      <w:tr w:rsidR="00433C2E" w:rsidRPr="000B6FD6" w14:paraId="5979B396"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3E757859" w14:textId="7722C7F2" w:rsidR="00433C2E" w:rsidRPr="000B6FD6" w:rsidRDefault="00433C2E"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2-3</w:t>
            </w:r>
          </w:p>
        </w:tc>
        <w:tc>
          <w:tcPr>
            <w:tcW w:w="564" w:type="dxa"/>
            <w:tcBorders>
              <w:top w:val="nil"/>
              <w:left w:val="single" w:sz="12" w:space="0" w:color="auto"/>
              <w:bottom w:val="nil"/>
              <w:right w:val="nil"/>
            </w:tcBorders>
            <w:shd w:val="clear" w:color="auto" w:fill="auto"/>
            <w:noWrap/>
            <w:vAlign w:val="bottom"/>
            <w:hideMark/>
          </w:tcPr>
          <w:p w14:paraId="3B96C639" w14:textId="63F8998E" w:rsidR="00433C2E" w:rsidRPr="000B6FD6" w:rsidRDefault="00433C2E" w:rsidP="000B6FD6">
            <w:pPr>
              <w:tabs>
                <w:tab w:val="decimal" w:pos="231"/>
              </w:tabs>
              <w:spacing w:after="0" w:line="240" w:lineRule="auto"/>
              <w:jc w:val="both"/>
              <w:rPr>
                <w:rFonts w:eastAsia="Times New Roman"/>
                <w:sz w:val="20"/>
                <w:szCs w:val="20"/>
              </w:rPr>
            </w:pPr>
            <w:r w:rsidRPr="000B6FD6">
              <w:rPr>
                <w:color w:val="000000"/>
                <w:sz w:val="20"/>
                <w:szCs w:val="20"/>
              </w:rPr>
              <w:t>1.35</w:t>
            </w:r>
          </w:p>
        </w:tc>
        <w:tc>
          <w:tcPr>
            <w:tcW w:w="660" w:type="dxa"/>
            <w:tcBorders>
              <w:top w:val="nil"/>
              <w:left w:val="nil"/>
              <w:bottom w:val="nil"/>
              <w:right w:val="single" w:sz="4" w:space="0" w:color="auto"/>
            </w:tcBorders>
            <w:shd w:val="clear" w:color="auto" w:fill="auto"/>
            <w:noWrap/>
            <w:vAlign w:val="bottom"/>
            <w:hideMark/>
          </w:tcPr>
          <w:p w14:paraId="223F5505" w14:textId="3A5F6DCA" w:rsidR="00433C2E" w:rsidRPr="000B6FD6" w:rsidRDefault="00433C2E" w:rsidP="000B6FD6">
            <w:pPr>
              <w:tabs>
                <w:tab w:val="decimal" w:pos="207"/>
              </w:tabs>
              <w:spacing w:after="0" w:line="240" w:lineRule="auto"/>
              <w:jc w:val="both"/>
              <w:rPr>
                <w:rFonts w:eastAsia="Times New Roman"/>
                <w:sz w:val="20"/>
                <w:szCs w:val="20"/>
              </w:rPr>
            </w:pPr>
            <w:r w:rsidRPr="000B6FD6">
              <w:rPr>
                <w:color w:val="000000"/>
                <w:sz w:val="20"/>
                <w:szCs w:val="20"/>
              </w:rPr>
              <w:t>3.18</w:t>
            </w:r>
          </w:p>
        </w:tc>
        <w:tc>
          <w:tcPr>
            <w:tcW w:w="564" w:type="dxa"/>
            <w:tcBorders>
              <w:top w:val="nil"/>
              <w:left w:val="nil"/>
              <w:bottom w:val="nil"/>
              <w:right w:val="nil"/>
            </w:tcBorders>
            <w:shd w:val="clear" w:color="auto" w:fill="auto"/>
            <w:noWrap/>
            <w:vAlign w:val="center"/>
            <w:hideMark/>
          </w:tcPr>
          <w:p w14:paraId="72AD7243" w14:textId="2984133D" w:rsidR="00433C2E"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03055F31" w14:textId="77777777" w:rsidR="00433C2E" w:rsidRPr="000B6FD6" w:rsidRDefault="00433C2E"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00218F2E" w14:textId="38DFA279" w:rsidR="00433C2E"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227E89EB" w14:textId="77777777" w:rsidR="00433C2E" w:rsidRPr="000B6FD6" w:rsidRDefault="00433C2E"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6B7DBB4E" w14:textId="6D62E94E" w:rsidR="00433C2E"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51877F18" w14:textId="77777777" w:rsidR="00433C2E" w:rsidRPr="000B6FD6" w:rsidRDefault="00433C2E"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56239AF4" w14:textId="73D8156E" w:rsidR="00433C2E"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2EFC5750" w14:textId="77777777" w:rsidR="00433C2E" w:rsidRPr="000B6FD6" w:rsidRDefault="00433C2E"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21AE5548" w14:textId="14BF9600" w:rsidR="00433C2E" w:rsidRPr="000B6FD6" w:rsidRDefault="00433C2E" w:rsidP="000B6FD6">
            <w:pPr>
              <w:tabs>
                <w:tab w:val="decimal" w:pos="207"/>
              </w:tabs>
              <w:spacing w:after="0" w:line="240" w:lineRule="auto"/>
              <w:jc w:val="both"/>
              <w:rPr>
                <w:rFonts w:eastAsia="Times New Roman"/>
                <w:sz w:val="20"/>
                <w:szCs w:val="20"/>
              </w:rPr>
            </w:pPr>
            <w:r w:rsidRPr="000B6FD6">
              <w:rPr>
                <w:color w:val="000000"/>
                <w:sz w:val="20"/>
                <w:szCs w:val="20"/>
              </w:rPr>
              <w:t>-0.26</w:t>
            </w:r>
          </w:p>
        </w:tc>
        <w:tc>
          <w:tcPr>
            <w:tcW w:w="520" w:type="dxa"/>
            <w:tcBorders>
              <w:top w:val="nil"/>
              <w:left w:val="nil"/>
              <w:bottom w:val="nil"/>
              <w:right w:val="nil"/>
            </w:tcBorders>
            <w:shd w:val="clear" w:color="auto" w:fill="auto"/>
            <w:noWrap/>
            <w:vAlign w:val="bottom"/>
            <w:hideMark/>
          </w:tcPr>
          <w:p w14:paraId="380A6DFE" w14:textId="7A55E603" w:rsidR="00433C2E" w:rsidRPr="000B6FD6" w:rsidRDefault="00433C2E" w:rsidP="000B6FD6">
            <w:pPr>
              <w:tabs>
                <w:tab w:val="decimal" w:pos="256"/>
              </w:tabs>
              <w:spacing w:after="0" w:line="240" w:lineRule="auto"/>
              <w:jc w:val="both"/>
              <w:rPr>
                <w:rFonts w:eastAsia="Times New Roman"/>
                <w:sz w:val="20"/>
                <w:szCs w:val="20"/>
              </w:rPr>
            </w:pPr>
            <w:r w:rsidRPr="000B6FD6">
              <w:rPr>
                <w:color w:val="000000"/>
                <w:sz w:val="20"/>
                <w:szCs w:val="20"/>
              </w:rPr>
              <w:t>-2.13</w:t>
            </w:r>
          </w:p>
        </w:tc>
        <w:tc>
          <w:tcPr>
            <w:tcW w:w="600" w:type="dxa"/>
            <w:tcBorders>
              <w:top w:val="nil"/>
              <w:left w:val="single" w:sz="4" w:space="0" w:color="auto"/>
              <w:bottom w:val="nil"/>
              <w:right w:val="nil"/>
            </w:tcBorders>
            <w:shd w:val="clear" w:color="auto" w:fill="auto"/>
            <w:noWrap/>
            <w:vAlign w:val="center"/>
          </w:tcPr>
          <w:p w14:paraId="032A8404" w14:textId="6BAD8F15" w:rsidR="00433C2E"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tcPr>
          <w:p w14:paraId="11173FA9" w14:textId="25EBB3F5" w:rsidR="00433C2E" w:rsidRPr="000B6FD6" w:rsidRDefault="00433C2E" w:rsidP="000B6FD6">
            <w:pPr>
              <w:tabs>
                <w:tab w:val="decimal" w:pos="170"/>
              </w:tabs>
              <w:spacing w:after="0" w:line="240" w:lineRule="auto"/>
              <w:jc w:val="both"/>
              <w:rPr>
                <w:rFonts w:eastAsia="Times New Roman"/>
                <w:sz w:val="20"/>
                <w:szCs w:val="20"/>
              </w:rPr>
            </w:pPr>
          </w:p>
        </w:tc>
        <w:tc>
          <w:tcPr>
            <w:tcW w:w="600" w:type="dxa"/>
            <w:tcBorders>
              <w:top w:val="nil"/>
              <w:left w:val="nil"/>
              <w:bottom w:val="nil"/>
              <w:right w:val="nil"/>
            </w:tcBorders>
            <w:shd w:val="clear" w:color="auto" w:fill="auto"/>
            <w:noWrap/>
            <w:vAlign w:val="center"/>
            <w:hideMark/>
          </w:tcPr>
          <w:p w14:paraId="43F1DE55" w14:textId="098E9D95" w:rsidR="00433C2E"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30EB4C9B" w14:textId="77777777" w:rsidR="00433C2E" w:rsidRPr="000B6FD6" w:rsidRDefault="00433C2E"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4DE69519" w14:textId="35FC9DC8" w:rsidR="00433C2E"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21F2C22A" w14:textId="77777777" w:rsidR="00433C2E" w:rsidRPr="000B6FD6" w:rsidRDefault="00433C2E"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790F962D" w14:textId="63FF73E8" w:rsidR="00433C2E" w:rsidRPr="000B6FD6" w:rsidRDefault="00090F58" w:rsidP="000B6FD6">
            <w:pPr>
              <w:tabs>
                <w:tab w:val="decimal" w:pos="232"/>
              </w:tabs>
              <w:spacing w:after="0" w:line="240" w:lineRule="auto"/>
              <w:jc w:val="both"/>
              <w:rPr>
                <w:rFonts w:eastAsia="Times New Roman"/>
                <w:sz w:val="20"/>
                <w:szCs w:val="20"/>
              </w:rPr>
            </w:pPr>
            <w:r>
              <w:rPr>
                <w:rFonts w:eastAsia="Times New Roman"/>
                <w:sz w:val="20"/>
                <w:szCs w:val="20"/>
              </w:rPr>
              <w:t>0.55</w:t>
            </w:r>
          </w:p>
        </w:tc>
        <w:tc>
          <w:tcPr>
            <w:tcW w:w="508" w:type="dxa"/>
            <w:tcBorders>
              <w:top w:val="nil"/>
              <w:left w:val="nil"/>
              <w:bottom w:val="nil"/>
              <w:right w:val="single" w:sz="12" w:space="0" w:color="auto"/>
            </w:tcBorders>
            <w:shd w:val="clear" w:color="auto" w:fill="auto"/>
            <w:noWrap/>
            <w:vAlign w:val="center"/>
          </w:tcPr>
          <w:p w14:paraId="66014324" w14:textId="40527E81" w:rsidR="00433C2E" w:rsidRPr="000B6FD6" w:rsidRDefault="00DF4B99" w:rsidP="000B6FD6">
            <w:pPr>
              <w:tabs>
                <w:tab w:val="decimal" w:pos="208"/>
              </w:tabs>
              <w:spacing w:after="0" w:line="240" w:lineRule="auto"/>
              <w:jc w:val="both"/>
              <w:rPr>
                <w:rFonts w:eastAsia="Times New Roman"/>
                <w:sz w:val="20"/>
                <w:szCs w:val="20"/>
              </w:rPr>
            </w:pPr>
            <w:r>
              <w:rPr>
                <w:rFonts w:eastAsia="Times New Roman"/>
                <w:sz w:val="20"/>
                <w:szCs w:val="20"/>
              </w:rPr>
              <w:t>5.41</w:t>
            </w:r>
          </w:p>
        </w:tc>
      </w:tr>
      <w:tr w:rsidR="00433C2E" w:rsidRPr="000B6FD6" w14:paraId="74B02FCF"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2CEB76D5" w14:textId="78DE6AF5" w:rsidR="00433C2E" w:rsidRPr="000B6FD6" w:rsidRDefault="00433C2E"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4+</w:t>
            </w:r>
          </w:p>
        </w:tc>
        <w:tc>
          <w:tcPr>
            <w:tcW w:w="564" w:type="dxa"/>
            <w:tcBorders>
              <w:top w:val="nil"/>
              <w:left w:val="single" w:sz="12" w:space="0" w:color="auto"/>
              <w:bottom w:val="nil"/>
              <w:right w:val="nil"/>
            </w:tcBorders>
            <w:shd w:val="clear" w:color="auto" w:fill="auto"/>
            <w:noWrap/>
            <w:vAlign w:val="bottom"/>
            <w:hideMark/>
          </w:tcPr>
          <w:p w14:paraId="603A8E16" w14:textId="7B325AB6" w:rsidR="00433C2E" w:rsidRPr="000B6FD6" w:rsidRDefault="00433C2E" w:rsidP="000B6FD6">
            <w:pPr>
              <w:tabs>
                <w:tab w:val="decimal" w:pos="231"/>
              </w:tabs>
              <w:spacing w:after="0" w:line="240" w:lineRule="auto"/>
              <w:jc w:val="both"/>
              <w:rPr>
                <w:rFonts w:eastAsia="Times New Roman"/>
                <w:sz w:val="20"/>
                <w:szCs w:val="20"/>
              </w:rPr>
            </w:pPr>
            <w:r w:rsidRPr="000B6FD6">
              <w:rPr>
                <w:color w:val="000000"/>
                <w:sz w:val="20"/>
                <w:szCs w:val="20"/>
              </w:rPr>
              <w:t>2.32</w:t>
            </w:r>
          </w:p>
        </w:tc>
        <w:tc>
          <w:tcPr>
            <w:tcW w:w="660" w:type="dxa"/>
            <w:tcBorders>
              <w:top w:val="nil"/>
              <w:left w:val="nil"/>
              <w:bottom w:val="nil"/>
              <w:right w:val="single" w:sz="4" w:space="0" w:color="auto"/>
            </w:tcBorders>
            <w:shd w:val="clear" w:color="auto" w:fill="auto"/>
            <w:noWrap/>
            <w:vAlign w:val="bottom"/>
            <w:hideMark/>
          </w:tcPr>
          <w:p w14:paraId="4169D17C" w14:textId="018EE2BA" w:rsidR="00433C2E" w:rsidRPr="000B6FD6" w:rsidRDefault="00433C2E" w:rsidP="000B6FD6">
            <w:pPr>
              <w:tabs>
                <w:tab w:val="decimal" w:pos="207"/>
              </w:tabs>
              <w:spacing w:after="0" w:line="240" w:lineRule="auto"/>
              <w:jc w:val="both"/>
              <w:rPr>
                <w:rFonts w:eastAsia="Times New Roman"/>
                <w:sz w:val="20"/>
                <w:szCs w:val="20"/>
              </w:rPr>
            </w:pPr>
            <w:r w:rsidRPr="000B6FD6">
              <w:rPr>
                <w:color w:val="000000"/>
                <w:sz w:val="20"/>
                <w:szCs w:val="20"/>
              </w:rPr>
              <w:t>2.14</w:t>
            </w:r>
          </w:p>
        </w:tc>
        <w:tc>
          <w:tcPr>
            <w:tcW w:w="564" w:type="dxa"/>
            <w:tcBorders>
              <w:top w:val="nil"/>
              <w:left w:val="nil"/>
              <w:bottom w:val="nil"/>
              <w:right w:val="nil"/>
            </w:tcBorders>
            <w:shd w:val="clear" w:color="auto" w:fill="auto"/>
            <w:noWrap/>
            <w:vAlign w:val="center"/>
            <w:hideMark/>
          </w:tcPr>
          <w:p w14:paraId="139666AE" w14:textId="4638C0E0" w:rsidR="00433C2E"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0BEDD284" w14:textId="77777777" w:rsidR="00433C2E" w:rsidRPr="000B6FD6" w:rsidRDefault="00433C2E"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3DB1D95C" w14:textId="34479303" w:rsidR="00433C2E"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6AEC7C3B" w14:textId="77777777" w:rsidR="00433C2E" w:rsidRPr="000B6FD6" w:rsidRDefault="00433C2E"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0D66CD29" w14:textId="659BF2A1" w:rsidR="00433C2E"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3BD95CC3" w14:textId="77777777" w:rsidR="00433C2E" w:rsidRPr="000B6FD6" w:rsidRDefault="00433C2E"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1CC86787" w14:textId="30637DA6" w:rsidR="00433C2E"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4F3872D8" w14:textId="77777777" w:rsidR="00433C2E" w:rsidRPr="000B6FD6" w:rsidRDefault="00433C2E"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hideMark/>
          </w:tcPr>
          <w:p w14:paraId="439AA947" w14:textId="7DF966AF" w:rsidR="00433C2E" w:rsidRPr="000B6FD6" w:rsidRDefault="00433C2E" w:rsidP="000B6FD6">
            <w:pPr>
              <w:tabs>
                <w:tab w:val="decimal" w:pos="207"/>
              </w:tabs>
              <w:spacing w:after="0" w:line="240" w:lineRule="auto"/>
              <w:jc w:val="both"/>
              <w:rPr>
                <w:rFonts w:eastAsia="Times New Roman"/>
                <w:sz w:val="20"/>
                <w:szCs w:val="20"/>
              </w:rPr>
            </w:pPr>
            <w:r w:rsidRPr="000B6FD6">
              <w:rPr>
                <w:color w:val="000000"/>
                <w:sz w:val="20"/>
                <w:szCs w:val="20"/>
              </w:rPr>
              <w:t>-0.44</w:t>
            </w:r>
          </w:p>
        </w:tc>
        <w:tc>
          <w:tcPr>
            <w:tcW w:w="520" w:type="dxa"/>
            <w:tcBorders>
              <w:top w:val="nil"/>
              <w:left w:val="nil"/>
              <w:bottom w:val="nil"/>
              <w:right w:val="nil"/>
            </w:tcBorders>
            <w:shd w:val="clear" w:color="auto" w:fill="auto"/>
            <w:noWrap/>
            <w:vAlign w:val="bottom"/>
            <w:hideMark/>
          </w:tcPr>
          <w:p w14:paraId="1F5CD659" w14:textId="6F4A003D" w:rsidR="00433C2E" w:rsidRPr="000B6FD6" w:rsidRDefault="00433C2E" w:rsidP="000B6FD6">
            <w:pPr>
              <w:tabs>
                <w:tab w:val="decimal" w:pos="256"/>
              </w:tabs>
              <w:spacing w:after="0" w:line="240" w:lineRule="auto"/>
              <w:jc w:val="both"/>
              <w:rPr>
                <w:rFonts w:eastAsia="Times New Roman"/>
                <w:sz w:val="20"/>
                <w:szCs w:val="20"/>
              </w:rPr>
            </w:pPr>
            <w:r w:rsidRPr="000B6FD6">
              <w:rPr>
                <w:color w:val="000000"/>
                <w:sz w:val="20"/>
                <w:szCs w:val="20"/>
              </w:rPr>
              <w:t>-2.51</w:t>
            </w:r>
          </w:p>
        </w:tc>
        <w:tc>
          <w:tcPr>
            <w:tcW w:w="600" w:type="dxa"/>
            <w:tcBorders>
              <w:top w:val="nil"/>
              <w:left w:val="single" w:sz="4" w:space="0" w:color="auto"/>
              <w:bottom w:val="nil"/>
              <w:right w:val="nil"/>
            </w:tcBorders>
            <w:shd w:val="clear" w:color="auto" w:fill="auto"/>
            <w:noWrap/>
            <w:vAlign w:val="center"/>
          </w:tcPr>
          <w:p w14:paraId="4797C7BC" w14:textId="3194B567" w:rsidR="00433C2E"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tcPr>
          <w:p w14:paraId="24D64201" w14:textId="2C271DC4" w:rsidR="00433C2E" w:rsidRPr="000B6FD6" w:rsidRDefault="00433C2E" w:rsidP="000B6FD6">
            <w:pPr>
              <w:tabs>
                <w:tab w:val="decimal" w:pos="170"/>
              </w:tabs>
              <w:spacing w:after="0" w:line="240" w:lineRule="auto"/>
              <w:jc w:val="both"/>
              <w:rPr>
                <w:rFonts w:eastAsia="Times New Roman"/>
                <w:sz w:val="20"/>
                <w:szCs w:val="20"/>
              </w:rPr>
            </w:pPr>
          </w:p>
        </w:tc>
        <w:tc>
          <w:tcPr>
            <w:tcW w:w="600" w:type="dxa"/>
            <w:tcBorders>
              <w:top w:val="nil"/>
              <w:left w:val="nil"/>
              <w:bottom w:val="nil"/>
              <w:right w:val="nil"/>
            </w:tcBorders>
            <w:shd w:val="clear" w:color="auto" w:fill="auto"/>
            <w:noWrap/>
            <w:vAlign w:val="center"/>
            <w:hideMark/>
          </w:tcPr>
          <w:p w14:paraId="4AAED783" w14:textId="259153F5" w:rsidR="00433C2E"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308E8A71" w14:textId="77777777" w:rsidR="00433C2E" w:rsidRPr="000B6FD6" w:rsidRDefault="00433C2E"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6761E053" w14:textId="78BAEBFF" w:rsidR="00433C2E" w:rsidRPr="000B6FD6" w:rsidRDefault="003E0AE7" w:rsidP="003E0AE7">
            <w:pPr>
              <w:tabs>
                <w:tab w:val="decimal" w:pos="191"/>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4" w:space="0" w:color="auto"/>
            </w:tcBorders>
            <w:shd w:val="clear" w:color="auto" w:fill="auto"/>
            <w:noWrap/>
            <w:vAlign w:val="center"/>
            <w:hideMark/>
          </w:tcPr>
          <w:p w14:paraId="30E7B0BC" w14:textId="77777777" w:rsidR="00433C2E" w:rsidRPr="000B6FD6" w:rsidRDefault="00433C2E"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4373FB4E" w14:textId="5A07E057" w:rsidR="00433C2E" w:rsidRPr="000B6FD6" w:rsidRDefault="00090F58" w:rsidP="000B6FD6">
            <w:pPr>
              <w:tabs>
                <w:tab w:val="decimal" w:pos="232"/>
              </w:tabs>
              <w:spacing w:after="0" w:line="240" w:lineRule="auto"/>
              <w:jc w:val="both"/>
              <w:rPr>
                <w:rFonts w:eastAsia="Times New Roman"/>
                <w:sz w:val="20"/>
                <w:szCs w:val="20"/>
              </w:rPr>
            </w:pPr>
            <w:r>
              <w:rPr>
                <w:rFonts w:eastAsia="Times New Roman"/>
                <w:sz w:val="20"/>
                <w:szCs w:val="20"/>
              </w:rPr>
              <w:t>0.55</w:t>
            </w:r>
          </w:p>
        </w:tc>
        <w:tc>
          <w:tcPr>
            <w:tcW w:w="508" w:type="dxa"/>
            <w:tcBorders>
              <w:top w:val="nil"/>
              <w:left w:val="nil"/>
              <w:bottom w:val="nil"/>
              <w:right w:val="single" w:sz="12" w:space="0" w:color="auto"/>
            </w:tcBorders>
            <w:shd w:val="clear" w:color="auto" w:fill="auto"/>
            <w:noWrap/>
            <w:vAlign w:val="center"/>
          </w:tcPr>
          <w:p w14:paraId="537CC576" w14:textId="7AFC63F6" w:rsidR="00433C2E" w:rsidRPr="000B6FD6" w:rsidRDefault="00DF4B99" w:rsidP="000B6FD6">
            <w:pPr>
              <w:tabs>
                <w:tab w:val="decimal" w:pos="208"/>
              </w:tabs>
              <w:spacing w:after="0" w:line="240" w:lineRule="auto"/>
              <w:jc w:val="both"/>
              <w:rPr>
                <w:rFonts w:eastAsia="Times New Roman"/>
                <w:sz w:val="20"/>
                <w:szCs w:val="20"/>
              </w:rPr>
            </w:pPr>
            <w:r>
              <w:rPr>
                <w:rFonts w:eastAsia="Times New Roman"/>
                <w:sz w:val="20"/>
                <w:szCs w:val="20"/>
              </w:rPr>
              <w:t>5.41</w:t>
            </w:r>
          </w:p>
        </w:tc>
      </w:tr>
      <w:tr w:rsidR="00584169" w:rsidRPr="000B6FD6" w14:paraId="22FCAA41"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26270047"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Region (northeast)</w:t>
            </w:r>
          </w:p>
        </w:tc>
        <w:tc>
          <w:tcPr>
            <w:tcW w:w="564" w:type="dxa"/>
            <w:tcBorders>
              <w:top w:val="nil"/>
              <w:left w:val="single" w:sz="12" w:space="0" w:color="auto"/>
              <w:bottom w:val="nil"/>
              <w:right w:val="nil"/>
            </w:tcBorders>
            <w:shd w:val="clear" w:color="auto" w:fill="auto"/>
            <w:noWrap/>
            <w:vAlign w:val="center"/>
            <w:hideMark/>
          </w:tcPr>
          <w:p w14:paraId="414262CF" w14:textId="77777777" w:rsidR="00584169" w:rsidRPr="000B6FD6" w:rsidRDefault="00584169" w:rsidP="000B6FD6">
            <w:pPr>
              <w:tabs>
                <w:tab w:val="decimal" w:pos="231"/>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2AD56FD3"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592FB636" w14:textId="77777777" w:rsidR="00584169" w:rsidRPr="000B6FD6" w:rsidRDefault="00584169" w:rsidP="000B6FD6">
            <w:pPr>
              <w:tabs>
                <w:tab w:val="decimal" w:pos="180"/>
              </w:tabs>
              <w:spacing w:after="0" w:line="240" w:lineRule="auto"/>
              <w:jc w:val="both"/>
              <w:rPr>
                <w:rFonts w:eastAsia="Times New Roman"/>
                <w:sz w:val="20"/>
                <w:szCs w:val="20"/>
              </w:rPr>
            </w:pPr>
          </w:p>
        </w:tc>
        <w:tc>
          <w:tcPr>
            <w:tcW w:w="516" w:type="dxa"/>
            <w:tcBorders>
              <w:top w:val="nil"/>
              <w:left w:val="nil"/>
              <w:bottom w:val="nil"/>
              <w:right w:val="nil"/>
            </w:tcBorders>
            <w:shd w:val="clear" w:color="auto" w:fill="auto"/>
            <w:noWrap/>
            <w:vAlign w:val="center"/>
            <w:hideMark/>
          </w:tcPr>
          <w:p w14:paraId="166E172D" w14:textId="77777777" w:rsidR="00584169" w:rsidRPr="000B6FD6" w:rsidRDefault="00584169"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187BDFDC" w14:textId="77777777" w:rsidR="00584169" w:rsidRPr="000B6FD6" w:rsidRDefault="00584169" w:rsidP="000B6FD6">
            <w:pPr>
              <w:tabs>
                <w:tab w:val="decimal" w:pos="141"/>
              </w:tabs>
              <w:spacing w:after="0" w:line="240" w:lineRule="auto"/>
              <w:jc w:val="both"/>
              <w:rPr>
                <w:rFonts w:eastAsia="Times New Roman"/>
                <w:sz w:val="20"/>
                <w:szCs w:val="20"/>
              </w:rPr>
            </w:pPr>
            <w:r w:rsidRPr="000B6FD6">
              <w:rPr>
                <w:rFonts w:eastAsia="Times New Roman"/>
                <w:sz w:val="20"/>
                <w:szCs w:val="20"/>
              </w:rPr>
              <w:t> </w:t>
            </w:r>
          </w:p>
        </w:tc>
        <w:tc>
          <w:tcPr>
            <w:tcW w:w="516" w:type="dxa"/>
            <w:tcBorders>
              <w:top w:val="nil"/>
              <w:left w:val="nil"/>
              <w:bottom w:val="nil"/>
              <w:right w:val="single" w:sz="4" w:space="0" w:color="auto"/>
            </w:tcBorders>
            <w:shd w:val="clear" w:color="auto" w:fill="auto"/>
            <w:noWrap/>
            <w:vAlign w:val="center"/>
            <w:hideMark/>
          </w:tcPr>
          <w:p w14:paraId="6347AB79" w14:textId="77777777" w:rsidR="00584169" w:rsidRPr="000B6FD6" w:rsidRDefault="00584169"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4F8A35C5" w14:textId="77777777" w:rsidR="00584169" w:rsidRPr="000B6FD6" w:rsidRDefault="00584169" w:rsidP="000B6FD6">
            <w:pPr>
              <w:tabs>
                <w:tab w:val="decimal" w:pos="141"/>
              </w:tabs>
              <w:spacing w:after="0" w:line="240" w:lineRule="auto"/>
              <w:jc w:val="both"/>
              <w:rPr>
                <w:rFonts w:eastAsia="Times New Roman"/>
                <w:sz w:val="20"/>
                <w:szCs w:val="20"/>
              </w:rPr>
            </w:pPr>
          </w:p>
        </w:tc>
        <w:tc>
          <w:tcPr>
            <w:tcW w:w="508" w:type="dxa"/>
            <w:tcBorders>
              <w:top w:val="nil"/>
              <w:left w:val="nil"/>
              <w:bottom w:val="nil"/>
              <w:right w:val="nil"/>
            </w:tcBorders>
            <w:shd w:val="clear" w:color="auto" w:fill="auto"/>
            <w:noWrap/>
            <w:vAlign w:val="center"/>
            <w:hideMark/>
          </w:tcPr>
          <w:p w14:paraId="043DA73A" w14:textId="77777777" w:rsidR="00584169" w:rsidRPr="000B6FD6" w:rsidRDefault="00584169"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4C451BAF" w14:textId="77777777" w:rsidR="00584169" w:rsidRPr="000B6FD6" w:rsidRDefault="00584169" w:rsidP="000B6FD6">
            <w:pPr>
              <w:tabs>
                <w:tab w:val="decimal" w:pos="197"/>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1243EA95" w14:textId="77777777" w:rsidR="00584169" w:rsidRPr="000B6FD6" w:rsidRDefault="00584169"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528B2015" w14:textId="77777777" w:rsidR="00584169" w:rsidRPr="000B6FD6" w:rsidRDefault="00584169"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3E5AAA2F" w14:textId="77777777" w:rsidR="00584169" w:rsidRPr="000B6FD6" w:rsidRDefault="00584169"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373F9DC6" w14:textId="6A2BD0EC" w:rsidR="00584169" w:rsidRPr="000B6FD6" w:rsidRDefault="00584169" w:rsidP="000B6FD6">
            <w:pPr>
              <w:tabs>
                <w:tab w:val="decimal" w:pos="229"/>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single" w:sz="4" w:space="0" w:color="auto"/>
            </w:tcBorders>
            <w:shd w:val="clear" w:color="auto" w:fill="auto"/>
            <w:noWrap/>
            <w:vAlign w:val="center"/>
            <w:hideMark/>
          </w:tcPr>
          <w:p w14:paraId="1E948076" w14:textId="77777777" w:rsidR="00584169" w:rsidRPr="000B6FD6" w:rsidRDefault="00584169"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4210E5F1" w14:textId="77777777" w:rsidR="00584169" w:rsidRPr="000B6FD6" w:rsidRDefault="00584169" w:rsidP="000B6FD6">
            <w:pPr>
              <w:tabs>
                <w:tab w:val="decimal" w:pos="210"/>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center"/>
            <w:hideMark/>
          </w:tcPr>
          <w:p w14:paraId="1D52156F" w14:textId="77777777" w:rsidR="00584169" w:rsidRPr="000B6FD6" w:rsidRDefault="00584169"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710D16B7" w14:textId="77777777" w:rsidR="00584169" w:rsidRPr="000B6FD6" w:rsidRDefault="00584169" w:rsidP="000B6FD6">
            <w:pPr>
              <w:tabs>
                <w:tab w:val="decimal" w:pos="191"/>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4" w:space="0" w:color="auto"/>
            </w:tcBorders>
            <w:shd w:val="clear" w:color="auto" w:fill="auto"/>
            <w:noWrap/>
            <w:vAlign w:val="center"/>
            <w:hideMark/>
          </w:tcPr>
          <w:p w14:paraId="1E2D710E" w14:textId="77777777" w:rsidR="00584169" w:rsidRPr="000B6FD6" w:rsidRDefault="00584169" w:rsidP="000B6FD6">
            <w:pPr>
              <w:tabs>
                <w:tab w:val="decimal" w:pos="239"/>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tcPr>
          <w:p w14:paraId="5056E241" w14:textId="5D91A073" w:rsidR="00584169" w:rsidRPr="000B6FD6" w:rsidRDefault="00584169" w:rsidP="000B6FD6">
            <w:pPr>
              <w:tabs>
                <w:tab w:val="decimal" w:pos="232"/>
              </w:tabs>
              <w:spacing w:after="0" w:line="240" w:lineRule="auto"/>
              <w:jc w:val="both"/>
              <w:rPr>
                <w:rFonts w:eastAsia="Times New Roman"/>
                <w:sz w:val="20"/>
                <w:szCs w:val="20"/>
              </w:rPr>
            </w:pPr>
          </w:p>
        </w:tc>
        <w:tc>
          <w:tcPr>
            <w:tcW w:w="508" w:type="dxa"/>
            <w:tcBorders>
              <w:top w:val="nil"/>
              <w:left w:val="nil"/>
              <w:bottom w:val="nil"/>
              <w:right w:val="single" w:sz="12" w:space="0" w:color="auto"/>
            </w:tcBorders>
            <w:shd w:val="clear" w:color="auto" w:fill="auto"/>
            <w:noWrap/>
            <w:vAlign w:val="center"/>
          </w:tcPr>
          <w:p w14:paraId="3032ABFC" w14:textId="2AD236EB" w:rsidR="00584169" w:rsidRPr="000B6FD6" w:rsidRDefault="00584169" w:rsidP="000B6FD6">
            <w:pPr>
              <w:tabs>
                <w:tab w:val="decimal" w:pos="208"/>
              </w:tabs>
              <w:spacing w:after="0" w:line="240" w:lineRule="auto"/>
              <w:jc w:val="both"/>
              <w:rPr>
                <w:rFonts w:eastAsia="Times New Roman"/>
                <w:sz w:val="20"/>
                <w:szCs w:val="20"/>
              </w:rPr>
            </w:pPr>
          </w:p>
        </w:tc>
      </w:tr>
      <w:tr w:rsidR="00200F95" w:rsidRPr="000B6FD6" w14:paraId="3CDC3AAF" w14:textId="77777777" w:rsidTr="00794F9D">
        <w:trPr>
          <w:trHeight w:val="216"/>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521C52EF" w14:textId="0D31A397" w:rsidR="00200F95" w:rsidRPr="000B6FD6" w:rsidRDefault="00200F95" w:rsidP="000B6FD6">
            <w:pPr>
              <w:spacing w:after="0" w:line="240" w:lineRule="auto"/>
              <w:jc w:val="both"/>
              <w:rPr>
                <w:rFonts w:eastAsia="Times New Roman"/>
                <w:sz w:val="20"/>
                <w:szCs w:val="20"/>
              </w:rPr>
            </w:pPr>
            <w:r w:rsidRPr="000B6FD6">
              <w:rPr>
                <w:rFonts w:eastAsia="Times New Roman"/>
                <w:sz w:val="20"/>
                <w:szCs w:val="20"/>
              </w:rPr>
              <w:t xml:space="preserve">      Midwest</w:t>
            </w:r>
          </w:p>
        </w:tc>
        <w:tc>
          <w:tcPr>
            <w:tcW w:w="564" w:type="dxa"/>
            <w:tcBorders>
              <w:top w:val="nil"/>
              <w:left w:val="single" w:sz="12" w:space="0" w:color="auto"/>
              <w:bottom w:val="nil"/>
              <w:right w:val="nil"/>
            </w:tcBorders>
            <w:shd w:val="clear" w:color="auto" w:fill="auto"/>
            <w:noWrap/>
            <w:vAlign w:val="center"/>
            <w:hideMark/>
          </w:tcPr>
          <w:p w14:paraId="23A67411" w14:textId="144A313B" w:rsidR="00200F95"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43BF7077" w14:textId="77777777" w:rsidR="00200F95" w:rsidRPr="000B6FD6" w:rsidRDefault="00200F95"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bottom"/>
            <w:hideMark/>
          </w:tcPr>
          <w:p w14:paraId="224A593A" w14:textId="0EDCA159" w:rsidR="00200F95" w:rsidRPr="000B6FD6" w:rsidRDefault="00200F95" w:rsidP="000B6FD6">
            <w:pPr>
              <w:tabs>
                <w:tab w:val="decimal" w:pos="180"/>
              </w:tabs>
              <w:spacing w:after="0" w:line="240" w:lineRule="auto"/>
              <w:jc w:val="both"/>
              <w:rPr>
                <w:rFonts w:eastAsia="Times New Roman"/>
                <w:sz w:val="20"/>
                <w:szCs w:val="20"/>
              </w:rPr>
            </w:pPr>
            <w:r w:rsidRPr="000B6FD6">
              <w:rPr>
                <w:color w:val="000000"/>
                <w:sz w:val="20"/>
                <w:szCs w:val="20"/>
              </w:rPr>
              <w:t>-0.32</w:t>
            </w:r>
          </w:p>
        </w:tc>
        <w:tc>
          <w:tcPr>
            <w:tcW w:w="516" w:type="dxa"/>
            <w:tcBorders>
              <w:top w:val="nil"/>
              <w:left w:val="nil"/>
              <w:bottom w:val="nil"/>
              <w:right w:val="nil"/>
            </w:tcBorders>
            <w:shd w:val="clear" w:color="auto" w:fill="auto"/>
            <w:noWrap/>
            <w:vAlign w:val="bottom"/>
            <w:hideMark/>
          </w:tcPr>
          <w:p w14:paraId="194DD14D" w14:textId="7FAC723F" w:rsidR="00200F95" w:rsidRPr="000B6FD6" w:rsidRDefault="00200F95" w:rsidP="000B6FD6">
            <w:pPr>
              <w:tabs>
                <w:tab w:val="decimal" w:pos="243"/>
              </w:tabs>
              <w:spacing w:after="0" w:line="240" w:lineRule="auto"/>
              <w:jc w:val="both"/>
              <w:rPr>
                <w:rFonts w:eastAsia="Times New Roman"/>
                <w:sz w:val="20"/>
                <w:szCs w:val="20"/>
              </w:rPr>
            </w:pPr>
            <w:r w:rsidRPr="000B6FD6">
              <w:rPr>
                <w:color w:val="000000"/>
                <w:sz w:val="20"/>
                <w:szCs w:val="20"/>
              </w:rPr>
              <w:t>-3.15</w:t>
            </w:r>
          </w:p>
        </w:tc>
        <w:tc>
          <w:tcPr>
            <w:tcW w:w="564" w:type="dxa"/>
            <w:tcBorders>
              <w:top w:val="nil"/>
              <w:left w:val="single" w:sz="4" w:space="0" w:color="auto"/>
              <w:bottom w:val="nil"/>
              <w:right w:val="nil"/>
            </w:tcBorders>
            <w:shd w:val="clear" w:color="auto" w:fill="auto"/>
            <w:noWrap/>
            <w:vAlign w:val="center"/>
            <w:hideMark/>
          </w:tcPr>
          <w:p w14:paraId="59633889" w14:textId="52697F5A" w:rsidR="00200F95"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4E7CB723" w14:textId="77777777" w:rsidR="00200F95" w:rsidRPr="000B6FD6" w:rsidRDefault="00200F95"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218A8B9D" w14:textId="50B4583E" w:rsidR="00200F95"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5B1ACDF7" w14:textId="77777777" w:rsidR="00200F95" w:rsidRPr="000B6FD6" w:rsidRDefault="00200F95"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2E5C64F5" w14:textId="044743FC" w:rsidR="00200F95" w:rsidRPr="000B6FD6" w:rsidRDefault="00200F95" w:rsidP="000B6FD6">
            <w:pPr>
              <w:tabs>
                <w:tab w:val="decimal" w:pos="197"/>
              </w:tabs>
              <w:spacing w:after="0" w:line="240" w:lineRule="auto"/>
              <w:jc w:val="both"/>
              <w:rPr>
                <w:rFonts w:eastAsia="Times New Roman"/>
                <w:sz w:val="20"/>
                <w:szCs w:val="20"/>
              </w:rPr>
            </w:pPr>
            <w:r w:rsidRPr="000B6FD6">
              <w:rPr>
                <w:color w:val="000000"/>
                <w:sz w:val="20"/>
                <w:szCs w:val="20"/>
              </w:rPr>
              <w:t>-0.49</w:t>
            </w:r>
          </w:p>
        </w:tc>
        <w:tc>
          <w:tcPr>
            <w:tcW w:w="586" w:type="dxa"/>
            <w:tcBorders>
              <w:top w:val="nil"/>
              <w:left w:val="nil"/>
              <w:bottom w:val="nil"/>
              <w:right w:val="single" w:sz="4" w:space="0" w:color="auto"/>
            </w:tcBorders>
            <w:shd w:val="clear" w:color="auto" w:fill="auto"/>
            <w:noWrap/>
            <w:vAlign w:val="bottom"/>
            <w:hideMark/>
          </w:tcPr>
          <w:p w14:paraId="2999D7E2" w14:textId="6DE24016" w:rsidR="00200F95" w:rsidRPr="000B6FD6" w:rsidRDefault="00200F95" w:rsidP="000B6FD6">
            <w:pPr>
              <w:tabs>
                <w:tab w:val="decimal" w:pos="247"/>
              </w:tabs>
              <w:spacing w:after="0" w:line="240" w:lineRule="auto"/>
              <w:jc w:val="both"/>
              <w:rPr>
                <w:rFonts w:eastAsia="Times New Roman"/>
                <w:sz w:val="20"/>
                <w:szCs w:val="20"/>
              </w:rPr>
            </w:pPr>
            <w:r w:rsidRPr="000B6FD6">
              <w:rPr>
                <w:color w:val="000000"/>
                <w:sz w:val="20"/>
                <w:szCs w:val="20"/>
              </w:rPr>
              <w:t>-6.83</w:t>
            </w:r>
          </w:p>
        </w:tc>
        <w:tc>
          <w:tcPr>
            <w:tcW w:w="580" w:type="dxa"/>
            <w:tcBorders>
              <w:top w:val="nil"/>
              <w:left w:val="nil"/>
              <w:bottom w:val="nil"/>
              <w:right w:val="nil"/>
            </w:tcBorders>
            <w:shd w:val="clear" w:color="auto" w:fill="auto"/>
            <w:noWrap/>
            <w:vAlign w:val="bottom"/>
            <w:hideMark/>
          </w:tcPr>
          <w:p w14:paraId="0DFBBA84" w14:textId="3610CA89" w:rsidR="00200F95" w:rsidRPr="000B6FD6" w:rsidRDefault="00200F95" w:rsidP="000B6FD6">
            <w:pPr>
              <w:tabs>
                <w:tab w:val="decimal" w:pos="207"/>
              </w:tabs>
              <w:spacing w:after="0" w:line="240" w:lineRule="auto"/>
              <w:jc w:val="both"/>
              <w:rPr>
                <w:rFonts w:eastAsia="Times New Roman"/>
                <w:sz w:val="20"/>
                <w:szCs w:val="20"/>
              </w:rPr>
            </w:pPr>
            <w:r w:rsidRPr="000B6FD6">
              <w:rPr>
                <w:color w:val="000000"/>
                <w:sz w:val="20"/>
                <w:szCs w:val="20"/>
              </w:rPr>
              <w:t>-0.41</w:t>
            </w:r>
          </w:p>
        </w:tc>
        <w:tc>
          <w:tcPr>
            <w:tcW w:w="520" w:type="dxa"/>
            <w:tcBorders>
              <w:top w:val="nil"/>
              <w:left w:val="nil"/>
              <w:bottom w:val="nil"/>
              <w:right w:val="nil"/>
            </w:tcBorders>
            <w:shd w:val="clear" w:color="auto" w:fill="auto"/>
            <w:noWrap/>
            <w:vAlign w:val="bottom"/>
            <w:hideMark/>
          </w:tcPr>
          <w:p w14:paraId="0D2F2363" w14:textId="77A4F8BB" w:rsidR="00200F95" w:rsidRPr="000B6FD6" w:rsidRDefault="00200F95" w:rsidP="000B6FD6">
            <w:pPr>
              <w:tabs>
                <w:tab w:val="decimal" w:pos="256"/>
              </w:tabs>
              <w:spacing w:after="0" w:line="240" w:lineRule="auto"/>
              <w:jc w:val="both"/>
              <w:rPr>
                <w:rFonts w:eastAsia="Times New Roman"/>
                <w:sz w:val="20"/>
                <w:szCs w:val="20"/>
              </w:rPr>
            </w:pPr>
            <w:r w:rsidRPr="000B6FD6">
              <w:rPr>
                <w:color w:val="000000"/>
                <w:sz w:val="20"/>
                <w:szCs w:val="20"/>
              </w:rPr>
              <w:t>-5.94</w:t>
            </w:r>
          </w:p>
        </w:tc>
        <w:tc>
          <w:tcPr>
            <w:tcW w:w="600" w:type="dxa"/>
            <w:tcBorders>
              <w:top w:val="nil"/>
              <w:left w:val="single" w:sz="4" w:space="0" w:color="auto"/>
              <w:bottom w:val="nil"/>
              <w:right w:val="nil"/>
            </w:tcBorders>
            <w:shd w:val="clear" w:color="auto" w:fill="auto"/>
            <w:noWrap/>
            <w:vAlign w:val="center"/>
            <w:hideMark/>
          </w:tcPr>
          <w:p w14:paraId="646D40BD" w14:textId="041F95CA" w:rsidR="00200F95"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4E598034" w14:textId="77777777" w:rsidR="00200F95" w:rsidRPr="000B6FD6" w:rsidRDefault="00200F95"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tcPr>
          <w:p w14:paraId="5A983A28" w14:textId="5F809963" w:rsidR="00200F95"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tcPr>
          <w:p w14:paraId="1CFC069F" w14:textId="02EC590B" w:rsidR="00200F95" w:rsidRPr="000B6FD6" w:rsidRDefault="00200F95" w:rsidP="000B6FD6">
            <w:pPr>
              <w:tabs>
                <w:tab w:val="decimal" w:pos="151"/>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0B96BF6E" w14:textId="72B21DB7" w:rsidR="00200F95" w:rsidRPr="000B6FD6" w:rsidRDefault="00200F95" w:rsidP="000B6FD6">
            <w:pPr>
              <w:tabs>
                <w:tab w:val="decimal" w:pos="191"/>
              </w:tabs>
              <w:spacing w:after="0" w:line="240" w:lineRule="auto"/>
              <w:jc w:val="both"/>
              <w:rPr>
                <w:rFonts w:eastAsia="Times New Roman"/>
                <w:sz w:val="20"/>
                <w:szCs w:val="20"/>
              </w:rPr>
            </w:pPr>
            <w:r w:rsidRPr="000B6FD6">
              <w:rPr>
                <w:color w:val="000000"/>
                <w:sz w:val="20"/>
                <w:szCs w:val="20"/>
              </w:rPr>
              <w:t>0.41</w:t>
            </w:r>
          </w:p>
        </w:tc>
        <w:tc>
          <w:tcPr>
            <w:tcW w:w="520" w:type="dxa"/>
            <w:tcBorders>
              <w:top w:val="nil"/>
              <w:left w:val="nil"/>
              <w:bottom w:val="nil"/>
              <w:right w:val="single" w:sz="4" w:space="0" w:color="auto"/>
            </w:tcBorders>
            <w:shd w:val="clear" w:color="auto" w:fill="auto"/>
            <w:noWrap/>
            <w:vAlign w:val="bottom"/>
            <w:hideMark/>
          </w:tcPr>
          <w:p w14:paraId="313AA53F" w14:textId="2898F253" w:rsidR="00200F95" w:rsidRPr="000B6FD6" w:rsidRDefault="00200F95" w:rsidP="000B6FD6">
            <w:pPr>
              <w:tabs>
                <w:tab w:val="decimal" w:pos="239"/>
              </w:tabs>
              <w:spacing w:after="0" w:line="240" w:lineRule="auto"/>
              <w:jc w:val="both"/>
              <w:rPr>
                <w:rFonts w:eastAsia="Times New Roman"/>
                <w:sz w:val="20"/>
                <w:szCs w:val="20"/>
              </w:rPr>
            </w:pPr>
            <w:r w:rsidRPr="000B6FD6">
              <w:rPr>
                <w:color w:val="000000"/>
                <w:sz w:val="20"/>
                <w:szCs w:val="20"/>
              </w:rPr>
              <w:t>4.64</w:t>
            </w:r>
          </w:p>
        </w:tc>
        <w:tc>
          <w:tcPr>
            <w:tcW w:w="564" w:type="dxa"/>
            <w:tcBorders>
              <w:top w:val="nil"/>
              <w:left w:val="nil"/>
              <w:bottom w:val="nil"/>
              <w:right w:val="nil"/>
            </w:tcBorders>
            <w:shd w:val="clear" w:color="auto" w:fill="auto"/>
            <w:noWrap/>
            <w:vAlign w:val="center"/>
          </w:tcPr>
          <w:p w14:paraId="31E223E6" w14:textId="47063192" w:rsidR="00200F95"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4B88095E" w14:textId="36C535C4" w:rsidR="00200F95" w:rsidRPr="000B6FD6" w:rsidRDefault="00200F95" w:rsidP="000B6FD6">
            <w:pPr>
              <w:tabs>
                <w:tab w:val="decimal" w:pos="208"/>
              </w:tabs>
              <w:spacing w:after="0" w:line="240" w:lineRule="auto"/>
              <w:jc w:val="both"/>
              <w:rPr>
                <w:rFonts w:eastAsia="Times New Roman"/>
                <w:sz w:val="20"/>
                <w:szCs w:val="20"/>
              </w:rPr>
            </w:pPr>
          </w:p>
        </w:tc>
      </w:tr>
      <w:tr w:rsidR="00200F95" w:rsidRPr="000B6FD6" w14:paraId="23100738" w14:textId="77777777" w:rsidTr="00794F9D">
        <w:trPr>
          <w:trHeight w:val="42"/>
          <w:jc w:val="center"/>
        </w:trPr>
        <w:tc>
          <w:tcPr>
            <w:tcW w:w="3235" w:type="dxa"/>
            <w:tcBorders>
              <w:top w:val="nil"/>
              <w:left w:val="single" w:sz="12" w:space="0" w:color="auto"/>
              <w:bottom w:val="nil"/>
              <w:right w:val="single" w:sz="12" w:space="0" w:color="auto"/>
            </w:tcBorders>
            <w:shd w:val="clear" w:color="auto" w:fill="auto"/>
            <w:noWrap/>
            <w:vAlign w:val="bottom"/>
            <w:hideMark/>
          </w:tcPr>
          <w:p w14:paraId="67C415C0" w14:textId="5335B35F" w:rsidR="00200F95" w:rsidRPr="000B6FD6" w:rsidRDefault="00200F95" w:rsidP="000B6FD6">
            <w:pPr>
              <w:spacing w:after="0" w:line="240" w:lineRule="auto"/>
              <w:jc w:val="both"/>
              <w:rPr>
                <w:rFonts w:eastAsia="Times New Roman"/>
                <w:sz w:val="20"/>
                <w:szCs w:val="20"/>
              </w:rPr>
            </w:pPr>
            <w:r w:rsidRPr="000B6FD6">
              <w:rPr>
                <w:rFonts w:eastAsia="Times New Roman"/>
                <w:sz w:val="20"/>
                <w:szCs w:val="20"/>
              </w:rPr>
              <w:t xml:space="preserve">      South</w:t>
            </w:r>
          </w:p>
        </w:tc>
        <w:tc>
          <w:tcPr>
            <w:tcW w:w="564" w:type="dxa"/>
            <w:tcBorders>
              <w:top w:val="nil"/>
              <w:left w:val="single" w:sz="12" w:space="0" w:color="auto"/>
              <w:bottom w:val="nil"/>
              <w:right w:val="nil"/>
            </w:tcBorders>
            <w:shd w:val="clear" w:color="auto" w:fill="auto"/>
            <w:noWrap/>
            <w:vAlign w:val="center"/>
            <w:hideMark/>
          </w:tcPr>
          <w:p w14:paraId="68836035" w14:textId="7D4F4FF7" w:rsidR="00200F95"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130EBBF4" w14:textId="77777777" w:rsidR="00200F95" w:rsidRPr="000B6FD6" w:rsidRDefault="00200F95"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374D4C4B" w14:textId="3E046081" w:rsidR="00200F95"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nil"/>
            </w:tcBorders>
            <w:shd w:val="clear" w:color="auto" w:fill="auto"/>
            <w:noWrap/>
            <w:vAlign w:val="center"/>
            <w:hideMark/>
          </w:tcPr>
          <w:p w14:paraId="2B74AC1E" w14:textId="77777777" w:rsidR="00200F95" w:rsidRPr="000B6FD6" w:rsidRDefault="00200F95" w:rsidP="000B6FD6">
            <w:pPr>
              <w:tabs>
                <w:tab w:val="decimal" w:pos="243"/>
              </w:tabs>
              <w:spacing w:after="0" w:line="240" w:lineRule="auto"/>
              <w:jc w:val="both"/>
              <w:rPr>
                <w:rFonts w:eastAsia="Times New Roman"/>
                <w:sz w:val="20"/>
                <w:szCs w:val="20"/>
              </w:rPr>
            </w:pPr>
          </w:p>
        </w:tc>
        <w:tc>
          <w:tcPr>
            <w:tcW w:w="564" w:type="dxa"/>
            <w:tcBorders>
              <w:top w:val="nil"/>
              <w:left w:val="single" w:sz="4" w:space="0" w:color="auto"/>
              <w:bottom w:val="nil"/>
              <w:right w:val="nil"/>
            </w:tcBorders>
            <w:shd w:val="clear" w:color="auto" w:fill="auto"/>
            <w:noWrap/>
            <w:vAlign w:val="center"/>
            <w:hideMark/>
          </w:tcPr>
          <w:p w14:paraId="35FBD0B1" w14:textId="71151F95" w:rsidR="00200F95"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nil"/>
              <w:right w:val="single" w:sz="4" w:space="0" w:color="auto"/>
            </w:tcBorders>
            <w:shd w:val="clear" w:color="auto" w:fill="auto"/>
            <w:noWrap/>
            <w:vAlign w:val="center"/>
            <w:hideMark/>
          </w:tcPr>
          <w:p w14:paraId="1881EF51" w14:textId="77777777" w:rsidR="00200F95" w:rsidRPr="000B6FD6" w:rsidRDefault="00200F95"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nil"/>
              <w:right w:val="nil"/>
            </w:tcBorders>
            <w:shd w:val="clear" w:color="auto" w:fill="auto"/>
            <w:noWrap/>
            <w:vAlign w:val="center"/>
            <w:hideMark/>
          </w:tcPr>
          <w:p w14:paraId="4BC6C82C" w14:textId="1186538C" w:rsidR="00200F95"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nil"/>
            </w:tcBorders>
            <w:shd w:val="clear" w:color="auto" w:fill="auto"/>
            <w:noWrap/>
            <w:vAlign w:val="center"/>
            <w:hideMark/>
          </w:tcPr>
          <w:p w14:paraId="23FA2058" w14:textId="77777777" w:rsidR="00200F95" w:rsidRPr="000B6FD6" w:rsidRDefault="00200F95" w:rsidP="000B6FD6">
            <w:pPr>
              <w:tabs>
                <w:tab w:val="decimal" w:pos="163"/>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4DB79A13" w14:textId="6632C520" w:rsidR="00200F95" w:rsidRPr="000B6FD6" w:rsidRDefault="00200F95" w:rsidP="000B6FD6">
            <w:pPr>
              <w:tabs>
                <w:tab w:val="decimal" w:pos="197"/>
              </w:tabs>
              <w:spacing w:after="0" w:line="240" w:lineRule="auto"/>
              <w:jc w:val="both"/>
              <w:rPr>
                <w:rFonts w:eastAsia="Times New Roman"/>
                <w:sz w:val="20"/>
                <w:szCs w:val="20"/>
              </w:rPr>
            </w:pPr>
            <w:r w:rsidRPr="000B6FD6">
              <w:rPr>
                <w:color w:val="000000"/>
                <w:sz w:val="20"/>
                <w:szCs w:val="20"/>
              </w:rPr>
              <w:t>-0.77</w:t>
            </w:r>
          </w:p>
        </w:tc>
        <w:tc>
          <w:tcPr>
            <w:tcW w:w="586" w:type="dxa"/>
            <w:tcBorders>
              <w:top w:val="nil"/>
              <w:left w:val="nil"/>
              <w:bottom w:val="nil"/>
              <w:right w:val="single" w:sz="4" w:space="0" w:color="auto"/>
            </w:tcBorders>
            <w:shd w:val="clear" w:color="auto" w:fill="auto"/>
            <w:noWrap/>
            <w:vAlign w:val="bottom"/>
            <w:hideMark/>
          </w:tcPr>
          <w:p w14:paraId="179E9708" w14:textId="46A33EC0" w:rsidR="00200F95" w:rsidRPr="000B6FD6" w:rsidRDefault="00200F95" w:rsidP="000B6FD6">
            <w:pPr>
              <w:tabs>
                <w:tab w:val="decimal" w:pos="247"/>
              </w:tabs>
              <w:spacing w:after="0" w:line="240" w:lineRule="auto"/>
              <w:jc w:val="both"/>
              <w:rPr>
                <w:rFonts w:eastAsia="Times New Roman"/>
                <w:sz w:val="20"/>
                <w:szCs w:val="20"/>
              </w:rPr>
            </w:pPr>
            <w:r w:rsidRPr="000B6FD6">
              <w:rPr>
                <w:color w:val="000000"/>
                <w:sz w:val="20"/>
                <w:szCs w:val="20"/>
              </w:rPr>
              <w:t>-11.12</w:t>
            </w:r>
          </w:p>
        </w:tc>
        <w:tc>
          <w:tcPr>
            <w:tcW w:w="580" w:type="dxa"/>
            <w:tcBorders>
              <w:top w:val="nil"/>
              <w:left w:val="nil"/>
              <w:bottom w:val="nil"/>
              <w:right w:val="nil"/>
            </w:tcBorders>
            <w:shd w:val="clear" w:color="auto" w:fill="auto"/>
            <w:noWrap/>
            <w:vAlign w:val="center"/>
            <w:hideMark/>
          </w:tcPr>
          <w:p w14:paraId="3A14D65D" w14:textId="46BEDCA7" w:rsidR="00200F95" w:rsidRPr="000B6FD6" w:rsidRDefault="00A503D7" w:rsidP="00A503D7">
            <w:pPr>
              <w:tabs>
                <w:tab w:val="decimal" w:pos="207"/>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4C707A10" w14:textId="77777777" w:rsidR="00200F95" w:rsidRPr="000B6FD6" w:rsidRDefault="00200F95" w:rsidP="000B6FD6">
            <w:pPr>
              <w:tabs>
                <w:tab w:val="decimal" w:pos="256"/>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12078E35" w14:textId="18EAD5FA" w:rsidR="00200F95"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46E74B4A" w14:textId="77777777" w:rsidR="00200F95" w:rsidRPr="000B6FD6" w:rsidRDefault="00200F95"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bottom"/>
            <w:hideMark/>
          </w:tcPr>
          <w:p w14:paraId="32402D07" w14:textId="334E6CFA" w:rsidR="00200F95" w:rsidRPr="000B6FD6" w:rsidRDefault="00200F95" w:rsidP="000B6FD6">
            <w:pPr>
              <w:tabs>
                <w:tab w:val="decimal" w:pos="210"/>
              </w:tabs>
              <w:spacing w:after="0" w:line="240" w:lineRule="auto"/>
              <w:jc w:val="both"/>
              <w:rPr>
                <w:rFonts w:eastAsia="Times New Roman"/>
                <w:sz w:val="20"/>
                <w:szCs w:val="20"/>
              </w:rPr>
            </w:pPr>
            <w:r w:rsidRPr="000B6FD6">
              <w:rPr>
                <w:color w:val="000000"/>
                <w:sz w:val="20"/>
                <w:szCs w:val="20"/>
              </w:rPr>
              <w:t>-0.16</w:t>
            </w:r>
          </w:p>
        </w:tc>
        <w:tc>
          <w:tcPr>
            <w:tcW w:w="500" w:type="dxa"/>
            <w:tcBorders>
              <w:top w:val="nil"/>
              <w:left w:val="nil"/>
              <w:bottom w:val="nil"/>
              <w:right w:val="nil"/>
            </w:tcBorders>
            <w:shd w:val="clear" w:color="auto" w:fill="auto"/>
            <w:noWrap/>
            <w:vAlign w:val="bottom"/>
            <w:hideMark/>
          </w:tcPr>
          <w:p w14:paraId="630C2288" w14:textId="3779571C" w:rsidR="00200F95" w:rsidRPr="000B6FD6" w:rsidRDefault="00200F95" w:rsidP="000B6FD6">
            <w:pPr>
              <w:tabs>
                <w:tab w:val="decimal" w:pos="151"/>
              </w:tabs>
              <w:spacing w:after="0" w:line="240" w:lineRule="auto"/>
              <w:jc w:val="both"/>
              <w:rPr>
                <w:rFonts w:eastAsia="Times New Roman"/>
                <w:sz w:val="20"/>
                <w:szCs w:val="20"/>
              </w:rPr>
            </w:pPr>
            <w:r w:rsidRPr="000B6FD6">
              <w:rPr>
                <w:color w:val="000000"/>
                <w:sz w:val="20"/>
                <w:szCs w:val="20"/>
              </w:rPr>
              <w:t>-2.64</w:t>
            </w:r>
          </w:p>
        </w:tc>
        <w:tc>
          <w:tcPr>
            <w:tcW w:w="580" w:type="dxa"/>
            <w:tcBorders>
              <w:top w:val="nil"/>
              <w:left w:val="single" w:sz="4" w:space="0" w:color="auto"/>
              <w:bottom w:val="nil"/>
              <w:right w:val="nil"/>
            </w:tcBorders>
            <w:shd w:val="clear" w:color="auto" w:fill="auto"/>
            <w:noWrap/>
            <w:vAlign w:val="bottom"/>
            <w:hideMark/>
          </w:tcPr>
          <w:p w14:paraId="6395B610" w14:textId="0D2F067E" w:rsidR="00200F95" w:rsidRPr="000B6FD6" w:rsidRDefault="00200F95" w:rsidP="000B6FD6">
            <w:pPr>
              <w:tabs>
                <w:tab w:val="decimal" w:pos="191"/>
              </w:tabs>
              <w:spacing w:after="0" w:line="240" w:lineRule="auto"/>
              <w:jc w:val="both"/>
              <w:rPr>
                <w:rFonts w:eastAsia="Times New Roman"/>
                <w:sz w:val="20"/>
                <w:szCs w:val="20"/>
              </w:rPr>
            </w:pPr>
            <w:r w:rsidRPr="000B6FD6">
              <w:rPr>
                <w:color w:val="000000"/>
                <w:sz w:val="20"/>
                <w:szCs w:val="20"/>
              </w:rPr>
              <w:t>0.73</w:t>
            </w:r>
          </w:p>
        </w:tc>
        <w:tc>
          <w:tcPr>
            <w:tcW w:w="520" w:type="dxa"/>
            <w:tcBorders>
              <w:top w:val="nil"/>
              <w:left w:val="nil"/>
              <w:bottom w:val="nil"/>
              <w:right w:val="single" w:sz="4" w:space="0" w:color="auto"/>
            </w:tcBorders>
            <w:shd w:val="clear" w:color="auto" w:fill="auto"/>
            <w:noWrap/>
            <w:vAlign w:val="bottom"/>
            <w:hideMark/>
          </w:tcPr>
          <w:p w14:paraId="01766AEB" w14:textId="30B9A36A" w:rsidR="00200F95" w:rsidRPr="000B6FD6" w:rsidRDefault="00200F95" w:rsidP="000B6FD6">
            <w:pPr>
              <w:tabs>
                <w:tab w:val="decimal" w:pos="239"/>
              </w:tabs>
              <w:spacing w:after="0" w:line="240" w:lineRule="auto"/>
              <w:jc w:val="both"/>
              <w:rPr>
                <w:rFonts w:eastAsia="Times New Roman"/>
                <w:sz w:val="20"/>
                <w:szCs w:val="20"/>
              </w:rPr>
            </w:pPr>
            <w:r w:rsidRPr="000B6FD6">
              <w:rPr>
                <w:color w:val="000000"/>
                <w:sz w:val="20"/>
                <w:szCs w:val="20"/>
              </w:rPr>
              <w:t>8.61</w:t>
            </w:r>
          </w:p>
        </w:tc>
        <w:tc>
          <w:tcPr>
            <w:tcW w:w="564" w:type="dxa"/>
            <w:tcBorders>
              <w:top w:val="nil"/>
              <w:left w:val="nil"/>
              <w:bottom w:val="nil"/>
              <w:right w:val="nil"/>
            </w:tcBorders>
            <w:shd w:val="clear" w:color="auto" w:fill="auto"/>
            <w:noWrap/>
            <w:vAlign w:val="center"/>
          </w:tcPr>
          <w:p w14:paraId="36F06A73" w14:textId="0468C94B" w:rsidR="00200F95"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nil"/>
              <w:right w:val="single" w:sz="12" w:space="0" w:color="auto"/>
            </w:tcBorders>
            <w:shd w:val="clear" w:color="auto" w:fill="auto"/>
            <w:noWrap/>
            <w:vAlign w:val="center"/>
          </w:tcPr>
          <w:p w14:paraId="403096A5" w14:textId="62B01FB5" w:rsidR="00200F95" w:rsidRPr="000B6FD6" w:rsidRDefault="00200F95" w:rsidP="000B6FD6">
            <w:pPr>
              <w:tabs>
                <w:tab w:val="decimal" w:pos="208"/>
              </w:tabs>
              <w:spacing w:after="0" w:line="240" w:lineRule="auto"/>
              <w:jc w:val="both"/>
              <w:rPr>
                <w:rFonts w:eastAsia="Times New Roman"/>
                <w:sz w:val="20"/>
                <w:szCs w:val="20"/>
              </w:rPr>
            </w:pPr>
          </w:p>
        </w:tc>
      </w:tr>
      <w:tr w:rsidR="004276EC" w:rsidRPr="000B6FD6" w14:paraId="7127DE0E" w14:textId="77777777" w:rsidTr="00794F9D">
        <w:trPr>
          <w:trHeight w:val="216"/>
          <w:jc w:val="center"/>
        </w:trPr>
        <w:tc>
          <w:tcPr>
            <w:tcW w:w="3235" w:type="dxa"/>
            <w:tcBorders>
              <w:top w:val="nil"/>
              <w:left w:val="single" w:sz="12" w:space="0" w:color="auto"/>
              <w:bottom w:val="single" w:sz="12" w:space="0" w:color="auto"/>
              <w:right w:val="single" w:sz="12" w:space="0" w:color="auto"/>
            </w:tcBorders>
            <w:shd w:val="clear" w:color="auto" w:fill="auto"/>
            <w:noWrap/>
            <w:vAlign w:val="bottom"/>
            <w:hideMark/>
          </w:tcPr>
          <w:p w14:paraId="38F1A990" w14:textId="7F804322" w:rsidR="004276EC" w:rsidRPr="000B6FD6" w:rsidRDefault="004276EC" w:rsidP="000B6FD6">
            <w:pPr>
              <w:spacing w:after="0" w:line="240" w:lineRule="auto"/>
              <w:jc w:val="both"/>
              <w:rPr>
                <w:rFonts w:eastAsia="Times New Roman"/>
                <w:sz w:val="20"/>
                <w:szCs w:val="20"/>
              </w:rPr>
            </w:pPr>
            <w:r w:rsidRPr="000B6FD6">
              <w:rPr>
                <w:rFonts w:eastAsia="Times New Roman"/>
                <w:sz w:val="20"/>
                <w:szCs w:val="20"/>
              </w:rPr>
              <w:t xml:space="preserve">      West</w:t>
            </w:r>
          </w:p>
        </w:tc>
        <w:tc>
          <w:tcPr>
            <w:tcW w:w="564" w:type="dxa"/>
            <w:tcBorders>
              <w:top w:val="nil"/>
              <w:left w:val="single" w:sz="12" w:space="0" w:color="auto"/>
              <w:bottom w:val="single" w:sz="12" w:space="0" w:color="auto"/>
              <w:right w:val="nil"/>
            </w:tcBorders>
            <w:shd w:val="clear" w:color="auto" w:fill="auto"/>
            <w:noWrap/>
            <w:vAlign w:val="center"/>
            <w:hideMark/>
          </w:tcPr>
          <w:p w14:paraId="2A02D853" w14:textId="48D9C5A8" w:rsidR="004276EC" w:rsidRPr="000B6FD6" w:rsidRDefault="0058240A" w:rsidP="00A503D7">
            <w:pPr>
              <w:tabs>
                <w:tab w:val="decimal" w:pos="231"/>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single" w:sz="12" w:space="0" w:color="auto"/>
              <w:right w:val="single" w:sz="4" w:space="0" w:color="auto"/>
            </w:tcBorders>
            <w:shd w:val="clear" w:color="auto" w:fill="auto"/>
            <w:noWrap/>
            <w:vAlign w:val="center"/>
            <w:hideMark/>
          </w:tcPr>
          <w:p w14:paraId="4A31A7EB" w14:textId="77777777" w:rsidR="004276EC" w:rsidRPr="000B6FD6" w:rsidRDefault="004276EC" w:rsidP="000B6FD6">
            <w:pPr>
              <w:tabs>
                <w:tab w:val="decimal" w:pos="2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single" w:sz="12" w:space="0" w:color="auto"/>
              <w:right w:val="nil"/>
            </w:tcBorders>
            <w:shd w:val="clear" w:color="auto" w:fill="auto"/>
            <w:noWrap/>
            <w:vAlign w:val="center"/>
            <w:hideMark/>
          </w:tcPr>
          <w:p w14:paraId="6E03ABF3" w14:textId="6580A5CE" w:rsidR="004276EC" w:rsidRPr="000B6FD6" w:rsidRDefault="0058240A" w:rsidP="00A503D7">
            <w:pPr>
              <w:tabs>
                <w:tab w:val="decimal" w:pos="180"/>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single" w:sz="12" w:space="0" w:color="auto"/>
              <w:right w:val="nil"/>
            </w:tcBorders>
            <w:shd w:val="clear" w:color="auto" w:fill="auto"/>
            <w:noWrap/>
            <w:vAlign w:val="center"/>
            <w:hideMark/>
          </w:tcPr>
          <w:p w14:paraId="1DE8715B" w14:textId="77777777" w:rsidR="004276EC" w:rsidRPr="000B6FD6" w:rsidRDefault="004276EC" w:rsidP="000B6FD6">
            <w:pPr>
              <w:tabs>
                <w:tab w:val="decimal" w:pos="243"/>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single" w:sz="4" w:space="0" w:color="auto"/>
              <w:bottom w:val="single" w:sz="12" w:space="0" w:color="auto"/>
              <w:right w:val="nil"/>
            </w:tcBorders>
            <w:shd w:val="clear" w:color="auto" w:fill="auto"/>
            <w:noWrap/>
            <w:vAlign w:val="center"/>
            <w:hideMark/>
          </w:tcPr>
          <w:p w14:paraId="79516F12" w14:textId="721A2BF4"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16" w:type="dxa"/>
            <w:tcBorders>
              <w:top w:val="nil"/>
              <w:left w:val="nil"/>
              <w:bottom w:val="single" w:sz="12" w:space="0" w:color="auto"/>
              <w:right w:val="single" w:sz="4" w:space="0" w:color="auto"/>
            </w:tcBorders>
            <w:shd w:val="clear" w:color="auto" w:fill="auto"/>
            <w:noWrap/>
            <w:vAlign w:val="center"/>
            <w:hideMark/>
          </w:tcPr>
          <w:p w14:paraId="441EFC86" w14:textId="77777777" w:rsidR="004276EC" w:rsidRPr="000B6FD6" w:rsidRDefault="004276EC" w:rsidP="000B6FD6">
            <w:pPr>
              <w:tabs>
                <w:tab w:val="decimal" w:pos="120"/>
              </w:tabs>
              <w:spacing w:after="0" w:line="240" w:lineRule="auto"/>
              <w:jc w:val="both"/>
              <w:rPr>
                <w:rFonts w:eastAsia="Times New Roman"/>
                <w:sz w:val="20"/>
                <w:szCs w:val="20"/>
              </w:rPr>
            </w:pPr>
            <w:r w:rsidRPr="000B6FD6">
              <w:rPr>
                <w:rFonts w:eastAsia="Times New Roman"/>
                <w:sz w:val="20"/>
                <w:szCs w:val="20"/>
              </w:rPr>
              <w:t> </w:t>
            </w:r>
          </w:p>
        </w:tc>
        <w:tc>
          <w:tcPr>
            <w:tcW w:w="610" w:type="dxa"/>
            <w:tcBorders>
              <w:top w:val="nil"/>
              <w:left w:val="nil"/>
              <w:bottom w:val="single" w:sz="12" w:space="0" w:color="auto"/>
              <w:right w:val="nil"/>
            </w:tcBorders>
            <w:shd w:val="clear" w:color="auto" w:fill="auto"/>
            <w:noWrap/>
            <w:vAlign w:val="center"/>
            <w:hideMark/>
          </w:tcPr>
          <w:p w14:paraId="73CA8B99" w14:textId="604FD7E4" w:rsidR="004276EC" w:rsidRPr="000B6FD6" w:rsidRDefault="00A503D7" w:rsidP="00A503D7">
            <w:pPr>
              <w:tabs>
                <w:tab w:val="decimal" w:pos="141"/>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single" w:sz="12" w:space="0" w:color="auto"/>
              <w:right w:val="nil"/>
            </w:tcBorders>
            <w:shd w:val="clear" w:color="auto" w:fill="auto"/>
            <w:noWrap/>
            <w:vAlign w:val="center"/>
            <w:hideMark/>
          </w:tcPr>
          <w:p w14:paraId="3C5A7481" w14:textId="77777777" w:rsidR="004276EC" w:rsidRPr="000B6FD6" w:rsidRDefault="004276EC" w:rsidP="000B6FD6">
            <w:pPr>
              <w:tabs>
                <w:tab w:val="decimal" w:pos="163"/>
              </w:tabs>
              <w:spacing w:after="0" w:line="240" w:lineRule="auto"/>
              <w:jc w:val="both"/>
              <w:rPr>
                <w:rFonts w:eastAsia="Times New Roman"/>
                <w:sz w:val="20"/>
                <w:szCs w:val="20"/>
              </w:rPr>
            </w:pPr>
            <w:r w:rsidRPr="000B6FD6">
              <w:rPr>
                <w:rFonts w:eastAsia="Times New Roman"/>
                <w:sz w:val="20"/>
                <w:szCs w:val="20"/>
              </w:rPr>
              <w:t> </w:t>
            </w:r>
          </w:p>
        </w:tc>
        <w:tc>
          <w:tcPr>
            <w:tcW w:w="574" w:type="dxa"/>
            <w:tcBorders>
              <w:top w:val="nil"/>
              <w:left w:val="single" w:sz="4" w:space="0" w:color="auto"/>
              <w:bottom w:val="single" w:sz="12" w:space="0" w:color="auto"/>
              <w:right w:val="nil"/>
            </w:tcBorders>
            <w:shd w:val="clear" w:color="auto" w:fill="auto"/>
            <w:noWrap/>
            <w:vAlign w:val="center"/>
            <w:hideMark/>
          </w:tcPr>
          <w:p w14:paraId="75343F85" w14:textId="2323D307" w:rsidR="004276EC" w:rsidRPr="000B6FD6" w:rsidRDefault="00A503D7" w:rsidP="00A503D7">
            <w:pPr>
              <w:tabs>
                <w:tab w:val="decimal" w:pos="197"/>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single" w:sz="12" w:space="0" w:color="auto"/>
              <w:right w:val="single" w:sz="4" w:space="0" w:color="auto"/>
            </w:tcBorders>
            <w:shd w:val="clear" w:color="auto" w:fill="auto"/>
            <w:noWrap/>
            <w:vAlign w:val="center"/>
            <w:hideMark/>
          </w:tcPr>
          <w:p w14:paraId="7075B62B" w14:textId="77777777" w:rsidR="004276EC" w:rsidRPr="000B6FD6" w:rsidRDefault="004276EC" w:rsidP="000B6FD6">
            <w:pPr>
              <w:tabs>
                <w:tab w:val="decimal" w:pos="247"/>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single" w:sz="12" w:space="0" w:color="auto"/>
              <w:right w:val="nil"/>
            </w:tcBorders>
            <w:shd w:val="clear" w:color="auto" w:fill="auto"/>
            <w:noWrap/>
            <w:vAlign w:val="bottom"/>
            <w:hideMark/>
          </w:tcPr>
          <w:p w14:paraId="6EDA7C57" w14:textId="0C130F0F" w:rsidR="004276EC" w:rsidRPr="000B6FD6" w:rsidRDefault="004276EC" w:rsidP="000B6FD6">
            <w:pPr>
              <w:tabs>
                <w:tab w:val="decimal" w:pos="207"/>
              </w:tabs>
              <w:spacing w:after="0" w:line="240" w:lineRule="auto"/>
              <w:jc w:val="both"/>
              <w:rPr>
                <w:rFonts w:eastAsia="Times New Roman"/>
                <w:sz w:val="20"/>
                <w:szCs w:val="20"/>
              </w:rPr>
            </w:pPr>
            <w:r w:rsidRPr="000B6FD6">
              <w:rPr>
                <w:color w:val="000000"/>
                <w:sz w:val="20"/>
                <w:szCs w:val="20"/>
              </w:rPr>
              <w:t>0.37</w:t>
            </w:r>
          </w:p>
        </w:tc>
        <w:tc>
          <w:tcPr>
            <w:tcW w:w="520" w:type="dxa"/>
            <w:tcBorders>
              <w:top w:val="nil"/>
              <w:left w:val="nil"/>
              <w:bottom w:val="single" w:sz="12" w:space="0" w:color="auto"/>
              <w:right w:val="nil"/>
            </w:tcBorders>
            <w:shd w:val="clear" w:color="auto" w:fill="auto"/>
            <w:noWrap/>
            <w:vAlign w:val="bottom"/>
            <w:hideMark/>
          </w:tcPr>
          <w:p w14:paraId="4EE10506" w14:textId="657A27EE" w:rsidR="004276EC" w:rsidRPr="000B6FD6" w:rsidRDefault="004276EC" w:rsidP="000B6FD6">
            <w:pPr>
              <w:tabs>
                <w:tab w:val="decimal" w:pos="256"/>
              </w:tabs>
              <w:spacing w:after="0" w:line="240" w:lineRule="auto"/>
              <w:jc w:val="both"/>
              <w:rPr>
                <w:rFonts w:eastAsia="Times New Roman"/>
                <w:sz w:val="20"/>
                <w:szCs w:val="20"/>
              </w:rPr>
            </w:pPr>
            <w:r w:rsidRPr="000B6FD6">
              <w:rPr>
                <w:color w:val="000000"/>
                <w:sz w:val="20"/>
                <w:szCs w:val="20"/>
              </w:rPr>
              <w:t>6.21</w:t>
            </w:r>
          </w:p>
        </w:tc>
        <w:tc>
          <w:tcPr>
            <w:tcW w:w="600" w:type="dxa"/>
            <w:tcBorders>
              <w:top w:val="nil"/>
              <w:left w:val="single" w:sz="4" w:space="0" w:color="auto"/>
              <w:bottom w:val="single" w:sz="12" w:space="0" w:color="auto"/>
              <w:right w:val="nil"/>
            </w:tcBorders>
            <w:shd w:val="clear" w:color="auto" w:fill="auto"/>
            <w:noWrap/>
            <w:vAlign w:val="center"/>
            <w:hideMark/>
          </w:tcPr>
          <w:p w14:paraId="298A94EB" w14:textId="6BC8FEFB" w:rsidR="004276EC" w:rsidRPr="000B6FD6" w:rsidRDefault="00A503D7" w:rsidP="003E0AE7">
            <w:pPr>
              <w:tabs>
                <w:tab w:val="decimal" w:pos="229"/>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single" w:sz="12" w:space="0" w:color="auto"/>
              <w:right w:val="single" w:sz="4" w:space="0" w:color="auto"/>
            </w:tcBorders>
            <w:shd w:val="clear" w:color="auto" w:fill="auto"/>
            <w:noWrap/>
            <w:vAlign w:val="center"/>
            <w:hideMark/>
          </w:tcPr>
          <w:p w14:paraId="447FB7C3" w14:textId="77777777" w:rsidR="004276EC" w:rsidRPr="000B6FD6" w:rsidRDefault="004276EC" w:rsidP="000B6FD6">
            <w:pPr>
              <w:tabs>
                <w:tab w:val="decimal" w:pos="170"/>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single" w:sz="12" w:space="0" w:color="auto"/>
              <w:right w:val="nil"/>
            </w:tcBorders>
            <w:shd w:val="clear" w:color="auto" w:fill="auto"/>
            <w:noWrap/>
            <w:vAlign w:val="center"/>
            <w:hideMark/>
          </w:tcPr>
          <w:p w14:paraId="72B99D1C" w14:textId="372D9C11" w:rsidR="004276EC" w:rsidRPr="000B6FD6" w:rsidRDefault="00A503D7" w:rsidP="003E0AE7">
            <w:pPr>
              <w:tabs>
                <w:tab w:val="decimal" w:pos="210"/>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single" w:sz="12" w:space="0" w:color="auto"/>
              <w:right w:val="nil"/>
            </w:tcBorders>
            <w:shd w:val="clear" w:color="auto" w:fill="auto"/>
            <w:noWrap/>
            <w:vAlign w:val="center"/>
            <w:hideMark/>
          </w:tcPr>
          <w:p w14:paraId="55CD433E" w14:textId="77777777" w:rsidR="004276EC" w:rsidRPr="000B6FD6" w:rsidRDefault="004276EC" w:rsidP="000B6FD6">
            <w:pPr>
              <w:tabs>
                <w:tab w:val="decimal" w:pos="151"/>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single" w:sz="4" w:space="0" w:color="auto"/>
              <w:bottom w:val="single" w:sz="12" w:space="0" w:color="auto"/>
              <w:right w:val="nil"/>
            </w:tcBorders>
            <w:shd w:val="clear" w:color="auto" w:fill="auto"/>
            <w:noWrap/>
            <w:vAlign w:val="bottom"/>
            <w:hideMark/>
          </w:tcPr>
          <w:p w14:paraId="3E9975F8" w14:textId="23E69661" w:rsidR="004276EC" w:rsidRPr="000B6FD6" w:rsidRDefault="004276EC" w:rsidP="000B6FD6">
            <w:pPr>
              <w:tabs>
                <w:tab w:val="decimal" w:pos="191"/>
              </w:tabs>
              <w:spacing w:after="0" w:line="240" w:lineRule="auto"/>
              <w:jc w:val="both"/>
              <w:rPr>
                <w:rFonts w:eastAsia="Times New Roman"/>
                <w:sz w:val="20"/>
                <w:szCs w:val="20"/>
              </w:rPr>
            </w:pPr>
            <w:r w:rsidRPr="000B6FD6">
              <w:rPr>
                <w:color w:val="000000"/>
                <w:sz w:val="20"/>
                <w:szCs w:val="20"/>
              </w:rPr>
              <w:t>1.40</w:t>
            </w:r>
          </w:p>
        </w:tc>
        <w:tc>
          <w:tcPr>
            <w:tcW w:w="520" w:type="dxa"/>
            <w:tcBorders>
              <w:top w:val="nil"/>
              <w:left w:val="nil"/>
              <w:bottom w:val="single" w:sz="12" w:space="0" w:color="auto"/>
              <w:right w:val="single" w:sz="4" w:space="0" w:color="auto"/>
            </w:tcBorders>
            <w:shd w:val="clear" w:color="auto" w:fill="auto"/>
            <w:noWrap/>
            <w:vAlign w:val="bottom"/>
            <w:hideMark/>
          </w:tcPr>
          <w:p w14:paraId="204F79C5" w14:textId="5662A8C8" w:rsidR="004276EC" w:rsidRPr="000B6FD6" w:rsidRDefault="004276EC" w:rsidP="000B6FD6">
            <w:pPr>
              <w:tabs>
                <w:tab w:val="decimal" w:pos="239"/>
              </w:tabs>
              <w:spacing w:after="0" w:line="240" w:lineRule="auto"/>
              <w:jc w:val="both"/>
              <w:rPr>
                <w:rFonts w:eastAsia="Times New Roman"/>
                <w:sz w:val="20"/>
                <w:szCs w:val="20"/>
              </w:rPr>
            </w:pPr>
            <w:r w:rsidRPr="000B6FD6">
              <w:rPr>
                <w:color w:val="000000"/>
                <w:sz w:val="20"/>
                <w:szCs w:val="20"/>
              </w:rPr>
              <w:t>16.68</w:t>
            </w:r>
          </w:p>
        </w:tc>
        <w:tc>
          <w:tcPr>
            <w:tcW w:w="564" w:type="dxa"/>
            <w:tcBorders>
              <w:top w:val="nil"/>
              <w:left w:val="nil"/>
              <w:bottom w:val="single" w:sz="12" w:space="0" w:color="auto"/>
              <w:right w:val="nil"/>
            </w:tcBorders>
            <w:shd w:val="clear" w:color="auto" w:fill="auto"/>
            <w:noWrap/>
            <w:vAlign w:val="bottom"/>
          </w:tcPr>
          <w:p w14:paraId="23FF49C5" w14:textId="48B59C6F" w:rsidR="004276EC" w:rsidRPr="000B6FD6" w:rsidRDefault="003E0AE7" w:rsidP="003E0AE7">
            <w:pPr>
              <w:tabs>
                <w:tab w:val="decimal" w:pos="232"/>
              </w:tabs>
              <w:spacing w:after="0" w:line="240" w:lineRule="auto"/>
              <w:jc w:val="center"/>
              <w:rPr>
                <w:rFonts w:eastAsia="Times New Roman"/>
                <w:sz w:val="20"/>
                <w:szCs w:val="20"/>
              </w:rPr>
            </w:pPr>
            <w:r>
              <w:rPr>
                <w:rFonts w:eastAsia="Times New Roman"/>
                <w:sz w:val="20"/>
                <w:szCs w:val="20"/>
              </w:rPr>
              <w:t>--</w:t>
            </w:r>
          </w:p>
        </w:tc>
        <w:tc>
          <w:tcPr>
            <w:tcW w:w="508" w:type="dxa"/>
            <w:tcBorders>
              <w:top w:val="nil"/>
              <w:left w:val="nil"/>
              <w:bottom w:val="single" w:sz="12" w:space="0" w:color="auto"/>
              <w:right w:val="single" w:sz="12" w:space="0" w:color="auto"/>
            </w:tcBorders>
            <w:shd w:val="clear" w:color="auto" w:fill="auto"/>
            <w:noWrap/>
            <w:vAlign w:val="bottom"/>
          </w:tcPr>
          <w:p w14:paraId="13BDBDD2" w14:textId="0FE9556E" w:rsidR="004276EC" w:rsidRPr="000B6FD6" w:rsidRDefault="004276EC" w:rsidP="000B6FD6">
            <w:pPr>
              <w:tabs>
                <w:tab w:val="decimal" w:pos="208"/>
              </w:tabs>
              <w:spacing w:after="0" w:line="240" w:lineRule="auto"/>
              <w:jc w:val="both"/>
              <w:rPr>
                <w:rFonts w:eastAsia="Times New Roman"/>
                <w:sz w:val="20"/>
                <w:szCs w:val="20"/>
              </w:rPr>
            </w:pPr>
          </w:p>
        </w:tc>
      </w:tr>
      <w:bookmarkEnd w:id="62"/>
    </w:tbl>
    <w:p w14:paraId="217EA4D7" w14:textId="77777777" w:rsidR="00584169" w:rsidRPr="009B2F97" w:rsidRDefault="00584169" w:rsidP="000B6FD6">
      <w:pPr>
        <w:spacing w:line="240" w:lineRule="auto"/>
        <w:jc w:val="both"/>
      </w:pPr>
    </w:p>
    <w:p w14:paraId="1286995C" w14:textId="4105E772" w:rsidR="00584169" w:rsidRPr="009B2F97" w:rsidRDefault="00584169" w:rsidP="000B6FD6">
      <w:pPr>
        <w:spacing w:line="240" w:lineRule="auto"/>
        <w:jc w:val="both"/>
        <w:rPr>
          <w:b/>
          <w:bCs/>
        </w:rPr>
      </w:pPr>
      <w:r w:rsidRPr="009B2F97">
        <w:rPr>
          <w:b/>
          <w:bCs/>
        </w:rPr>
        <w:lastRenderedPageBreak/>
        <w:t xml:space="preserve">Table </w:t>
      </w:r>
      <w:r w:rsidR="00890907" w:rsidRPr="009B2F97">
        <w:rPr>
          <w:b/>
          <w:bCs/>
        </w:rPr>
        <w:t>4</w:t>
      </w:r>
      <w:r w:rsidRPr="009B2F97">
        <w:rPr>
          <w:b/>
          <w:bCs/>
        </w:rPr>
        <w:t xml:space="preserve">: Main Estimation Results </w:t>
      </w:r>
      <w:r w:rsidR="009D0196" w:rsidRPr="009B2F97">
        <w:rPr>
          <w:b/>
          <w:bCs/>
        </w:rPr>
        <w:t>(cont.)</w:t>
      </w:r>
    </w:p>
    <w:tbl>
      <w:tblPr>
        <w:tblW w:w="14761" w:type="dxa"/>
        <w:jc w:val="center"/>
        <w:tblCellMar>
          <w:left w:w="29" w:type="dxa"/>
          <w:right w:w="29" w:type="dxa"/>
        </w:tblCellMar>
        <w:tblLook w:val="04A0" w:firstRow="1" w:lastRow="0" w:firstColumn="1" w:lastColumn="0" w:noHBand="0" w:noVBand="1"/>
      </w:tblPr>
      <w:tblGrid>
        <w:gridCol w:w="3240"/>
        <w:gridCol w:w="600"/>
        <w:gridCol w:w="500"/>
        <w:gridCol w:w="580"/>
        <w:gridCol w:w="520"/>
        <w:gridCol w:w="600"/>
        <w:gridCol w:w="615"/>
        <w:gridCol w:w="574"/>
        <w:gridCol w:w="586"/>
        <w:gridCol w:w="600"/>
        <w:gridCol w:w="500"/>
        <w:gridCol w:w="580"/>
        <w:gridCol w:w="533"/>
        <w:gridCol w:w="600"/>
        <w:gridCol w:w="620"/>
        <w:gridCol w:w="564"/>
        <w:gridCol w:w="603"/>
        <w:gridCol w:w="600"/>
        <w:gridCol w:w="660"/>
        <w:gridCol w:w="580"/>
        <w:gridCol w:w="520"/>
      </w:tblGrid>
      <w:tr w:rsidR="00B773B1" w:rsidRPr="000B6FD6" w14:paraId="44648301" w14:textId="77777777" w:rsidTr="007C34CD">
        <w:trPr>
          <w:trHeight w:val="216"/>
          <w:jc w:val="center"/>
        </w:trPr>
        <w:tc>
          <w:tcPr>
            <w:tcW w:w="32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0B61C50" w14:textId="77777777" w:rsidR="00584169" w:rsidRPr="000B6FD6" w:rsidRDefault="00584169" w:rsidP="000B6FD6">
            <w:pPr>
              <w:spacing w:after="0" w:line="240" w:lineRule="auto"/>
              <w:jc w:val="both"/>
              <w:rPr>
                <w:rFonts w:eastAsia="Times New Roman"/>
                <w:b/>
                <w:bCs/>
                <w:sz w:val="20"/>
                <w:szCs w:val="20"/>
              </w:rPr>
            </w:pPr>
            <w:bookmarkStart w:id="63" w:name="_Hlk148698689"/>
            <w:r w:rsidRPr="000B6FD6">
              <w:rPr>
                <w:rFonts w:eastAsia="Times New Roman"/>
                <w:b/>
                <w:bCs/>
                <w:sz w:val="20"/>
                <w:szCs w:val="20"/>
              </w:rPr>
              <w:t>Variables (base)</w:t>
            </w:r>
          </w:p>
        </w:tc>
        <w:tc>
          <w:tcPr>
            <w:tcW w:w="1100" w:type="dxa"/>
            <w:gridSpan w:val="2"/>
            <w:tcBorders>
              <w:top w:val="single" w:sz="12" w:space="0" w:color="auto"/>
              <w:left w:val="single" w:sz="12" w:space="0" w:color="auto"/>
              <w:bottom w:val="single" w:sz="4" w:space="0" w:color="auto"/>
              <w:right w:val="single" w:sz="4" w:space="0" w:color="000000"/>
            </w:tcBorders>
            <w:shd w:val="clear" w:color="auto" w:fill="auto"/>
            <w:vAlign w:val="center"/>
            <w:hideMark/>
          </w:tcPr>
          <w:p w14:paraId="7569043F"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Housing Type: Apt. (single family)</w:t>
            </w:r>
          </w:p>
        </w:tc>
        <w:tc>
          <w:tcPr>
            <w:tcW w:w="1100" w:type="dxa"/>
            <w:gridSpan w:val="2"/>
            <w:tcBorders>
              <w:top w:val="single" w:sz="12" w:space="0" w:color="auto"/>
              <w:left w:val="nil"/>
              <w:bottom w:val="single" w:sz="4" w:space="0" w:color="auto"/>
              <w:right w:val="nil"/>
            </w:tcBorders>
            <w:shd w:val="clear" w:color="auto" w:fill="auto"/>
            <w:vAlign w:val="center"/>
            <w:hideMark/>
          </w:tcPr>
          <w:p w14:paraId="58D4E743"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Tenure Type: Rent (own)</w:t>
            </w:r>
          </w:p>
        </w:tc>
        <w:tc>
          <w:tcPr>
            <w:tcW w:w="1215"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14:paraId="7AB8D146"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Presence of Patio or Yard</w:t>
            </w:r>
          </w:p>
        </w:tc>
        <w:tc>
          <w:tcPr>
            <w:tcW w:w="1160" w:type="dxa"/>
            <w:gridSpan w:val="2"/>
            <w:tcBorders>
              <w:top w:val="single" w:sz="12" w:space="0" w:color="auto"/>
              <w:left w:val="nil"/>
              <w:bottom w:val="single" w:sz="4" w:space="0" w:color="auto"/>
              <w:right w:val="nil"/>
            </w:tcBorders>
            <w:shd w:val="clear" w:color="auto" w:fill="auto"/>
            <w:noWrap/>
            <w:vAlign w:val="center"/>
            <w:hideMark/>
          </w:tcPr>
          <w:p w14:paraId="1F4165C4"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Number of bedrooms</w:t>
            </w:r>
          </w:p>
        </w:tc>
        <w:tc>
          <w:tcPr>
            <w:tcW w:w="1100" w:type="dxa"/>
            <w:gridSpan w:val="2"/>
            <w:tcBorders>
              <w:top w:val="single" w:sz="12" w:space="0" w:color="auto"/>
              <w:left w:val="single" w:sz="4" w:space="0" w:color="auto"/>
              <w:bottom w:val="single" w:sz="4" w:space="0" w:color="auto"/>
              <w:right w:val="nil"/>
            </w:tcBorders>
            <w:shd w:val="clear" w:color="auto" w:fill="auto"/>
            <w:noWrap/>
            <w:vAlign w:val="center"/>
            <w:hideMark/>
          </w:tcPr>
          <w:p w14:paraId="2AE9C315"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Population Density</w:t>
            </w:r>
          </w:p>
        </w:tc>
        <w:tc>
          <w:tcPr>
            <w:tcW w:w="1100" w:type="dxa"/>
            <w:gridSpan w:val="2"/>
            <w:tcBorders>
              <w:top w:val="single" w:sz="12" w:space="0" w:color="auto"/>
              <w:left w:val="single" w:sz="4" w:space="0" w:color="auto"/>
              <w:bottom w:val="single" w:sz="4" w:space="0" w:color="auto"/>
              <w:right w:val="nil"/>
            </w:tcBorders>
            <w:shd w:val="clear" w:color="auto" w:fill="auto"/>
            <w:noWrap/>
            <w:vAlign w:val="center"/>
            <w:hideMark/>
          </w:tcPr>
          <w:p w14:paraId="64EDBCEA"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Median Housing Cost</w:t>
            </w:r>
          </w:p>
        </w:tc>
        <w:tc>
          <w:tcPr>
            <w:tcW w:w="1220" w:type="dxa"/>
            <w:gridSpan w:val="2"/>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0F75575E"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Amenities Rating</w:t>
            </w:r>
          </w:p>
        </w:tc>
        <w:tc>
          <w:tcPr>
            <w:tcW w:w="1166" w:type="dxa"/>
            <w:gridSpan w:val="2"/>
            <w:tcBorders>
              <w:top w:val="single" w:sz="12" w:space="0" w:color="auto"/>
              <w:left w:val="nil"/>
              <w:bottom w:val="single" w:sz="4" w:space="0" w:color="auto"/>
              <w:right w:val="nil"/>
            </w:tcBorders>
            <w:shd w:val="clear" w:color="auto" w:fill="auto"/>
            <w:noWrap/>
            <w:vAlign w:val="center"/>
            <w:hideMark/>
          </w:tcPr>
          <w:p w14:paraId="23A57C61"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School Quality</w:t>
            </w:r>
          </w:p>
        </w:tc>
        <w:tc>
          <w:tcPr>
            <w:tcW w:w="1260" w:type="dxa"/>
            <w:gridSpan w:val="2"/>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1EA156CE"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Crime Rate</w:t>
            </w:r>
          </w:p>
        </w:tc>
        <w:tc>
          <w:tcPr>
            <w:tcW w:w="1100" w:type="dxa"/>
            <w:gridSpan w:val="2"/>
            <w:tcBorders>
              <w:top w:val="single" w:sz="12" w:space="0" w:color="auto"/>
              <w:left w:val="nil"/>
              <w:bottom w:val="single" w:sz="4" w:space="0" w:color="auto"/>
              <w:right w:val="single" w:sz="12" w:space="0" w:color="auto"/>
            </w:tcBorders>
            <w:shd w:val="clear" w:color="auto" w:fill="auto"/>
            <w:vAlign w:val="center"/>
            <w:hideMark/>
          </w:tcPr>
          <w:p w14:paraId="2E8BCDD7" w14:textId="77777777" w:rsidR="00584169" w:rsidRPr="000B6FD6" w:rsidRDefault="00584169" w:rsidP="000B6FD6">
            <w:pPr>
              <w:spacing w:after="0" w:line="240" w:lineRule="auto"/>
              <w:jc w:val="center"/>
              <w:rPr>
                <w:rFonts w:eastAsia="Times New Roman"/>
                <w:b/>
                <w:bCs/>
                <w:sz w:val="20"/>
                <w:szCs w:val="20"/>
              </w:rPr>
            </w:pPr>
            <w:r w:rsidRPr="000B6FD6">
              <w:rPr>
                <w:rFonts w:eastAsia="Times New Roman"/>
                <w:b/>
                <w:bCs/>
                <w:sz w:val="20"/>
                <w:szCs w:val="20"/>
              </w:rPr>
              <w:t>Commute Distance</w:t>
            </w:r>
          </w:p>
        </w:tc>
      </w:tr>
      <w:tr w:rsidR="00584169" w:rsidRPr="000B6FD6" w14:paraId="326B4625" w14:textId="77777777" w:rsidTr="007C34CD">
        <w:trPr>
          <w:trHeight w:val="216"/>
          <w:jc w:val="center"/>
        </w:trPr>
        <w:tc>
          <w:tcPr>
            <w:tcW w:w="3240" w:type="dxa"/>
            <w:vMerge/>
            <w:tcBorders>
              <w:top w:val="single" w:sz="4" w:space="0" w:color="000000"/>
              <w:left w:val="single" w:sz="12" w:space="0" w:color="auto"/>
              <w:bottom w:val="single" w:sz="12" w:space="0" w:color="auto"/>
              <w:right w:val="single" w:sz="12" w:space="0" w:color="auto"/>
            </w:tcBorders>
            <w:vAlign w:val="center"/>
            <w:hideMark/>
          </w:tcPr>
          <w:p w14:paraId="5F02854B" w14:textId="77777777" w:rsidR="00584169" w:rsidRPr="000B6FD6" w:rsidRDefault="00584169" w:rsidP="000B6FD6">
            <w:pPr>
              <w:spacing w:after="0" w:line="240" w:lineRule="auto"/>
              <w:jc w:val="both"/>
              <w:rPr>
                <w:rFonts w:eastAsia="Times New Roman"/>
                <w:sz w:val="20"/>
                <w:szCs w:val="20"/>
              </w:rPr>
            </w:pPr>
          </w:p>
        </w:tc>
        <w:tc>
          <w:tcPr>
            <w:tcW w:w="600" w:type="dxa"/>
            <w:tcBorders>
              <w:top w:val="single" w:sz="4" w:space="0" w:color="auto"/>
              <w:left w:val="single" w:sz="12" w:space="0" w:color="auto"/>
              <w:bottom w:val="single" w:sz="12" w:space="0" w:color="auto"/>
              <w:right w:val="nil"/>
            </w:tcBorders>
            <w:shd w:val="clear" w:color="auto" w:fill="auto"/>
            <w:noWrap/>
            <w:vAlign w:val="center"/>
            <w:hideMark/>
          </w:tcPr>
          <w:p w14:paraId="7EC07678"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00" w:type="dxa"/>
            <w:tcBorders>
              <w:top w:val="single" w:sz="4" w:space="0" w:color="auto"/>
              <w:left w:val="nil"/>
              <w:bottom w:val="single" w:sz="12" w:space="0" w:color="auto"/>
              <w:right w:val="single" w:sz="4" w:space="0" w:color="auto"/>
            </w:tcBorders>
            <w:shd w:val="clear" w:color="auto" w:fill="auto"/>
            <w:noWrap/>
            <w:vAlign w:val="center"/>
            <w:hideMark/>
          </w:tcPr>
          <w:p w14:paraId="388DCCD6"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80" w:type="dxa"/>
            <w:tcBorders>
              <w:top w:val="single" w:sz="4" w:space="0" w:color="auto"/>
              <w:left w:val="nil"/>
              <w:bottom w:val="single" w:sz="12" w:space="0" w:color="auto"/>
              <w:right w:val="nil"/>
            </w:tcBorders>
            <w:shd w:val="clear" w:color="auto" w:fill="auto"/>
            <w:noWrap/>
            <w:vAlign w:val="center"/>
            <w:hideMark/>
          </w:tcPr>
          <w:p w14:paraId="32F7EF4E"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20" w:type="dxa"/>
            <w:tcBorders>
              <w:top w:val="single" w:sz="4" w:space="0" w:color="auto"/>
              <w:left w:val="nil"/>
              <w:bottom w:val="single" w:sz="12" w:space="0" w:color="auto"/>
              <w:right w:val="single" w:sz="4" w:space="0" w:color="auto"/>
            </w:tcBorders>
            <w:shd w:val="clear" w:color="auto" w:fill="auto"/>
            <w:noWrap/>
            <w:vAlign w:val="center"/>
            <w:hideMark/>
          </w:tcPr>
          <w:p w14:paraId="6CA45AB3"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00" w:type="dxa"/>
            <w:tcBorders>
              <w:top w:val="single" w:sz="4" w:space="0" w:color="auto"/>
              <w:left w:val="nil"/>
              <w:bottom w:val="single" w:sz="12" w:space="0" w:color="auto"/>
              <w:right w:val="nil"/>
            </w:tcBorders>
            <w:shd w:val="clear" w:color="auto" w:fill="auto"/>
            <w:noWrap/>
            <w:vAlign w:val="center"/>
            <w:hideMark/>
          </w:tcPr>
          <w:p w14:paraId="78387D49"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615" w:type="dxa"/>
            <w:tcBorders>
              <w:top w:val="single" w:sz="4" w:space="0" w:color="auto"/>
              <w:left w:val="nil"/>
              <w:bottom w:val="single" w:sz="12" w:space="0" w:color="auto"/>
              <w:right w:val="single" w:sz="4" w:space="0" w:color="auto"/>
            </w:tcBorders>
            <w:shd w:val="clear" w:color="auto" w:fill="auto"/>
            <w:noWrap/>
            <w:vAlign w:val="center"/>
            <w:hideMark/>
          </w:tcPr>
          <w:p w14:paraId="2A2B47E4"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74" w:type="dxa"/>
            <w:tcBorders>
              <w:top w:val="single" w:sz="4" w:space="0" w:color="auto"/>
              <w:left w:val="nil"/>
              <w:bottom w:val="single" w:sz="12" w:space="0" w:color="auto"/>
              <w:right w:val="nil"/>
            </w:tcBorders>
            <w:shd w:val="clear" w:color="auto" w:fill="auto"/>
            <w:noWrap/>
            <w:vAlign w:val="center"/>
            <w:hideMark/>
          </w:tcPr>
          <w:p w14:paraId="5971BEBB"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86" w:type="dxa"/>
            <w:tcBorders>
              <w:top w:val="single" w:sz="4" w:space="0" w:color="auto"/>
              <w:left w:val="nil"/>
              <w:bottom w:val="single" w:sz="12" w:space="0" w:color="auto"/>
              <w:right w:val="single" w:sz="4" w:space="0" w:color="auto"/>
            </w:tcBorders>
            <w:shd w:val="clear" w:color="auto" w:fill="auto"/>
            <w:noWrap/>
            <w:vAlign w:val="center"/>
            <w:hideMark/>
          </w:tcPr>
          <w:p w14:paraId="7BAF0204"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00" w:type="dxa"/>
            <w:tcBorders>
              <w:top w:val="single" w:sz="4" w:space="0" w:color="auto"/>
              <w:left w:val="nil"/>
              <w:bottom w:val="single" w:sz="12" w:space="0" w:color="auto"/>
              <w:right w:val="nil"/>
            </w:tcBorders>
            <w:shd w:val="clear" w:color="auto" w:fill="auto"/>
            <w:noWrap/>
            <w:vAlign w:val="center"/>
            <w:hideMark/>
          </w:tcPr>
          <w:p w14:paraId="03ED5DDA"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00" w:type="dxa"/>
            <w:tcBorders>
              <w:top w:val="single" w:sz="4" w:space="0" w:color="auto"/>
              <w:left w:val="nil"/>
              <w:bottom w:val="single" w:sz="12" w:space="0" w:color="auto"/>
              <w:right w:val="single" w:sz="4" w:space="0" w:color="auto"/>
            </w:tcBorders>
            <w:shd w:val="clear" w:color="auto" w:fill="auto"/>
            <w:noWrap/>
            <w:vAlign w:val="center"/>
            <w:hideMark/>
          </w:tcPr>
          <w:p w14:paraId="44361431"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80" w:type="dxa"/>
            <w:tcBorders>
              <w:top w:val="single" w:sz="4" w:space="0" w:color="auto"/>
              <w:left w:val="nil"/>
              <w:bottom w:val="single" w:sz="12" w:space="0" w:color="auto"/>
              <w:right w:val="nil"/>
            </w:tcBorders>
            <w:shd w:val="clear" w:color="auto" w:fill="auto"/>
            <w:noWrap/>
            <w:vAlign w:val="center"/>
            <w:hideMark/>
          </w:tcPr>
          <w:p w14:paraId="69B164C7"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20" w:type="dxa"/>
            <w:tcBorders>
              <w:top w:val="single" w:sz="4" w:space="0" w:color="auto"/>
              <w:left w:val="nil"/>
              <w:bottom w:val="single" w:sz="12" w:space="0" w:color="auto"/>
              <w:right w:val="single" w:sz="4" w:space="0" w:color="auto"/>
            </w:tcBorders>
            <w:shd w:val="clear" w:color="auto" w:fill="auto"/>
            <w:noWrap/>
            <w:vAlign w:val="center"/>
            <w:hideMark/>
          </w:tcPr>
          <w:p w14:paraId="55742359"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00" w:type="dxa"/>
            <w:tcBorders>
              <w:top w:val="single" w:sz="4" w:space="0" w:color="auto"/>
              <w:left w:val="nil"/>
              <w:bottom w:val="single" w:sz="12" w:space="0" w:color="auto"/>
              <w:right w:val="nil"/>
            </w:tcBorders>
            <w:shd w:val="clear" w:color="auto" w:fill="auto"/>
            <w:noWrap/>
            <w:vAlign w:val="center"/>
            <w:hideMark/>
          </w:tcPr>
          <w:p w14:paraId="637CED3D"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620" w:type="dxa"/>
            <w:tcBorders>
              <w:top w:val="single" w:sz="4" w:space="0" w:color="auto"/>
              <w:left w:val="nil"/>
              <w:bottom w:val="single" w:sz="12" w:space="0" w:color="auto"/>
              <w:right w:val="single" w:sz="4" w:space="0" w:color="auto"/>
            </w:tcBorders>
            <w:shd w:val="clear" w:color="auto" w:fill="auto"/>
            <w:noWrap/>
            <w:vAlign w:val="center"/>
            <w:hideMark/>
          </w:tcPr>
          <w:p w14:paraId="4AA62A2E"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64" w:type="dxa"/>
            <w:tcBorders>
              <w:top w:val="single" w:sz="4" w:space="0" w:color="auto"/>
              <w:left w:val="nil"/>
              <w:bottom w:val="single" w:sz="12" w:space="0" w:color="auto"/>
              <w:right w:val="nil"/>
            </w:tcBorders>
            <w:shd w:val="clear" w:color="auto" w:fill="auto"/>
            <w:noWrap/>
            <w:vAlign w:val="center"/>
            <w:hideMark/>
          </w:tcPr>
          <w:p w14:paraId="63AD0B90"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602" w:type="dxa"/>
            <w:tcBorders>
              <w:top w:val="single" w:sz="4" w:space="0" w:color="auto"/>
              <w:left w:val="nil"/>
              <w:bottom w:val="single" w:sz="12" w:space="0" w:color="auto"/>
              <w:right w:val="single" w:sz="4" w:space="0" w:color="auto"/>
            </w:tcBorders>
            <w:shd w:val="clear" w:color="auto" w:fill="auto"/>
            <w:noWrap/>
            <w:vAlign w:val="center"/>
            <w:hideMark/>
          </w:tcPr>
          <w:p w14:paraId="00A17FE3"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600" w:type="dxa"/>
            <w:tcBorders>
              <w:top w:val="single" w:sz="4" w:space="0" w:color="auto"/>
              <w:left w:val="nil"/>
              <w:bottom w:val="single" w:sz="12" w:space="0" w:color="auto"/>
              <w:right w:val="nil"/>
            </w:tcBorders>
            <w:shd w:val="clear" w:color="auto" w:fill="auto"/>
            <w:noWrap/>
            <w:vAlign w:val="center"/>
            <w:hideMark/>
          </w:tcPr>
          <w:p w14:paraId="4EB3E282"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660" w:type="dxa"/>
            <w:tcBorders>
              <w:top w:val="single" w:sz="4" w:space="0" w:color="auto"/>
              <w:left w:val="nil"/>
              <w:bottom w:val="single" w:sz="12" w:space="0" w:color="auto"/>
              <w:right w:val="single" w:sz="4" w:space="0" w:color="auto"/>
            </w:tcBorders>
            <w:shd w:val="clear" w:color="auto" w:fill="auto"/>
            <w:noWrap/>
            <w:vAlign w:val="center"/>
            <w:hideMark/>
          </w:tcPr>
          <w:p w14:paraId="66057429"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c>
          <w:tcPr>
            <w:tcW w:w="580" w:type="dxa"/>
            <w:tcBorders>
              <w:top w:val="single" w:sz="4" w:space="0" w:color="auto"/>
              <w:left w:val="nil"/>
              <w:bottom w:val="single" w:sz="12" w:space="0" w:color="auto"/>
              <w:right w:val="nil"/>
            </w:tcBorders>
            <w:shd w:val="clear" w:color="auto" w:fill="auto"/>
            <w:noWrap/>
            <w:vAlign w:val="center"/>
            <w:hideMark/>
          </w:tcPr>
          <w:p w14:paraId="7A463384"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Coeff.</w:t>
            </w:r>
          </w:p>
        </w:tc>
        <w:tc>
          <w:tcPr>
            <w:tcW w:w="520" w:type="dxa"/>
            <w:tcBorders>
              <w:top w:val="single" w:sz="4" w:space="0" w:color="auto"/>
              <w:left w:val="nil"/>
              <w:bottom w:val="single" w:sz="12" w:space="0" w:color="auto"/>
              <w:right w:val="single" w:sz="12" w:space="0" w:color="auto"/>
            </w:tcBorders>
            <w:shd w:val="clear" w:color="auto" w:fill="auto"/>
            <w:noWrap/>
            <w:vAlign w:val="center"/>
            <w:hideMark/>
          </w:tcPr>
          <w:p w14:paraId="72333AFF"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t-stat</w:t>
            </w:r>
          </w:p>
        </w:tc>
      </w:tr>
      <w:tr w:rsidR="00584169" w:rsidRPr="000B6FD6" w14:paraId="161C380E" w14:textId="77777777" w:rsidTr="007C34CD">
        <w:trPr>
          <w:trHeight w:val="216"/>
          <w:jc w:val="center"/>
        </w:trPr>
        <w:tc>
          <w:tcPr>
            <w:tcW w:w="3240" w:type="dxa"/>
            <w:tcBorders>
              <w:top w:val="single" w:sz="12" w:space="0" w:color="auto"/>
              <w:left w:val="single" w:sz="12" w:space="0" w:color="auto"/>
              <w:bottom w:val="nil"/>
              <w:right w:val="single" w:sz="12" w:space="0" w:color="auto"/>
            </w:tcBorders>
            <w:shd w:val="clear" w:color="auto" w:fill="auto"/>
            <w:noWrap/>
            <w:vAlign w:val="bottom"/>
            <w:hideMark/>
          </w:tcPr>
          <w:p w14:paraId="586EB682" w14:textId="77777777" w:rsidR="00584169" w:rsidRPr="000B6FD6" w:rsidRDefault="00584169" w:rsidP="000B6FD6">
            <w:pPr>
              <w:spacing w:after="0" w:line="240" w:lineRule="auto"/>
              <w:jc w:val="both"/>
              <w:rPr>
                <w:rFonts w:eastAsia="Times New Roman"/>
                <w:b/>
                <w:bCs/>
                <w:sz w:val="20"/>
                <w:szCs w:val="20"/>
              </w:rPr>
            </w:pPr>
            <w:r w:rsidRPr="000B6FD6">
              <w:rPr>
                <w:rFonts w:eastAsia="Times New Roman"/>
                <w:b/>
                <w:bCs/>
                <w:sz w:val="20"/>
                <w:szCs w:val="20"/>
              </w:rPr>
              <w:t>Endogenous Effects</w:t>
            </w:r>
          </w:p>
        </w:tc>
        <w:tc>
          <w:tcPr>
            <w:tcW w:w="600" w:type="dxa"/>
            <w:tcBorders>
              <w:top w:val="single" w:sz="12" w:space="0" w:color="auto"/>
              <w:left w:val="single" w:sz="12" w:space="0" w:color="auto"/>
              <w:bottom w:val="nil"/>
              <w:right w:val="nil"/>
            </w:tcBorders>
            <w:shd w:val="clear" w:color="auto" w:fill="auto"/>
            <w:noWrap/>
            <w:vAlign w:val="center"/>
            <w:hideMark/>
          </w:tcPr>
          <w:p w14:paraId="2A5C747E" w14:textId="77777777" w:rsidR="00584169" w:rsidRPr="000B6FD6" w:rsidRDefault="00584169" w:rsidP="000B6FD6">
            <w:pPr>
              <w:tabs>
                <w:tab w:val="decimal" w:pos="225"/>
              </w:tabs>
              <w:spacing w:after="0" w:line="240" w:lineRule="auto"/>
              <w:jc w:val="both"/>
              <w:rPr>
                <w:rFonts w:eastAsia="Times New Roman"/>
                <w:b/>
                <w:bCs/>
                <w:sz w:val="20"/>
                <w:szCs w:val="20"/>
              </w:rPr>
            </w:pPr>
          </w:p>
        </w:tc>
        <w:tc>
          <w:tcPr>
            <w:tcW w:w="500" w:type="dxa"/>
            <w:tcBorders>
              <w:top w:val="single" w:sz="12" w:space="0" w:color="auto"/>
              <w:left w:val="nil"/>
              <w:bottom w:val="nil"/>
              <w:right w:val="single" w:sz="4" w:space="0" w:color="auto"/>
            </w:tcBorders>
            <w:shd w:val="clear" w:color="auto" w:fill="auto"/>
            <w:noWrap/>
            <w:vAlign w:val="center"/>
            <w:hideMark/>
          </w:tcPr>
          <w:p w14:paraId="37EDC264" w14:textId="77777777" w:rsidR="00584169" w:rsidRPr="000B6FD6" w:rsidRDefault="00584169"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single" w:sz="12" w:space="0" w:color="auto"/>
              <w:left w:val="nil"/>
              <w:bottom w:val="nil"/>
              <w:right w:val="nil"/>
            </w:tcBorders>
            <w:shd w:val="clear" w:color="auto" w:fill="auto"/>
            <w:noWrap/>
            <w:vAlign w:val="center"/>
            <w:hideMark/>
          </w:tcPr>
          <w:p w14:paraId="37474E25" w14:textId="77777777" w:rsidR="00584169" w:rsidRPr="000B6FD6" w:rsidRDefault="00584169" w:rsidP="000B6FD6">
            <w:pPr>
              <w:tabs>
                <w:tab w:val="decimal" w:pos="116"/>
              </w:tabs>
              <w:spacing w:after="0" w:line="240" w:lineRule="auto"/>
              <w:jc w:val="both"/>
              <w:rPr>
                <w:rFonts w:eastAsia="Times New Roman"/>
                <w:sz w:val="20"/>
                <w:szCs w:val="20"/>
              </w:rPr>
            </w:pPr>
          </w:p>
        </w:tc>
        <w:tc>
          <w:tcPr>
            <w:tcW w:w="520" w:type="dxa"/>
            <w:tcBorders>
              <w:top w:val="single" w:sz="12" w:space="0" w:color="auto"/>
              <w:left w:val="nil"/>
              <w:bottom w:val="nil"/>
              <w:right w:val="nil"/>
            </w:tcBorders>
            <w:shd w:val="clear" w:color="auto" w:fill="auto"/>
            <w:noWrap/>
            <w:vAlign w:val="center"/>
            <w:hideMark/>
          </w:tcPr>
          <w:p w14:paraId="458DB6C9" w14:textId="77777777" w:rsidR="00584169" w:rsidRPr="000B6FD6" w:rsidRDefault="00584169" w:rsidP="000B6FD6">
            <w:pPr>
              <w:tabs>
                <w:tab w:val="decimal" w:pos="164"/>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68AA1296" w14:textId="77777777" w:rsidR="00584169" w:rsidRPr="000B6FD6" w:rsidRDefault="00584169" w:rsidP="000B6FD6">
            <w:pPr>
              <w:tabs>
                <w:tab w:val="decimal" w:pos="187"/>
              </w:tabs>
              <w:spacing w:after="0" w:line="240" w:lineRule="auto"/>
              <w:jc w:val="both"/>
              <w:rPr>
                <w:rFonts w:eastAsia="Times New Roman"/>
                <w:sz w:val="20"/>
                <w:szCs w:val="20"/>
              </w:rPr>
            </w:pPr>
            <w:r w:rsidRPr="000B6FD6">
              <w:rPr>
                <w:rFonts w:eastAsia="Times New Roman"/>
                <w:sz w:val="20"/>
                <w:szCs w:val="20"/>
              </w:rPr>
              <w:t> </w:t>
            </w:r>
          </w:p>
        </w:tc>
        <w:tc>
          <w:tcPr>
            <w:tcW w:w="615" w:type="dxa"/>
            <w:tcBorders>
              <w:top w:val="single" w:sz="12" w:space="0" w:color="auto"/>
              <w:left w:val="nil"/>
              <w:bottom w:val="nil"/>
              <w:right w:val="nil"/>
            </w:tcBorders>
            <w:shd w:val="clear" w:color="auto" w:fill="auto"/>
            <w:noWrap/>
            <w:vAlign w:val="center"/>
            <w:hideMark/>
          </w:tcPr>
          <w:p w14:paraId="5F97EEF7" w14:textId="77777777" w:rsidR="00584169" w:rsidRPr="000B6FD6" w:rsidRDefault="00584169" w:rsidP="000B6FD6">
            <w:pPr>
              <w:tabs>
                <w:tab w:val="decimal" w:pos="217"/>
              </w:tabs>
              <w:spacing w:after="0" w:line="240" w:lineRule="auto"/>
              <w:jc w:val="both"/>
              <w:rPr>
                <w:rFonts w:eastAsia="Times New Roman"/>
                <w:sz w:val="20"/>
                <w:szCs w:val="20"/>
              </w:rPr>
            </w:pPr>
          </w:p>
        </w:tc>
        <w:tc>
          <w:tcPr>
            <w:tcW w:w="574" w:type="dxa"/>
            <w:tcBorders>
              <w:top w:val="single" w:sz="12" w:space="0" w:color="auto"/>
              <w:left w:val="single" w:sz="4" w:space="0" w:color="auto"/>
              <w:bottom w:val="nil"/>
              <w:right w:val="nil"/>
            </w:tcBorders>
            <w:shd w:val="clear" w:color="auto" w:fill="auto"/>
            <w:noWrap/>
            <w:vAlign w:val="center"/>
            <w:hideMark/>
          </w:tcPr>
          <w:p w14:paraId="62B757D7" w14:textId="77777777" w:rsidR="00584169" w:rsidRPr="000B6FD6" w:rsidRDefault="00584169" w:rsidP="000B6FD6">
            <w:pPr>
              <w:tabs>
                <w:tab w:val="decimal" w:pos="140"/>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single" w:sz="12" w:space="0" w:color="auto"/>
              <w:left w:val="nil"/>
              <w:bottom w:val="nil"/>
              <w:right w:val="single" w:sz="4" w:space="0" w:color="auto"/>
            </w:tcBorders>
            <w:shd w:val="clear" w:color="auto" w:fill="auto"/>
            <w:noWrap/>
            <w:vAlign w:val="center"/>
            <w:hideMark/>
          </w:tcPr>
          <w:p w14:paraId="2EB1B257" w14:textId="77777777" w:rsidR="00584169" w:rsidRPr="000B6FD6" w:rsidRDefault="00584169"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single" w:sz="12" w:space="0" w:color="auto"/>
              <w:left w:val="nil"/>
              <w:bottom w:val="nil"/>
              <w:right w:val="nil"/>
            </w:tcBorders>
            <w:shd w:val="clear" w:color="auto" w:fill="auto"/>
            <w:noWrap/>
            <w:vAlign w:val="center"/>
            <w:hideMark/>
          </w:tcPr>
          <w:p w14:paraId="72138846" w14:textId="77777777" w:rsidR="00584169" w:rsidRPr="000B6FD6" w:rsidRDefault="00584169" w:rsidP="000B6FD6">
            <w:pPr>
              <w:tabs>
                <w:tab w:val="decimal" w:pos="152"/>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single" w:sz="12" w:space="0" w:color="auto"/>
              <w:left w:val="nil"/>
              <w:bottom w:val="nil"/>
              <w:right w:val="nil"/>
            </w:tcBorders>
            <w:shd w:val="clear" w:color="auto" w:fill="auto"/>
            <w:noWrap/>
            <w:vAlign w:val="center"/>
            <w:hideMark/>
          </w:tcPr>
          <w:p w14:paraId="725FC902" w14:textId="77777777" w:rsidR="00584169" w:rsidRPr="000B6FD6" w:rsidRDefault="00584169" w:rsidP="000B6FD6">
            <w:pPr>
              <w:tabs>
                <w:tab w:val="decimal" w:pos="183"/>
              </w:tabs>
              <w:spacing w:after="0" w:line="240" w:lineRule="auto"/>
              <w:jc w:val="both"/>
              <w:rPr>
                <w:rFonts w:eastAsia="Times New Roman"/>
                <w:sz w:val="20"/>
                <w:szCs w:val="20"/>
              </w:rPr>
            </w:pPr>
          </w:p>
        </w:tc>
        <w:tc>
          <w:tcPr>
            <w:tcW w:w="580" w:type="dxa"/>
            <w:tcBorders>
              <w:top w:val="single" w:sz="12" w:space="0" w:color="auto"/>
              <w:left w:val="single" w:sz="4" w:space="0" w:color="auto"/>
              <w:bottom w:val="nil"/>
              <w:right w:val="nil"/>
            </w:tcBorders>
            <w:shd w:val="clear" w:color="auto" w:fill="auto"/>
            <w:noWrap/>
            <w:vAlign w:val="center"/>
            <w:hideMark/>
          </w:tcPr>
          <w:p w14:paraId="5FAF3B00" w14:textId="77777777" w:rsidR="00584169" w:rsidRPr="000B6FD6" w:rsidRDefault="00584169" w:rsidP="000B6FD6">
            <w:pPr>
              <w:tabs>
                <w:tab w:val="decimal" w:pos="223"/>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single" w:sz="12" w:space="0" w:color="auto"/>
              <w:left w:val="nil"/>
              <w:bottom w:val="nil"/>
              <w:right w:val="nil"/>
            </w:tcBorders>
            <w:shd w:val="clear" w:color="auto" w:fill="auto"/>
            <w:noWrap/>
            <w:vAlign w:val="center"/>
            <w:hideMark/>
          </w:tcPr>
          <w:p w14:paraId="607750C8" w14:textId="77777777" w:rsidR="00584169" w:rsidRPr="000B6FD6" w:rsidRDefault="00584169" w:rsidP="000B6FD6">
            <w:pPr>
              <w:tabs>
                <w:tab w:val="decimal" w:pos="225"/>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5C62E411" w14:textId="77777777" w:rsidR="00584169" w:rsidRPr="000B6FD6" w:rsidRDefault="00584169" w:rsidP="000B6FD6">
            <w:pPr>
              <w:tabs>
                <w:tab w:val="decimal" w:pos="186"/>
              </w:tabs>
              <w:spacing w:after="0" w:line="240" w:lineRule="auto"/>
              <w:jc w:val="both"/>
              <w:rPr>
                <w:rFonts w:eastAsia="Times New Roman"/>
                <w:sz w:val="20"/>
                <w:szCs w:val="20"/>
              </w:rPr>
            </w:pPr>
            <w:r w:rsidRPr="000B6FD6">
              <w:rPr>
                <w:rFonts w:eastAsia="Times New Roman"/>
                <w:sz w:val="20"/>
                <w:szCs w:val="20"/>
              </w:rPr>
              <w:t> </w:t>
            </w:r>
          </w:p>
        </w:tc>
        <w:tc>
          <w:tcPr>
            <w:tcW w:w="620" w:type="dxa"/>
            <w:tcBorders>
              <w:top w:val="single" w:sz="12" w:space="0" w:color="auto"/>
              <w:left w:val="nil"/>
              <w:bottom w:val="nil"/>
              <w:right w:val="single" w:sz="4" w:space="0" w:color="auto"/>
            </w:tcBorders>
            <w:shd w:val="clear" w:color="auto" w:fill="auto"/>
            <w:noWrap/>
            <w:vAlign w:val="center"/>
            <w:hideMark/>
          </w:tcPr>
          <w:p w14:paraId="58D45117" w14:textId="77777777" w:rsidR="00584169" w:rsidRPr="000B6FD6" w:rsidRDefault="00584169" w:rsidP="000B6FD6">
            <w:pPr>
              <w:tabs>
                <w:tab w:val="decimal" w:pos="3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single" w:sz="12" w:space="0" w:color="auto"/>
              <w:left w:val="nil"/>
              <w:bottom w:val="nil"/>
              <w:right w:val="nil"/>
            </w:tcBorders>
            <w:shd w:val="clear" w:color="auto" w:fill="auto"/>
            <w:noWrap/>
            <w:vAlign w:val="center"/>
            <w:hideMark/>
          </w:tcPr>
          <w:p w14:paraId="6437D54A" w14:textId="77777777" w:rsidR="00584169" w:rsidRPr="000B6FD6" w:rsidRDefault="00584169" w:rsidP="000B6FD6">
            <w:pPr>
              <w:tabs>
                <w:tab w:val="decimal" w:pos="225"/>
              </w:tabs>
              <w:spacing w:after="0" w:line="240" w:lineRule="auto"/>
              <w:jc w:val="both"/>
              <w:rPr>
                <w:rFonts w:eastAsia="Times New Roman"/>
                <w:sz w:val="20"/>
                <w:szCs w:val="20"/>
              </w:rPr>
            </w:pPr>
          </w:p>
        </w:tc>
        <w:tc>
          <w:tcPr>
            <w:tcW w:w="602" w:type="dxa"/>
            <w:tcBorders>
              <w:top w:val="single" w:sz="12" w:space="0" w:color="auto"/>
              <w:left w:val="nil"/>
              <w:bottom w:val="nil"/>
              <w:right w:val="nil"/>
            </w:tcBorders>
            <w:shd w:val="clear" w:color="auto" w:fill="auto"/>
            <w:noWrap/>
            <w:vAlign w:val="center"/>
            <w:hideMark/>
          </w:tcPr>
          <w:p w14:paraId="4CFE7457" w14:textId="77777777" w:rsidR="00584169" w:rsidRPr="000B6FD6" w:rsidRDefault="00584169" w:rsidP="000B6FD6">
            <w:pPr>
              <w:tabs>
                <w:tab w:val="decimal" w:pos="295"/>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58C1FC21" w14:textId="77777777" w:rsidR="00584169" w:rsidRPr="000B6FD6" w:rsidRDefault="00584169" w:rsidP="000B6FD6">
            <w:pPr>
              <w:tabs>
                <w:tab w:val="decimal" w:pos="230"/>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single" w:sz="12" w:space="0" w:color="auto"/>
              <w:left w:val="nil"/>
              <w:bottom w:val="nil"/>
              <w:right w:val="single" w:sz="4" w:space="0" w:color="auto"/>
            </w:tcBorders>
            <w:shd w:val="clear" w:color="auto" w:fill="auto"/>
            <w:noWrap/>
            <w:vAlign w:val="center"/>
            <w:hideMark/>
          </w:tcPr>
          <w:p w14:paraId="24F2659E" w14:textId="77777777" w:rsidR="00584169" w:rsidRPr="000B6FD6" w:rsidRDefault="00584169"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single" w:sz="12" w:space="0" w:color="auto"/>
              <w:left w:val="nil"/>
              <w:bottom w:val="nil"/>
              <w:right w:val="nil"/>
            </w:tcBorders>
            <w:shd w:val="clear" w:color="auto" w:fill="auto"/>
            <w:noWrap/>
            <w:vAlign w:val="center"/>
            <w:hideMark/>
          </w:tcPr>
          <w:p w14:paraId="023119E5" w14:textId="77777777" w:rsidR="00584169" w:rsidRPr="000B6FD6" w:rsidRDefault="00584169" w:rsidP="000B6FD6">
            <w:pPr>
              <w:tabs>
                <w:tab w:val="decimal" w:pos="52"/>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single" w:sz="12" w:space="0" w:color="auto"/>
              <w:left w:val="nil"/>
              <w:bottom w:val="nil"/>
              <w:right w:val="single" w:sz="12" w:space="0" w:color="auto"/>
            </w:tcBorders>
            <w:shd w:val="clear" w:color="auto" w:fill="auto"/>
            <w:noWrap/>
            <w:vAlign w:val="center"/>
            <w:hideMark/>
          </w:tcPr>
          <w:p w14:paraId="30BB2236"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 </w:t>
            </w:r>
          </w:p>
        </w:tc>
      </w:tr>
      <w:tr w:rsidR="00584169" w:rsidRPr="000B6FD6" w14:paraId="3F364FBF"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539F31AC" w14:textId="5354DE90"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Commute Distance</w:t>
            </w:r>
            <w:r w:rsidR="002947B9" w:rsidRPr="000B6FD6">
              <w:rPr>
                <w:rFonts w:eastAsia="Times New Roman"/>
                <w:sz w:val="20"/>
                <w:szCs w:val="20"/>
              </w:rPr>
              <w:t xml:space="preserve"> (</w:t>
            </w:r>
            <w:r w:rsidR="00916C02" w:rsidRPr="000B6FD6">
              <w:rPr>
                <w:rFonts w:eastAsia="Times New Roman"/>
                <w:sz w:val="20"/>
                <w:szCs w:val="20"/>
              </w:rPr>
              <w:t xml:space="preserve">base varies; </w:t>
            </w:r>
            <w:r w:rsidR="002947B9" w:rsidRPr="000B6FD6">
              <w:rPr>
                <w:rFonts w:eastAsia="Times New Roman"/>
                <w:sz w:val="20"/>
                <w:szCs w:val="20"/>
              </w:rPr>
              <w:t>miles)</w:t>
            </w:r>
          </w:p>
        </w:tc>
        <w:tc>
          <w:tcPr>
            <w:tcW w:w="600" w:type="dxa"/>
            <w:tcBorders>
              <w:top w:val="nil"/>
              <w:left w:val="single" w:sz="12" w:space="0" w:color="auto"/>
              <w:bottom w:val="nil"/>
              <w:right w:val="nil"/>
            </w:tcBorders>
            <w:shd w:val="clear" w:color="auto" w:fill="auto"/>
            <w:noWrap/>
            <w:vAlign w:val="center"/>
            <w:hideMark/>
          </w:tcPr>
          <w:p w14:paraId="1D41835B" w14:textId="77777777" w:rsidR="00584169" w:rsidRPr="000B6FD6" w:rsidRDefault="00584169" w:rsidP="000B6FD6">
            <w:pPr>
              <w:tabs>
                <w:tab w:val="decimal" w:pos="225"/>
              </w:tabs>
              <w:spacing w:after="0" w:line="240" w:lineRule="auto"/>
              <w:jc w:val="both"/>
              <w:rPr>
                <w:rFonts w:eastAsia="Times New Roman"/>
                <w:sz w:val="20"/>
                <w:szCs w:val="20"/>
              </w:rPr>
            </w:pPr>
          </w:p>
        </w:tc>
        <w:tc>
          <w:tcPr>
            <w:tcW w:w="500" w:type="dxa"/>
            <w:tcBorders>
              <w:top w:val="nil"/>
              <w:left w:val="nil"/>
              <w:bottom w:val="nil"/>
              <w:right w:val="single" w:sz="4" w:space="0" w:color="auto"/>
            </w:tcBorders>
            <w:shd w:val="clear" w:color="auto" w:fill="auto"/>
            <w:noWrap/>
            <w:vAlign w:val="center"/>
            <w:hideMark/>
          </w:tcPr>
          <w:p w14:paraId="7558F4CD" w14:textId="77777777" w:rsidR="00584169" w:rsidRPr="000B6FD6" w:rsidRDefault="00584169"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70B445E5" w14:textId="77777777" w:rsidR="00584169" w:rsidRPr="000B6FD6" w:rsidRDefault="00584169" w:rsidP="000B6FD6">
            <w:pPr>
              <w:tabs>
                <w:tab w:val="decimal" w:pos="116"/>
              </w:tabs>
              <w:spacing w:after="0" w:line="240" w:lineRule="auto"/>
              <w:jc w:val="both"/>
              <w:rPr>
                <w:rFonts w:eastAsia="Times New Roman"/>
                <w:sz w:val="20"/>
                <w:szCs w:val="20"/>
              </w:rPr>
            </w:pPr>
          </w:p>
        </w:tc>
        <w:tc>
          <w:tcPr>
            <w:tcW w:w="520" w:type="dxa"/>
            <w:tcBorders>
              <w:top w:val="nil"/>
              <w:left w:val="nil"/>
              <w:bottom w:val="nil"/>
              <w:right w:val="nil"/>
            </w:tcBorders>
            <w:shd w:val="clear" w:color="auto" w:fill="auto"/>
            <w:noWrap/>
            <w:vAlign w:val="center"/>
            <w:hideMark/>
          </w:tcPr>
          <w:p w14:paraId="4EEA51E9" w14:textId="77777777" w:rsidR="00584169" w:rsidRPr="000B6FD6" w:rsidRDefault="00584169"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E552AE5" w14:textId="77777777" w:rsidR="00584169" w:rsidRPr="000B6FD6" w:rsidRDefault="00584169" w:rsidP="000B6FD6">
            <w:pPr>
              <w:tabs>
                <w:tab w:val="decimal" w:pos="187"/>
              </w:tabs>
              <w:spacing w:after="0" w:line="240" w:lineRule="auto"/>
              <w:jc w:val="both"/>
              <w:rPr>
                <w:rFonts w:eastAsia="Times New Roman"/>
                <w:sz w:val="20"/>
                <w:szCs w:val="20"/>
              </w:rPr>
            </w:pPr>
            <w:r w:rsidRPr="000B6FD6">
              <w:rPr>
                <w:rFonts w:eastAsia="Times New Roman"/>
                <w:sz w:val="20"/>
                <w:szCs w:val="20"/>
              </w:rPr>
              <w:t> </w:t>
            </w:r>
          </w:p>
        </w:tc>
        <w:tc>
          <w:tcPr>
            <w:tcW w:w="615" w:type="dxa"/>
            <w:tcBorders>
              <w:top w:val="nil"/>
              <w:left w:val="nil"/>
              <w:bottom w:val="nil"/>
              <w:right w:val="nil"/>
            </w:tcBorders>
            <w:shd w:val="clear" w:color="auto" w:fill="auto"/>
            <w:noWrap/>
            <w:vAlign w:val="center"/>
            <w:hideMark/>
          </w:tcPr>
          <w:p w14:paraId="745B3F19" w14:textId="77777777" w:rsidR="00584169" w:rsidRPr="000B6FD6" w:rsidRDefault="00584169"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6B908CDA" w14:textId="77777777" w:rsidR="00584169" w:rsidRPr="000B6FD6" w:rsidRDefault="00584169" w:rsidP="000B6FD6">
            <w:pPr>
              <w:tabs>
                <w:tab w:val="decimal" w:pos="140"/>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23788141" w14:textId="77777777" w:rsidR="00584169" w:rsidRPr="000B6FD6" w:rsidRDefault="00584169"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61037068" w14:textId="77777777" w:rsidR="00584169" w:rsidRPr="000B6FD6" w:rsidRDefault="00584169" w:rsidP="000B6FD6">
            <w:pPr>
              <w:tabs>
                <w:tab w:val="decimal" w:pos="152"/>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nil"/>
            </w:tcBorders>
            <w:shd w:val="clear" w:color="auto" w:fill="auto"/>
            <w:noWrap/>
            <w:vAlign w:val="center"/>
            <w:hideMark/>
          </w:tcPr>
          <w:p w14:paraId="5BFC1ECB" w14:textId="77777777" w:rsidR="00584169" w:rsidRPr="000B6FD6" w:rsidRDefault="00584169"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723649DA" w14:textId="77777777" w:rsidR="00584169" w:rsidRPr="000B6FD6" w:rsidRDefault="00584169" w:rsidP="000B6FD6">
            <w:pPr>
              <w:tabs>
                <w:tab w:val="decimal" w:pos="223"/>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27BC36EB" w14:textId="77777777" w:rsidR="00584169" w:rsidRPr="000B6FD6" w:rsidRDefault="00584169"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7A939F9F" w14:textId="77777777" w:rsidR="00584169" w:rsidRPr="000B6FD6" w:rsidRDefault="00584169" w:rsidP="000B6FD6">
            <w:pPr>
              <w:tabs>
                <w:tab w:val="decimal" w:pos="186"/>
              </w:tabs>
              <w:spacing w:after="0" w:line="240" w:lineRule="auto"/>
              <w:jc w:val="both"/>
              <w:rPr>
                <w:rFonts w:eastAsia="Times New Roman"/>
                <w:sz w:val="20"/>
                <w:szCs w:val="20"/>
              </w:rPr>
            </w:pPr>
            <w:r w:rsidRPr="000B6FD6">
              <w:rPr>
                <w:rFonts w:eastAsia="Times New Roman"/>
                <w:sz w:val="20"/>
                <w:szCs w:val="20"/>
              </w:rPr>
              <w:t> </w:t>
            </w:r>
          </w:p>
        </w:tc>
        <w:tc>
          <w:tcPr>
            <w:tcW w:w="620" w:type="dxa"/>
            <w:tcBorders>
              <w:top w:val="nil"/>
              <w:left w:val="nil"/>
              <w:bottom w:val="nil"/>
              <w:right w:val="single" w:sz="4" w:space="0" w:color="auto"/>
            </w:tcBorders>
            <w:shd w:val="clear" w:color="auto" w:fill="auto"/>
            <w:noWrap/>
            <w:vAlign w:val="center"/>
            <w:hideMark/>
          </w:tcPr>
          <w:p w14:paraId="0C5F9731" w14:textId="77777777" w:rsidR="00584169" w:rsidRPr="000B6FD6" w:rsidRDefault="00584169" w:rsidP="000B6FD6">
            <w:pPr>
              <w:tabs>
                <w:tab w:val="decimal" w:pos="3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4A37F32A" w14:textId="77777777" w:rsidR="00584169" w:rsidRPr="000B6FD6" w:rsidRDefault="00584169" w:rsidP="000B6FD6">
            <w:pPr>
              <w:tabs>
                <w:tab w:val="decimal" w:pos="225"/>
              </w:tabs>
              <w:spacing w:after="0" w:line="240" w:lineRule="auto"/>
              <w:jc w:val="both"/>
              <w:rPr>
                <w:rFonts w:eastAsia="Times New Roman"/>
                <w:sz w:val="20"/>
                <w:szCs w:val="20"/>
              </w:rPr>
            </w:pPr>
          </w:p>
        </w:tc>
        <w:tc>
          <w:tcPr>
            <w:tcW w:w="602" w:type="dxa"/>
            <w:tcBorders>
              <w:top w:val="nil"/>
              <w:left w:val="nil"/>
              <w:bottom w:val="nil"/>
              <w:right w:val="nil"/>
            </w:tcBorders>
            <w:shd w:val="clear" w:color="auto" w:fill="auto"/>
            <w:noWrap/>
            <w:vAlign w:val="center"/>
            <w:hideMark/>
          </w:tcPr>
          <w:p w14:paraId="5F786D38" w14:textId="77777777" w:rsidR="00584169" w:rsidRPr="000B6FD6" w:rsidRDefault="00584169"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2A02EAD1" w14:textId="77777777" w:rsidR="00584169" w:rsidRPr="000B6FD6" w:rsidRDefault="00584169" w:rsidP="000B6FD6">
            <w:pPr>
              <w:tabs>
                <w:tab w:val="decimal" w:pos="230"/>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4CF715DD" w14:textId="77777777" w:rsidR="00584169" w:rsidRPr="000B6FD6" w:rsidRDefault="00584169"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3E0E9321" w14:textId="77777777" w:rsidR="00584169" w:rsidRPr="000B6FD6" w:rsidRDefault="00584169" w:rsidP="000B6FD6">
            <w:pPr>
              <w:tabs>
                <w:tab w:val="decimal" w:pos="52"/>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12" w:space="0" w:color="auto"/>
            </w:tcBorders>
            <w:shd w:val="clear" w:color="auto" w:fill="auto"/>
            <w:noWrap/>
            <w:vAlign w:val="center"/>
            <w:hideMark/>
          </w:tcPr>
          <w:p w14:paraId="502F3CA4" w14:textId="77777777" w:rsidR="00584169" w:rsidRPr="000B6FD6" w:rsidRDefault="00584169" w:rsidP="000B6FD6">
            <w:pPr>
              <w:spacing w:after="0" w:line="240" w:lineRule="auto"/>
              <w:jc w:val="both"/>
              <w:rPr>
                <w:rFonts w:eastAsia="Times New Roman"/>
                <w:sz w:val="20"/>
                <w:szCs w:val="20"/>
              </w:rPr>
            </w:pPr>
            <w:r w:rsidRPr="000B6FD6">
              <w:rPr>
                <w:rFonts w:eastAsia="Times New Roman"/>
                <w:sz w:val="20"/>
                <w:szCs w:val="20"/>
              </w:rPr>
              <w:t> </w:t>
            </w:r>
          </w:p>
        </w:tc>
      </w:tr>
      <w:tr w:rsidR="007C34CD" w:rsidRPr="000B6FD6" w14:paraId="57C55D58"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219E2902" w14:textId="110915C7" w:rsidR="007C34CD" w:rsidRPr="000B6FD6" w:rsidRDefault="007C34CD"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&lt;5</w:t>
            </w:r>
          </w:p>
        </w:tc>
        <w:tc>
          <w:tcPr>
            <w:tcW w:w="600" w:type="dxa"/>
            <w:tcBorders>
              <w:top w:val="nil"/>
              <w:left w:val="single" w:sz="12" w:space="0" w:color="auto"/>
              <w:bottom w:val="nil"/>
              <w:right w:val="nil"/>
            </w:tcBorders>
            <w:shd w:val="clear" w:color="auto" w:fill="auto"/>
            <w:noWrap/>
            <w:vAlign w:val="center"/>
          </w:tcPr>
          <w:p w14:paraId="4B97E44E" w14:textId="64459FED" w:rsidR="007C34CD"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tcPr>
          <w:p w14:paraId="1D1E4F1E" w14:textId="37A9D24D" w:rsidR="007C34CD" w:rsidRPr="000B6FD6" w:rsidRDefault="007C34CD" w:rsidP="000B6FD6">
            <w:pPr>
              <w:tabs>
                <w:tab w:val="decimal" w:pos="225"/>
              </w:tabs>
              <w:spacing w:after="0" w:line="240" w:lineRule="auto"/>
              <w:jc w:val="both"/>
              <w:rPr>
                <w:rFonts w:eastAsia="Times New Roman"/>
                <w:sz w:val="20"/>
                <w:szCs w:val="20"/>
              </w:rPr>
            </w:pPr>
          </w:p>
        </w:tc>
        <w:tc>
          <w:tcPr>
            <w:tcW w:w="580" w:type="dxa"/>
            <w:tcBorders>
              <w:top w:val="nil"/>
              <w:left w:val="nil"/>
              <w:bottom w:val="nil"/>
              <w:right w:val="nil"/>
            </w:tcBorders>
            <w:shd w:val="clear" w:color="auto" w:fill="auto"/>
            <w:noWrap/>
            <w:vAlign w:val="bottom"/>
            <w:hideMark/>
          </w:tcPr>
          <w:p w14:paraId="2ECDF004" w14:textId="26E953CE" w:rsidR="007C34CD" w:rsidRPr="000B6FD6" w:rsidRDefault="007C34CD" w:rsidP="000B6FD6">
            <w:pPr>
              <w:tabs>
                <w:tab w:val="decimal" w:pos="116"/>
              </w:tabs>
              <w:spacing w:after="0" w:line="240" w:lineRule="auto"/>
              <w:jc w:val="both"/>
              <w:rPr>
                <w:rFonts w:eastAsia="Times New Roman"/>
                <w:sz w:val="20"/>
                <w:szCs w:val="20"/>
              </w:rPr>
            </w:pPr>
            <w:r w:rsidRPr="000B6FD6">
              <w:rPr>
                <w:color w:val="000000"/>
                <w:sz w:val="20"/>
                <w:szCs w:val="20"/>
              </w:rPr>
              <w:t>0.38</w:t>
            </w:r>
          </w:p>
        </w:tc>
        <w:tc>
          <w:tcPr>
            <w:tcW w:w="520" w:type="dxa"/>
            <w:tcBorders>
              <w:top w:val="nil"/>
              <w:left w:val="nil"/>
              <w:bottom w:val="nil"/>
              <w:right w:val="nil"/>
            </w:tcBorders>
            <w:shd w:val="clear" w:color="auto" w:fill="auto"/>
            <w:noWrap/>
            <w:vAlign w:val="bottom"/>
            <w:hideMark/>
          </w:tcPr>
          <w:p w14:paraId="2D7D932F" w14:textId="314DDE7D" w:rsidR="007C34CD" w:rsidRPr="000B6FD6" w:rsidRDefault="007C34CD" w:rsidP="000B6FD6">
            <w:pPr>
              <w:tabs>
                <w:tab w:val="decimal" w:pos="164"/>
              </w:tabs>
              <w:spacing w:after="0" w:line="240" w:lineRule="auto"/>
              <w:jc w:val="both"/>
              <w:rPr>
                <w:rFonts w:eastAsia="Times New Roman"/>
                <w:sz w:val="20"/>
                <w:szCs w:val="20"/>
              </w:rPr>
            </w:pPr>
            <w:r w:rsidRPr="000B6FD6">
              <w:rPr>
                <w:color w:val="000000"/>
                <w:sz w:val="20"/>
                <w:szCs w:val="20"/>
              </w:rPr>
              <w:t>3.71</w:t>
            </w:r>
          </w:p>
        </w:tc>
        <w:tc>
          <w:tcPr>
            <w:tcW w:w="600" w:type="dxa"/>
            <w:tcBorders>
              <w:top w:val="nil"/>
              <w:left w:val="single" w:sz="4" w:space="0" w:color="auto"/>
              <w:bottom w:val="nil"/>
              <w:right w:val="nil"/>
            </w:tcBorders>
            <w:shd w:val="clear" w:color="auto" w:fill="auto"/>
            <w:noWrap/>
            <w:vAlign w:val="center"/>
          </w:tcPr>
          <w:p w14:paraId="458441B9" w14:textId="18093549" w:rsidR="007C34CD"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tcPr>
          <w:p w14:paraId="7DDA3344" w14:textId="46CC81A2" w:rsidR="007C34CD" w:rsidRPr="000B6FD6" w:rsidRDefault="007C34CD"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36EDA879" w14:textId="371111CD" w:rsidR="007C34CD" w:rsidRPr="000B6FD6" w:rsidRDefault="007B1461" w:rsidP="007B1461">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5664EBAB" w14:textId="77777777" w:rsidR="007C34CD" w:rsidRPr="000B6FD6" w:rsidRDefault="007C34CD"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78B1E46C" w14:textId="39FCECB1" w:rsidR="007C34CD" w:rsidRPr="000B6FD6" w:rsidRDefault="007B1461" w:rsidP="007B1461">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5B94F340" w14:textId="77777777" w:rsidR="007C34CD" w:rsidRPr="000B6FD6" w:rsidRDefault="007C34CD"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7C44CD5E" w14:textId="2D8DF10B" w:rsidR="007C34CD" w:rsidRPr="000B6FD6" w:rsidRDefault="007C34CD" w:rsidP="000B6FD6">
            <w:pPr>
              <w:tabs>
                <w:tab w:val="decimal" w:pos="223"/>
              </w:tabs>
              <w:spacing w:after="0" w:line="240" w:lineRule="auto"/>
              <w:jc w:val="both"/>
              <w:rPr>
                <w:rFonts w:eastAsia="Times New Roman"/>
                <w:sz w:val="20"/>
                <w:szCs w:val="20"/>
              </w:rPr>
            </w:pPr>
            <w:r w:rsidRPr="000B6FD6">
              <w:rPr>
                <w:color w:val="000000"/>
                <w:sz w:val="20"/>
                <w:szCs w:val="20"/>
              </w:rPr>
              <w:t>-0.11</w:t>
            </w:r>
          </w:p>
        </w:tc>
        <w:tc>
          <w:tcPr>
            <w:tcW w:w="520" w:type="dxa"/>
            <w:tcBorders>
              <w:top w:val="nil"/>
              <w:left w:val="nil"/>
              <w:bottom w:val="nil"/>
              <w:right w:val="nil"/>
            </w:tcBorders>
            <w:shd w:val="clear" w:color="auto" w:fill="auto"/>
            <w:noWrap/>
            <w:vAlign w:val="bottom"/>
            <w:hideMark/>
          </w:tcPr>
          <w:p w14:paraId="7687774C" w14:textId="6FFE7536" w:rsidR="007C34CD" w:rsidRPr="000B6FD6" w:rsidRDefault="007C34CD" w:rsidP="000B6FD6">
            <w:pPr>
              <w:tabs>
                <w:tab w:val="decimal" w:pos="225"/>
              </w:tabs>
              <w:spacing w:after="0" w:line="240" w:lineRule="auto"/>
              <w:jc w:val="both"/>
              <w:rPr>
                <w:rFonts w:eastAsia="Times New Roman"/>
                <w:sz w:val="20"/>
                <w:szCs w:val="20"/>
              </w:rPr>
            </w:pPr>
            <w:r w:rsidRPr="000B6FD6">
              <w:rPr>
                <w:color w:val="000000"/>
                <w:sz w:val="20"/>
                <w:szCs w:val="20"/>
              </w:rPr>
              <w:t>-1.94</w:t>
            </w:r>
          </w:p>
        </w:tc>
        <w:tc>
          <w:tcPr>
            <w:tcW w:w="600" w:type="dxa"/>
            <w:tcBorders>
              <w:top w:val="nil"/>
              <w:left w:val="single" w:sz="4" w:space="0" w:color="auto"/>
              <w:bottom w:val="nil"/>
              <w:right w:val="nil"/>
            </w:tcBorders>
            <w:shd w:val="clear" w:color="auto" w:fill="auto"/>
            <w:noWrap/>
            <w:vAlign w:val="bottom"/>
            <w:hideMark/>
          </w:tcPr>
          <w:p w14:paraId="45F88B08" w14:textId="365534BD" w:rsidR="007C34CD" w:rsidRPr="000B6FD6" w:rsidRDefault="007C34CD" w:rsidP="000B6FD6">
            <w:pPr>
              <w:tabs>
                <w:tab w:val="decimal" w:pos="186"/>
              </w:tabs>
              <w:spacing w:after="0" w:line="240" w:lineRule="auto"/>
              <w:jc w:val="both"/>
              <w:rPr>
                <w:rFonts w:eastAsia="Times New Roman"/>
                <w:sz w:val="20"/>
                <w:szCs w:val="20"/>
              </w:rPr>
            </w:pPr>
            <w:r w:rsidRPr="000B6FD6">
              <w:rPr>
                <w:color w:val="000000"/>
                <w:sz w:val="20"/>
                <w:szCs w:val="20"/>
              </w:rPr>
              <w:t>0.20</w:t>
            </w:r>
          </w:p>
        </w:tc>
        <w:tc>
          <w:tcPr>
            <w:tcW w:w="620" w:type="dxa"/>
            <w:tcBorders>
              <w:top w:val="nil"/>
              <w:left w:val="nil"/>
              <w:bottom w:val="nil"/>
              <w:right w:val="single" w:sz="4" w:space="0" w:color="auto"/>
            </w:tcBorders>
            <w:shd w:val="clear" w:color="auto" w:fill="auto"/>
            <w:noWrap/>
            <w:vAlign w:val="bottom"/>
            <w:hideMark/>
          </w:tcPr>
          <w:p w14:paraId="6AFA8573" w14:textId="6FA22A4B" w:rsidR="007C34CD" w:rsidRPr="000B6FD6" w:rsidRDefault="007C34CD" w:rsidP="000B6FD6">
            <w:pPr>
              <w:tabs>
                <w:tab w:val="decimal" w:pos="307"/>
              </w:tabs>
              <w:spacing w:after="0" w:line="240" w:lineRule="auto"/>
              <w:jc w:val="both"/>
              <w:rPr>
                <w:rFonts w:eastAsia="Times New Roman"/>
                <w:sz w:val="20"/>
                <w:szCs w:val="20"/>
              </w:rPr>
            </w:pPr>
            <w:r w:rsidRPr="000B6FD6">
              <w:rPr>
                <w:color w:val="000000"/>
                <w:sz w:val="20"/>
                <w:szCs w:val="20"/>
              </w:rPr>
              <w:t>1.60</w:t>
            </w:r>
          </w:p>
        </w:tc>
        <w:tc>
          <w:tcPr>
            <w:tcW w:w="564" w:type="dxa"/>
            <w:tcBorders>
              <w:top w:val="nil"/>
              <w:left w:val="nil"/>
              <w:bottom w:val="nil"/>
              <w:right w:val="nil"/>
            </w:tcBorders>
            <w:shd w:val="clear" w:color="auto" w:fill="auto"/>
            <w:noWrap/>
            <w:vAlign w:val="center"/>
            <w:hideMark/>
          </w:tcPr>
          <w:p w14:paraId="27DE7AEC" w14:textId="5AA9E398" w:rsidR="007C34CD" w:rsidRPr="000B6FD6" w:rsidRDefault="007B1461"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602" w:type="dxa"/>
            <w:tcBorders>
              <w:top w:val="nil"/>
              <w:left w:val="nil"/>
              <w:bottom w:val="nil"/>
              <w:right w:val="nil"/>
            </w:tcBorders>
            <w:shd w:val="clear" w:color="auto" w:fill="auto"/>
            <w:noWrap/>
            <w:vAlign w:val="center"/>
            <w:hideMark/>
          </w:tcPr>
          <w:p w14:paraId="1D1E8A2D" w14:textId="77777777" w:rsidR="007C34CD" w:rsidRPr="000B6FD6" w:rsidRDefault="007C34CD"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tcPr>
          <w:p w14:paraId="37A79D0A" w14:textId="3CF4B2A9" w:rsidR="007C34CD" w:rsidRPr="000B6FD6" w:rsidRDefault="007B1461" w:rsidP="007B1461">
            <w:pPr>
              <w:tabs>
                <w:tab w:val="decimal" w:pos="230"/>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tcPr>
          <w:p w14:paraId="3440676B" w14:textId="5E1718C2" w:rsidR="007C34CD" w:rsidRPr="000B6FD6" w:rsidRDefault="007C34CD" w:rsidP="000B6FD6">
            <w:pPr>
              <w:tabs>
                <w:tab w:val="decimal" w:pos="260"/>
              </w:tabs>
              <w:spacing w:after="0" w:line="240" w:lineRule="auto"/>
              <w:jc w:val="both"/>
              <w:rPr>
                <w:rFonts w:eastAsia="Times New Roman"/>
                <w:sz w:val="20"/>
                <w:szCs w:val="20"/>
              </w:rPr>
            </w:pPr>
          </w:p>
        </w:tc>
        <w:tc>
          <w:tcPr>
            <w:tcW w:w="580" w:type="dxa"/>
            <w:tcBorders>
              <w:top w:val="nil"/>
              <w:left w:val="nil"/>
              <w:bottom w:val="nil"/>
              <w:right w:val="nil"/>
            </w:tcBorders>
            <w:shd w:val="clear" w:color="auto" w:fill="auto"/>
            <w:noWrap/>
            <w:vAlign w:val="center"/>
            <w:hideMark/>
          </w:tcPr>
          <w:p w14:paraId="25CC4518" w14:textId="5E2D589C" w:rsidR="007C34CD"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28837FAA" w14:textId="77777777" w:rsidR="007C34CD" w:rsidRPr="000B6FD6" w:rsidRDefault="007C34CD" w:rsidP="000B6FD6">
            <w:pPr>
              <w:spacing w:after="0" w:line="240" w:lineRule="auto"/>
              <w:jc w:val="both"/>
              <w:rPr>
                <w:rFonts w:eastAsia="Times New Roman"/>
                <w:sz w:val="20"/>
                <w:szCs w:val="20"/>
              </w:rPr>
            </w:pPr>
            <w:r w:rsidRPr="000B6FD6">
              <w:rPr>
                <w:rFonts w:eastAsia="Times New Roman"/>
                <w:sz w:val="20"/>
                <w:szCs w:val="20"/>
              </w:rPr>
              <w:t> </w:t>
            </w:r>
          </w:p>
        </w:tc>
      </w:tr>
      <w:tr w:rsidR="00433C2E" w:rsidRPr="000B6FD6" w14:paraId="6EE489C8" w14:textId="77777777" w:rsidTr="007B1461">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499AE8D6" w14:textId="0989FEE8" w:rsidR="00433C2E" w:rsidRPr="000B6FD6" w:rsidRDefault="00433C2E"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5-10</w:t>
            </w:r>
          </w:p>
        </w:tc>
        <w:tc>
          <w:tcPr>
            <w:tcW w:w="600" w:type="dxa"/>
            <w:tcBorders>
              <w:top w:val="nil"/>
              <w:left w:val="single" w:sz="12" w:space="0" w:color="auto"/>
              <w:bottom w:val="nil"/>
              <w:right w:val="nil"/>
            </w:tcBorders>
            <w:shd w:val="clear" w:color="auto" w:fill="auto"/>
            <w:noWrap/>
            <w:vAlign w:val="center"/>
          </w:tcPr>
          <w:p w14:paraId="56E33AD9" w14:textId="6C74FF28" w:rsidR="00433C2E"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tcPr>
          <w:p w14:paraId="66558041" w14:textId="51ACF22B" w:rsidR="00433C2E" w:rsidRPr="000B6FD6" w:rsidRDefault="00433C2E" w:rsidP="000B6FD6">
            <w:pPr>
              <w:tabs>
                <w:tab w:val="decimal" w:pos="225"/>
              </w:tabs>
              <w:spacing w:after="0" w:line="240" w:lineRule="auto"/>
              <w:jc w:val="both"/>
              <w:rPr>
                <w:rFonts w:eastAsia="Times New Roman"/>
                <w:sz w:val="20"/>
                <w:szCs w:val="20"/>
              </w:rPr>
            </w:pPr>
          </w:p>
        </w:tc>
        <w:tc>
          <w:tcPr>
            <w:tcW w:w="580" w:type="dxa"/>
            <w:tcBorders>
              <w:top w:val="nil"/>
              <w:left w:val="nil"/>
              <w:bottom w:val="nil"/>
              <w:right w:val="nil"/>
            </w:tcBorders>
            <w:shd w:val="clear" w:color="auto" w:fill="auto"/>
            <w:noWrap/>
            <w:vAlign w:val="center"/>
            <w:hideMark/>
          </w:tcPr>
          <w:p w14:paraId="79262D41" w14:textId="51C0966E" w:rsidR="00433C2E"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48A3092E" w14:textId="77777777" w:rsidR="00433C2E" w:rsidRPr="000B6FD6" w:rsidRDefault="00433C2E"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31A3F936" w14:textId="67917873" w:rsidR="00433C2E"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7A9C5BBD" w14:textId="77777777" w:rsidR="00433C2E" w:rsidRPr="000B6FD6" w:rsidRDefault="00433C2E"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5B785AAB" w14:textId="24E4B499" w:rsidR="00433C2E" w:rsidRPr="000B6FD6" w:rsidRDefault="007B1461" w:rsidP="007B1461">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333B3973" w14:textId="77777777" w:rsidR="00433C2E" w:rsidRPr="000B6FD6" w:rsidRDefault="00433C2E"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0217B6C4" w14:textId="1FE1F190" w:rsidR="00433C2E" w:rsidRPr="000B6FD6" w:rsidRDefault="007B1461" w:rsidP="007B1461">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62CB2357" w14:textId="77777777" w:rsidR="00433C2E" w:rsidRPr="000B6FD6" w:rsidRDefault="00433C2E"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2617ABE8" w14:textId="278D5781" w:rsidR="00433C2E" w:rsidRPr="000B6FD6" w:rsidRDefault="00433C2E" w:rsidP="000B6FD6">
            <w:pPr>
              <w:tabs>
                <w:tab w:val="decimal" w:pos="223"/>
              </w:tabs>
              <w:spacing w:after="0" w:line="240" w:lineRule="auto"/>
              <w:jc w:val="both"/>
              <w:rPr>
                <w:rFonts w:eastAsia="Times New Roman"/>
                <w:sz w:val="20"/>
                <w:szCs w:val="20"/>
              </w:rPr>
            </w:pPr>
            <w:r w:rsidRPr="000B6FD6">
              <w:rPr>
                <w:color w:val="000000"/>
                <w:sz w:val="20"/>
                <w:szCs w:val="20"/>
              </w:rPr>
              <w:t>-0.11</w:t>
            </w:r>
          </w:p>
        </w:tc>
        <w:tc>
          <w:tcPr>
            <w:tcW w:w="520" w:type="dxa"/>
            <w:tcBorders>
              <w:top w:val="nil"/>
              <w:left w:val="nil"/>
              <w:bottom w:val="nil"/>
              <w:right w:val="nil"/>
            </w:tcBorders>
            <w:shd w:val="clear" w:color="auto" w:fill="auto"/>
            <w:noWrap/>
            <w:vAlign w:val="bottom"/>
            <w:hideMark/>
          </w:tcPr>
          <w:p w14:paraId="752AB1F4" w14:textId="0CE3AFF0" w:rsidR="00433C2E" w:rsidRPr="000B6FD6" w:rsidRDefault="00433C2E" w:rsidP="000B6FD6">
            <w:pPr>
              <w:tabs>
                <w:tab w:val="decimal" w:pos="225"/>
              </w:tabs>
              <w:spacing w:after="0" w:line="240" w:lineRule="auto"/>
              <w:jc w:val="both"/>
              <w:rPr>
                <w:rFonts w:eastAsia="Times New Roman"/>
                <w:sz w:val="20"/>
                <w:szCs w:val="20"/>
              </w:rPr>
            </w:pPr>
            <w:r w:rsidRPr="000B6FD6">
              <w:rPr>
                <w:color w:val="000000"/>
                <w:sz w:val="20"/>
                <w:szCs w:val="20"/>
              </w:rPr>
              <w:t>-1.94</w:t>
            </w:r>
          </w:p>
        </w:tc>
        <w:tc>
          <w:tcPr>
            <w:tcW w:w="600" w:type="dxa"/>
            <w:tcBorders>
              <w:top w:val="nil"/>
              <w:left w:val="single" w:sz="4" w:space="0" w:color="auto"/>
              <w:bottom w:val="nil"/>
              <w:right w:val="nil"/>
            </w:tcBorders>
            <w:shd w:val="clear" w:color="auto" w:fill="auto"/>
            <w:noWrap/>
            <w:vAlign w:val="center"/>
            <w:hideMark/>
          </w:tcPr>
          <w:p w14:paraId="01F9D335" w14:textId="08A9A0B2" w:rsidR="00433C2E"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nil"/>
              <w:right w:val="single" w:sz="4" w:space="0" w:color="auto"/>
            </w:tcBorders>
            <w:shd w:val="clear" w:color="auto" w:fill="auto"/>
            <w:noWrap/>
            <w:vAlign w:val="center"/>
          </w:tcPr>
          <w:p w14:paraId="68284B94" w14:textId="74096C05" w:rsidR="00433C2E" w:rsidRPr="000B6FD6" w:rsidRDefault="00433C2E"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center"/>
            <w:hideMark/>
          </w:tcPr>
          <w:p w14:paraId="6CE856DD" w14:textId="428D155C" w:rsidR="00433C2E" w:rsidRPr="000B6FD6" w:rsidRDefault="007B1461"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602" w:type="dxa"/>
            <w:tcBorders>
              <w:top w:val="nil"/>
              <w:left w:val="nil"/>
              <w:bottom w:val="nil"/>
              <w:right w:val="nil"/>
            </w:tcBorders>
            <w:shd w:val="clear" w:color="auto" w:fill="auto"/>
            <w:noWrap/>
            <w:vAlign w:val="center"/>
            <w:hideMark/>
          </w:tcPr>
          <w:p w14:paraId="285954EC" w14:textId="77777777" w:rsidR="00433C2E" w:rsidRPr="000B6FD6" w:rsidRDefault="00433C2E"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61BA64C" w14:textId="1276D656" w:rsidR="00433C2E" w:rsidRPr="000B6FD6" w:rsidRDefault="007B1461" w:rsidP="007B1461">
            <w:pPr>
              <w:tabs>
                <w:tab w:val="decimal" w:pos="230"/>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nil"/>
              <w:right w:val="single" w:sz="4" w:space="0" w:color="auto"/>
            </w:tcBorders>
            <w:shd w:val="clear" w:color="auto" w:fill="auto"/>
            <w:noWrap/>
            <w:vAlign w:val="center"/>
            <w:hideMark/>
          </w:tcPr>
          <w:p w14:paraId="6DC76CCD" w14:textId="77777777" w:rsidR="00433C2E" w:rsidRPr="000B6FD6" w:rsidRDefault="00433C2E"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16A5E159" w14:textId="7C3025F6" w:rsidR="00433C2E"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74C2C3F5" w14:textId="77777777" w:rsidR="00433C2E" w:rsidRPr="000B6FD6" w:rsidRDefault="00433C2E"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5DF6C521" w14:textId="77777777" w:rsidTr="007B1461">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5086C08E" w14:textId="655B3F62"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10-20</w:t>
            </w:r>
          </w:p>
        </w:tc>
        <w:tc>
          <w:tcPr>
            <w:tcW w:w="600" w:type="dxa"/>
            <w:tcBorders>
              <w:top w:val="nil"/>
              <w:left w:val="single" w:sz="12" w:space="0" w:color="auto"/>
              <w:bottom w:val="nil"/>
              <w:right w:val="nil"/>
            </w:tcBorders>
            <w:shd w:val="clear" w:color="auto" w:fill="auto"/>
            <w:noWrap/>
            <w:vAlign w:val="center"/>
            <w:hideMark/>
          </w:tcPr>
          <w:p w14:paraId="5C95EE03" w14:textId="0B7DDF80"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7ED8CE8A" w14:textId="77777777"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5E788216" w14:textId="3DA063ED"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50236CDE" w14:textId="77777777" w:rsidR="00BC4ABB" w:rsidRPr="000B6FD6" w:rsidRDefault="00BC4ABB"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7A14698B" w14:textId="395E0924"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7C220516" w14:textId="77777777" w:rsidR="00BC4ABB" w:rsidRPr="000B6FD6" w:rsidRDefault="00BC4ABB"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402A061E" w14:textId="74F1243A" w:rsidR="00BC4ABB" w:rsidRPr="000B6FD6" w:rsidRDefault="000E04C5" w:rsidP="007B1461">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273980BF" w14:textId="77777777" w:rsidR="00BC4ABB" w:rsidRPr="000B6FD6" w:rsidRDefault="00BC4ABB"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640CDCAD" w14:textId="60405AA2" w:rsidR="00BC4ABB" w:rsidRPr="000B6FD6" w:rsidRDefault="007B1461" w:rsidP="007B1461">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5C7AC904" w14:textId="77777777" w:rsidR="00BC4ABB" w:rsidRPr="000B6FD6" w:rsidRDefault="00BC4ABB"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6D7E7511" w14:textId="6E867413"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275E0C7B" w14:textId="77777777" w:rsidR="00BC4ABB" w:rsidRPr="000B6FD6" w:rsidRDefault="00BC4ABB"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5E119589" w14:textId="0DC99018" w:rsidR="00BC4ABB"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nil"/>
              <w:right w:val="single" w:sz="4" w:space="0" w:color="auto"/>
            </w:tcBorders>
            <w:shd w:val="clear" w:color="auto" w:fill="auto"/>
            <w:noWrap/>
            <w:vAlign w:val="center"/>
          </w:tcPr>
          <w:p w14:paraId="63A29437" w14:textId="2881E04C" w:rsidR="00BC4ABB" w:rsidRPr="000B6FD6" w:rsidRDefault="00BC4ABB"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center"/>
          </w:tcPr>
          <w:p w14:paraId="6F1CEDF3" w14:textId="0C25AD59" w:rsidR="00BC4ABB" w:rsidRPr="000B6FD6" w:rsidRDefault="007B1461"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602" w:type="dxa"/>
            <w:tcBorders>
              <w:top w:val="nil"/>
              <w:left w:val="nil"/>
              <w:bottom w:val="nil"/>
              <w:right w:val="nil"/>
            </w:tcBorders>
            <w:shd w:val="clear" w:color="auto" w:fill="auto"/>
            <w:noWrap/>
            <w:vAlign w:val="center"/>
          </w:tcPr>
          <w:p w14:paraId="43E179AA" w14:textId="5688F719" w:rsidR="00BC4ABB" w:rsidRPr="000B6FD6" w:rsidRDefault="00BC4ABB"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hideMark/>
          </w:tcPr>
          <w:p w14:paraId="3C05484C" w14:textId="4D2BDF37"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-0.18</w:t>
            </w:r>
          </w:p>
        </w:tc>
        <w:tc>
          <w:tcPr>
            <w:tcW w:w="660" w:type="dxa"/>
            <w:tcBorders>
              <w:top w:val="nil"/>
              <w:left w:val="nil"/>
              <w:bottom w:val="nil"/>
              <w:right w:val="single" w:sz="4" w:space="0" w:color="auto"/>
            </w:tcBorders>
            <w:shd w:val="clear" w:color="auto" w:fill="auto"/>
            <w:noWrap/>
            <w:vAlign w:val="bottom"/>
            <w:hideMark/>
          </w:tcPr>
          <w:p w14:paraId="31B367C6" w14:textId="6F20FE49"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-1.50</w:t>
            </w:r>
          </w:p>
        </w:tc>
        <w:tc>
          <w:tcPr>
            <w:tcW w:w="580" w:type="dxa"/>
            <w:tcBorders>
              <w:top w:val="nil"/>
              <w:left w:val="nil"/>
              <w:bottom w:val="nil"/>
              <w:right w:val="nil"/>
            </w:tcBorders>
            <w:shd w:val="clear" w:color="auto" w:fill="auto"/>
            <w:noWrap/>
            <w:vAlign w:val="center"/>
            <w:hideMark/>
          </w:tcPr>
          <w:p w14:paraId="4AA0DA71" w14:textId="186F2D78"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17E8EDC8"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54A1A190" w14:textId="77777777" w:rsidTr="007B1461">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5EF57B06" w14:textId="7E6253CC"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&gt;20</w:t>
            </w:r>
          </w:p>
        </w:tc>
        <w:tc>
          <w:tcPr>
            <w:tcW w:w="600" w:type="dxa"/>
            <w:tcBorders>
              <w:top w:val="nil"/>
              <w:left w:val="single" w:sz="12" w:space="0" w:color="auto"/>
              <w:bottom w:val="nil"/>
              <w:right w:val="nil"/>
            </w:tcBorders>
            <w:shd w:val="clear" w:color="auto" w:fill="auto"/>
            <w:noWrap/>
            <w:vAlign w:val="bottom"/>
            <w:hideMark/>
          </w:tcPr>
          <w:p w14:paraId="0A7D6E93" w14:textId="422B5C43"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-0.30</w:t>
            </w:r>
          </w:p>
        </w:tc>
        <w:tc>
          <w:tcPr>
            <w:tcW w:w="500" w:type="dxa"/>
            <w:tcBorders>
              <w:top w:val="nil"/>
              <w:left w:val="nil"/>
              <w:bottom w:val="nil"/>
              <w:right w:val="single" w:sz="4" w:space="0" w:color="auto"/>
            </w:tcBorders>
            <w:shd w:val="clear" w:color="auto" w:fill="auto"/>
            <w:noWrap/>
            <w:vAlign w:val="bottom"/>
            <w:hideMark/>
          </w:tcPr>
          <w:p w14:paraId="0907A545" w14:textId="702BA94C"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-1.37</w:t>
            </w:r>
          </w:p>
        </w:tc>
        <w:tc>
          <w:tcPr>
            <w:tcW w:w="580" w:type="dxa"/>
            <w:tcBorders>
              <w:top w:val="nil"/>
              <w:left w:val="nil"/>
              <w:bottom w:val="nil"/>
              <w:right w:val="nil"/>
            </w:tcBorders>
            <w:shd w:val="clear" w:color="auto" w:fill="auto"/>
            <w:noWrap/>
            <w:vAlign w:val="center"/>
            <w:hideMark/>
          </w:tcPr>
          <w:p w14:paraId="055BED76" w14:textId="236A638E"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32B16D7B" w14:textId="77777777" w:rsidR="00BC4ABB" w:rsidRPr="000B6FD6" w:rsidRDefault="00BC4ABB"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5BC1E891" w14:textId="17FF549F"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3903D732" w14:textId="77777777" w:rsidR="00BC4ABB" w:rsidRPr="000B6FD6" w:rsidRDefault="00BC4ABB"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63636ECE" w14:textId="6207AC52" w:rsidR="00BC4ABB" w:rsidRPr="000B6FD6" w:rsidRDefault="000E04C5" w:rsidP="007B1461">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789EC646" w14:textId="77777777" w:rsidR="00BC4ABB" w:rsidRPr="000B6FD6" w:rsidRDefault="00BC4ABB"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bottom"/>
            <w:hideMark/>
          </w:tcPr>
          <w:p w14:paraId="7E296BC7" w14:textId="305FFE2D" w:rsidR="00BC4ABB" w:rsidRPr="000B6FD6" w:rsidRDefault="00BC4ABB" w:rsidP="000B6FD6">
            <w:pPr>
              <w:tabs>
                <w:tab w:val="decimal" w:pos="152"/>
              </w:tabs>
              <w:spacing w:after="0" w:line="240" w:lineRule="auto"/>
              <w:jc w:val="both"/>
              <w:rPr>
                <w:rFonts w:eastAsia="Times New Roman"/>
                <w:sz w:val="20"/>
                <w:szCs w:val="20"/>
              </w:rPr>
            </w:pPr>
            <w:r w:rsidRPr="000B6FD6">
              <w:rPr>
                <w:color w:val="000000"/>
                <w:sz w:val="20"/>
                <w:szCs w:val="20"/>
              </w:rPr>
              <w:t>-0.40</w:t>
            </w:r>
          </w:p>
        </w:tc>
        <w:tc>
          <w:tcPr>
            <w:tcW w:w="500" w:type="dxa"/>
            <w:tcBorders>
              <w:top w:val="nil"/>
              <w:left w:val="nil"/>
              <w:bottom w:val="nil"/>
              <w:right w:val="nil"/>
            </w:tcBorders>
            <w:shd w:val="clear" w:color="auto" w:fill="auto"/>
            <w:noWrap/>
            <w:vAlign w:val="bottom"/>
            <w:hideMark/>
          </w:tcPr>
          <w:p w14:paraId="1618B758" w14:textId="329E8C07" w:rsidR="00BC4ABB" w:rsidRPr="000B6FD6" w:rsidRDefault="00BC4ABB" w:rsidP="000B6FD6">
            <w:pPr>
              <w:tabs>
                <w:tab w:val="decimal" w:pos="183"/>
              </w:tabs>
              <w:spacing w:after="0" w:line="240" w:lineRule="auto"/>
              <w:jc w:val="both"/>
              <w:rPr>
                <w:rFonts w:eastAsia="Times New Roman"/>
                <w:sz w:val="20"/>
                <w:szCs w:val="20"/>
              </w:rPr>
            </w:pPr>
            <w:r w:rsidRPr="000B6FD6">
              <w:rPr>
                <w:color w:val="000000"/>
                <w:sz w:val="20"/>
                <w:szCs w:val="20"/>
              </w:rPr>
              <w:t>-4.01</w:t>
            </w:r>
          </w:p>
        </w:tc>
        <w:tc>
          <w:tcPr>
            <w:tcW w:w="580" w:type="dxa"/>
            <w:tcBorders>
              <w:top w:val="nil"/>
              <w:left w:val="single" w:sz="4" w:space="0" w:color="auto"/>
              <w:bottom w:val="nil"/>
              <w:right w:val="nil"/>
            </w:tcBorders>
            <w:shd w:val="clear" w:color="auto" w:fill="auto"/>
            <w:noWrap/>
            <w:vAlign w:val="center"/>
            <w:hideMark/>
          </w:tcPr>
          <w:p w14:paraId="4D3E5CCC" w14:textId="371FEB93"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6C7ACFEE" w14:textId="77777777" w:rsidR="00BC4ABB" w:rsidRPr="000B6FD6" w:rsidRDefault="00BC4ABB"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3E87C4CA" w14:textId="5CDFB903" w:rsidR="00BC4ABB"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nil"/>
              <w:right w:val="single" w:sz="4" w:space="0" w:color="auto"/>
            </w:tcBorders>
            <w:shd w:val="clear" w:color="auto" w:fill="auto"/>
            <w:noWrap/>
            <w:vAlign w:val="center"/>
          </w:tcPr>
          <w:p w14:paraId="79953F70" w14:textId="19868D6B" w:rsidR="00BC4ABB" w:rsidRPr="000B6FD6" w:rsidRDefault="00BC4ABB"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bottom"/>
            <w:hideMark/>
          </w:tcPr>
          <w:p w14:paraId="6DAFA585" w14:textId="20EBD36E"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-0.24</w:t>
            </w:r>
          </w:p>
        </w:tc>
        <w:tc>
          <w:tcPr>
            <w:tcW w:w="602" w:type="dxa"/>
            <w:tcBorders>
              <w:top w:val="nil"/>
              <w:left w:val="nil"/>
              <w:bottom w:val="nil"/>
              <w:right w:val="nil"/>
            </w:tcBorders>
            <w:shd w:val="clear" w:color="auto" w:fill="auto"/>
            <w:noWrap/>
            <w:vAlign w:val="bottom"/>
            <w:hideMark/>
          </w:tcPr>
          <w:p w14:paraId="066DC6A5" w14:textId="2C1CC74A" w:rsidR="00BC4ABB" w:rsidRPr="000B6FD6" w:rsidRDefault="00BC4ABB" w:rsidP="000B6FD6">
            <w:pPr>
              <w:tabs>
                <w:tab w:val="decimal" w:pos="295"/>
              </w:tabs>
              <w:spacing w:after="0" w:line="240" w:lineRule="auto"/>
              <w:jc w:val="both"/>
              <w:rPr>
                <w:rFonts w:eastAsia="Times New Roman"/>
                <w:sz w:val="20"/>
                <w:szCs w:val="20"/>
              </w:rPr>
            </w:pPr>
            <w:r w:rsidRPr="000B6FD6">
              <w:rPr>
                <w:color w:val="000000"/>
                <w:sz w:val="20"/>
                <w:szCs w:val="20"/>
              </w:rPr>
              <w:t>-2.42</w:t>
            </w:r>
          </w:p>
        </w:tc>
        <w:tc>
          <w:tcPr>
            <w:tcW w:w="600" w:type="dxa"/>
            <w:tcBorders>
              <w:top w:val="nil"/>
              <w:left w:val="single" w:sz="4" w:space="0" w:color="auto"/>
              <w:bottom w:val="nil"/>
              <w:right w:val="nil"/>
            </w:tcBorders>
            <w:shd w:val="clear" w:color="auto" w:fill="auto"/>
            <w:noWrap/>
            <w:vAlign w:val="bottom"/>
            <w:hideMark/>
          </w:tcPr>
          <w:p w14:paraId="3C6A6E00" w14:textId="1E752E21"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-0.18</w:t>
            </w:r>
          </w:p>
        </w:tc>
        <w:tc>
          <w:tcPr>
            <w:tcW w:w="660" w:type="dxa"/>
            <w:tcBorders>
              <w:top w:val="nil"/>
              <w:left w:val="nil"/>
              <w:bottom w:val="nil"/>
              <w:right w:val="single" w:sz="4" w:space="0" w:color="auto"/>
            </w:tcBorders>
            <w:shd w:val="clear" w:color="auto" w:fill="auto"/>
            <w:noWrap/>
            <w:vAlign w:val="bottom"/>
            <w:hideMark/>
          </w:tcPr>
          <w:p w14:paraId="5A0AC978" w14:textId="50ABB6FE"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-1.89</w:t>
            </w:r>
          </w:p>
        </w:tc>
        <w:tc>
          <w:tcPr>
            <w:tcW w:w="580" w:type="dxa"/>
            <w:tcBorders>
              <w:top w:val="nil"/>
              <w:left w:val="nil"/>
              <w:bottom w:val="nil"/>
              <w:right w:val="nil"/>
            </w:tcBorders>
            <w:shd w:val="clear" w:color="auto" w:fill="auto"/>
            <w:noWrap/>
            <w:vAlign w:val="center"/>
            <w:hideMark/>
          </w:tcPr>
          <w:p w14:paraId="6ADFE7C5" w14:textId="0825425A"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2ACB4EFA"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DB63A1" w:rsidRPr="000B6FD6" w14:paraId="31434C8E"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602CE410" w14:textId="00E7BCC9" w:rsidR="00DB63A1" w:rsidRPr="000B6FD6" w:rsidRDefault="00DB63A1" w:rsidP="000B6FD6">
            <w:pPr>
              <w:spacing w:after="0" w:line="240" w:lineRule="auto"/>
              <w:jc w:val="both"/>
              <w:rPr>
                <w:rFonts w:eastAsia="Times New Roman"/>
                <w:sz w:val="20"/>
                <w:szCs w:val="20"/>
              </w:rPr>
            </w:pPr>
            <w:r w:rsidRPr="000B6FD6">
              <w:rPr>
                <w:rFonts w:eastAsia="Times New Roman"/>
                <w:sz w:val="20"/>
                <w:szCs w:val="20"/>
              </w:rPr>
              <w:t>Housing Type (single family)</w:t>
            </w:r>
          </w:p>
        </w:tc>
        <w:tc>
          <w:tcPr>
            <w:tcW w:w="600" w:type="dxa"/>
            <w:tcBorders>
              <w:top w:val="nil"/>
              <w:left w:val="single" w:sz="12" w:space="0" w:color="auto"/>
              <w:bottom w:val="nil"/>
              <w:right w:val="nil"/>
            </w:tcBorders>
            <w:shd w:val="clear" w:color="auto" w:fill="auto"/>
            <w:noWrap/>
            <w:vAlign w:val="center"/>
          </w:tcPr>
          <w:p w14:paraId="353621BD" w14:textId="77777777" w:rsidR="00DB63A1" w:rsidRPr="000B6FD6" w:rsidRDefault="00DB63A1" w:rsidP="000B6FD6">
            <w:pPr>
              <w:tabs>
                <w:tab w:val="decimal" w:pos="225"/>
              </w:tabs>
              <w:spacing w:after="0" w:line="240" w:lineRule="auto"/>
              <w:jc w:val="both"/>
              <w:rPr>
                <w:rFonts w:eastAsia="Times New Roman"/>
                <w:sz w:val="20"/>
                <w:szCs w:val="20"/>
              </w:rPr>
            </w:pPr>
          </w:p>
        </w:tc>
        <w:tc>
          <w:tcPr>
            <w:tcW w:w="500" w:type="dxa"/>
            <w:tcBorders>
              <w:top w:val="nil"/>
              <w:left w:val="nil"/>
              <w:bottom w:val="nil"/>
              <w:right w:val="single" w:sz="4" w:space="0" w:color="auto"/>
            </w:tcBorders>
            <w:shd w:val="clear" w:color="auto" w:fill="auto"/>
            <w:noWrap/>
            <w:vAlign w:val="center"/>
          </w:tcPr>
          <w:p w14:paraId="78B92706" w14:textId="06AB7BA1" w:rsidR="00DB63A1" w:rsidRPr="000B6FD6" w:rsidRDefault="00DB63A1" w:rsidP="000B6FD6">
            <w:pPr>
              <w:tabs>
                <w:tab w:val="decimal" w:pos="225"/>
              </w:tabs>
              <w:spacing w:after="0" w:line="240" w:lineRule="auto"/>
              <w:jc w:val="both"/>
              <w:rPr>
                <w:rFonts w:eastAsia="Times New Roman"/>
                <w:sz w:val="20"/>
                <w:szCs w:val="20"/>
              </w:rPr>
            </w:pPr>
          </w:p>
        </w:tc>
        <w:tc>
          <w:tcPr>
            <w:tcW w:w="580" w:type="dxa"/>
            <w:tcBorders>
              <w:top w:val="nil"/>
              <w:left w:val="nil"/>
              <w:bottom w:val="nil"/>
              <w:right w:val="nil"/>
            </w:tcBorders>
            <w:shd w:val="clear" w:color="auto" w:fill="auto"/>
            <w:noWrap/>
            <w:vAlign w:val="bottom"/>
          </w:tcPr>
          <w:p w14:paraId="721B0970" w14:textId="3A8475E4" w:rsidR="00DB63A1" w:rsidRPr="000B6FD6" w:rsidRDefault="00DB63A1" w:rsidP="000B6FD6">
            <w:pPr>
              <w:tabs>
                <w:tab w:val="decimal" w:pos="116"/>
              </w:tabs>
              <w:spacing w:after="0" w:line="240" w:lineRule="auto"/>
              <w:jc w:val="both"/>
              <w:rPr>
                <w:rFonts w:eastAsia="Times New Roman"/>
                <w:sz w:val="20"/>
                <w:szCs w:val="20"/>
              </w:rPr>
            </w:pPr>
          </w:p>
        </w:tc>
        <w:tc>
          <w:tcPr>
            <w:tcW w:w="520" w:type="dxa"/>
            <w:tcBorders>
              <w:top w:val="nil"/>
              <w:left w:val="nil"/>
              <w:bottom w:val="nil"/>
              <w:right w:val="nil"/>
            </w:tcBorders>
            <w:shd w:val="clear" w:color="auto" w:fill="auto"/>
            <w:noWrap/>
            <w:vAlign w:val="bottom"/>
          </w:tcPr>
          <w:p w14:paraId="1245FC0F" w14:textId="4E840A1A" w:rsidR="00DB63A1" w:rsidRPr="000B6FD6" w:rsidRDefault="00DB63A1"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tcPr>
          <w:p w14:paraId="21E3945B" w14:textId="08876D98" w:rsidR="00DB63A1" w:rsidRPr="000B6FD6" w:rsidRDefault="00DB63A1" w:rsidP="000B6FD6">
            <w:pPr>
              <w:tabs>
                <w:tab w:val="decimal" w:pos="187"/>
              </w:tabs>
              <w:spacing w:after="0" w:line="240" w:lineRule="auto"/>
              <w:jc w:val="both"/>
              <w:rPr>
                <w:rFonts w:eastAsia="Times New Roman"/>
                <w:sz w:val="20"/>
                <w:szCs w:val="20"/>
              </w:rPr>
            </w:pPr>
          </w:p>
        </w:tc>
        <w:tc>
          <w:tcPr>
            <w:tcW w:w="615" w:type="dxa"/>
            <w:tcBorders>
              <w:top w:val="nil"/>
              <w:left w:val="nil"/>
              <w:bottom w:val="nil"/>
              <w:right w:val="nil"/>
            </w:tcBorders>
            <w:shd w:val="clear" w:color="auto" w:fill="auto"/>
            <w:noWrap/>
            <w:vAlign w:val="bottom"/>
          </w:tcPr>
          <w:p w14:paraId="32BF36C9" w14:textId="74555414" w:rsidR="00DB63A1" w:rsidRPr="000B6FD6" w:rsidRDefault="00DB63A1"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tcPr>
          <w:p w14:paraId="6CA57AAF" w14:textId="6B674880" w:rsidR="00DB63A1" w:rsidRPr="000B6FD6" w:rsidRDefault="00DB63A1" w:rsidP="000B6FD6">
            <w:pPr>
              <w:tabs>
                <w:tab w:val="decimal" w:pos="140"/>
              </w:tabs>
              <w:spacing w:after="0" w:line="240" w:lineRule="auto"/>
              <w:jc w:val="both"/>
              <w:rPr>
                <w:rFonts w:eastAsia="Times New Roman"/>
                <w:sz w:val="20"/>
                <w:szCs w:val="20"/>
              </w:rPr>
            </w:pPr>
          </w:p>
        </w:tc>
        <w:tc>
          <w:tcPr>
            <w:tcW w:w="586" w:type="dxa"/>
            <w:tcBorders>
              <w:top w:val="nil"/>
              <w:left w:val="nil"/>
              <w:bottom w:val="nil"/>
              <w:right w:val="single" w:sz="4" w:space="0" w:color="auto"/>
            </w:tcBorders>
            <w:shd w:val="clear" w:color="auto" w:fill="auto"/>
            <w:noWrap/>
            <w:vAlign w:val="bottom"/>
          </w:tcPr>
          <w:p w14:paraId="23607839" w14:textId="039E4FC7" w:rsidR="00DB63A1" w:rsidRPr="000B6FD6" w:rsidRDefault="00DB63A1" w:rsidP="000B6FD6">
            <w:pPr>
              <w:tabs>
                <w:tab w:val="decimal" w:pos="272"/>
              </w:tabs>
              <w:spacing w:after="0" w:line="240" w:lineRule="auto"/>
              <w:jc w:val="both"/>
              <w:rPr>
                <w:rFonts w:eastAsia="Times New Roman"/>
                <w:sz w:val="20"/>
                <w:szCs w:val="20"/>
              </w:rPr>
            </w:pPr>
          </w:p>
        </w:tc>
        <w:tc>
          <w:tcPr>
            <w:tcW w:w="600" w:type="dxa"/>
            <w:tcBorders>
              <w:top w:val="nil"/>
              <w:left w:val="nil"/>
              <w:bottom w:val="nil"/>
              <w:right w:val="nil"/>
            </w:tcBorders>
            <w:shd w:val="clear" w:color="auto" w:fill="auto"/>
            <w:noWrap/>
            <w:vAlign w:val="bottom"/>
          </w:tcPr>
          <w:p w14:paraId="46F0E4DE" w14:textId="782D7995" w:rsidR="00DB63A1" w:rsidRPr="000B6FD6" w:rsidRDefault="00DB63A1" w:rsidP="000B6FD6">
            <w:pPr>
              <w:tabs>
                <w:tab w:val="decimal" w:pos="152"/>
              </w:tabs>
              <w:spacing w:after="0" w:line="240" w:lineRule="auto"/>
              <w:jc w:val="both"/>
              <w:rPr>
                <w:rFonts w:eastAsia="Times New Roman"/>
                <w:sz w:val="20"/>
                <w:szCs w:val="20"/>
              </w:rPr>
            </w:pPr>
          </w:p>
        </w:tc>
        <w:tc>
          <w:tcPr>
            <w:tcW w:w="500" w:type="dxa"/>
            <w:tcBorders>
              <w:top w:val="nil"/>
              <w:left w:val="nil"/>
              <w:bottom w:val="nil"/>
              <w:right w:val="nil"/>
            </w:tcBorders>
            <w:shd w:val="clear" w:color="auto" w:fill="auto"/>
            <w:noWrap/>
            <w:vAlign w:val="bottom"/>
          </w:tcPr>
          <w:p w14:paraId="22890166" w14:textId="66F24AD3" w:rsidR="00DB63A1" w:rsidRPr="000B6FD6" w:rsidRDefault="00DB63A1"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tcPr>
          <w:p w14:paraId="7D077D58" w14:textId="3073D655" w:rsidR="00DB63A1" w:rsidRPr="000B6FD6" w:rsidRDefault="00DB63A1" w:rsidP="000B6FD6">
            <w:pPr>
              <w:tabs>
                <w:tab w:val="decimal" w:pos="223"/>
              </w:tabs>
              <w:spacing w:after="0" w:line="240" w:lineRule="auto"/>
              <w:jc w:val="both"/>
              <w:rPr>
                <w:rFonts w:eastAsia="Times New Roman"/>
                <w:sz w:val="20"/>
                <w:szCs w:val="20"/>
              </w:rPr>
            </w:pPr>
          </w:p>
        </w:tc>
        <w:tc>
          <w:tcPr>
            <w:tcW w:w="520" w:type="dxa"/>
            <w:tcBorders>
              <w:top w:val="nil"/>
              <w:left w:val="nil"/>
              <w:bottom w:val="nil"/>
              <w:right w:val="nil"/>
            </w:tcBorders>
            <w:shd w:val="clear" w:color="auto" w:fill="auto"/>
            <w:noWrap/>
            <w:vAlign w:val="bottom"/>
          </w:tcPr>
          <w:p w14:paraId="23608A43" w14:textId="7F81C51D" w:rsidR="00DB63A1" w:rsidRPr="000B6FD6" w:rsidRDefault="00DB63A1"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tcPr>
          <w:p w14:paraId="49A4F864" w14:textId="7F53850C" w:rsidR="00DB63A1" w:rsidRPr="000B6FD6" w:rsidRDefault="00DB63A1" w:rsidP="007B1461">
            <w:pPr>
              <w:tabs>
                <w:tab w:val="decimal" w:pos="186"/>
              </w:tabs>
              <w:spacing w:after="0" w:line="240" w:lineRule="auto"/>
              <w:jc w:val="center"/>
              <w:rPr>
                <w:rFonts w:eastAsia="Times New Roman"/>
                <w:sz w:val="20"/>
                <w:szCs w:val="20"/>
              </w:rPr>
            </w:pPr>
          </w:p>
        </w:tc>
        <w:tc>
          <w:tcPr>
            <w:tcW w:w="620" w:type="dxa"/>
            <w:tcBorders>
              <w:top w:val="nil"/>
              <w:left w:val="nil"/>
              <w:bottom w:val="nil"/>
              <w:right w:val="single" w:sz="4" w:space="0" w:color="auto"/>
            </w:tcBorders>
            <w:shd w:val="clear" w:color="auto" w:fill="auto"/>
            <w:noWrap/>
            <w:vAlign w:val="center"/>
          </w:tcPr>
          <w:p w14:paraId="58D9FC2D" w14:textId="5CAD4C43" w:rsidR="00DB63A1" w:rsidRPr="000B6FD6" w:rsidRDefault="00DB63A1"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center"/>
          </w:tcPr>
          <w:p w14:paraId="3DAC411C" w14:textId="77777777" w:rsidR="00DB63A1" w:rsidRPr="000B6FD6" w:rsidRDefault="00DB63A1" w:rsidP="000B6FD6">
            <w:pPr>
              <w:tabs>
                <w:tab w:val="decimal" w:pos="225"/>
              </w:tabs>
              <w:spacing w:after="0" w:line="240" w:lineRule="auto"/>
              <w:jc w:val="both"/>
              <w:rPr>
                <w:rFonts w:eastAsia="Times New Roman"/>
                <w:sz w:val="20"/>
                <w:szCs w:val="20"/>
              </w:rPr>
            </w:pPr>
          </w:p>
        </w:tc>
        <w:tc>
          <w:tcPr>
            <w:tcW w:w="602" w:type="dxa"/>
            <w:tcBorders>
              <w:top w:val="nil"/>
              <w:left w:val="nil"/>
              <w:bottom w:val="nil"/>
              <w:right w:val="nil"/>
            </w:tcBorders>
            <w:shd w:val="clear" w:color="auto" w:fill="auto"/>
            <w:noWrap/>
            <w:vAlign w:val="center"/>
          </w:tcPr>
          <w:p w14:paraId="144AA531" w14:textId="77777777" w:rsidR="00DB63A1" w:rsidRPr="000B6FD6" w:rsidRDefault="00DB63A1"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tcPr>
          <w:p w14:paraId="0EB0105C" w14:textId="46D549EC" w:rsidR="00DB63A1" w:rsidRPr="000B6FD6" w:rsidRDefault="00DB63A1" w:rsidP="000B6FD6">
            <w:pPr>
              <w:tabs>
                <w:tab w:val="decimal" w:pos="230"/>
              </w:tabs>
              <w:spacing w:after="0" w:line="240" w:lineRule="auto"/>
              <w:jc w:val="both"/>
              <w:rPr>
                <w:rFonts w:eastAsia="Times New Roman"/>
                <w:sz w:val="20"/>
                <w:szCs w:val="20"/>
              </w:rPr>
            </w:pPr>
          </w:p>
        </w:tc>
        <w:tc>
          <w:tcPr>
            <w:tcW w:w="660" w:type="dxa"/>
            <w:tcBorders>
              <w:top w:val="nil"/>
              <w:left w:val="nil"/>
              <w:bottom w:val="nil"/>
              <w:right w:val="single" w:sz="4" w:space="0" w:color="auto"/>
            </w:tcBorders>
            <w:shd w:val="clear" w:color="auto" w:fill="auto"/>
            <w:noWrap/>
            <w:vAlign w:val="bottom"/>
          </w:tcPr>
          <w:p w14:paraId="13705ECF" w14:textId="62934545" w:rsidR="00DB63A1" w:rsidRPr="000B6FD6" w:rsidRDefault="00DB63A1" w:rsidP="000B6FD6">
            <w:pPr>
              <w:tabs>
                <w:tab w:val="decimal" w:pos="260"/>
              </w:tabs>
              <w:spacing w:after="0" w:line="240" w:lineRule="auto"/>
              <w:jc w:val="both"/>
              <w:rPr>
                <w:rFonts w:eastAsia="Times New Roman"/>
                <w:sz w:val="20"/>
                <w:szCs w:val="20"/>
              </w:rPr>
            </w:pPr>
          </w:p>
        </w:tc>
        <w:tc>
          <w:tcPr>
            <w:tcW w:w="580" w:type="dxa"/>
            <w:tcBorders>
              <w:top w:val="nil"/>
              <w:left w:val="nil"/>
              <w:bottom w:val="nil"/>
              <w:right w:val="nil"/>
            </w:tcBorders>
            <w:shd w:val="clear" w:color="auto" w:fill="auto"/>
            <w:noWrap/>
            <w:vAlign w:val="center"/>
          </w:tcPr>
          <w:p w14:paraId="58F1E651" w14:textId="3F740FE9" w:rsidR="00DB63A1" w:rsidRPr="000B6FD6" w:rsidRDefault="00DB63A1" w:rsidP="000B6FD6">
            <w:pPr>
              <w:tabs>
                <w:tab w:val="decimal" w:pos="52"/>
              </w:tabs>
              <w:spacing w:after="0" w:line="240" w:lineRule="auto"/>
              <w:jc w:val="both"/>
              <w:rPr>
                <w:rFonts w:eastAsia="Times New Roman"/>
                <w:sz w:val="20"/>
                <w:szCs w:val="20"/>
              </w:rPr>
            </w:pPr>
          </w:p>
        </w:tc>
        <w:tc>
          <w:tcPr>
            <w:tcW w:w="520" w:type="dxa"/>
            <w:tcBorders>
              <w:top w:val="nil"/>
              <w:left w:val="nil"/>
              <w:bottom w:val="nil"/>
              <w:right w:val="single" w:sz="12" w:space="0" w:color="auto"/>
            </w:tcBorders>
            <w:shd w:val="clear" w:color="auto" w:fill="auto"/>
            <w:noWrap/>
            <w:vAlign w:val="center"/>
          </w:tcPr>
          <w:p w14:paraId="531D9754" w14:textId="0B470AC0" w:rsidR="00DB63A1" w:rsidRPr="000B6FD6" w:rsidRDefault="00DB63A1" w:rsidP="000B6FD6">
            <w:pPr>
              <w:spacing w:after="0" w:line="240" w:lineRule="auto"/>
              <w:jc w:val="both"/>
              <w:rPr>
                <w:rFonts w:eastAsia="Times New Roman"/>
                <w:sz w:val="20"/>
                <w:szCs w:val="20"/>
              </w:rPr>
            </w:pPr>
          </w:p>
        </w:tc>
      </w:tr>
      <w:tr w:rsidR="00BC4ABB" w:rsidRPr="000B6FD6" w14:paraId="2ECACE93"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tcPr>
          <w:p w14:paraId="17E4B3DF" w14:textId="2EA61FBF"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Pr="000B6FD6">
              <w:rPr>
                <w:rFonts w:eastAsia="Times New Roman"/>
                <w:sz w:val="20"/>
                <w:szCs w:val="20"/>
              </w:rPr>
              <w:t xml:space="preserve">Apartment </w:t>
            </w:r>
          </w:p>
        </w:tc>
        <w:tc>
          <w:tcPr>
            <w:tcW w:w="600" w:type="dxa"/>
            <w:tcBorders>
              <w:top w:val="nil"/>
              <w:left w:val="single" w:sz="12" w:space="0" w:color="auto"/>
              <w:bottom w:val="nil"/>
              <w:right w:val="nil"/>
            </w:tcBorders>
            <w:shd w:val="clear" w:color="auto" w:fill="auto"/>
            <w:noWrap/>
            <w:vAlign w:val="center"/>
          </w:tcPr>
          <w:p w14:paraId="3BD52437" w14:textId="04314D2E"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tcPr>
          <w:p w14:paraId="7ADB2047" w14:textId="4E49ACE4"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bottom"/>
          </w:tcPr>
          <w:p w14:paraId="43723CE1" w14:textId="226D522D" w:rsidR="00BC4ABB" w:rsidRPr="000B6FD6" w:rsidRDefault="00BC4ABB" w:rsidP="000B6FD6">
            <w:pPr>
              <w:tabs>
                <w:tab w:val="decimal" w:pos="116"/>
              </w:tabs>
              <w:spacing w:after="0" w:line="240" w:lineRule="auto"/>
              <w:jc w:val="both"/>
              <w:rPr>
                <w:color w:val="000000"/>
                <w:sz w:val="20"/>
                <w:szCs w:val="20"/>
              </w:rPr>
            </w:pPr>
            <w:r w:rsidRPr="000B6FD6">
              <w:rPr>
                <w:color w:val="000000"/>
                <w:sz w:val="20"/>
                <w:szCs w:val="20"/>
              </w:rPr>
              <w:t>1.91</w:t>
            </w:r>
          </w:p>
        </w:tc>
        <w:tc>
          <w:tcPr>
            <w:tcW w:w="520" w:type="dxa"/>
            <w:tcBorders>
              <w:top w:val="nil"/>
              <w:left w:val="nil"/>
              <w:bottom w:val="nil"/>
              <w:right w:val="nil"/>
            </w:tcBorders>
            <w:shd w:val="clear" w:color="auto" w:fill="auto"/>
            <w:noWrap/>
            <w:vAlign w:val="bottom"/>
          </w:tcPr>
          <w:p w14:paraId="10964B99" w14:textId="400E5791" w:rsidR="00BC4ABB" w:rsidRPr="000B6FD6" w:rsidRDefault="00BC4ABB" w:rsidP="000B6FD6">
            <w:pPr>
              <w:tabs>
                <w:tab w:val="decimal" w:pos="164"/>
              </w:tabs>
              <w:spacing w:after="0" w:line="240" w:lineRule="auto"/>
              <w:jc w:val="both"/>
              <w:rPr>
                <w:color w:val="000000"/>
                <w:sz w:val="20"/>
                <w:szCs w:val="20"/>
              </w:rPr>
            </w:pPr>
            <w:r w:rsidRPr="000B6FD6">
              <w:rPr>
                <w:color w:val="000000"/>
                <w:sz w:val="20"/>
                <w:szCs w:val="20"/>
              </w:rPr>
              <w:t>14.08</w:t>
            </w:r>
          </w:p>
        </w:tc>
        <w:tc>
          <w:tcPr>
            <w:tcW w:w="600" w:type="dxa"/>
            <w:tcBorders>
              <w:top w:val="nil"/>
              <w:left w:val="single" w:sz="4" w:space="0" w:color="auto"/>
              <w:bottom w:val="nil"/>
              <w:right w:val="nil"/>
            </w:tcBorders>
            <w:shd w:val="clear" w:color="auto" w:fill="auto"/>
            <w:noWrap/>
            <w:vAlign w:val="bottom"/>
          </w:tcPr>
          <w:p w14:paraId="70DEE779" w14:textId="37B56A30" w:rsidR="00BC4ABB" w:rsidRPr="000B6FD6" w:rsidRDefault="00BC4ABB" w:rsidP="000B6FD6">
            <w:pPr>
              <w:tabs>
                <w:tab w:val="decimal" w:pos="187"/>
              </w:tabs>
              <w:spacing w:after="0" w:line="240" w:lineRule="auto"/>
              <w:jc w:val="both"/>
              <w:rPr>
                <w:color w:val="000000"/>
                <w:sz w:val="20"/>
                <w:szCs w:val="20"/>
              </w:rPr>
            </w:pPr>
            <w:r w:rsidRPr="000B6FD6">
              <w:rPr>
                <w:color w:val="000000"/>
                <w:sz w:val="20"/>
                <w:szCs w:val="20"/>
              </w:rPr>
              <w:t>-1.87</w:t>
            </w:r>
          </w:p>
        </w:tc>
        <w:tc>
          <w:tcPr>
            <w:tcW w:w="615" w:type="dxa"/>
            <w:tcBorders>
              <w:top w:val="nil"/>
              <w:left w:val="nil"/>
              <w:bottom w:val="nil"/>
              <w:right w:val="nil"/>
            </w:tcBorders>
            <w:shd w:val="clear" w:color="auto" w:fill="auto"/>
            <w:noWrap/>
            <w:vAlign w:val="bottom"/>
          </w:tcPr>
          <w:p w14:paraId="32630452" w14:textId="2DBC4E14" w:rsidR="00BC4ABB" w:rsidRPr="000B6FD6" w:rsidRDefault="00BC4ABB" w:rsidP="000B6FD6">
            <w:pPr>
              <w:tabs>
                <w:tab w:val="decimal" w:pos="217"/>
              </w:tabs>
              <w:spacing w:after="0" w:line="240" w:lineRule="auto"/>
              <w:jc w:val="both"/>
              <w:rPr>
                <w:color w:val="000000"/>
                <w:sz w:val="20"/>
                <w:szCs w:val="20"/>
              </w:rPr>
            </w:pPr>
            <w:r w:rsidRPr="000B6FD6">
              <w:rPr>
                <w:color w:val="000000"/>
                <w:sz w:val="20"/>
                <w:szCs w:val="20"/>
              </w:rPr>
              <w:t>-12.31</w:t>
            </w:r>
          </w:p>
        </w:tc>
        <w:tc>
          <w:tcPr>
            <w:tcW w:w="574" w:type="dxa"/>
            <w:tcBorders>
              <w:top w:val="nil"/>
              <w:left w:val="single" w:sz="4" w:space="0" w:color="auto"/>
              <w:bottom w:val="nil"/>
              <w:right w:val="nil"/>
            </w:tcBorders>
            <w:shd w:val="clear" w:color="auto" w:fill="auto"/>
            <w:noWrap/>
            <w:vAlign w:val="bottom"/>
          </w:tcPr>
          <w:p w14:paraId="1BA97EE7" w14:textId="425BC12B" w:rsidR="00BC4ABB" w:rsidRPr="000B6FD6" w:rsidRDefault="00BC4ABB" w:rsidP="000B6FD6">
            <w:pPr>
              <w:tabs>
                <w:tab w:val="decimal" w:pos="140"/>
              </w:tabs>
              <w:spacing w:after="0" w:line="240" w:lineRule="auto"/>
              <w:jc w:val="both"/>
              <w:rPr>
                <w:color w:val="000000"/>
                <w:sz w:val="20"/>
                <w:szCs w:val="20"/>
              </w:rPr>
            </w:pPr>
            <w:r w:rsidRPr="000B6FD6">
              <w:rPr>
                <w:color w:val="000000"/>
                <w:sz w:val="20"/>
                <w:szCs w:val="20"/>
              </w:rPr>
              <w:t>-1.97</w:t>
            </w:r>
          </w:p>
        </w:tc>
        <w:tc>
          <w:tcPr>
            <w:tcW w:w="586" w:type="dxa"/>
            <w:tcBorders>
              <w:top w:val="nil"/>
              <w:left w:val="nil"/>
              <w:bottom w:val="nil"/>
              <w:right w:val="single" w:sz="4" w:space="0" w:color="auto"/>
            </w:tcBorders>
            <w:shd w:val="clear" w:color="auto" w:fill="auto"/>
            <w:noWrap/>
            <w:vAlign w:val="bottom"/>
          </w:tcPr>
          <w:p w14:paraId="507637D6" w14:textId="2403F177" w:rsidR="00BC4ABB" w:rsidRPr="000B6FD6" w:rsidRDefault="00BC4ABB" w:rsidP="000B6FD6">
            <w:pPr>
              <w:tabs>
                <w:tab w:val="decimal" w:pos="272"/>
              </w:tabs>
              <w:spacing w:after="0" w:line="240" w:lineRule="auto"/>
              <w:jc w:val="both"/>
              <w:rPr>
                <w:color w:val="000000"/>
                <w:sz w:val="20"/>
                <w:szCs w:val="20"/>
              </w:rPr>
            </w:pPr>
            <w:r w:rsidRPr="000B6FD6">
              <w:rPr>
                <w:color w:val="000000"/>
                <w:sz w:val="20"/>
                <w:szCs w:val="20"/>
              </w:rPr>
              <w:t>-17.67</w:t>
            </w:r>
          </w:p>
        </w:tc>
        <w:tc>
          <w:tcPr>
            <w:tcW w:w="600" w:type="dxa"/>
            <w:tcBorders>
              <w:top w:val="nil"/>
              <w:left w:val="nil"/>
              <w:bottom w:val="nil"/>
              <w:right w:val="nil"/>
            </w:tcBorders>
            <w:shd w:val="clear" w:color="auto" w:fill="auto"/>
            <w:noWrap/>
            <w:vAlign w:val="bottom"/>
          </w:tcPr>
          <w:p w14:paraId="6248F75D" w14:textId="5BEA6FA6" w:rsidR="00BC4ABB" w:rsidRPr="000B6FD6" w:rsidRDefault="00BC4ABB" w:rsidP="000B6FD6">
            <w:pPr>
              <w:tabs>
                <w:tab w:val="decimal" w:pos="152"/>
              </w:tabs>
              <w:spacing w:after="0" w:line="240" w:lineRule="auto"/>
              <w:jc w:val="both"/>
              <w:rPr>
                <w:color w:val="000000"/>
                <w:sz w:val="20"/>
                <w:szCs w:val="20"/>
              </w:rPr>
            </w:pPr>
            <w:r w:rsidRPr="000B6FD6">
              <w:rPr>
                <w:color w:val="000000"/>
                <w:sz w:val="20"/>
                <w:szCs w:val="20"/>
              </w:rPr>
              <w:t>0.62</w:t>
            </w:r>
          </w:p>
        </w:tc>
        <w:tc>
          <w:tcPr>
            <w:tcW w:w="500" w:type="dxa"/>
            <w:tcBorders>
              <w:top w:val="nil"/>
              <w:left w:val="nil"/>
              <w:bottom w:val="nil"/>
              <w:right w:val="nil"/>
            </w:tcBorders>
            <w:shd w:val="clear" w:color="auto" w:fill="auto"/>
            <w:noWrap/>
            <w:vAlign w:val="bottom"/>
          </w:tcPr>
          <w:p w14:paraId="244696D5" w14:textId="23893D8B" w:rsidR="00BC4ABB" w:rsidRPr="000B6FD6" w:rsidRDefault="00BC4ABB" w:rsidP="000B6FD6">
            <w:pPr>
              <w:tabs>
                <w:tab w:val="decimal" w:pos="183"/>
              </w:tabs>
              <w:spacing w:after="0" w:line="240" w:lineRule="auto"/>
              <w:jc w:val="both"/>
              <w:rPr>
                <w:color w:val="000000"/>
                <w:sz w:val="20"/>
                <w:szCs w:val="20"/>
              </w:rPr>
            </w:pPr>
            <w:r w:rsidRPr="000B6FD6">
              <w:rPr>
                <w:color w:val="000000"/>
                <w:sz w:val="20"/>
                <w:szCs w:val="20"/>
              </w:rPr>
              <w:t>5.69</w:t>
            </w:r>
          </w:p>
        </w:tc>
        <w:tc>
          <w:tcPr>
            <w:tcW w:w="580" w:type="dxa"/>
            <w:tcBorders>
              <w:top w:val="nil"/>
              <w:left w:val="single" w:sz="4" w:space="0" w:color="auto"/>
              <w:bottom w:val="nil"/>
              <w:right w:val="nil"/>
            </w:tcBorders>
            <w:shd w:val="clear" w:color="auto" w:fill="auto"/>
            <w:noWrap/>
            <w:vAlign w:val="bottom"/>
          </w:tcPr>
          <w:p w14:paraId="4315405F" w14:textId="7CCC431F" w:rsidR="00BC4ABB" w:rsidRPr="000B6FD6" w:rsidRDefault="00BC4ABB" w:rsidP="000B6FD6">
            <w:pPr>
              <w:tabs>
                <w:tab w:val="decimal" w:pos="223"/>
              </w:tabs>
              <w:spacing w:after="0" w:line="240" w:lineRule="auto"/>
              <w:jc w:val="both"/>
              <w:rPr>
                <w:color w:val="000000"/>
                <w:sz w:val="20"/>
                <w:szCs w:val="20"/>
              </w:rPr>
            </w:pPr>
            <w:r w:rsidRPr="000B6FD6">
              <w:rPr>
                <w:color w:val="000000"/>
                <w:sz w:val="20"/>
                <w:szCs w:val="20"/>
              </w:rPr>
              <w:t>0.36</w:t>
            </w:r>
          </w:p>
        </w:tc>
        <w:tc>
          <w:tcPr>
            <w:tcW w:w="520" w:type="dxa"/>
            <w:tcBorders>
              <w:top w:val="nil"/>
              <w:left w:val="nil"/>
              <w:bottom w:val="nil"/>
              <w:right w:val="nil"/>
            </w:tcBorders>
            <w:shd w:val="clear" w:color="auto" w:fill="auto"/>
            <w:noWrap/>
            <w:vAlign w:val="bottom"/>
          </w:tcPr>
          <w:p w14:paraId="215351EF" w14:textId="5575B7A2" w:rsidR="00BC4ABB" w:rsidRPr="000B6FD6" w:rsidRDefault="00BC4ABB" w:rsidP="000B6FD6">
            <w:pPr>
              <w:tabs>
                <w:tab w:val="decimal" w:pos="225"/>
              </w:tabs>
              <w:spacing w:after="0" w:line="240" w:lineRule="auto"/>
              <w:jc w:val="both"/>
              <w:rPr>
                <w:color w:val="000000"/>
                <w:sz w:val="20"/>
                <w:szCs w:val="20"/>
              </w:rPr>
            </w:pPr>
            <w:r w:rsidRPr="000B6FD6">
              <w:rPr>
                <w:color w:val="000000"/>
                <w:sz w:val="20"/>
                <w:szCs w:val="20"/>
              </w:rPr>
              <w:t>5.14</w:t>
            </w:r>
          </w:p>
        </w:tc>
        <w:tc>
          <w:tcPr>
            <w:tcW w:w="600" w:type="dxa"/>
            <w:tcBorders>
              <w:top w:val="nil"/>
              <w:left w:val="single" w:sz="4" w:space="0" w:color="auto"/>
              <w:bottom w:val="nil"/>
              <w:right w:val="nil"/>
            </w:tcBorders>
            <w:shd w:val="clear" w:color="auto" w:fill="auto"/>
            <w:noWrap/>
            <w:vAlign w:val="center"/>
          </w:tcPr>
          <w:p w14:paraId="147AF400" w14:textId="26FF05FA" w:rsidR="00BC4ABB"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nil"/>
              <w:right w:val="single" w:sz="4" w:space="0" w:color="auto"/>
            </w:tcBorders>
            <w:shd w:val="clear" w:color="auto" w:fill="auto"/>
            <w:noWrap/>
            <w:vAlign w:val="center"/>
          </w:tcPr>
          <w:p w14:paraId="4BEF63FD" w14:textId="59EBF220" w:rsidR="00BC4ABB" w:rsidRPr="000B6FD6" w:rsidRDefault="00BC4ABB"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center"/>
          </w:tcPr>
          <w:p w14:paraId="39DBBF65" w14:textId="55A0E17E" w:rsidR="00BC4ABB" w:rsidRPr="000B6FD6" w:rsidRDefault="007B1461"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602" w:type="dxa"/>
            <w:tcBorders>
              <w:top w:val="nil"/>
              <w:left w:val="nil"/>
              <w:bottom w:val="nil"/>
              <w:right w:val="nil"/>
            </w:tcBorders>
            <w:shd w:val="clear" w:color="auto" w:fill="auto"/>
            <w:noWrap/>
            <w:vAlign w:val="center"/>
          </w:tcPr>
          <w:p w14:paraId="3E4A6167" w14:textId="77777777" w:rsidR="00BC4ABB" w:rsidRPr="000B6FD6" w:rsidRDefault="00BC4ABB"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tcPr>
          <w:p w14:paraId="468792D8" w14:textId="4C953D88" w:rsidR="00BC4ABB" w:rsidRPr="000B6FD6" w:rsidRDefault="00BC4ABB" w:rsidP="000B6FD6">
            <w:pPr>
              <w:tabs>
                <w:tab w:val="decimal" w:pos="230"/>
              </w:tabs>
              <w:spacing w:after="0" w:line="240" w:lineRule="auto"/>
              <w:jc w:val="both"/>
              <w:rPr>
                <w:color w:val="000000"/>
                <w:sz w:val="20"/>
                <w:szCs w:val="20"/>
              </w:rPr>
            </w:pPr>
            <w:r w:rsidRPr="000B6FD6">
              <w:rPr>
                <w:color w:val="000000"/>
                <w:sz w:val="20"/>
                <w:szCs w:val="20"/>
              </w:rPr>
              <w:t>0.28</w:t>
            </w:r>
          </w:p>
        </w:tc>
        <w:tc>
          <w:tcPr>
            <w:tcW w:w="660" w:type="dxa"/>
            <w:tcBorders>
              <w:top w:val="nil"/>
              <w:left w:val="nil"/>
              <w:bottom w:val="nil"/>
              <w:right w:val="single" w:sz="4" w:space="0" w:color="auto"/>
            </w:tcBorders>
            <w:shd w:val="clear" w:color="auto" w:fill="auto"/>
            <w:noWrap/>
            <w:vAlign w:val="bottom"/>
          </w:tcPr>
          <w:p w14:paraId="5A194DEC" w14:textId="38068C37" w:rsidR="00BC4ABB" w:rsidRPr="000B6FD6" w:rsidRDefault="00BC4ABB" w:rsidP="000B6FD6">
            <w:pPr>
              <w:tabs>
                <w:tab w:val="decimal" w:pos="260"/>
              </w:tabs>
              <w:spacing w:after="0" w:line="240" w:lineRule="auto"/>
              <w:jc w:val="both"/>
              <w:rPr>
                <w:color w:val="000000"/>
                <w:sz w:val="20"/>
                <w:szCs w:val="20"/>
              </w:rPr>
            </w:pPr>
            <w:r w:rsidRPr="000B6FD6">
              <w:rPr>
                <w:color w:val="000000"/>
                <w:sz w:val="20"/>
                <w:szCs w:val="20"/>
              </w:rPr>
              <w:t>2.86</w:t>
            </w:r>
          </w:p>
        </w:tc>
        <w:tc>
          <w:tcPr>
            <w:tcW w:w="580" w:type="dxa"/>
            <w:tcBorders>
              <w:top w:val="nil"/>
              <w:left w:val="nil"/>
              <w:bottom w:val="nil"/>
              <w:right w:val="nil"/>
            </w:tcBorders>
            <w:shd w:val="clear" w:color="auto" w:fill="auto"/>
            <w:noWrap/>
            <w:vAlign w:val="center"/>
          </w:tcPr>
          <w:p w14:paraId="17CF2E54" w14:textId="7EE73D3D"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tcPr>
          <w:p w14:paraId="02310CF5" w14:textId="4E820BE3"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916C02" w:rsidRPr="000B6FD6" w14:paraId="3F08DEFB"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7DDCB1A8" w14:textId="5E51E52E" w:rsidR="00916C02" w:rsidRPr="000B6FD6" w:rsidRDefault="00916C02" w:rsidP="000B6FD6">
            <w:pPr>
              <w:spacing w:after="0" w:line="240" w:lineRule="auto"/>
              <w:jc w:val="both"/>
              <w:rPr>
                <w:rFonts w:eastAsia="Times New Roman"/>
                <w:sz w:val="20"/>
                <w:szCs w:val="20"/>
              </w:rPr>
            </w:pPr>
            <w:r w:rsidRPr="000B6FD6">
              <w:rPr>
                <w:rFonts w:eastAsia="Times New Roman"/>
                <w:sz w:val="20"/>
                <w:szCs w:val="20"/>
              </w:rPr>
              <w:t>Population Density (</w:t>
            </w:r>
            <w:r w:rsidR="000351C1">
              <w:rPr>
                <w:rFonts w:eastAsia="Times New Roman"/>
                <w:sz w:val="20"/>
                <w:szCs w:val="20"/>
              </w:rPr>
              <w:t xml:space="preserve">low </w:t>
            </w:r>
            <w:r w:rsidRPr="000B6FD6">
              <w:rPr>
                <w:rFonts w:eastAsia="Times New Roman"/>
                <w:sz w:val="20"/>
                <w:szCs w:val="20"/>
              </w:rPr>
              <w:t>≤5 pop/sq mi)</w:t>
            </w:r>
          </w:p>
        </w:tc>
        <w:tc>
          <w:tcPr>
            <w:tcW w:w="600" w:type="dxa"/>
            <w:tcBorders>
              <w:top w:val="nil"/>
              <w:left w:val="single" w:sz="12" w:space="0" w:color="auto"/>
              <w:bottom w:val="nil"/>
              <w:right w:val="nil"/>
            </w:tcBorders>
            <w:shd w:val="clear" w:color="auto" w:fill="auto"/>
            <w:noWrap/>
            <w:vAlign w:val="center"/>
            <w:hideMark/>
          </w:tcPr>
          <w:p w14:paraId="16988494" w14:textId="77777777" w:rsidR="00916C02" w:rsidRPr="000B6FD6" w:rsidRDefault="00916C02" w:rsidP="000B6FD6">
            <w:pPr>
              <w:tabs>
                <w:tab w:val="decimal" w:pos="225"/>
              </w:tabs>
              <w:spacing w:after="0" w:line="240" w:lineRule="auto"/>
              <w:jc w:val="both"/>
              <w:rPr>
                <w:rFonts w:eastAsia="Times New Roman"/>
                <w:sz w:val="20"/>
                <w:szCs w:val="20"/>
              </w:rPr>
            </w:pPr>
          </w:p>
        </w:tc>
        <w:tc>
          <w:tcPr>
            <w:tcW w:w="500" w:type="dxa"/>
            <w:tcBorders>
              <w:top w:val="nil"/>
              <w:left w:val="nil"/>
              <w:bottom w:val="nil"/>
              <w:right w:val="single" w:sz="4" w:space="0" w:color="auto"/>
            </w:tcBorders>
            <w:shd w:val="clear" w:color="auto" w:fill="auto"/>
            <w:noWrap/>
            <w:vAlign w:val="center"/>
            <w:hideMark/>
          </w:tcPr>
          <w:p w14:paraId="7422CFB2" w14:textId="77777777" w:rsidR="00916C02" w:rsidRPr="000B6FD6" w:rsidRDefault="00916C02"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7686C6C3" w14:textId="77777777" w:rsidR="00916C02" w:rsidRPr="000B6FD6" w:rsidRDefault="00916C02" w:rsidP="000B6FD6">
            <w:pPr>
              <w:tabs>
                <w:tab w:val="decimal" w:pos="116"/>
              </w:tabs>
              <w:spacing w:after="0" w:line="240" w:lineRule="auto"/>
              <w:jc w:val="both"/>
              <w:rPr>
                <w:rFonts w:eastAsia="Times New Roman"/>
                <w:sz w:val="20"/>
                <w:szCs w:val="20"/>
              </w:rPr>
            </w:pPr>
          </w:p>
        </w:tc>
        <w:tc>
          <w:tcPr>
            <w:tcW w:w="520" w:type="dxa"/>
            <w:tcBorders>
              <w:top w:val="nil"/>
              <w:left w:val="nil"/>
              <w:bottom w:val="nil"/>
              <w:right w:val="nil"/>
            </w:tcBorders>
            <w:shd w:val="clear" w:color="auto" w:fill="auto"/>
            <w:noWrap/>
            <w:vAlign w:val="center"/>
            <w:hideMark/>
          </w:tcPr>
          <w:p w14:paraId="2B8424A5" w14:textId="77777777" w:rsidR="00916C02" w:rsidRPr="000B6FD6" w:rsidRDefault="00916C02"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77EA6E3" w14:textId="77777777" w:rsidR="00916C02" w:rsidRPr="000B6FD6" w:rsidRDefault="00916C02" w:rsidP="000B6FD6">
            <w:pPr>
              <w:tabs>
                <w:tab w:val="decimal" w:pos="187"/>
              </w:tabs>
              <w:spacing w:after="0" w:line="240" w:lineRule="auto"/>
              <w:jc w:val="both"/>
              <w:rPr>
                <w:rFonts w:eastAsia="Times New Roman"/>
                <w:sz w:val="20"/>
                <w:szCs w:val="20"/>
              </w:rPr>
            </w:pPr>
            <w:r w:rsidRPr="000B6FD6">
              <w:rPr>
                <w:rFonts w:eastAsia="Times New Roman"/>
                <w:sz w:val="20"/>
                <w:szCs w:val="20"/>
              </w:rPr>
              <w:t> </w:t>
            </w:r>
          </w:p>
        </w:tc>
        <w:tc>
          <w:tcPr>
            <w:tcW w:w="615" w:type="dxa"/>
            <w:tcBorders>
              <w:top w:val="nil"/>
              <w:left w:val="nil"/>
              <w:bottom w:val="nil"/>
              <w:right w:val="nil"/>
            </w:tcBorders>
            <w:shd w:val="clear" w:color="auto" w:fill="auto"/>
            <w:noWrap/>
            <w:vAlign w:val="center"/>
            <w:hideMark/>
          </w:tcPr>
          <w:p w14:paraId="20D4F6E2" w14:textId="77777777" w:rsidR="00916C02" w:rsidRPr="000B6FD6" w:rsidRDefault="00916C02"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250FFA38" w14:textId="77777777" w:rsidR="00916C02" w:rsidRPr="000B6FD6" w:rsidRDefault="00916C02" w:rsidP="000B6FD6">
            <w:pPr>
              <w:tabs>
                <w:tab w:val="decimal" w:pos="140"/>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70FF0012" w14:textId="77777777" w:rsidR="00916C02" w:rsidRPr="000B6FD6" w:rsidRDefault="00916C02"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01B2A88E" w14:textId="77777777" w:rsidR="00916C02" w:rsidRPr="000B6FD6" w:rsidRDefault="00916C02" w:rsidP="000B6FD6">
            <w:pPr>
              <w:tabs>
                <w:tab w:val="decimal" w:pos="152"/>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nil"/>
            </w:tcBorders>
            <w:shd w:val="clear" w:color="auto" w:fill="auto"/>
            <w:noWrap/>
            <w:vAlign w:val="center"/>
            <w:hideMark/>
          </w:tcPr>
          <w:p w14:paraId="3DF9065C" w14:textId="77777777" w:rsidR="00916C02" w:rsidRPr="000B6FD6" w:rsidRDefault="00916C02"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1575C8CD" w14:textId="77777777" w:rsidR="00916C02" w:rsidRPr="000B6FD6" w:rsidRDefault="00916C02" w:rsidP="000B6FD6">
            <w:pPr>
              <w:tabs>
                <w:tab w:val="decimal" w:pos="223"/>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62A50EA0" w14:textId="77777777" w:rsidR="00916C02" w:rsidRPr="000B6FD6" w:rsidRDefault="00916C02"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712F0C21" w14:textId="77777777" w:rsidR="00916C02" w:rsidRPr="000B6FD6" w:rsidRDefault="00916C02" w:rsidP="000B6FD6">
            <w:pPr>
              <w:tabs>
                <w:tab w:val="decimal" w:pos="186"/>
              </w:tabs>
              <w:spacing w:after="0" w:line="240" w:lineRule="auto"/>
              <w:jc w:val="both"/>
              <w:rPr>
                <w:rFonts w:eastAsia="Times New Roman"/>
                <w:sz w:val="20"/>
                <w:szCs w:val="20"/>
              </w:rPr>
            </w:pPr>
            <w:r w:rsidRPr="000B6FD6">
              <w:rPr>
                <w:rFonts w:eastAsia="Times New Roman"/>
                <w:sz w:val="20"/>
                <w:szCs w:val="20"/>
              </w:rPr>
              <w:t> </w:t>
            </w:r>
          </w:p>
        </w:tc>
        <w:tc>
          <w:tcPr>
            <w:tcW w:w="620" w:type="dxa"/>
            <w:tcBorders>
              <w:top w:val="nil"/>
              <w:left w:val="nil"/>
              <w:bottom w:val="nil"/>
              <w:right w:val="single" w:sz="4" w:space="0" w:color="auto"/>
            </w:tcBorders>
            <w:shd w:val="clear" w:color="auto" w:fill="auto"/>
            <w:noWrap/>
            <w:vAlign w:val="center"/>
            <w:hideMark/>
          </w:tcPr>
          <w:p w14:paraId="34F13F6E" w14:textId="77777777" w:rsidR="00916C02" w:rsidRPr="000B6FD6" w:rsidRDefault="00916C02" w:rsidP="000B6FD6">
            <w:pPr>
              <w:tabs>
                <w:tab w:val="decimal" w:pos="3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261B391A" w14:textId="77777777" w:rsidR="00916C02" w:rsidRPr="000B6FD6" w:rsidRDefault="00916C02" w:rsidP="000B6FD6">
            <w:pPr>
              <w:tabs>
                <w:tab w:val="decimal" w:pos="225"/>
              </w:tabs>
              <w:spacing w:after="0" w:line="240" w:lineRule="auto"/>
              <w:jc w:val="both"/>
              <w:rPr>
                <w:rFonts w:eastAsia="Times New Roman"/>
                <w:sz w:val="20"/>
                <w:szCs w:val="20"/>
              </w:rPr>
            </w:pPr>
          </w:p>
        </w:tc>
        <w:tc>
          <w:tcPr>
            <w:tcW w:w="602" w:type="dxa"/>
            <w:tcBorders>
              <w:top w:val="nil"/>
              <w:left w:val="nil"/>
              <w:bottom w:val="nil"/>
              <w:right w:val="nil"/>
            </w:tcBorders>
            <w:shd w:val="clear" w:color="auto" w:fill="auto"/>
            <w:noWrap/>
            <w:vAlign w:val="center"/>
            <w:hideMark/>
          </w:tcPr>
          <w:p w14:paraId="7D6A61A0" w14:textId="77777777" w:rsidR="00916C02" w:rsidRPr="000B6FD6" w:rsidRDefault="00916C02"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75302664" w14:textId="77777777" w:rsidR="00916C02" w:rsidRPr="000B6FD6" w:rsidRDefault="00916C02" w:rsidP="000B6FD6">
            <w:pPr>
              <w:tabs>
                <w:tab w:val="decimal" w:pos="230"/>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533DC07D" w14:textId="77777777" w:rsidR="00916C02" w:rsidRPr="000B6FD6" w:rsidRDefault="00916C02"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030E667D" w14:textId="77777777" w:rsidR="00916C02" w:rsidRPr="000B6FD6" w:rsidRDefault="00916C02" w:rsidP="000B6FD6">
            <w:pPr>
              <w:tabs>
                <w:tab w:val="decimal" w:pos="52"/>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12" w:space="0" w:color="auto"/>
            </w:tcBorders>
            <w:shd w:val="clear" w:color="auto" w:fill="auto"/>
            <w:noWrap/>
            <w:vAlign w:val="center"/>
            <w:hideMark/>
          </w:tcPr>
          <w:p w14:paraId="5A7E6C2D" w14:textId="77777777" w:rsidR="00916C02" w:rsidRPr="000B6FD6" w:rsidRDefault="00916C02"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05D5D65F"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525F0B7D" w14:textId="5B974225"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000351C1">
              <w:rPr>
                <w:rFonts w:eastAsia="Times New Roman"/>
                <w:sz w:val="20"/>
                <w:szCs w:val="20"/>
              </w:rPr>
              <w:t xml:space="preserve">Medium </w:t>
            </w:r>
            <w:r w:rsidRPr="000B6FD6">
              <w:rPr>
                <w:rFonts w:eastAsia="Times New Roman"/>
                <w:sz w:val="20"/>
                <w:szCs w:val="20"/>
              </w:rPr>
              <w:t>&gt;</w:t>
            </w:r>
            <w:r w:rsidR="000351C1">
              <w:rPr>
                <w:rFonts w:eastAsia="Times New Roman"/>
                <w:sz w:val="20"/>
                <w:szCs w:val="20"/>
              </w:rPr>
              <w:t xml:space="preserve"> </w:t>
            </w:r>
            <w:r w:rsidRPr="000B6FD6">
              <w:rPr>
                <w:rFonts w:eastAsia="Times New Roman"/>
                <w:sz w:val="20"/>
                <w:szCs w:val="20"/>
              </w:rPr>
              <w:t>5 &amp; ≤10</w:t>
            </w:r>
          </w:p>
        </w:tc>
        <w:tc>
          <w:tcPr>
            <w:tcW w:w="600" w:type="dxa"/>
            <w:tcBorders>
              <w:top w:val="nil"/>
              <w:left w:val="single" w:sz="12" w:space="0" w:color="auto"/>
              <w:bottom w:val="nil"/>
              <w:right w:val="nil"/>
            </w:tcBorders>
            <w:shd w:val="clear" w:color="auto" w:fill="auto"/>
            <w:noWrap/>
            <w:vAlign w:val="center"/>
            <w:hideMark/>
          </w:tcPr>
          <w:p w14:paraId="23489F1E" w14:textId="7C707A32"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340CFA2C" w14:textId="77777777"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70E62D44" w14:textId="33ADA234"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49638E40" w14:textId="77777777" w:rsidR="00BC4ABB" w:rsidRPr="000B6FD6" w:rsidRDefault="00BC4ABB"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B551388" w14:textId="7639870F"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59DAF98F" w14:textId="77777777" w:rsidR="00BC4ABB" w:rsidRPr="000B6FD6" w:rsidRDefault="00BC4ABB"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40A4C2C8" w14:textId="5B6AAB51" w:rsidR="00BC4ABB" w:rsidRPr="000B6FD6" w:rsidRDefault="000E04C5" w:rsidP="007B1461">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0BD158B6" w14:textId="77777777" w:rsidR="00BC4ABB" w:rsidRPr="000B6FD6" w:rsidRDefault="00BC4ABB"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794500BA" w14:textId="7DEBF5C4" w:rsidR="00BC4ABB" w:rsidRPr="000B6FD6" w:rsidRDefault="000E04C5" w:rsidP="007B1461">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6739CBC4" w14:textId="77777777" w:rsidR="00BC4ABB" w:rsidRPr="000B6FD6" w:rsidRDefault="00BC4ABB"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2F4B0322" w14:textId="5E9D24D1"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6BC3FC86" w14:textId="77777777" w:rsidR="00BC4ABB" w:rsidRPr="000B6FD6" w:rsidRDefault="00BC4ABB"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hideMark/>
          </w:tcPr>
          <w:p w14:paraId="58BBA454" w14:textId="3ACFF9D9" w:rsidR="00BC4ABB" w:rsidRPr="000B6FD6" w:rsidRDefault="00BC4ABB" w:rsidP="000B6FD6">
            <w:pPr>
              <w:tabs>
                <w:tab w:val="decimal" w:pos="186"/>
              </w:tabs>
              <w:spacing w:after="0" w:line="240" w:lineRule="auto"/>
              <w:jc w:val="both"/>
              <w:rPr>
                <w:rFonts w:eastAsia="Times New Roman"/>
                <w:sz w:val="20"/>
                <w:szCs w:val="20"/>
              </w:rPr>
            </w:pPr>
            <w:r w:rsidRPr="000B6FD6">
              <w:rPr>
                <w:color w:val="000000"/>
                <w:sz w:val="20"/>
                <w:szCs w:val="20"/>
              </w:rPr>
              <w:t>0.89</w:t>
            </w:r>
          </w:p>
        </w:tc>
        <w:tc>
          <w:tcPr>
            <w:tcW w:w="620" w:type="dxa"/>
            <w:tcBorders>
              <w:top w:val="nil"/>
              <w:left w:val="nil"/>
              <w:bottom w:val="nil"/>
              <w:right w:val="single" w:sz="4" w:space="0" w:color="auto"/>
            </w:tcBorders>
            <w:shd w:val="clear" w:color="auto" w:fill="auto"/>
            <w:noWrap/>
            <w:vAlign w:val="bottom"/>
            <w:hideMark/>
          </w:tcPr>
          <w:p w14:paraId="319C09E7" w14:textId="371F6EDD" w:rsidR="00BC4ABB" w:rsidRPr="000B6FD6" w:rsidRDefault="00BC4ABB" w:rsidP="000B6FD6">
            <w:pPr>
              <w:tabs>
                <w:tab w:val="decimal" w:pos="307"/>
              </w:tabs>
              <w:spacing w:after="0" w:line="240" w:lineRule="auto"/>
              <w:jc w:val="both"/>
              <w:rPr>
                <w:rFonts w:eastAsia="Times New Roman"/>
                <w:sz w:val="20"/>
                <w:szCs w:val="20"/>
              </w:rPr>
            </w:pPr>
            <w:r w:rsidRPr="000B6FD6">
              <w:rPr>
                <w:color w:val="000000"/>
                <w:sz w:val="20"/>
                <w:szCs w:val="20"/>
              </w:rPr>
              <w:t>9.76</w:t>
            </w:r>
          </w:p>
        </w:tc>
        <w:tc>
          <w:tcPr>
            <w:tcW w:w="564" w:type="dxa"/>
            <w:tcBorders>
              <w:top w:val="nil"/>
              <w:left w:val="nil"/>
              <w:bottom w:val="nil"/>
              <w:right w:val="nil"/>
            </w:tcBorders>
            <w:shd w:val="clear" w:color="auto" w:fill="auto"/>
            <w:noWrap/>
            <w:vAlign w:val="bottom"/>
            <w:hideMark/>
          </w:tcPr>
          <w:p w14:paraId="4A349F29" w14:textId="6C15A539"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-0.23</w:t>
            </w:r>
          </w:p>
        </w:tc>
        <w:tc>
          <w:tcPr>
            <w:tcW w:w="602" w:type="dxa"/>
            <w:tcBorders>
              <w:top w:val="nil"/>
              <w:left w:val="nil"/>
              <w:bottom w:val="nil"/>
              <w:right w:val="nil"/>
            </w:tcBorders>
            <w:shd w:val="clear" w:color="auto" w:fill="auto"/>
            <w:noWrap/>
            <w:vAlign w:val="bottom"/>
            <w:hideMark/>
          </w:tcPr>
          <w:p w14:paraId="5FCAC33B" w14:textId="1255049C" w:rsidR="00BC4ABB" w:rsidRPr="000B6FD6" w:rsidRDefault="00BC4ABB" w:rsidP="000B6FD6">
            <w:pPr>
              <w:tabs>
                <w:tab w:val="decimal" w:pos="295"/>
              </w:tabs>
              <w:spacing w:after="0" w:line="240" w:lineRule="auto"/>
              <w:jc w:val="both"/>
              <w:rPr>
                <w:rFonts w:eastAsia="Times New Roman"/>
                <w:sz w:val="20"/>
                <w:szCs w:val="20"/>
              </w:rPr>
            </w:pPr>
            <w:r w:rsidRPr="000B6FD6">
              <w:rPr>
                <w:color w:val="000000"/>
                <w:sz w:val="20"/>
                <w:szCs w:val="20"/>
              </w:rPr>
              <w:t>-3.41</w:t>
            </w:r>
          </w:p>
        </w:tc>
        <w:tc>
          <w:tcPr>
            <w:tcW w:w="600" w:type="dxa"/>
            <w:tcBorders>
              <w:top w:val="nil"/>
              <w:left w:val="single" w:sz="4" w:space="0" w:color="auto"/>
              <w:bottom w:val="nil"/>
              <w:right w:val="nil"/>
            </w:tcBorders>
            <w:shd w:val="clear" w:color="auto" w:fill="auto"/>
            <w:noWrap/>
            <w:vAlign w:val="bottom"/>
            <w:hideMark/>
          </w:tcPr>
          <w:p w14:paraId="00B09863" w14:textId="5D2BB4ED"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0.17</w:t>
            </w:r>
          </w:p>
        </w:tc>
        <w:tc>
          <w:tcPr>
            <w:tcW w:w="660" w:type="dxa"/>
            <w:tcBorders>
              <w:top w:val="nil"/>
              <w:left w:val="nil"/>
              <w:bottom w:val="nil"/>
              <w:right w:val="single" w:sz="4" w:space="0" w:color="auto"/>
            </w:tcBorders>
            <w:shd w:val="clear" w:color="auto" w:fill="auto"/>
            <w:noWrap/>
            <w:vAlign w:val="bottom"/>
            <w:hideMark/>
          </w:tcPr>
          <w:p w14:paraId="11D2BB4D" w14:textId="6414DFB5"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2.46</w:t>
            </w:r>
          </w:p>
        </w:tc>
        <w:tc>
          <w:tcPr>
            <w:tcW w:w="580" w:type="dxa"/>
            <w:tcBorders>
              <w:top w:val="nil"/>
              <w:left w:val="nil"/>
              <w:bottom w:val="nil"/>
              <w:right w:val="nil"/>
            </w:tcBorders>
            <w:shd w:val="clear" w:color="auto" w:fill="auto"/>
            <w:noWrap/>
            <w:vAlign w:val="center"/>
            <w:hideMark/>
          </w:tcPr>
          <w:p w14:paraId="5C682854" w14:textId="221E491A"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22DFFC11"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3D686B6E"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778DA4D8" w14:textId="1531654C"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000351C1">
              <w:rPr>
                <w:rFonts w:eastAsia="Times New Roman"/>
                <w:sz w:val="20"/>
                <w:szCs w:val="20"/>
              </w:rPr>
              <w:t xml:space="preserve">High </w:t>
            </w:r>
            <w:r w:rsidRPr="000B6FD6">
              <w:rPr>
                <w:rFonts w:eastAsia="Times New Roman"/>
                <w:sz w:val="20"/>
                <w:szCs w:val="20"/>
              </w:rPr>
              <w:t>&gt;10</w:t>
            </w:r>
          </w:p>
        </w:tc>
        <w:tc>
          <w:tcPr>
            <w:tcW w:w="600" w:type="dxa"/>
            <w:tcBorders>
              <w:top w:val="nil"/>
              <w:left w:val="single" w:sz="12" w:space="0" w:color="auto"/>
              <w:bottom w:val="nil"/>
              <w:right w:val="nil"/>
            </w:tcBorders>
            <w:shd w:val="clear" w:color="auto" w:fill="auto"/>
            <w:noWrap/>
            <w:vAlign w:val="center"/>
            <w:hideMark/>
          </w:tcPr>
          <w:p w14:paraId="0FF9E45D" w14:textId="3CFF21CC"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00BA7ADD" w14:textId="77777777"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0D0810CF" w14:textId="542FC00B"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0979823C" w14:textId="77777777" w:rsidR="00BC4ABB" w:rsidRPr="000B6FD6" w:rsidRDefault="00BC4ABB"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1585FD25" w14:textId="4B0ABE76"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504D3F42" w14:textId="77777777" w:rsidR="00BC4ABB" w:rsidRPr="000B6FD6" w:rsidRDefault="00BC4ABB"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3E809BC2" w14:textId="263B20FD" w:rsidR="00BC4ABB" w:rsidRPr="000B6FD6" w:rsidRDefault="000E04C5" w:rsidP="007B1461">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nil"/>
              <w:left w:val="nil"/>
              <w:bottom w:val="nil"/>
              <w:right w:val="single" w:sz="4" w:space="0" w:color="auto"/>
            </w:tcBorders>
            <w:shd w:val="clear" w:color="auto" w:fill="auto"/>
            <w:noWrap/>
            <w:vAlign w:val="center"/>
            <w:hideMark/>
          </w:tcPr>
          <w:p w14:paraId="66E43C4A" w14:textId="77777777" w:rsidR="00BC4ABB" w:rsidRPr="000B6FD6" w:rsidRDefault="00BC4ABB"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5CE9C26A" w14:textId="560E4EA5" w:rsidR="00BC4ABB" w:rsidRPr="000B6FD6" w:rsidRDefault="000E04C5" w:rsidP="007B1461">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0ED44D0E" w14:textId="77777777" w:rsidR="00BC4ABB" w:rsidRPr="000B6FD6" w:rsidRDefault="00BC4ABB"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019CBED3" w14:textId="4D9A4B87"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7551429F" w14:textId="77777777" w:rsidR="00BC4ABB" w:rsidRPr="000B6FD6" w:rsidRDefault="00BC4ABB"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hideMark/>
          </w:tcPr>
          <w:p w14:paraId="4975C0C7" w14:textId="58533782" w:rsidR="00BC4ABB" w:rsidRPr="000B6FD6" w:rsidRDefault="00BC4ABB" w:rsidP="000B6FD6">
            <w:pPr>
              <w:tabs>
                <w:tab w:val="decimal" w:pos="186"/>
              </w:tabs>
              <w:spacing w:after="0" w:line="240" w:lineRule="auto"/>
              <w:jc w:val="both"/>
              <w:rPr>
                <w:rFonts w:eastAsia="Times New Roman"/>
                <w:sz w:val="20"/>
                <w:szCs w:val="20"/>
              </w:rPr>
            </w:pPr>
            <w:r w:rsidRPr="000B6FD6">
              <w:rPr>
                <w:color w:val="000000"/>
                <w:sz w:val="20"/>
                <w:szCs w:val="20"/>
              </w:rPr>
              <w:t>1.61</w:t>
            </w:r>
          </w:p>
        </w:tc>
        <w:tc>
          <w:tcPr>
            <w:tcW w:w="620" w:type="dxa"/>
            <w:tcBorders>
              <w:top w:val="nil"/>
              <w:left w:val="nil"/>
              <w:bottom w:val="nil"/>
              <w:right w:val="single" w:sz="4" w:space="0" w:color="auto"/>
            </w:tcBorders>
            <w:shd w:val="clear" w:color="auto" w:fill="auto"/>
            <w:noWrap/>
            <w:vAlign w:val="bottom"/>
            <w:hideMark/>
          </w:tcPr>
          <w:p w14:paraId="457170C7" w14:textId="14BF2974" w:rsidR="00BC4ABB" w:rsidRPr="000B6FD6" w:rsidRDefault="00BC4ABB" w:rsidP="000B6FD6">
            <w:pPr>
              <w:tabs>
                <w:tab w:val="decimal" w:pos="307"/>
              </w:tabs>
              <w:spacing w:after="0" w:line="240" w:lineRule="auto"/>
              <w:jc w:val="both"/>
              <w:rPr>
                <w:rFonts w:eastAsia="Times New Roman"/>
                <w:sz w:val="20"/>
                <w:szCs w:val="20"/>
              </w:rPr>
            </w:pPr>
            <w:r w:rsidRPr="000B6FD6">
              <w:rPr>
                <w:color w:val="000000"/>
                <w:sz w:val="20"/>
                <w:szCs w:val="20"/>
              </w:rPr>
              <w:t>12.11</w:t>
            </w:r>
          </w:p>
        </w:tc>
        <w:tc>
          <w:tcPr>
            <w:tcW w:w="564" w:type="dxa"/>
            <w:tcBorders>
              <w:top w:val="nil"/>
              <w:left w:val="nil"/>
              <w:bottom w:val="nil"/>
              <w:right w:val="nil"/>
            </w:tcBorders>
            <w:shd w:val="clear" w:color="auto" w:fill="auto"/>
            <w:noWrap/>
            <w:vAlign w:val="bottom"/>
            <w:hideMark/>
          </w:tcPr>
          <w:p w14:paraId="2C005E02" w14:textId="7A29E552"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-0.77</w:t>
            </w:r>
          </w:p>
        </w:tc>
        <w:tc>
          <w:tcPr>
            <w:tcW w:w="602" w:type="dxa"/>
            <w:tcBorders>
              <w:top w:val="nil"/>
              <w:left w:val="nil"/>
              <w:bottom w:val="nil"/>
              <w:right w:val="nil"/>
            </w:tcBorders>
            <w:shd w:val="clear" w:color="auto" w:fill="auto"/>
            <w:noWrap/>
            <w:vAlign w:val="bottom"/>
            <w:hideMark/>
          </w:tcPr>
          <w:p w14:paraId="252332CB" w14:textId="69E60028" w:rsidR="00BC4ABB" w:rsidRPr="000B6FD6" w:rsidRDefault="00BC4ABB" w:rsidP="000B6FD6">
            <w:pPr>
              <w:tabs>
                <w:tab w:val="decimal" w:pos="295"/>
              </w:tabs>
              <w:spacing w:after="0" w:line="240" w:lineRule="auto"/>
              <w:jc w:val="both"/>
              <w:rPr>
                <w:rFonts w:eastAsia="Times New Roman"/>
                <w:sz w:val="20"/>
                <w:szCs w:val="20"/>
              </w:rPr>
            </w:pPr>
            <w:r w:rsidRPr="000B6FD6">
              <w:rPr>
                <w:color w:val="000000"/>
                <w:sz w:val="20"/>
                <w:szCs w:val="20"/>
              </w:rPr>
              <w:t>-11.09</w:t>
            </w:r>
          </w:p>
        </w:tc>
        <w:tc>
          <w:tcPr>
            <w:tcW w:w="600" w:type="dxa"/>
            <w:tcBorders>
              <w:top w:val="nil"/>
              <w:left w:val="single" w:sz="4" w:space="0" w:color="auto"/>
              <w:bottom w:val="nil"/>
              <w:right w:val="nil"/>
            </w:tcBorders>
            <w:shd w:val="clear" w:color="auto" w:fill="auto"/>
            <w:noWrap/>
            <w:vAlign w:val="bottom"/>
            <w:hideMark/>
          </w:tcPr>
          <w:p w14:paraId="526054D6" w14:textId="475FD0F9"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0.88</w:t>
            </w:r>
          </w:p>
        </w:tc>
        <w:tc>
          <w:tcPr>
            <w:tcW w:w="660" w:type="dxa"/>
            <w:tcBorders>
              <w:top w:val="nil"/>
              <w:left w:val="nil"/>
              <w:bottom w:val="nil"/>
              <w:right w:val="single" w:sz="4" w:space="0" w:color="auto"/>
            </w:tcBorders>
            <w:shd w:val="clear" w:color="auto" w:fill="auto"/>
            <w:noWrap/>
            <w:vAlign w:val="bottom"/>
            <w:hideMark/>
          </w:tcPr>
          <w:p w14:paraId="54A36D55" w14:textId="67E729CB"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11.18</w:t>
            </w:r>
          </w:p>
        </w:tc>
        <w:tc>
          <w:tcPr>
            <w:tcW w:w="580" w:type="dxa"/>
            <w:tcBorders>
              <w:top w:val="nil"/>
              <w:left w:val="nil"/>
              <w:bottom w:val="nil"/>
              <w:right w:val="nil"/>
            </w:tcBorders>
            <w:shd w:val="clear" w:color="auto" w:fill="auto"/>
            <w:noWrap/>
            <w:vAlign w:val="center"/>
            <w:hideMark/>
          </w:tcPr>
          <w:p w14:paraId="1CA63CAF" w14:textId="6314701F"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3072C125"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916C02" w:rsidRPr="000B6FD6" w14:paraId="1DCB1260"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69EE1D45" w14:textId="678E386A" w:rsidR="00916C02" w:rsidRPr="000B6FD6" w:rsidRDefault="00916C02" w:rsidP="000B6FD6">
            <w:pPr>
              <w:spacing w:after="0" w:line="240" w:lineRule="auto"/>
              <w:jc w:val="both"/>
              <w:rPr>
                <w:rFonts w:eastAsia="Times New Roman"/>
                <w:sz w:val="20"/>
                <w:szCs w:val="20"/>
              </w:rPr>
            </w:pPr>
            <w:r w:rsidRPr="000B6FD6">
              <w:rPr>
                <w:rFonts w:eastAsia="Times New Roman"/>
                <w:sz w:val="20"/>
                <w:szCs w:val="20"/>
              </w:rPr>
              <w:t>Median Housing Cost (</w:t>
            </w:r>
            <w:r w:rsidR="000351C1">
              <w:rPr>
                <w:rFonts w:eastAsia="Times New Roman"/>
                <w:sz w:val="20"/>
                <w:szCs w:val="20"/>
              </w:rPr>
              <w:t xml:space="preserve">low </w:t>
            </w:r>
            <w:r w:rsidRPr="000B6FD6">
              <w:rPr>
                <w:rFonts w:eastAsia="Times New Roman"/>
                <w:sz w:val="20"/>
                <w:szCs w:val="20"/>
              </w:rPr>
              <w:t>≤ $1,000)</w:t>
            </w:r>
          </w:p>
        </w:tc>
        <w:tc>
          <w:tcPr>
            <w:tcW w:w="600" w:type="dxa"/>
            <w:tcBorders>
              <w:top w:val="nil"/>
              <w:left w:val="single" w:sz="12" w:space="0" w:color="auto"/>
              <w:bottom w:val="nil"/>
              <w:right w:val="nil"/>
            </w:tcBorders>
            <w:shd w:val="clear" w:color="auto" w:fill="auto"/>
            <w:noWrap/>
            <w:vAlign w:val="center"/>
            <w:hideMark/>
          </w:tcPr>
          <w:p w14:paraId="6EE5D6C0" w14:textId="77777777" w:rsidR="00916C02" w:rsidRPr="000B6FD6" w:rsidRDefault="00916C02" w:rsidP="000B6FD6">
            <w:pPr>
              <w:tabs>
                <w:tab w:val="decimal" w:pos="225"/>
              </w:tabs>
              <w:spacing w:after="0" w:line="240" w:lineRule="auto"/>
              <w:jc w:val="both"/>
              <w:rPr>
                <w:rFonts w:eastAsia="Times New Roman"/>
                <w:sz w:val="20"/>
                <w:szCs w:val="20"/>
              </w:rPr>
            </w:pPr>
          </w:p>
        </w:tc>
        <w:tc>
          <w:tcPr>
            <w:tcW w:w="500" w:type="dxa"/>
            <w:tcBorders>
              <w:top w:val="nil"/>
              <w:left w:val="nil"/>
              <w:bottom w:val="nil"/>
              <w:right w:val="single" w:sz="4" w:space="0" w:color="auto"/>
            </w:tcBorders>
            <w:shd w:val="clear" w:color="auto" w:fill="auto"/>
            <w:noWrap/>
            <w:vAlign w:val="center"/>
            <w:hideMark/>
          </w:tcPr>
          <w:p w14:paraId="026C792B" w14:textId="77777777" w:rsidR="00916C02" w:rsidRPr="000B6FD6" w:rsidRDefault="00916C02"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16710C03" w14:textId="77777777" w:rsidR="00916C02" w:rsidRPr="000B6FD6" w:rsidRDefault="00916C02" w:rsidP="000B6FD6">
            <w:pPr>
              <w:tabs>
                <w:tab w:val="decimal" w:pos="116"/>
              </w:tabs>
              <w:spacing w:after="0" w:line="240" w:lineRule="auto"/>
              <w:jc w:val="both"/>
              <w:rPr>
                <w:rFonts w:eastAsia="Times New Roman"/>
                <w:sz w:val="20"/>
                <w:szCs w:val="20"/>
              </w:rPr>
            </w:pPr>
          </w:p>
        </w:tc>
        <w:tc>
          <w:tcPr>
            <w:tcW w:w="520" w:type="dxa"/>
            <w:tcBorders>
              <w:top w:val="nil"/>
              <w:left w:val="nil"/>
              <w:bottom w:val="nil"/>
              <w:right w:val="nil"/>
            </w:tcBorders>
            <w:shd w:val="clear" w:color="auto" w:fill="auto"/>
            <w:noWrap/>
            <w:vAlign w:val="center"/>
            <w:hideMark/>
          </w:tcPr>
          <w:p w14:paraId="09E69B13" w14:textId="77777777" w:rsidR="00916C02" w:rsidRPr="000B6FD6" w:rsidRDefault="00916C02"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6ED7D30F" w14:textId="77777777" w:rsidR="00916C02" w:rsidRPr="000B6FD6" w:rsidRDefault="00916C02" w:rsidP="000B6FD6">
            <w:pPr>
              <w:tabs>
                <w:tab w:val="decimal" w:pos="187"/>
              </w:tabs>
              <w:spacing w:after="0" w:line="240" w:lineRule="auto"/>
              <w:jc w:val="both"/>
              <w:rPr>
                <w:rFonts w:eastAsia="Times New Roman"/>
                <w:sz w:val="20"/>
                <w:szCs w:val="20"/>
              </w:rPr>
            </w:pPr>
            <w:r w:rsidRPr="000B6FD6">
              <w:rPr>
                <w:rFonts w:eastAsia="Times New Roman"/>
                <w:sz w:val="20"/>
                <w:szCs w:val="20"/>
              </w:rPr>
              <w:t> </w:t>
            </w:r>
          </w:p>
        </w:tc>
        <w:tc>
          <w:tcPr>
            <w:tcW w:w="615" w:type="dxa"/>
            <w:tcBorders>
              <w:top w:val="nil"/>
              <w:left w:val="nil"/>
              <w:bottom w:val="nil"/>
              <w:right w:val="nil"/>
            </w:tcBorders>
            <w:shd w:val="clear" w:color="auto" w:fill="auto"/>
            <w:noWrap/>
            <w:vAlign w:val="center"/>
            <w:hideMark/>
          </w:tcPr>
          <w:p w14:paraId="68C8D843" w14:textId="77777777" w:rsidR="00916C02" w:rsidRPr="000B6FD6" w:rsidRDefault="00916C02"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center"/>
            <w:hideMark/>
          </w:tcPr>
          <w:p w14:paraId="7C1D7F3E" w14:textId="77777777" w:rsidR="00916C02" w:rsidRPr="000B6FD6" w:rsidRDefault="00916C02" w:rsidP="000B6FD6">
            <w:pPr>
              <w:tabs>
                <w:tab w:val="decimal" w:pos="140"/>
              </w:tabs>
              <w:spacing w:after="0" w:line="240" w:lineRule="auto"/>
              <w:jc w:val="both"/>
              <w:rPr>
                <w:rFonts w:eastAsia="Times New Roman"/>
                <w:sz w:val="20"/>
                <w:szCs w:val="20"/>
              </w:rPr>
            </w:pPr>
            <w:r w:rsidRPr="000B6FD6">
              <w:rPr>
                <w:rFonts w:eastAsia="Times New Roman"/>
                <w:sz w:val="20"/>
                <w:szCs w:val="20"/>
              </w:rPr>
              <w:t> </w:t>
            </w:r>
          </w:p>
        </w:tc>
        <w:tc>
          <w:tcPr>
            <w:tcW w:w="586" w:type="dxa"/>
            <w:tcBorders>
              <w:top w:val="nil"/>
              <w:left w:val="nil"/>
              <w:bottom w:val="nil"/>
              <w:right w:val="single" w:sz="4" w:space="0" w:color="auto"/>
            </w:tcBorders>
            <w:shd w:val="clear" w:color="auto" w:fill="auto"/>
            <w:noWrap/>
            <w:vAlign w:val="center"/>
            <w:hideMark/>
          </w:tcPr>
          <w:p w14:paraId="12A765DD" w14:textId="77777777" w:rsidR="00916C02" w:rsidRPr="000B6FD6" w:rsidRDefault="00916C02" w:rsidP="000B6FD6">
            <w:pPr>
              <w:tabs>
                <w:tab w:val="decimal" w:pos="272"/>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nil"/>
              <w:bottom w:val="nil"/>
              <w:right w:val="nil"/>
            </w:tcBorders>
            <w:shd w:val="clear" w:color="auto" w:fill="auto"/>
            <w:noWrap/>
            <w:vAlign w:val="center"/>
            <w:hideMark/>
          </w:tcPr>
          <w:p w14:paraId="3AFB77F9" w14:textId="77777777" w:rsidR="00916C02" w:rsidRPr="000B6FD6" w:rsidRDefault="00916C02" w:rsidP="000B6FD6">
            <w:pPr>
              <w:tabs>
                <w:tab w:val="decimal" w:pos="152"/>
              </w:tabs>
              <w:spacing w:after="0" w:line="240" w:lineRule="auto"/>
              <w:jc w:val="both"/>
              <w:rPr>
                <w:rFonts w:eastAsia="Times New Roman"/>
                <w:sz w:val="20"/>
                <w:szCs w:val="20"/>
              </w:rPr>
            </w:pPr>
            <w:r w:rsidRPr="000B6FD6">
              <w:rPr>
                <w:rFonts w:eastAsia="Times New Roman"/>
                <w:sz w:val="20"/>
                <w:szCs w:val="20"/>
              </w:rPr>
              <w:t> </w:t>
            </w:r>
          </w:p>
        </w:tc>
        <w:tc>
          <w:tcPr>
            <w:tcW w:w="500" w:type="dxa"/>
            <w:tcBorders>
              <w:top w:val="nil"/>
              <w:left w:val="nil"/>
              <w:bottom w:val="nil"/>
              <w:right w:val="nil"/>
            </w:tcBorders>
            <w:shd w:val="clear" w:color="auto" w:fill="auto"/>
            <w:noWrap/>
            <w:vAlign w:val="center"/>
            <w:hideMark/>
          </w:tcPr>
          <w:p w14:paraId="5C365722" w14:textId="77777777" w:rsidR="00916C02" w:rsidRPr="000B6FD6" w:rsidRDefault="00916C02"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2BB99EBA" w14:textId="77777777" w:rsidR="00916C02" w:rsidRPr="000B6FD6" w:rsidRDefault="00916C02" w:rsidP="000B6FD6">
            <w:pPr>
              <w:tabs>
                <w:tab w:val="decimal" w:pos="223"/>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nil"/>
            </w:tcBorders>
            <w:shd w:val="clear" w:color="auto" w:fill="auto"/>
            <w:noWrap/>
            <w:vAlign w:val="center"/>
            <w:hideMark/>
          </w:tcPr>
          <w:p w14:paraId="0B0B0437" w14:textId="77777777" w:rsidR="00916C02" w:rsidRPr="000B6FD6" w:rsidRDefault="00916C02"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40AD5FC3" w14:textId="77777777" w:rsidR="00916C02" w:rsidRPr="000B6FD6" w:rsidRDefault="00916C02" w:rsidP="000B6FD6">
            <w:pPr>
              <w:tabs>
                <w:tab w:val="decimal" w:pos="186"/>
              </w:tabs>
              <w:spacing w:after="0" w:line="240" w:lineRule="auto"/>
              <w:jc w:val="both"/>
              <w:rPr>
                <w:rFonts w:eastAsia="Times New Roman"/>
                <w:sz w:val="20"/>
                <w:szCs w:val="20"/>
              </w:rPr>
            </w:pPr>
            <w:r w:rsidRPr="000B6FD6">
              <w:rPr>
                <w:rFonts w:eastAsia="Times New Roman"/>
                <w:sz w:val="20"/>
                <w:szCs w:val="20"/>
              </w:rPr>
              <w:t> </w:t>
            </w:r>
          </w:p>
        </w:tc>
        <w:tc>
          <w:tcPr>
            <w:tcW w:w="620" w:type="dxa"/>
            <w:tcBorders>
              <w:top w:val="nil"/>
              <w:left w:val="nil"/>
              <w:bottom w:val="nil"/>
              <w:right w:val="single" w:sz="4" w:space="0" w:color="auto"/>
            </w:tcBorders>
            <w:shd w:val="clear" w:color="auto" w:fill="auto"/>
            <w:noWrap/>
            <w:vAlign w:val="center"/>
            <w:hideMark/>
          </w:tcPr>
          <w:p w14:paraId="563F9501" w14:textId="77777777" w:rsidR="00916C02" w:rsidRPr="000B6FD6" w:rsidRDefault="00916C02" w:rsidP="000B6FD6">
            <w:pPr>
              <w:tabs>
                <w:tab w:val="decimal" w:pos="3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nil"/>
              <w:right w:val="nil"/>
            </w:tcBorders>
            <w:shd w:val="clear" w:color="auto" w:fill="auto"/>
            <w:noWrap/>
            <w:vAlign w:val="center"/>
            <w:hideMark/>
          </w:tcPr>
          <w:p w14:paraId="6044270C" w14:textId="77777777" w:rsidR="00916C02" w:rsidRPr="000B6FD6" w:rsidRDefault="00916C02" w:rsidP="000B6FD6">
            <w:pPr>
              <w:tabs>
                <w:tab w:val="decimal" w:pos="225"/>
              </w:tabs>
              <w:spacing w:after="0" w:line="240" w:lineRule="auto"/>
              <w:jc w:val="both"/>
              <w:rPr>
                <w:rFonts w:eastAsia="Times New Roman"/>
                <w:sz w:val="20"/>
                <w:szCs w:val="20"/>
              </w:rPr>
            </w:pPr>
          </w:p>
        </w:tc>
        <w:tc>
          <w:tcPr>
            <w:tcW w:w="602" w:type="dxa"/>
            <w:tcBorders>
              <w:top w:val="nil"/>
              <w:left w:val="nil"/>
              <w:bottom w:val="nil"/>
              <w:right w:val="nil"/>
            </w:tcBorders>
            <w:shd w:val="clear" w:color="auto" w:fill="auto"/>
            <w:noWrap/>
            <w:vAlign w:val="center"/>
            <w:hideMark/>
          </w:tcPr>
          <w:p w14:paraId="319ACF7A" w14:textId="77777777" w:rsidR="00916C02" w:rsidRPr="000B6FD6" w:rsidRDefault="00916C02" w:rsidP="000B6FD6">
            <w:pPr>
              <w:tabs>
                <w:tab w:val="decimal" w:pos="29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1B16462D" w14:textId="77777777" w:rsidR="00916C02" w:rsidRPr="000B6FD6" w:rsidRDefault="00916C02" w:rsidP="000B6FD6">
            <w:pPr>
              <w:tabs>
                <w:tab w:val="decimal" w:pos="230"/>
              </w:tabs>
              <w:spacing w:after="0" w:line="240" w:lineRule="auto"/>
              <w:jc w:val="both"/>
              <w:rPr>
                <w:rFonts w:eastAsia="Times New Roman"/>
                <w:sz w:val="20"/>
                <w:szCs w:val="20"/>
              </w:rPr>
            </w:pPr>
            <w:r w:rsidRPr="000B6FD6">
              <w:rPr>
                <w:rFonts w:eastAsia="Times New Roman"/>
                <w:sz w:val="20"/>
                <w:szCs w:val="20"/>
              </w:rPr>
              <w:t> </w:t>
            </w:r>
          </w:p>
        </w:tc>
        <w:tc>
          <w:tcPr>
            <w:tcW w:w="660" w:type="dxa"/>
            <w:tcBorders>
              <w:top w:val="nil"/>
              <w:left w:val="nil"/>
              <w:bottom w:val="nil"/>
              <w:right w:val="single" w:sz="4" w:space="0" w:color="auto"/>
            </w:tcBorders>
            <w:shd w:val="clear" w:color="auto" w:fill="auto"/>
            <w:noWrap/>
            <w:vAlign w:val="center"/>
            <w:hideMark/>
          </w:tcPr>
          <w:p w14:paraId="408EF16F" w14:textId="77777777" w:rsidR="00916C02" w:rsidRPr="000B6FD6" w:rsidRDefault="00916C02"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46D0F4EF" w14:textId="77777777" w:rsidR="00916C02" w:rsidRPr="000B6FD6" w:rsidRDefault="00916C02" w:rsidP="000B6FD6">
            <w:pPr>
              <w:tabs>
                <w:tab w:val="decimal" w:pos="52"/>
              </w:tabs>
              <w:spacing w:after="0" w:line="240" w:lineRule="auto"/>
              <w:jc w:val="both"/>
              <w:rPr>
                <w:rFonts w:eastAsia="Times New Roman"/>
                <w:sz w:val="20"/>
                <w:szCs w:val="20"/>
              </w:rPr>
            </w:pPr>
            <w:r w:rsidRPr="000B6FD6">
              <w:rPr>
                <w:rFonts w:eastAsia="Times New Roman"/>
                <w:sz w:val="20"/>
                <w:szCs w:val="20"/>
              </w:rPr>
              <w:t> </w:t>
            </w:r>
          </w:p>
        </w:tc>
        <w:tc>
          <w:tcPr>
            <w:tcW w:w="520" w:type="dxa"/>
            <w:tcBorders>
              <w:top w:val="nil"/>
              <w:left w:val="nil"/>
              <w:bottom w:val="nil"/>
              <w:right w:val="single" w:sz="12" w:space="0" w:color="auto"/>
            </w:tcBorders>
            <w:shd w:val="clear" w:color="auto" w:fill="auto"/>
            <w:noWrap/>
            <w:vAlign w:val="center"/>
            <w:hideMark/>
          </w:tcPr>
          <w:p w14:paraId="595144D9" w14:textId="77777777" w:rsidR="00916C02" w:rsidRPr="000B6FD6" w:rsidRDefault="00916C02"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4E342D95" w14:textId="77777777" w:rsidTr="007B1461">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128CA2AD" w14:textId="49E36A63"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000351C1">
              <w:rPr>
                <w:rFonts w:eastAsia="Times New Roman"/>
                <w:sz w:val="20"/>
                <w:szCs w:val="20"/>
              </w:rPr>
              <w:t xml:space="preserve">Medium 1 </w:t>
            </w:r>
            <w:r w:rsidRPr="000B6FD6">
              <w:rPr>
                <w:rFonts w:eastAsia="Times New Roman"/>
                <w:sz w:val="20"/>
                <w:szCs w:val="20"/>
              </w:rPr>
              <w:t>&gt; $1,000 &amp; ≤ $1,500</w:t>
            </w:r>
          </w:p>
        </w:tc>
        <w:tc>
          <w:tcPr>
            <w:tcW w:w="600" w:type="dxa"/>
            <w:tcBorders>
              <w:top w:val="nil"/>
              <w:left w:val="single" w:sz="12" w:space="0" w:color="auto"/>
              <w:bottom w:val="nil"/>
              <w:right w:val="nil"/>
            </w:tcBorders>
            <w:shd w:val="clear" w:color="auto" w:fill="auto"/>
            <w:noWrap/>
            <w:vAlign w:val="center"/>
            <w:hideMark/>
          </w:tcPr>
          <w:p w14:paraId="38498A5C" w14:textId="4A61BCA2"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784DB825" w14:textId="77777777"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589E63A4" w14:textId="5CCE333B"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4F6182B0" w14:textId="77777777" w:rsidR="00BC4ABB" w:rsidRPr="000B6FD6" w:rsidRDefault="00BC4ABB"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6ADF7A4B" w14:textId="0F3DA5B5"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1A637FB7" w14:textId="77777777" w:rsidR="00BC4ABB" w:rsidRPr="000B6FD6" w:rsidRDefault="00BC4ABB"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76275BAE" w14:textId="08B26D12" w:rsidR="00BC4ABB" w:rsidRPr="000B6FD6" w:rsidRDefault="00BC4ABB" w:rsidP="000B6FD6">
            <w:pPr>
              <w:tabs>
                <w:tab w:val="decimal" w:pos="140"/>
              </w:tabs>
              <w:spacing w:after="0" w:line="240" w:lineRule="auto"/>
              <w:jc w:val="both"/>
              <w:rPr>
                <w:rFonts w:eastAsia="Times New Roman"/>
                <w:sz w:val="20"/>
                <w:szCs w:val="20"/>
              </w:rPr>
            </w:pPr>
            <w:r w:rsidRPr="000B6FD6">
              <w:rPr>
                <w:color w:val="000000"/>
                <w:sz w:val="20"/>
                <w:szCs w:val="20"/>
              </w:rPr>
              <w:t>0.24</w:t>
            </w:r>
          </w:p>
        </w:tc>
        <w:tc>
          <w:tcPr>
            <w:tcW w:w="586" w:type="dxa"/>
            <w:tcBorders>
              <w:top w:val="nil"/>
              <w:left w:val="nil"/>
              <w:bottom w:val="nil"/>
              <w:right w:val="single" w:sz="4" w:space="0" w:color="auto"/>
            </w:tcBorders>
            <w:shd w:val="clear" w:color="auto" w:fill="auto"/>
            <w:noWrap/>
            <w:vAlign w:val="bottom"/>
            <w:hideMark/>
          </w:tcPr>
          <w:p w14:paraId="5EF517FF" w14:textId="1A293053" w:rsidR="00BC4ABB" w:rsidRPr="000B6FD6" w:rsidRDefault="00BC4ABB" w:rsidP="000B6FD6">
            <w:pPr>
              <w:tabs>
                <w:tab w:val="decimal" w:pos="272"/>
              </w:tabs>
              <w:spacing w:after="0" w:line="240" w:lineRule="auto"/>
              <w:jc w:val="both"/>
              <w:rPr>
                <w:rFonts w:eastAsia="Times New Roman"/>
                <w:sz w:val="20"/>
                <w:szCs w:val="20"/>
              </w:rPr>
            </w:pPr>
            <w:r w:rsidRPr="000B6FD6">
              <w:rPr>
                <w:color w:val="000000"/>
                <w:sz w:val="20"/>
                <w:szCs w:val="20"/>
              </w:rPr>
              <w:t>3.00</w:t>
            </w:r>
          </w:p>
        </w:tc>
        <w:tc>
          <w:tcPr>
            <w:tcW w:w="600" w:type="dxa"/>
            <w:tcBorders>
              <w:top w:val="nil"/>
              <w:left w:val="nil"/>
              <w:bottom w:val="nil"/>
              <w:right w:val="nil"/>
            </w:tcBorders>
            <w:shd w:val="clear" w:color="auto" w:fill="auto"/>
            <w:noWrap/>
            <w:vAlign w:val="bottom"/>
            <w:hideMark/>
          </w:tcPr>
          <w:p w14:paraId="7BA68027" w14:textId="780D3B0E" w:rsidR="00BC4ABB" w:rsidRPr="000B6FD6" w:rsidRDefault="00BC4ABB" w:rsidP="000B6FD6">
            <w:pPr>
              <w:tabs>
                <w:tab w:val="decimal" w:pos="152"/>
              </w:tabs>
              <w:spacing w:after="0" w:line="240" w:lineRule="auto"/>
              <w:jc w:val="both"/>
              <w:rPr>
                <w:rFonts w:eastAsia="Times New Roman"/>
                <w:sz w:val="20"/>
                <w:szCs w:val="20"/>
              </w:rPr>
            </w:pPr>
            <w:r w:rsidRPr="000B6FD6">
              <w:rPr>
                <w:color w:val="000000"/>
                <w:sz w:val="20"/>
                <w:szCs w:val="20"/>
              </w:rPr>
              <w:t>0.54</w:t>
            </w:r>
          </w:p>
        </w:tc>
        <w:tc>
          <w:tcPr>
            <w:tcW w:w="500" w:type="dxa"/>
            <w:tcBorders>
              <w:top w:val="nil"/>
              <w:left w:val="nil"/>
              <w:bottom w:val="nil"/>
              <w:right w:val="nil"/>
            </w:tcBorders>
            <w:shd w:val="clear" w:color="auto" w:fill="auto"/>
            <w:noWrap/>
            <w:vAlign w:val="bottom"/>
            <w:hideMark/>
          </w:tcPr>
          <w:p w14:paraId="3D8F554C" w14:textId="36E0ABCA" w:rsidR="00BC4ABB" w:rsidRPr="000B6FD6" w:rsidRDefault="00BC4ABB" w:rsidP="000B6FD6">
            <w:pPr>
              <w:tabs>
                <w:tab w:val="decimal" w:pos="183"/>
              </w:tabs>
              <w:spacing w:after="0" w:line="240" w:lineRule="auto"/>
              <w:jc w:val="both"/>
              <w:rPr>
                <w:rFonts w:eastAsia="Times New Roman"/>
                <w:sz w:val="20"/>
                <w:szCs w:val="20"/>
              </w:rPr>
            </w:pPr>
            <w:r w:rsidRPr="000B6FD6">
              <w:rPr>
                <w:color w:val="000000"/>
                <w:sz w:val="20"/>
                <w:szCs w:val="20"/>
              </w:rPr>
              <w:t>6.85</w:t>
            </w:r>
          </w:p>
        </w:tc>
        <w:tc>
          <w:tcPr>
            <w:tcW w:w="580" w:type="dxa"/>
            <w:tcBorders>
              <w:top w:val="nil"/>
              <w:left w:val="single" w:sz="4" w:space="0" w:color="auto"/>
              <w:bottom w:val="nil"/>
              <w:right w:val="nil"/>
            </w:tcBorders>
            <w:shd w:val="clear" w:color="auto" w:fill="auto"/>
            <w:noWrap/>
            <w:vAlign w:val="center"/>
            <w:hideMark/>
          </w:tcPr>
          <w:p w14:paraId="3EC82BA3" w14:textId="33505F92"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203EDCB1" w14:textId="77777777" w:rsidR="00BC4ABB" w:rsidRPr="000B6FD6" w:rsidRDefault="00BC4ABB"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26A528ED" w14:textId="61F7074B" w:rsidR="00BC4ABB"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nil"/>
              <w:right w:val="single" w:sz="4" w:space="0" w:color="auto"/>
            </w:tcBorders>
            <w:shd w:val="clear" w:color="auto" w:fill="auto"/>
            <w:noWrap/>
            <w:vAlign w:val="center"/>
          </w:tcPr>
          <w:p w14:paraId="291FCF89" w14:textId="4BB48E91" w:rsidR="00BC4ABB" w:rsidRPr="000B6FD6" w:rsidRDefault="00BC4ABB"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bottom"/>
            <w:hideMark/>
          </w:tcPr>
          <w:p w14:paraId="44698087" w14:textId="60D2761F"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0.41</w:t>
            </w:r>
          </w:p>
        </w:tc>
        <w:tc>
          <w:tcPr>
            <w:tcW w:w="602" w:type="dxa"/>
            <w:tcBorders>
              <w:top w:val="nil"/>
              <w:left w:val="nil"/>
              <w:bottom w:val="nil"/>
              <w:right w:val="nil"/>
            </w:tcBorders>
            <w:shd w:val="clear" w:color="auto" w:fill="auto"/>
            <w:noWrap/>
            <w:vAlign w:val="bottom"/>
            <w:hideMark/>
          </w:tcPr>
          <w:p w14:paraId="1E749901" w14:textId="7B9F4939" w:rsidR="00BC4ABB" w:rsidRPr="000B6FD6" w:rsidRDefault="00BC4ABB" w:rsidP="000B6FD6">
            <w:pPr>
              <w:tabs>
                <w:tab w:val="decimal" w:pos="295"/>
              </w:tabs>
              <w:spacing w:after="0" w:line="240" w:lineRule="auto"/>
              <w:jc w:val="both"/>
              <w:rPr>
                <w:rFonts w:eastAsia="Times New Roman"/>
                <w:sz w:val="20"/>
                <w:szCs w:val="20"/>
              </w:rPr>
            </w:pPr>
            <w:r w:rsidRPr="000B6FD6">
              <w:rPr>
                <w:color w:val="000000"/>
                <w:sz w:val="20"/>
                <w:szCs w:val="20"/>
              </w:rPr>
              <w:t>5.48</w:t>
            </w:r>
          </w:p>
        </w:tc>
        <w:tc>
          <w:tcPr>
            <w:tcW w:w="600" w:type="dxa"/>
            <w:tcBorders>
              <w:top w:val="nil"/>
              <w:left w:val="single" w:sz="4" w:space="0" w:color="auto"/>
              <w:bottom w:val="nil"/>
              <w:right w:val="nil"/>
            </w:tcBorders>
            <w:shd w:val="clear" w:color="auto" w:fill="auto"/>
            <w:noWrap/>
            <w:vAlign w:val="bottom"/>
            <w:hideMark/>
          </w:tcPr>
          <w:p w14:paraId="7A1E8CA8" w14:textId="6C4C2C7E"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-0.70</w:t>
            </w:r>
          </w:p>
        </w:tc>
        <w:tc>
          <w:tcPr>
            <w:tcW w:w="660" w:type="dxa"/>
            <w:tcBorders>
              <w:top w:val="nil"/>
              <w:left w:val="nil"/>
              <w:bottom w:val="nil"/>
              <w:right w:val="single" w:sz="4" w:space="0" w:color="auto"/>
            </w:tcBorders>
            <w:shd w:val="clear" w:color="auto" w:fill="auto"/>
            <w:noWrap/>
            <w:vAlign w:val="bottom"/>
            <w:hideMark/>
          </w:tcPr>
          <w:p w14:paraId="01070C4F" w14:textId="49FBCB9E"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-8.42</w:t>
            </w:r>
          </w:p>
        </w:tc>
        <w:tc>
          <w:tcPr>
            <w:tcW w:w="580" w:type="dxa"/>
            <w:tcBorders>
              <w:top w:val="nil"/>
              <w:left w:val="nil"/>
              <w:bottom w:val="nil"/>
              <w:right w:val="nil"/>
            </w:tcBorders>
            <w:shd w:val="clear" w:color="auto" w:fill="auto"/>
            <w:noWrap/>
            <w:vAlign w:val="center"/>
            <w:hideMark/>
          </w:tcPr>
          <w:p w14:paraId="066FEF2C" w14:textId="0BFC2497"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0F370E81"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69243B40" w14:textId="77777777" w:rsidTr="007B1461">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42C588F9" w14:textId="17D2FBE3"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000351C1">
              <w:rPr>
                <w:rFonts w:eastAsia="Times New Roman"/>
                <w:sz w:val="20"/>
                <w:szCs w:val="20"/>
              </w:rPr>
              <w:t xml:space="preserve">Medium 2 </w:t>
            </w:r>
            <w:r w:rsidRPr="000B6FD6">
              <w:rPr>
                <w:rFonts w:eastAsia="Times New Roman"/>
                <w:sz w:val="20"/>
                <w:szCs w:val="20"/>
              </w:rPr>
              <w:t>&gt; $1,500 &amp; ≤ $2,000</w:t>
            </w:r>
          </w:p>
        </w:tc>
        <w:tc>
          <w:tcPr>
            <w:tcW w:w="600" w:type="dxa"/>
            <w:tcBorders>
              <w:top w:val="nil"/>
              <w:left w:val="single" w:sz="12" w:space="0" w:color="auto"/>
              <w:bottom w:val="nil"/>
              <w:right w:val="nil"/>
            </w:tcBorders>
            <w:shd w:val="clear" w:color="auto" w:fill="auto"/>
            <w:noWrap/>
            <w:vAlign w:val="center"/>
            <w:hideMark/>
          </w:tcPr>
          <w:p w14:paraId="2F248E54" w14:textId="4DC70A25"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2874E623" w14:textId="52C6D3D4" w:rsidR="00BC4ABB" w:rsidRPr="000B6FD6" w:rsidRDefault="00BC4ABB" w:rsidP="007B1461">
            <w:pPr>
              <w:tabs>
                <w:tab w:val="decimal" w:pos="225"/>
              </w:tabs>
              <w:spacing w:after="0" w:line="240" w:lineRule="auto"/>
              <w:jc w:val="center"/>
              <w:rPr>
                <w:rFonts w:eastAsia="Times New Roman"/>
                <w:sz w:val="20"/>
                <w:szCs w:val="20"/>
              </w:rPr>
            </w:pPr>
          </w:p>
        </w:tc>
        <w:tc>
          <w:tcPr>
            <w:tcW w:w="580" w:type="dxa"/>
            <w:tcBorders>
              <w:top w:val="nil"/>
              <w:left w:val="nil"/>
              <w:bottom w:val="nil"/>
              <w:right w:val="nil"/>
            </w:tcBorders>
            <w:shd w:val="clear" w:color="auto" w:fill="auto"/>
            <w:noWrap/>
            <w:vAlign w:val="center"/>
            <w:hideMark/>
          </w:tcPr>
          <w:p w14:paraId="27AD9A58" w14:textId="1D510D15"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4A06DC56" w14:textId="77777777" w:rsidR="00BC4ABB" w:rsidRPr="000B6FD6" w:rsidRDefault="00BC4ABB"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043FBC31" w14:textId="0C2C0161"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1C235B53" w14:textId="77777777" w:rsidR="00BC4ABB" w:rsidRPr="000B6FD6" w:rsidRDefault="00BC4ABB"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1373497C" w14:textId="75EE033A" w:rsidR="00BC4ABB" w:rsidRPr="000B6FD6" w:rsidRDefault="00BC4ABB" w:rsidP="000B6FD6">
            <w:pPr>
              <w:tabs>
                <w:tab w:val="decimal" w:pos="140"/>
              </w:tabs>
              <w:spacing w:after="0" w:line="240" w:lineRule="auto"/>
              <w:jc w:val="both"/>
              <w:rPr>
                <w:rFonts w:eastAsia="Times New Roman"/>
                <w:sz w:val="20"/>
                <w:szCs w:val="20"/>
              </w:rPr>
            </w:pPr>
            <w:r w:rsidRPr="000B6FD6">
              <w:rPr>
                <w:color w:val="000000"/>
                <w:sz w:val="20"/>
                <w:szCs w:val="20"/>
              </w:rPr>
              <w:t>0.25</w:t>
            </w:r>
          </w:p>
        </w:tc>
        <w:tc>
          <w:tcPr>
            <w:tcW w:w="586" w:type="dxa"/>
            <w:tcBorders>
              <w:top w:val="nil"/>
              <w:left w:val="nil"/>
              <w:bottom w:val="nil"/>
              <w:right w:val="single" w:sz="4" w:space="0" w:color="auto"/>
            </w:tcBorders>
            <w:shd w:val="clear" w:color="auto" w:fill="auto"/>
            <w:noWrap/>
            <w:vAlign w:val="bottom"/>
            <w:hideMark/>
          </w:tcPr>
          <w:p w14:paraId="48D6D4B7" w14:textId="38728A73" w:rsidR="00BC4ABB" w:rsidRPr="000B6FD6" w:rsidRDefault="00BC4ABB" w:rsidP="000B6FD6">
            <w:pPr>
              <w:tabs>
                <w:tab w:val="decimal" w:pos="272"/>
              </w:tabs>
              <w:spacing w:after="0" w:line="240" w:lineRule="auto"/>
              <w:jc w:val="both"/>
              <w:rPr>
                <w:rFonts w:eastAsia="Times New Roman"/>
                <w:sz w:val="20"/>
                <w:szCs w:val="20"/>
              </w:rPr>
            </w:pPr>
            <w:r w:rsidRPr="000B6FD6">
              <w:rPr>
                <w:color w:val="000000"/>
                <w:sz w:val="20"/>
                <w:szCs w:val="20"/>
              </w:rPr>
              <w:t>3.05</w:t>
            </w:r>
          </w:p>
        </w:tc>
        <w:tc>
          <w:tcPr>
            <w:tcW w:w="600" w:type="dxa"/>
            <w:tcBorders>
              <w:top w:val="nil"/>
              <w:left w:val="nil"/>
              <w:bottom w:val="nil"/>
              <w:right w:val="nil"/>
            </w:tcBorders>
            <w:shd w:val="clear" w:color="auto" w:fill="auto"/>
            <w:noWrap/>
            <w:vAlign w:val="bottom"/>
            <w:hideMark/>
          </w:tcPr>
          <w:p w14:paraId="74AB52EF" w14:textId="686F545A" w:rsidR="00BC4ABB" w:rsidRPr="000B6FD6" w:rsidRDefault="00BC4ABB" w:rsidP="000B6FD6">
            <w:pPr>
              <w:tabs>
                <w:tab w:val="decimal" w:pos="152"/>
              </w:tabs>
              <w:spacing w:after="0" w:line="240" w:lineRule="auto"/>
              <w:jc w:val="both"/>
              <w:rPr>
                <w:rFonts w:eastAsia="Times New Roman"/>
                <w:sz w:val="20"/>
                <w:szCs w:val="20"/>
              </w:rPr>
            </w:pPr>
            <w:r w:rsidRPr="000B6FD6">
              <w:rPr>
                <w:color w:val="000000"/>
                <w:sz w:val="20"/>
                <w:szCs w:val="20"/>
              </w:rPr>
              <w:t>0.64</w:t>
            </w:r>
          </w:p>
        </w:tc>
        <w:tc>
          <w:tcPr>
            <w:tcW w:w="500" w:type="dxa"/>
            <w:tcBorders>
              <w:top w:val="nil"/>
              <w:left w:val="nil"/>
              <w:bottom w:val="nil"/>
              <w:right w:val="nil"/>
            </w:tcBorders>
            <w:shd w:val="clear" w:color="auto" w:fill="auto"/>
            <w:noWrap/>
            <w:vAlign w:val="bottom"/>
            <w:hideMark/>
          </w:tcPr>
          <w:p w14:paraId="6B998E96" w14:textId="3E2D6E88" w:rsidR="00BC4ABB" w:rsidRPr="000B6FD6" w:rsidRDefault="00BC4ABB" w:rsidP="000B6FD6">
            <w:pPr>
              <w:tabs>
                <w:tab w:val="decimal" w:pos="183"/>
              </w:tabs>
              <w:spacing w:after="0" w:line="240" w:lineRule="auto"/>
              <w:jc w:val="both"/>
              <w:rPr>
                <w:rFonts w:eastAsia="Times New Roman"/>
                <w:sz w:val="20"/>
                <w:szCs w:val="20"/>
              </w:rPr>
            </w:pPr>
            <w:r w:rsidRPr="000B6FD6">
              <w:rPr>
                <w:color w:val="000000"/>
                <w:sz w:val="20"/>
                <w:szCs w:val="20"/>
              </w:rPr>
              <w:t>7.51</w:t>
            </w:r>
          </w:p>
        </w:tc>
        <w:tc>
          <w:tcPr>
            <w:tcW w:w="580" w:type="dxa"/>
            <w:tcBorders>
              <w:top w:val="nil"/>
              <w:left w:val="single" w:sz="4" w:space="0" w:color="auto"/>
              <w:bottom w:val="nil"/>
              <w:right w:val="nil"/>
            </w:tcBorders>
            <w:shd w:val="clear" w:color="auto" w:fill="auto"/>
            <w:noWrap/>
            <w:vAlign w:val="center"/>
            <w:hideMark/>
          </w:tcPr>
          <w:p w14:paraId="7D0002C1" w14:textId="2D6F429A"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0476A678" w14:textId="77777777" w:rsidR="00BC4ABB" w:rsidRPr="000B6FD6" w:rsidRDefault="00BC4ABB"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56DD02EA" w14:textId="174C376D" w:rsidR="00BC4ABB"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nil"/>
              <w:right w:val="single" w:sz="4" w:space="0" w:color="auto"/>
            </w:tcBorders>
            <w:shd w:val="clear" w:color="auto" w:fill="auto"/>
            <w:noWrap/>
            <w:vAlign w:val="center"/>
          </w:tcPr>
          <w:p w14:paraId="77C5A31F" w14:textId="68CE1B74" w:rsidR="00BC4ABB" w:rsidRPr="000B6FD6" w:rsidRDefault="00BC4ABB" w:rsidP="000B6FD6">
            <w:pPr>
              <w:tabs>
                <w:tab w:val="decimal" w:pos="307"/>
              </w:tabs>
              <w:spacing w:after="0" w:line="240" w:lineRule="auto"/>
              <w:jc w:val="both"/>
              <w:rPr>
                <w:rFonts w:eastAsia="Times New Roman"/>
                <w:sz w:val="20"/>
                <w:szCs w:val="20"/>
              </w:rPr>
            </w:pPr>
          </w:p>
        </w:tc>
        <w:tc>
          <w:tcPr>
            <w:tcW w:w="564" w:type="dxa"/>
            <w:tcBorders>
              <w:top w:val="nil"/>
              <w:left w:val="nil"/>
              <w:bottom w:val="nil"/>
              <w:right w:val="nil"/>
            </w:tcBorders>
            <w:shd w:val="clear" w:color="auto" w:fill="auto"/>
            <w:noWrap/>
            <w:vAlign w:val="bottom"/>
            <w:hideMark/>
          </w:tcPr>
          <w:p w14:paraId="740FCD7A" w14:textId="444ED126"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0.84</w:t>
            </w:r>
          </w:p>
        </w:tc>
        <w:tc>
          <w:tcPr>
            <w:tcW w:w="602" w:type="dxa"/>
            <w:tcBorders>
              <w:top w:val="nil"/>
              <w:left w:val="nil"/>
              <w:bottom w:val="nil"/>
              <w:right w:val="nil"/>
            </w:tcBorders>
            <w:shd w:val="clear" w:color="auto" w:fill="auto"/>
            <w:noWrap/>
            <w:vAlign w:val="bottom"/>
            <w:hideMark/>
          </w:tcPr>
          <w:p w14:paraId="1D4AACD8" w14:textId="7140544B" w:rsidR="00BC4ABB" w:rsidRPr="000B6FD6" w:rsidRDefault="00BC4ABB" w:rsidP="000B6FD6">
            <w:pPr>
              <w:tabs>
                <w:tab w:val="decimal" w:pos="295"/>
              </w:tabs>
              <w:spacing w:after="0" w:line="240" w:lineRule="auto"/>
              <w:jc w:val="both"/>
              <w:rPr>
                <w:rFonts w:eastAsia="Times New Roman"/>
                <w:sz w:val="20"/>
                <w:szCs w:val="20"/>
              </w:rPr>
            </w:pPr>
            <w:r w:rsidRPr="000B6FD6">
              <w:rPr>
                <w:color w:val="000000"/>
                <w:sz w:val="20"/>
                <w:szCs w:val="20"/>
              </w:rPr>
              <w:t>10.22</w:t>
            </w:r>
          </w:p>
        </w:tc>
        <w:tc>
          <w:tcPr>
            <w:tcW w:w="600" w:type="dxa"/>
            <w:tcBorders>
              <w:top w:val="nil"/>
              <w:left w:val="single" w:sz="4" w:space="0" w:color="auto"/>
              <w:bottom w:val="nil"/>
              <w:right w:val="nil"/>
            </w:tcBorders>
            <w:shd w:val="clear" w:color="auto" w:fill="auto"/>
            <w:noWrap/>
            <w:vAlign w:val="bottom"/>
            <w:hideMark/>
          </w:tcPr>
          <w:p w14:paraId="54D5A71F" w14:textId="5546B4B3"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-1.22</w:t>
            </w:r>
          </w:p>
        </w:tc>
        <w:tc>
          <w:tcPr>
            <w:tcW w:w="660" w:type="dxa"/>
            <w:tcBorders>
              <w:top w:val="nil"/>
              <w:left w:val="nil"/>
              <w:bottom w:val="nil"/>
              <w:right w:val="single" w:sz="4" w:space="0" w:color="auto"/>
            </w:tcBorders>
            <w:shd w:val="clear" w:color="auto" w:fill="auto"/>
            <w:noWrap/>
            <w:vAlign w:val="bottom"/>
            <w:hideMark/>
          </w:tcPr>
          <w:p w14:paraId="23792322" w14:textId="51F0EA84"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-14.03</w:t>
            </w:r>
          </w:p>
        </w:tc>
        <w:tc>
          <w:tcPr>
            <w:tcW w:w="580" w:type="dxa"/>
            <w:tcBorders>
              <w:top w:val="nil"/>
              <w:left w:val="nil"/>
              <w:bottom w:val="nil"/>
              <w:right w:val="nil"/>
            </w:tcBorders>
            <w:shd w:val="clear" w:color="auto" w:fill="auto"/>
            <w:noWrap/>
            <w:vAlign w:val="center"/>
            <w:hideMark/>
          </w:tcPr>
          <w:p w14:paraId="7945A524" w14:textId="094DE2A2"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7FDD5574"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BC4ABB" w:rsidRPr="000B6FD6" w14:paraId="12C0E2A2" w14:textId="77777777" w:rsidTr="007B1461">
        <w:trPr>
          <w:trHeight w:val="216"/>
          <w:jc w:val="center"/>
        </w:trPr>
        <w:tc>
          <w:tcPr>
            <w:tcW w:w="3240" w:type="dxa"/>
            <w:tcBorders>
              <w:top w:val="nil"/>
              <w:left w:val="single" w:sz="12" w:space="0" w:color="auto"/>
              <w:bottom w:val="single" w:sz="12" w:space="0" w:color="auto"/>
              <w:right w:val="single" w:sz="12" w:space="0" w:color="auto"/>
            </w:tcBorders>
            <w:shd w:val="clear" w:color="auto" w:fill="auto"/>
            <w:noWrap/>
            <w:vAlign w:val="bottom"/>
            <w:hideMark/>
          </w:tcPr>
          <w:p w14:paraId="2E01E6AF" w14:textId="58A3568F"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xml:space="preserve">    </w:t>
            </w:r>
            <w:r w:rsidR="000B6FD6">
              <w:rPr>
                <w:rFonts w:eastAsia="Times New Roman"/>
                <w:sz w:val="20"/>
                <w:szCs w:val="20"/>
              </w:rPr>
              <w:t xml:space="preserve">  </w:t>
            </w:r>
            <w:r w:rsidR="000351C1">
              <w:rPr>
                <w:rFonts w:eastAsia="Times New Roman"/>
                <w:sz w:val="20"/>
                <w:szCs w:val="20"/>
              </w:rPr>
              <w:t xml:space="preserve">High </w:t>
            </w:r>
            <w:r w:rsidRPr="000B6FD6">
              <w:rPr>
                <w:rFonts w:eastAsia="Times New Roman"/>
                <w:sz w:val="20"/>
                <w:szCs w:val="20"/>
              </w:rPr>
              <w:t>&gt; $2,000</w:t>
            </w:r>
          </w:p>
        </w:tc>
        <w:tc>
          <w:tcPr>
            <w:tcW w:w="600" w:type="dxa"/>
            <w:tcBorders>
              <w:top w:val="nil"/>
              <w:left w:val="single" w:sz="12" w:space="0" w:color="auto"/>
              <w:bottom w:val="single" w:sz="12" w:space="0" w:color="auto"/>
              <w:right w:val="nil"/>
            </w:tcBorders>
            <w:shd w:val="clear" w:color="auto" w:fill="auto"/>
            <w:noWrap/>
            <w:vAlign w:val="center"/>
            <w:hideMark/>
          </w:tcPr>
          <w:p w14:paraId="19FB98A6" w14:textId="30B9561E" w:rsidR="00BC4ABB" w:rsidRPr="000B6FD6" w:rsidRDefault="000E04C5" w:rsidP="007B1461">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single" w:sz="12" w:space="0" w:color="auto"/>
              <w:right w:val="single" w:sz="4" w:space="0" w:color="auto"/>
            </w:tcBorders>
            <w:shd w:val="clear" w:color="auto" w:fill="auto"/>
            <w:noWrap/>
            <w:vAlign w:val="center"/>
            <w:hideMark/>
          </w:tcPr>
          <w:p w14:paraId="641BE04F" w14:textId="77777777"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single" w:sz="12" w:space="0" w:color="auto"/>
              <w:right w:val="nil"/>
            </w:tcBorders>
            <w:shd w:val="clear" w:color="auto" w:fill="auto"/>
            <w:noWrap/>
            <w:vAlign w:val="center"/>
            <w:hideMark/>
          </w:tcPr>
          <w:p w14:paraId="1C7925E5" w14:textId="5129782A" w:rsidR="00BC4ABB" w:rsidRPr="000B6FD6" w:rsidRDefault="000E04C5" w:rsidP="007B1461">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nil"/>
            </w:tcBorders>
            <w:shd w:val="clear" w:color="auto" w:fill="auto"/>
            <w:noWrap/>
            <w:vAlign w:val="center"/>
            <w:hideMark/>
          </w:tcPr>
          <w:p w14:paraId="6EAF8AF2" w14:textId="77777777" w:rsidR="00BC4ABB" w:rsidRPr="000B6FD6" w:rsidRDefault="00BC4ABB" w:rsidP="000B6FD6">
            <w:pPr>
              <w:tabs>
                <w:tab w:val="decimal" w:pos="164"/>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single" w:sz="4" w:space="0" w:color="auto"/>
              <w:bottom w:val="single" w:sz="12" w:space="0" w:color="auto"/>
              <w:right w:val="nil"/>
            </w:tcBorders>
            <w:shd w:val="clear" w:color="auto" w:fill="auto"/>
            <w:noWrap/>
            <w:vAlign w:val="center"/>
            <w:hideMark/>
          </w:tcPr>
          <w:p w14:paraId="5F724E10" w14:textId="456D463A" w:rsidR="00BC4ABB" w:rsidRPr="000B6FD6" w:rsidRDefault="000E04C5" w:rsidP="007B1461">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single" w:sz="12" w:space="0" w:color="auto"/>
              <w:right w:val="nil"/>
            </w:tcBorders>
            <w:shd w:val="clear" w:color="auto" w:fill="auto"/>
            <w:noWrap/>
            <w:vAlign w:val="center"/>
            <w:hideMark/>
          </w:tcPr>
          <w:p w14:paraId="3F29A83C" w14:textId="77777777" w:rsidR="00BC4ABB" w:rsidRPr="000B6FD6" w:rsidRDefault="00BC4ABB" w:rsidP="000B6FD6">
            <w:pPr>
              <w:tabs>
                <w:tab w:val="decimal" w:pos="217"/>
              </w:tabs>
              <w:spacing w:after="0" w:line="240" w:lineRule="auto"/>
              <w:jc w:val="both"/>
              <w:rPr>
                <w:rFonts w:eastAsia="Times New Roman"/>
                <w:sz w:val="20"/>
                <w:szCs w:val="20"/>
              </w:rPr>
            </w:pPr>
            <w:r w:rsidRPr="000B6FD6">
              <w:rPr>
                <w:rFonts w:eastAsia="Times New Roman"/>
                <w:sz w:val="20"/>
                <w:szCs w:val="20"/>
              </w:rPr>
              <w:t> </w:t>
            </w:r>
          </w:p>
        </w:tc>
        <w:tc>
          <w:tcPr>
            <w:tcW w:w="574" w:type="dxa"/>
            <w:tcBorders>
              <w:top w:val="nil"/>
              <w:left w:val="single" w:sz="4" w:space="0" w:color="auto"/>
              <w:bottom w:val="single" w:sz="12" w:space="0" w:color="auto"/>
              <w:right w:val="nil"/>
            </w:tcBorders>
            <w:shd w:val="clear" w:color="auto" w:fill="auto"/>
            <w:noWrap/>
            <w:vAlign w:val="bottom"/>
            <w:hideMark/>
          </w:tcPr>
          <w:p w14:paraId="3C27D944" w14:textId="46E685C1" w:rsidR="00BC4ABB" w:rsidRPr="000B6FD6" w:rsidRDefault="00BC4ABB" w:rsidP="000B6FD6">
            <w:pPr>
              <w:tabs>
                <w:tab w:val="decimal" w:pos="140"/>
              </w:tabs>
              <w:spacing w:after="0" w:line="240" w:lineRule="auto"/>
              <w:jc w:val="both"/>
              <w:rPr>
                <w:rFonts w:eastAsia="Times New Roman"/>
                <w:sz w:val="20"/>
                <w:szCs w:val="20"/>
              </w:rPr>
            </w:pPr>
            <w:r w:rsidRPr="000B6FD6">
              <w:rPr>
                <w:color w:val="000000"/>
                <w:sz w:val="20"/>
                <w:szCs w:val="20"/>
              </w:rPr>
              <w:t>0.25</w:t>
            </w:r>
          </w:p>
        </w:tc>
        <w:tc>
          <w:tcPr>
            <w:tcW w:w="586" w:type="dxa"/>
            <w:tcBorders>
              <w:top w:val="nil"/>
              <w:left w:val="nil"/>
              <w:bottom w:val="single" w:sz="12" w:space="0" w:color="auto"/>
              <w:right w:val="single" w:sz="4" w:space="0" w:color="auto"/>
            </w:tcBorders>
            <w:shd w:val="clear" w:color="auto" w:fill="auto"/>
            <w:noWrap/>
            <w:vAlign w:val="bottom"/>
            <w:hideMark/>
          </w:tcPr>
          <w:p w14:paraId="5FC6ECE1" w14:textId="40FC9522" w:rsidR="00BC4ABB" w:rsidRPr="000B6FD6" w:rsidRDefault="00BC4ABB" w:rsidP="000B6FD6">
            <w:pPr>
              <w:tabs>
                <w:tab w:val="decimal" w:pos="272"/>
              </w:tabs>
              <w:spacing w:after="0" w:line="240" w:lineRule="auto"/>
              <w:jc w:val="both"/>
              <w:rPr>
                <w:rFonts w:eastAsia="Times New Roman"/>
                <w:sz w:val="20"/>
                <w:szCs w:val="20"/>
              </w:rPr>
            </w:pPr>
            <w:r w:rsidRPr="000B6FD6">
              <w:rPr>
                <w:color w:val="000000"/>
                <w:sz w:val="20"/>
                <w:szCs w:val="20"/>
              </w:rPr>
              <w:t>3.05</w:t>
            </w:r>
          </w:p>
        </w:tc>
        <w:tc>
          <w:tcPr>
            <w:tcW w:w="600" w:type="dxa"/>
            <w:tcBorders>
              <w:top w:val="nil"/>
              <w:left w:val="nil"/>
              <w:bottom w:val="single" w:sz="12" w:space="0" w:color="auto"/>
              <w:right w:val="nil"/>
            </w:tcBorders>
            <w:shd w:val="clear" w:color="auto" w:fill="auto"/>
            <w:noWrap/>
            <w:vAlign w:val="bottom"/>
            <w:hideMark/>
          </w:tcPr>
          <w:p w14:paraId="6D7A5225" w14:textId="4781A2F0" w:rsidR="00BC4ABB" w:rsidRPr="000B6FD6" w:rsidRDefault="00BC4ABB" w:rsidP="000B6FD6">
            <w:pPr>
              <w:tabs>
                <w:tab w:val="decimal" w:pos="152"/>
              </w:tabs>
              <w:spacing w:after="0" w:line="240" w:lineRule="auto"/>
              <w:jc w:val="both"/>
              <w:rPr>
                <w:rFonts w:eastAsia="Times New Roman"/>
                <w:sz w:val="20"/>
                <w:szCs w:val="20"/>
              </w:rPr>
            </w:pPr>
            <w:r w:rsidRPr="000B6FD6">
              <w:rPr>
                <w:color w:val="000000"/>
                <w:sz w:val="20"/>
                <w:szCs w:val="20"/>
              </w:rPr>
              <w:t>0.64</w:t>
            </w:r>
          </w:p>
        </w:tc>
        <w:tc>
          <w:tcPr>
            <w:tcW w:w="500" w:type="dxa"/>
            <w:tcBorders>
              <w:top w:val="nil"/>
              <w:left w:val="nil"/>
              <w:bottom w:val="single" w:sz="12" w:space="0" w:color="auto"/>
              <w:right w:val="single" w:sz="4" w:space="0" w:color="auto"/>
            </w:tcBorders>
            <w:shd w:val="clear" w:color="auto" w:fill="auto"/>
            <w:noWrap/>
            <w:vAlign w:val="bottom"/>
            <w:hideMark/>
          </w:tcPr>
          <w:p w14:paraId="08AE508D" w14:textId="72547BA9" w:rsidR="00BC4ABB" w:rsidRPr="000B6FD6" w:rsidRDefault="00BC4ABB" w:rsidP="000B6FD6">
            <w:pPr>
              <w:tabs>
                <w:tab w:val="decimal" w:pos="183"/>
              </w:tabs>
              <w:spacing w:after="0" w:line="240" w:lineRule="auto"/>
              <w:jc w:val="both"/>
              <w:rPr>
                <w:rFonts w:eastAsia="Times New Roman"/>
                <w:sz w:val="20"/>
                <w:szCs w:val="20"/>
              </w:rPr>
            </w:pPr>
            <w:r w:rsidRPr="000B6FD6">
              <w:rPr>
                <w:color w:val="000000"/>
                <w:sz w:val="20"/>
                <w:szCs w:val="20"/>
              </w:rPr>
              <w:t>7.51</w:t>
            </w:r>
          </w:p>
        </w:tc>
        <w:tc>
          <w:tcPr>
            <w:tcW w:w="580" w:type="dxa"/>
            <w:tcBorders>
              <w:top w:val="nil"/>
              <w:left w:val="nil"/>
              <w:bottom w:val="single" w:sz="12" w:space="0" w:color="auto"/>
              <w:right w:val="nil"/>
            </w:tcBorders>
            <w:shd w:val="clear" w:color="auto" w:fill="auto"/>
            <w:noWrap/>
            <w:vAlign w:val="center"/>
            <w:hideMark/>
          </w:tcPr>
          <w:p w14:paraId="2254F57C" w14:textId="205ACA44" w:rsidR="00BC4ABB" w:rsidRPr="000B6FD6" w:rsidRDefault="007B1461" w:rsidP="007B1461">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nil"/>
            </w:tcBorders>
            <w:shd w:val="clear" w:color="auto" w:fill="auto"/>
            <w:noWrap/>
            <w:vAlign w:val="center"/>
            <w:hideMark/>
          </w:tcPr>
          <w:p w14:paraId="305A5BBB" w14:textId="77777777" w:rsidR="00BC4ABB" w:rsidRPr="000B6FD6" w:rsidRDefault="00BC4ABB"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single" w:sz="4" w:space="0" w:color="auto"/>
              <w:bottom w:val="single" w:sz="12" w:space="0" w:color="auto"/>
              <w:right w:val="nil"/>
            </w:tcBorders>
            <w:shd w:val="clear" w:color="auto" w:fill="auto"/>
            <w:noWrap/>
            <w:vAlign w:val="center"/>
            <w:hideMark/>
          </w:tcPr>
          <w:p w14:paraId="157DEBEE" w14:textId="0C4A3E7F" w:rsidR="00BC4ABB" w:rsidRPr="000B6FD6" w:rsidRDefault="007B1461" w:rsidP="007B1461">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single" w:sz="12" w:space="0" w:color="auto"/>
              <w:right w:val="single" w:sz="4" w:space="0" w:color="auto"/>
            </w:tcBorders>
            <w:shd w:val="clear" w:color="auto" w:fill="auto"/>
            <w:noWrap/>
            <w:vAlign w:val="center"/>
          </w:tcPr>
          <w:p w14:paraId="1AD0B885" w14:textId="4600159F" w:rsidR="00BC4ABB" w:rsidRPr="000B6FD6" w:rsidRDefault="00BC4ABB" w:rsidP="000B6FD6">
            <w:pPr>
              <w:tabs>
                <w:tab w:val="decimal" w:pos="307"/>
              </w:tabs>
              <w:spacing w:after="0" w:line="240" w:lineRule="auto"/>
              <w:jc w:val="both"/>
              <w:rPr>
                <w:rFonts w:eastAsia="Times New Roman"/>
                <w:sz w:val="20"/>
                <w:szCs w:val="20"/>
              </w:rPr>
            </w:pPr>
          </w:p>
        </w:tc>
        <w:tc>
          <w:tcPr>
            <w:tcW w:w="564" w:type="dxa"/>
            <w:tcBorders>
              <w:top w:val="nil"/>
              <w:left w:val="nil"/>
              <w:bottom w:val="single" w:sz="12" w:space="0" w:color="auto"/>
              <w:right w:val="nil"/>
            </w:tcBorders>
            <w:shd w:val="clear" w:color="auto" w:fill="auto"/>
            <w:noWrap/>
            <w:vAlign w:val="bottom"/>
            <w:hideMark/>
          </w:tcPr>
          <w:p w14:paraId="54437C7D" w14:textId="209D14AB" w:rsidR="00BC4ABB" w:rsidRPr="000B6FD6" w:rsidRDefault="00BC4ABB" w:rsidP="000B6FD6">
            <w:pPr>
              <w:tabs>
                <w:tab w:val="decimal" w:pos="225"/>
              </w:tabs>
              <w:spacing w:after="0" w:line="240" w:lineRule="auto"/>
              <w:jc w:val="both"/>
              <w:rPr>
                <w:rFonts w:eastAsia="Times New Roman"/>
                <w:sz w:val="20"/>
                <w:szCs w:val="20"/>
              </w:rPr>
            </w:pPr>
            <w:r w:rsidRPr="000B6FD6">
              <w:rPr>
                <w:color w:val="000000"/>
                <w:sz w:val="20"/>
                <w:szCs w:val="20"/>
              </w:rPr>
              <w:t>1.62</w:t>
            </w:r>
          </w:p>
        </w:tc>
        <w:tc>
          <w:tcPr>
            <w:tcW w:w="602" w:type="dxa"/>
            <w:tcBorders>
              <w:top w:val="nil"/>
              <w:left w:val="nil"/>
              <w:bottom w:val="single" w:sz="12" w:space="0" w:color="auto"/>
              <w:right w:val="nil"/>
            </w:tcBorders>
            <w:shd w:val="clear" w:color="auto" w:fill="auto"/>
            <w:noWrap/>
            <w:vAlign w:val="bottom"/>
            <w:hideMark/>
          </w:tcPr>
          <w:p w14:paraId="3C0BADC3" w14:textId="2A351AD4" w:rsidR="00BC4ABB" w:rsidRPr="000B6FD6" w:rsidRDefault="00BC4ABB" w:rsidP="000B6FD6">
            <w:pPr>
              <w:tabs>
                <w:tab w:val="decimal" w:pos="295"/>
              </w:tabs>
              <w:spacing w:after="0" w:line="240" w:lineRule="auto"/>
              <w:jc w:val="both"/>
              <w:rPr>
                <w:rFonts w:eastAsia="Times New Roman"/>
                <w:sz w:val="20"/>
                <w:szCs w:val="20"/>
              </w:rPr>
            </w:pPr>
            <w:r w:rsidRPr="000B6FD6">
              <w:rPr>
                <w:color w:val="000000"/>
                <w:sz w:val="20"/>
                <w:szCs w:val="20"/>
              </w:rPr>
              <w:t>16.16</w:t>
            </w:r>
          </w:p>
        </w:tc>
        <w:tc>
          <w:tcPr>
            <w:tcW w:w="600" w:type="dxa"/>
            <w:tcBorders>
              <w:top w:val="nil"/>
              <w:left w:val="single" w:sz="4" w:space="0" w:color="auto"/>
              <w:bottom w:val="single" w:sz="12" w:space="0" w:color="auto"/>
              <w:right w:val="nil"/>
            </w:tcBorders>
            <w:shd w:val="clear" w:color="auto" w:fill="auto"/>
            <w:noWrap/>
            <w:vAlign w:val="bottom"/>
            <w:hideMark/>
          </w:tcPr>
          <w:p w14:paraId="2715F054" w14:textId="16375B89" w:rsidR="00BC4ABB" w:rsidRPr="000B6FD6" w:rsidRDefault="00BC4ABB" w:rsidP="000B6FD6">
            <w:pPr>
              <w:tabs>
                <w:tab w:val="decimal" w:pos="230"/>
              </w:tabs>
              <w:spacing w:after="0" w:line="240" w:lineRule="auto"/>
              <w:jc w:val="both"/>
              <w:rPr>
                <w:rFonts w:eastAsia="Times New Roman"/>
                <w:sz w:val="20"/>
                <w:szCs w:val="20"/>
              </w:rPr>
            </w:pPr>
            <w:r w:rsidRPr="000B6FD6">
              <w:rPr>
                <w:color w:val="000000"/>
                <w:sz w:val="20"/>
                <w:szCs w:val="20"/>
              </w:rPr>
              <w:t>-1.54</w:t>
            </w:r>
          </w:p>
        </w:tc>
        <w:tc>
          <w:tcPr>
            <w:tcW w:w="660" w:type="dxa"/>
            <w:tcBorders>
              <w:top w:val="nil"/>
              <w:left w:val="nil"/>
              <w:bottom w:val="single" w:sz="12" w:space="0" w:color="auto"/>
              <w:right w:val="single" w:sz="4" w:space="0" w:color="auto"/>
            </w:tcBorders>
            <w:shd w:val="clear" w:color="auto" w:fill="auto"/>
            <w:noWrap/>
            <w:vAlign w:val="bottom"/>
            <w:hideMark/>
          </w:tcPr>
          <w:p w14:paraId="0FB17BDE" w14:textId="18F7CB6A" w:rsidR="00BC4ABB" w:rsidRPr="000B6FD6" w:rsidRDefault="00BC4ABB" w:rsidP="000B6FD6">
            <w:pPr>
              <w:tabs>
                <w:tab w:val="decimal" w:pos="260"/>
              </w:tabs>
              <w:spacing w:after="0" w:line="240" w:lineRule="auto"/>
              <w:jc w:val="both"/>
              <w:rPr>
                <w:rFonts w:eastAsia="Times New Roman"/>
                <w:sz w:val="20"/>
                <w:szCs w:val="20"/>
              </w:rPr>
            </w:pPr>
            <w:r w:rsidRPr="000B6FD6">
              <w:rPr>
                <w:color w:val="000000"/>
                <w:sz w:val="20"/>
                <w:szCs w:val="20"/>
              </w:rPr>
              <w:t>-14.39</w:t>
            </w:r>
          </w:p>
        </w:tc>
        <w:tc>
          <w:tcPr>
            <w:tcW w:w="580" w:type="dxa"/>
            <w:tcBorders>
              <w:top w:val="nil"/>
              <w:left w:val="nil"/>
              <w:bottom w:val="single" w:sz="12" w:space="0" w:color="auto"/>
              <w:right w:val="nil"/>
            </w:tcBorders>
            <w:shd w:val="clear" w:color="auto" w:fill="auto"/>
            <w:noWrap/>
            <w:vAlign w:val="center"/>
            <w:hideMark/>
          </w:tcPr>
          <w:p w14:paraId="26E9B3B7" w14:textId="27C69BA5" w:rsidR="00BC4ABB" w:rsidRPr="000B6FD6" w:rsidRDefault="007D66DE"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single" w:sz="12" w:space="0" w:color="auto"/>
            </w:tcBorders>
            <w:shd w:val="clear" w:color="auto" w:fill="auto"/>
            <w:noWrap/>
            <w:vAlign w:val="center"/>
            <w:hideMark/>
          </w:tcPr>
          <w:p w14:paraId="6EA03291" w14:textId="77777777" w:rsidR="00BC4ABB" w:rsidRPr="000B6FD6" w:rsidRDefault="00BC4ABB" w:rsidP="000B6FD6">
            <w:pPr>
              <w:spacing w:after="0" w:line="240" w:lineRule="auto"/>
              <w:jc w:val="both"/>
              <w:rPr>
                <w:rFonts w:eastAsia="Times New Roman"/>
                <w:sz w:val="20"/>
                <w:szCs w:val="20"/>
              </w:rPr>
            </w:pPr>
            <w:r w:rsidRPr="000B6FD6">
              <w:rPr>
                <w:rFonts w:eastAsia="Times New Roman"/>
                <w:sz w:val="20"/>
                <w:szCs w:val="20"/>
              </w:rPr>
              <w:t> </w:t>
            </w:r>
          </w:p>
        </w:tc>
      </w:tr>
      <w:tr w:rsidR="004276EC" w:rsidRPr="000B6FD6" w14:paraId="3438B523" w14:textId="77777777" w:rsidTr="00794F9D">
        <w:trPr>
          <w:trHeight w:val="216"/>
          <w:jc w:val="center"/>
        </w:trPr>
        <w:tc>
          <w:tcPr>
            <w:tcW w:w="3240" w:type="dxa"/>
            <w:tcBorders>
              <w:top w:val="single" w:sz="12" w:space="0" w:color="auto"/>
              <w:left w:val="single" w:sz="12" w:space="0" w:color="auto"/>
              <w:bottom w:val="nil"/>
              <w:right w:val="single" w:sz="12" w:space="0" w:color="auto"/>
            </w:tcBorders>
            <w:shd w:val="clear" w:color="auto" w:fill="auto"/>
            <w:noWrap/>
            <w:vAlign w:val="bottom"/>
            <w:hideMark/>
          </w:tcPr>
          <w:p w14:paraId="0CC3215E" w14:textId="77777777" w:rsidR="004276EC" w:rsidRPr="000B6FD6" w:rsidRDefault="004276EC" w:rsidP="000B6FD6">
            <w:pPr>
              <w:spacing w:after="0" w:line="240" w:lineRule="auto"/>
              <w:jc w:val="both"/>
              <w:rPr>
                <w:rFonts w:eastAsia="Times New Roman"/>
                <w:b/>
                <w:bCs/>
                <w:sz w:val="20"/>
                <w:szCs w:val="20"/>
              </w:rPr>
            </w:pPr>
            <w:r w:rsidRPr="000B6FD6">
              <w:rPr>
                <w:rFonts w:eastAsia="Times New Roman"/>
                <w:b/>
                <w:bCs/>
                <w:sz w:val="20"/>
                <w:szCs w:val="20"/>
              </w:rPr>
              <w:t>Constant</w:t>
            </w:r>
          </w:p>
        </w:tc>
        <w:tc>
          <w:tcPr>
            <w:tcW w:w="600" w:type="dxa"/>
            <w:tcBorders>
              <w:top w:val="single" w:sz="12" w:space="0" w:color="auto"/>
              <w:left w:val="single" w:sz="12" w:space="0" w:color="auto"/>
              <w:bottom w:val="nil"/>
              <w:right w:val="nil"/>
            </w:tcBorders>
            <w:shd w:val="clear" w:color="auto" w:fill="auto"/>
            <w:noWrap/>
            <w:vAlign w:val="center"/>
            <w:hideMark/>
          </w:tcPr>
          <w:p w14:paraId="34E3D5B0" w14:textId="34D7E0EF" w:rsidR="004276EC" w:rsidRPr="000B6FD6" w:rsidRDefault="00DB10EC" w:rsidP="00DB10EC">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single" w:sz="12" w:space="0" w:color="auto"/>
              <w:left w:val="nil"/>
              <w:bottom w:val="nil"/>
              <w:right w:val="single" w:sz="4" w:space="0" w:color="auto"/>
            </w:tcBorders>
            <w:shd w:val="clear" w:color="auto" w:fill="auto"/>
            <w:noWrap/>
            <w:vAlign w:val="center"/>
            <w:hideMark/>
          </w:tcPr>
          <w:p w14:paraId="23897FCE" w14:textId="49DE1E59" w:rsidR="004276EC" w:rsidRPr="000B6FD6" w:rsidRDefault="004276EC"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single" w:sz="12" w:space="0" w:color="auto"/>
              <w:left w:val="nil"/>
              <w:bottom w:val="nil"/>
              <w:right w:val="nil"/>
            </w:tcBorders>
            <w:shd w:val="clear" w:color="auto" w:fill="auto"/>
            <w:noWrap/>
            <w:vAlign w:val="center"/>
            <w:hideMark/>
          </w:tcPr>
          <w:p w14:paraId="6CF8C485" w14:textId="386AB0CC" w:rsidR="004276EC" w:rsidRPr="000B6FD6" w:rsidRDefault="00DB10EC" w:rsidP="00DB10EC">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single" w:sz="12" w:space="0" w:color="auto"/>
              <w:left w:val="nil"/>
              <w:bottom w:val="nil"/>
              <w:right w:val="nil"/>
            </w:tcBorders>
            <w:shd w:val="clear" w:color="auto" w:fill="auto"/>
            <w:noWrap/>
            <w:vAlign w:val="center"/>
            <w:hideMark/>
          </w:tcPr>
          <w:p w14:paraId="1E98157C" w14:textId="15FE4DDC" w:rsidR="004276EC" w:rsidRPr="000B6FD6" w:rsidRDefault="004276EC" w:rsidP="000B6FD6">
            <w:pPr>
              <w:tabs>
                <w:tab w:val="decimal" w:pos="164"/>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4B7CF091" w14:textId="13B962E1" w:rsidR="004276EC" w:rsidRPr="000B6FD6" w:rsidRDefault="00DB10EC" w:rsidP="00DB10EC">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single" w:sz="12" w:space="0" w:color="auto"/>
              <w:left w:val="nil"/>
              <w:bottom w:val="nil"/>
              <w:right w:val="nil"/>
            </w:tcBorders>
            <w:shd w:val="clear" w:color="auto" w:fill="auto"/>
            <w:noWrap/>
            <w:vAlign w:val="center"/>
            <w:hideMark/>
          </w:tcPr>
          <w:p w14:paraId="1325BF33" w14:textId="77777777" w:rsidR="004276EC" w:rsidRPr="000B6FD6" w:rsidRDefault="004276EC" w:rsidP="000B6FD6">
            <w:pPr>
              <w:tabs>
                <w:tab w:val="decimal" w:pos="217"/>
              </w:tabs>
              <w:spacing w:after="0" w:line="240" w:lineRule="auto"/>
              <w:jc w:val="both"/>
              <w:rPr>
                <w:rFonts w:eastAsia="Times New Roman"/>
                <w:sz w:val="20"/>
                <w:szCs w:val="20"/>
              </w:rPr>
            </w:pPr>
          </w:p>
        </w:tc>
        <w:tc>
          <w:tcPr>
            <w:tcW w:w="574" w:type="dxa"/>
            <w:tcBorders>
              <w:top w:val="single" w:sz="12" w:space="0" w:color="auto"/>
              <w:left w:val="single" w:sz="4" w:space="0" w:color="auto"/>
              <w:bottom w:val="nil"/>
              <w:right w:val="nil"/>
            </w:tcBorders>
            <w:shd w:val="clear" w:color="auto" w:fill="auto"/>
            <w:noWrap/>
            <w:vAlign w:val="center"/>
            <w:hideMark/>
          </w:tcPr>
          <w:p w14:paraId="2A24B6CF" w14:textId="42751035" w:rsidR="004276EC" w:rsidRPr="000B6FD6" w:rsidRDefault="00DB10EC" w:rsidP="00DB10EC">
            <w:pPr>
              <w:tabs>
                <w:tab w:val="decimal" w:pos="140"/>
              </w:tabs>
              <w:spacing w:after="0" w:line="240" w:lineRule="auto"/>
              <w:jc w:val="center"/>
              <w:rPr>
                <w:rFonts w:eastAsia="Times New Roman"/>
                <w:sz w:val="20"/>
                <w:szCs w:val="20"/>
              </w:rPr>
            </w:pPr>
            <w:r>
              <w:rPr>
                <w:rFonts w:eastAsia="Times New Roman"/>
                <w:sz w:val="20"/>
                <w:szCs w:val="20"/>
              </w:rPr>
              <w:t>--</w:t>
            </w:r>
          </w:p>
        </w:tc>
        <w:tc>
          <w:tcPr>
            <w:tcW w:w="586" w:type="dxa"/>
            <w:tcBorders>
              <w:top w:val="single" w:sz="12" w:space="0" w:color="auto"/>
              <w:left w:val="nil"/>
              <w:bottom w:val="nil"/>
              <w:right w:val="nil"/>
            </w:tcBorders>
            <w:shd w:val="clear" w:color="auto" w:fill="auto"/>
            <w:noWrap/>
            <w:vAlign w:val="center"/>
            <w:hideMark/>
          </w:tcPr>
          <w:p w14:paraId="5D85EE47" w14:textId="77777777" w:rsidR="004276EC" w:rsidRPr="000B6FD6" w:rsidRDefault="004276EC" w:rsidP="000B6FD6">
            <w:pPr>
              <w:tabs>
                <w:tab w:val="decimal" w:pos="272"/>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7612F3C7" w14:textId="1FFBA4B0" w:rsidR="004276EC" w:rsidRPr="000B6FD6" w:rsidRDefault="00DB10EC" w:rsidP="00DB10EC">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single" w:sz="12" w:space="0" w:color="auto"/>
              <w:left w:val="nil"/>
              <w:bottom w:val="nil"/>
              <w:right w:val="nil"/>
            </w:tcBorders>
            <w:shd w:val="clear" w:color="auto" w:fill="auto"/>
            <w:noWrap/>
            <w:vAlign w:val="center"/>
            <w:hideMark/>
          </w:tcPr>
          <w:p w14:paraId="501F1F44" w14:textId="77777777" w:rsidR="004276EC" w:rsidRPr="000B6FD6" w:rsidRDefault="004276EC" w:rsidP="000B6FD6">
            <w:pPr>
              <w:tabs>
                <w:tab w:val="decimal" w:pos="183"/>
              </w:tabs>
              <w:spacing w:after="0" w:line="240" w:lineRule="auto"/>
              <w:jc w:val="both"/>
              <w:rPr>
                <w:rFonts w:eastAsia="Times New Roman"/>
                <w:sz w:val="20"/>
                <w:szCs w:val="20"/>
              </w:rPr>
            </w:pPr>
          </w:p>
        </w:tc>
        <w:tc>
          <w:tcPr>
            <w:tcW w:w="580" w:type="dxa"/>
            <w:tcBorders>
              <w:top w:val="single" w:sz="12" w:space="0" w:color="auto"/>
              <w:left w:val="single" w:sz="4" w:space="0" w:color="auto"/>
              <w:bottom w:val="nil"/>
              <w:right w:val="nil"/>
            </w:tcBorders>
            <w:shd w:val="clear" w:color="auto" w:fill="auto"/>
            <w:noWrap/>
            <w:vAlign w:val="center"/>
            <w:hideMark/>
          </w:tcPr>
          <w:p w14:paraId="54FF44D9" w14:textId="2FD8BD24" w:rsidR="004276EC" w:rsidRPr="000B6FD6" w:rsidRDefault="00DB10EC" w:rsidP="007D66DE">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single" w:sz="12" w:space="0" w:color="auto"/>
              <w:left w:val="nil"/>
              <w:bottom w:val="nil"/>
              <w:right w:val="nil"/>
            </w:tcBorders>
            <w:shd w:val="clear" w:color="auto" w:fill="auto"/>
            <w:noWrap/>
            <w:vAlign w:val="center"/>
            <w:hideMark/>
          </w:tcPr>
          <w:p w14:paraId="60012E2B" w14:textId="77777777" w:rsidR="004276EC" w:rsidRPr="000B6FD6" w:rsidRDefault="004276EC" w:rsidP="000B6FD6">
            <w:pPr>
              <w:tabs>
                <w:tab w:val="decimal" w:pos="225"/>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285512B2" w14:textId="28DCE226" w:rsidR="004276EC" w:rsidRPr="000B6FD6" w:rsidRDefault="00DB10EC" w:rsidP="007D66DE">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single" w:sz="12" w:space="0" w:color="auto"/>
              <w:left w:val="nil"/>
              <w:bottom w:val="nil"/>
              <w:right w:val="single" w:sz="4" w:space="0" w:color="auto"/>
            </w:tcBorders>
            <w:shd w:val="clear" w:color="auto" w:fill="auto"/>
            <w:noWrap/>
            <w:vAlign w:val="center"/>
            <w:hideMark/>
          </w:tcPr>
          <w:p w14:paraId="62BAFFCB" w14:textId="77777777" w:rsidR="004276EC" w:rsidRPr="000B6FD6" w:rsidRDefault="004276EC" w:rsidP="000B6FD6">
            <w:pPr>
              <w:tabs>
                <w:tab w:val="decimal" w:pos="3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single" w:sz="12" w:space="0" w:color="auto"/>
              <w:left w:val="nil"/>
              <w:bottom w:val="nil"/>
              <w:right w:val="nil"/>
            </w:tcBorders>
            <w:shd w:val="clear" w:color="auto" w:fill="auto"/>
            <w:noWrap/>
            <w:vAlign w:val="center"/>
            <w:hideMark/>
          </w:tcPr>
          <w:p w14:paraId="3AF3F360" w14:textId="465B197B" w:rsidR="004276EC" w:rsidRPr="000B6FD6" w:rsidRDefault="00DB10EC" w:rsidP="007D66DE">
            <w:pPr>
              <w:tabs>
                <w:tab w:val="decimal" w:pos="225"/>
              </w:tabs>
              <w:spacing w:after="0" w:line="240" w:lineRule="auto"/>
              <w:jc w:val="center"/>
              <w:rPr>
                <w:rFonts w:eastAsia="Times New Roman"/>
                <w:sz w:val="20"/>
                <w:szCs w:val="20"/>
              </w:rPr>
            </w:pPr>
            <w:r>
              <w:rPr>
                <w:rFonts w:eastAsia="Times New Roman"/>
                <w:sz w:val="20"/>
                <w:szCs w:val="20"/>
              </w:rPr>
              <w:t>--</w:t>
            </w:r>
          </w:p>
        </w:tc>
        <w:tc>
          <w:tcPr>
            <w:tcW w:w="602" w:type="dxa"/>
            <w:tcBorders>
              <w:top w:val="single" w:sz="12" w:space="0" w:color="auto"/>
              <w:left w:val="nil"/>
              <w:bottom w:val="nil"/>
              <w:right w:val="nil"/>
            </w:tcBorders>
            <w:shd w:val="clear" w:color="auto" w:fill="auto"/>
            <w:noWrap/>
            <w:vAlign w:val="center"/>
            <w:hideMark/>
          </w:tcPr>
          <w:p w14:paraId="3BCC818B" w14:textId="77777777" w:rsidR="004276EC" w:rsidRPr="000B6FD6" w:rsidRDefault="004276EC" w:rsidP="000B6FD6">
            <w:pPr>
              <w:tabs>
                <w:tab w:val="decimal" w:pos="295"/>
              </w:tabs>
              <w:spacing w:after="0" w:line="240" w:lineRule="auto"/>
              <w:jc w:val="both"/>
              <w:rPr>
                <w:rFonts w:eastAsia="Times New Roman"/>
                <w:sz w:val="20"/>
                <w:szCs w:val="20"/>
              </w:rPr>
            </w:pPr>
          </w:p>
        </w:tc>
        <w:tc>
          <w:tcPr>
            <w:tcW w:w="600" w:type="dxa"/>
            <w:tcBorders>
              <w:top w:val="single" w:sz="12" w:space="0" w:color="auto"/>
              <w:left w:val="single" w:sz="4" w:space="0" w:color="auto"/>
              <w:bottom w:val="nil"/>
              <w:right w:val="nil"/>
            </w:tcBorders>
            <w:shd w:val="clear" w:color="auto" w:fill="auto"/>
            <w:noWrap/>
            <w:vAlign w:val="center"/>
            <w:hideMark/>
          </w:tcPr>
          <w:p w14:paraId="2F9278E7" w14:textId="646A3B93" w:rsidR="004276EC" w:rsidRPr="000B6FD6" w:rsidRDefault="00DB10EC" w:rsidP="007D66DE">
            <w:pPr>
              <w:tabs>
                <w:tab w:val="decimal" w:pos="230"/>
              </w:tabs>
              <w:spacing w:after="0" w:line="240" w:lineRule="auto"/>
              <w:jc w:val="center"/>
              <w:rPr>
                <w:rFonts w:eastAsia="Times New Roman"/>
                <w:sz w:val="20"/>
                <w:szCs w:val="20"/>
              </w:rPr>
            </w:pPr>
            <w:r>
              <w:rPr>
                <w:rFonts w:eastAsia="Times New Roman"/>
                <w:sz w:val="20"/>
                <w:szCs w:val="20"/>
              </w:rPr>
              <w:t>--</w:t>
            </w:r>
          </w:p>
        </w:tc>
        <w:tc>
          <w:tcPr>
            <w:tcW w:w="660" w:type="dxa"/>
            <w:tcBorders>
              <w:top w:val="single" w:sz="12" w:space="0" w:color="auto"/>
              <w:left w:val="nil"/>
              <w:bottom w:val="nil"/>
              <w:right w:val="single" w:sz="4" w:space="0" w:color="auto"/>
            </w:tcBorders>
            <w:shd w:val="clear" w:color="auto" w:fill="auto"/>
            <w:noWrap/>
            <w:vAlign w:val="center"/>
            <w:hideMark/>
          </w:tcPr>
          <w:p w14:paraId="213513BB" w14:textId="77777777" w:rsidR="004276EC" w:rsidRPr="000B6FD6" w:rsidRDefault="004276EC"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single" w:sz="12" w:space="0" w:color="auto"/>
              <w:left w:val="nil"/>
              <w:bottom w:val="nil"/>
              <w:right w:val="nil"/>
            </w:tcBorders>
            <w:shd w:val="clear" w:color="auto" w:fill="auto"/>
            <w:noWrap/>
            <w:vAlign w:val="bottom"/>
          </w:tcPr>
          <w:p w14:paraId="0C42B04C" w14:textId="4501803E" w:rsidR="004276EC" w:rsidRPr="000B6FD6" w:rsidRDefault="00794F9D" w:rsidP="000B6FD6">
            <w:pPr>
              <w:tabs>
                <w:tab w:val="decimal" w:pos="142"/>
              </w:tabs>
              <w:spacing w:after="0" w:line="240" w:lineRule="auto"/>
              <w:jc w:val="both"/>
              <w:rPr>
                <w:rFonts w:eastAsia="Times New Roman"/>
                <w:sz w:val="20"/>
                <w:szCs w:val="20"/>
              </w:rPr>
            </w:pPr>
            <w:r>
              <w:rPr>
                <w:rFonts w:eastAsia="Times New Roman"/>
                <w:sz w:val="20"/>
                <w:szCs w:val="20"/>
              </w:rPr>
              <w:t>1.46</w:t>
            </w:r>
          </w:p>
        </w:tc>
        <w:tc>
          <w:tcPr>
            <w:tcW w:w="520" w:type="dxa"/>
            <w:tcBorders>
              <w:top w:val="single" w:sz="12" w:space="0" w:color="auto"/>
              <w:left w:val="nil"/>
              <w:bottom w:val="nil"/>
              <w:right w:val="single" w:sz="12" w:space="0" w:color="auto"/>
            </w:tcBorders>
            <w:shd w:val="clear" w:color="auto" w:fill="auto"/>
            <w:noWrap/>
            <w:vAlign w:val="bottom"/>
          </w:tcPr>
          <w:p w14:paraId="75721265" w14:textId="68714514" w:rsidR="004276EC" w:rsidRPr="000B6FD6" w:rsidRDefault="00DF4B99" w:rsidP="000B6FD6">
            <w:pPr>
              <w:spacing w:after="0" w:line="240" w:lineRule="auto"/>
              <w:jc w:val="both"/>
              <w:rPr>
                <w:rFonts w:eastAsia="Times New Roman"/>
                <w:sz w:val="20"/>
                <w:szCs w:val="20"/>
              </w:rPr>
            </w:pPr>
            <w:r>
              <w:rPr>
                <w:rFonts w:eastAsia="Times New Roman"/>
                <w:sz w:val="20"/>
                <w:szCs w:val="20"/>
              </w:rPr>
              <w:t>18.02</w:t>
            </w:r>
          </w:p>
        </w:tc>
      </w:tr>
      <w:tr w:rsidR="008E1AE5" w:rsidRPr="000B6FD6" w14:paraId="3BF14392"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7E89D0B5" w14:textId="54623E4B"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Threshold 1|2</w:t>
            </w:r>
          </w:p>
        </w:tc>
        <w:tc>
          <w:tcPr>
            <w:tcW w:w="600" w:type="dxa"/>
            <w:tcBorders>
              <w:top w:val="nil"/>
              <w:left w:val="single" w:sz="12" w:space="0" w:color="auto"/>
              <w:bottom w:val="nil"/>
              <w:right w:val="nil"/>
            </w:tcBorders>
            <w:shd w:val="clear" w:color="auto" w:fill="auto"/>
            <w:noWrap/>
            <w:vAlign w:val="bottom"/>
            <w:hideMark/>
          </w:tcPr>
          <w:p w14:paraId="0818BD86" w14:textId="5531DCD2"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-0.32</w:t>
            </w:r>
          </w:p>
        </w:tc>
        <w:tc>
          <w:tcPr>
            <w:tcW w:w="500" w:type="dxa"/>
            <w:tcBorders>
              <w:top w:val="nil"/>
              <w:left w:val="nil"/>
              <w:bottom w:val="nil"/>
              <w:right w:val="single" w:sz="4" w:space="0" w:color="auto"/>
            </w:tcBorders>
            <w:shd w:val="clear" w:color="auto" w:fill="auto"/>
            <w:noWrap/>
            <w:vAlign w:val="bottom"/>
            <w:hideMark/>
          </w:tcPr>
          <w:p w14:paraId="382B6445" w14:textId="6816F092"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-1.51</w:t>
            </w:r>
          </w:p>
        </w:tc>
        <w:tc>
          <w:tcPr>
            <w:tcW w:w="580" w:type="dxa"/>
            <w:tcBorders>
              <w:top w:val="nil"/>
              <w:left w:val="nil"/>
              <w:bottom w:val="nil"/>
              <w:right w:val="nil"/>
            </w:tcBorders>
            <w:shd w:val="clear" w:color="auto" w:fill="auto"/>
            <w:noWrap/>
            <w:vAlign w:val="bottom"/>
            <w:hideMark/>
          </w:tcPr>
          <w:p w14:paraId="73B27372" w14:textId="12A05A9B" w:rsidR="008E1AE5" w:rsidRPr="000B6FD6" w:rsidRDefault="008E1AE5" w:rsidP="000B6FD6">
            <w:pPr>
              <w:tabs>
                <w:tab w:val="decimal" w:pos="116"/>
              </w:tabs>
              <w:spacing w:after="0" w:line="240" w:lineRule="auto"/>
              <w:jc w:val="both"/>
              <w:rPr>
                <w:rFonts w:eastAsia="Times New Roman"/>
                <w:sz w:val="20"/>
                <w:szCs w:val="20"/>
              </w:rPr>
            </w:pPr>
            <w:r w:rsidRPr="000B6FD6">
              <w:rPr>
                <w:color w:val="000000"/>
                <w:sz w:val="20"/>
                <w:szCs w:val="20"/>
              </w:rPr>
              <w:t>0.34</w:t>
            </w:r>
          </w:p>
        </w:tc>
        <w:tc>
          <w:tcPr>
            <w:tcW w:w="520" w:type="dxa"/>
            <w:tcBorders>
              <w:top w:val="nil"/>
              <w:left w:val="nil"/>
              <w:bottom w:val="nil"/>
              <w:right w:val="nil"/>
            </w:tcBorders>
            <w:shd w:val="clear" w:color="auto" w:fill="auto"/>
            <w:noWrap/>
            <w:vAlign w:val="bottom"/>
            <w:hideMark/>
          </w:tcPr>
          <w:p w14:paraId="2003C817" w14:textId="764E41B6" w:rsidR="008E1AE5" w:rsidRPr="000B6FD6" w:rsidRDefault="008E1AE5" w:rsidP="000B6FD6">
            <w:pPr>
              <w:tabs>
                <w:tab w:val="decimal" w:pos="164"/>
              </w:tabs>
              <w:spacing w:after="0" w:line="240" w:lineRule="auto"/>
              <w:jc w:val="both"/>
              <w:rPr>
                <w:rFonts w:eastAsia="Times New Roman"/>
                <w:sz w:val="20"/>
                <w:szCs w:val="20"/>
              </w:rPr>
            </w:pPr>
            <w:r w:rsidRPr="000B6FD6">
              <w:rPr>
                <w:color w:val="000000"/>
                <w:sz w:val="20"/>
                <w:szCs w:val="20"/>
              </w:rPr>
              <w:t>2.28</w:t>
            </w:r>
          </w:p>
        </w:tc>
        <w:tc>
          <w:tcPr>
            <w:tcW w:w="600" w:type="dxa"/>
            <w:tcBorders>
              <w:top w:val="nil"/>
              <w:left w:val="single" w:sz="4" w:space="0" w:color="auto"/>
              <w:bottom w:val="nil"/>
              <w:right w:val="nil"/>
            </w:tcBorders>
            <w:shd w:val="clear" w:color="auto" w:fill="auto"/>
            <w:noWrap/>
            <w:vAlign w:val="bottom"/>
            <w:hideMark/>
          </w:tcPr>
          <w:p w14:paraId="4C1FCE95" w14:textId="3E6F6770" w:rsidR="008E1AE5" w:rsidRPr="000B6FD6" w:rsidRDefault="008E1AE5" w:rsidP="000B6FD6">
            <w:pPr>
              <w:tabs>
                <w:tab w:val="decimal" w:pos="187"/>
              </w:tabs>
              <w:spacing w:after="0" w:line="240" w:lineRule="auto"/>
              <w:jc w:val="both"/>
              <w:rPr>
                <w:rFonts w:eastAsia="Times New Roman"/>
                <w:sz w:val="20"/>
                <w:szCs w:val="20"/>
              </w:rPr>
            </w:pPr>
            <w:r w:rsidRPr="000B6FD6">
              <w:rPr>
                <w:color w:val="000000"/>
                <w:sz w:val="20"/>
                <w:szCs w:val="20"/>
              </w:rPr>
              <w:t>-1.34</w:t>
            </w:r>
          </w:p>
        </w:tc>
        <w:tc>
          <w:tcPr>
            <w:tcW w:w="615" w:type="dxa"/>
            <w:tcBorders>
              <w:top w:val="nil"/>
              <w:left w:val="nil"/>
              <w:bottom w:val="nil"/>
              <w:right w:val="nil"/>
            </w:tcBorders>
            <w:shd w:val="clear" w:color="auto" w:fill="auto"/>
            <w:noWrap/>
            <w:vAlign w:val="bottom"/>
            <w:hideMark/>
          </w:tcPr>
          <w:p w14:paraId="7B44F4C1" w14:textId="76CD38B9" w:rsidR="008E1AE5" w:rsidRPr="000B6FD6" w:rsidRDefault="008E1AE5" w:rsidP="000B6FD6">
            <w:pPr>
              <w:tabs>
                <w:tab w:val="decimal" w:pos="217"/>
              </w:tabs>
              <w:spacing w:after="0" w:line="240" w:lineRule="auto"/>
              <w:jc w:val="both"/>
              <w:rPr>
                <w:rFonts w:eastAsia="Times New Roman"/>
                <w:sz w:val="20"/>
                <w:szCs w:val="20"/>
              </w:rPr>
            </w:pPr>
            <w:r w:rsidRPr="000B6FD6">
              <w:rPr>
                <w:color w:val="000000"/>
                <w:sz w:val="20"/>
                <w:szCs w:val="20"/>
              </w:rPr>
              <w:t>-10.08</w:t>
            </w:r>
          </w:p>
        </w:tc>
        <w:tc>
          <w:tcPr>
            <w:tcW w:w="574" w:type="dxa"/>
            <w:tcBorders>
              <w:top w:val="nil"/>
              <w:left w:val="single" w:sz="4" w:space="0" w:color="auto"/>
              <w:bottom w:val="nil"/>
              <w:right w:val="nil"/>
            </w:tcBorders>
            <w:shd w:val="clear" w:color="auto" w:fill="auto"/>
            <w:noWrap/>
            <w:vAlign w:val="bottom"/>
            <w:hideMark/>
          </w:tcPr>
          <w:p w14:paraId="1F6E8D05" w14:textId="76B6C7BF" w:rsidR="008E1AE5" w:rsidRPr="000B6FD6" w:rsidRDefault="008E1AE5" w:rsidP="000B6FD6">
            <w:pPr>
              <w:tabs>
                <w:tab w:val="decimal" w:pos="140"/>
              </w:tabs>
              <w:spacing w:after="0" w:line="240" w:lineRule="auto"/>
              <w:jc w:val="both"/>
              <w:rPr>
                <w:rFonts w:eastAsia="Times New Roman"/>
                <w:sz w:val="20"/>
                <w:szCs w:val="20"/>
              </w:rPr>
            </w:pPr>
            <w:r w:rsidRPr="000B6FD6">
              <w:rPr>
                <w:color w:val="000000"/>
                <w:sz w:val="20"/>
                <w:szCs w:val="20"/>
              </w:rPr>
              <w:t>-3.13</w:t>
            </w:r>
          </w:p>
        </w:tc>
        <w:tc>
          <w:tcPr>
            <w:tcW w:w="586" w:type="dxa"/>
            <w:tcBorders>
              <w:top w:val="nil"/>
              <w:left w:val="nil"/>
              <w:bottom w:val="nil"/>
              <w:right w:val="nil"/>
            </w:tcBorders>
            <w:shd w:val="clear" w:color="auto" w:fill="auto"/>
            <w:noWrap/>
            <w:vAlign w:val="bottom"/>
            <w:hideMark/>
          </w:tcPr>
          <w:p w14:paraId="6F24CADC" w14:textId="42CB7CBF" w:rsidR="008E1AE5" w:rsidRPr="000B6FD6" w:rsidRDefault="008E1AE5" w:rsidP="000B6FD6">
            <w:pPr>
              <w:tabs>
                <w:tab w:val="decimal" w:pos="272"/>
              </w:tabs>
              <w:spacing w:after="0" w:line="240" w:lineRule="auto"/>
              <w:jc w:val="both"/>
              <w:rPr>
                <w:rFonts w:eastAsia="Times New Roman"/>
                <w:sz w:val="20"/>
                <w:szCs w:val="20"/>
              </w:rPr>
            </w:pPr>
            <w:r w:rsidRPr="000B6FD6">
              <w:rPr>
                <w:color w:val="000000"/>
                <w:sz w:val="20"/>
                <w:szCs w:val="20"/>
              </w:rPr>
              <w:t>-19.35</w:t>
            </w:r>
          </w:p>
        </w:tc>
        <w:tc>
          <w:tcPr>
            <w:tcW w:w="600" w:type="dxa"/>
            <w:tcBorders>
              <w:top w:val="nil"/>
              <w:left w:val="single" w:sz="4" w:space="0" w:color="auto"/>
              <w:bottom w:val="nil"/>
              <w:right w:val="nil"/>
            </w:tcBorders>
            <w:shd w:val="clear" w:color="auto" w:fill="auto"/>
            <w:noWrap/>
            <w:vAlign w:val="bottom"/>
            <w:hideMark/>
          </w:tcPr>
          <w:p w14:paraId="71875626" w14:textId="5B6D2B3B" w:rsidR="008E1AE5" w:rsidRPr="000B6FD6" w:rsidRDefault="008E1AE5" w:rsidP="000B6FD6">
            <w:pPr>
              <w:tabs>
                <w:tab w:val="decimal" w:pos="152"/>
              </w:tabs>
              <w:spacing w:after="0" w:line="240" w:lineRule="auto"/>
              <w:jc w:val="both"/>
              <w:rPr>
                <w:rFonts w:eastAsia="Times New Roman"/>
                <w:sz w:val="20"/>
                <w:szCs w:val="20"/>
              </w:rPr>
            </w:pPr>
            <w:r w:rsidRPr="000B6FD6">
              <w:rPr>
                <w:color w:val="000000"/>
                <w:sz w:val="20"/>
                <w:szCs w:val="20"/>
              </w:rPr>
              <w:t>-0.66</w:t>
            </w:r>
          </w:p>
        </w:tc>
        <w:tc>
          <w:tcPr>
            <w:tcW w:w="500" w:type="dxa"/>
            <w:tcBorders>
              <w:top w:val="nil"/>
              <w:left w:val="nil"/>
              <w:bottom w:val="nil"/>
              <w:right w:val="nil"/>
            </w:tcBorders>
            <w:shd w:val="clear" w:color="auto" w:fill="auto"/>
            <w:noWrap/>
            <w:vAlign w:val="bottom"/>
            <w:hideMark/>
          </w:tcPr>
          <w:p w14:paraId="7000F64C" w14:textId="2215EF32" w:rsidR="008E1AE5" w:rsidRPr="000B6FD6" w:rsidRDefault="008E1AE5" w:rsidP="000B6FD6">
            <w:pPr>
              <w:tabs>
                <w:tab w:val="decimal" w:pos="183"/>
              </w:tabs>
              <w:spacing w:after="0" w:line="240" w:lineRule="auto"/>
              <w:jc w:val="both"/>
              <w:rPr>
                <w:rFonts w:eastAsia="Times New Roman"/>
                <w:sz w:val="20"/>
                <w:szCs w:val="20"/>
              </w:rPr>
            </w:pPr>
            <w:r w:rsidRPr="000B6FD6">
              <w:rPr>
                <w:color w:val="000000"/>
                <w:sz w:val="20"/>
                <w:szCs w:val="20"/>
              </w:rPr>
              <w:t>-5.71</w:t>
            </w:r>
          </w:p>
        </w:tc>
        <w:tc>
          <w:tcPr>
            <w:tcW w:w="580" w:type="dxa"/>
            <w:tcBorders>
              <w:top w:val="nil"/>
              <w:left w:val="single" w:sz="4" w:space="0" w:color="auto"/>
              <w:bottom w:val="nil"/>
              <w:right w:val="nil"/>
            </w:tcBorders>
            <w:shd w:val="clear" w:color="auto" w:fill="auto"/>
            <w:noWrap/>
            <w:vAlign w:val="bottom"/>
            <w:hideMark/>
          </w:tcPr>
          <w:p w14:paraId="6FF5C39B" w14:textId="64352F08" w:rsidR="008E1AE5" w:rsidRPr="000B6FD6" w:rsidRDefault="008E1AE5" w:rsidP="000B6FD6">
            <w:pPr>
              <w:tabs>
                <w:tab w:val="decimal" w:pos="223"/>
              </w:tabs>
              <w:spacing w:after="0" w:line="240" w:lineRule="auto"/>
              <w:jc w:val="both"/>
              <w:rPr>
                <w:rFonts w:eastAsia="Times New Roman"/>
                <w:sz w:val="20"/>
                <w:szCs w:val="20"/>
              </w:rPr>
            </w:pPr>
            <w:r w:rsidRPr="000B6FD6">
              <w:rPr>
                <w:color w:val="000000"/>
                <w:sz w:val="20"/>
                <w:szCs w:val="20"/>
              </w:rPr>
              <w:t>-0.48</w:t>
            </w:r>
          </w:p>
        </w:tc>
        <w:tc>
          <w:tcPr>
            <w:tcW w:w="520" w:type="dxa"/>
            <w:tcBorders>
              <w:top w:val="nil"/>
              <w:left w:val="nil"/>
              <w:bottom w:val="nil"/>
              <w:right w:val="nil"/>
            </w:tcBorders>
            <w:shd w:val="clear" w:color="auto" w:fill="auto"/>
            <w:noWrap/>
            <w:vAlign w:val="bottom"/>
            <w:hideMark/>
          </w:tcPr>
          <w:p w14:paraId="425E1735" w14:textId="0C16EF32"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-3.67</w:t>
            </w:r>
          </w:p>
        </w:tc>
        <w:tc>
          <w:tcPr>
            <w:tcW w:w="600" w:type="dxa"/>
            <w:tcBorders>
              <w:top w:val="nil"/>
              <w:left w:val="single" w:sz="4" w:space="0" w:color="auto"/>
              <w:bottom w:val="nil"/>
              <w:right w:val="nil"/>
            </w:tcBorders>
            <w:shd w:val="clear" w:color="auto" w:fill="auto"/>
            <w:noWrap/>
            <w:vAlign w:val="bottom"/>
            <w:hideMark/>
          </w:tcPr>
          <w:p w14:paraId="2EAD1682" w14:textId="5333F492" w:rsidR="008E1AE5" w:rsidRPr="000B6FD6" w:rsidRDefault="008E1AE5" w:rsidP="000B6FD6">
            <w:pPr>
              <w:tabs>
                <w:tab w:val="decimal" w:pos="186"/>
              </w:tabs>
              <w:spacing w:after="0" w:line="240" w:lineRule="auto"/>
              <w:jc w:val="both"/>
              <w:rPr>
                <w:rFonts w:eastAsia="Times New Roman"/>
                <w:sz w:val="20"/>
                <w:szCs w:val="20"/>
              </w:rPr>
            </w:pPr>
            <w:r w:rsidRPr="000B6FD6">
              <w:rPr>
                <w:color w:val="000000"/>
                <w:sz w:val="20"/>
                <w:szCs w:val="20"/>
              </w:rPr>
              <w:t>-1.32</w:t>
            </w:r>
          </w:p>
        </w:tc>
        <w:tc>
          <w:tcPr>
            <w:tcW w:w="620" w:type="dxa"/>
            <w:tcBorders>
              <w:top w:val="nil"/>
              <w:left w:val="nil"/>
              <w:bottom w:val="nil"/>
              <w:right w:val="single" w:sz="4" w:space="0" w:color="auto"/>
            </w:tcBorders>
            <w:shd w:val="clear" w:color="auto" w:fill="auto"/>
            <w:noWrap/>
            <w:vAlign w:val="bottom"/>
            <w:hideMark/>
          </w:tcPr>
          <w:p w14:paraId="4145534A" w14:textId="4727C3D3" w:rsidR="008E1AE5" w:rsidRPr="000B6FD6" w:rsidRDefault="008E1AE5" w:rsidP="000B6FD6">
            <w:pPr>
              <w:tabs>
                <w:tab w:val="decimal" w:pos="307"/>
              </w:tabs>
              <w:spacing w:after="0" w:line="240" w:lineRule="auto"/>
              <w:jc w:val="both"/>
              <w:rPr>
                <w:rFonts w:eastAsia="Times New Roman"/>
                <w:sz w:val="20"/>
                <w:szCs w:val="20"/>
              </w:rPr>
            </w:pPr>
            <w:r w:rsidRPr="000B6FD6">
              <w:rPr>
                <w:color w:val="000000"/>
                <w:sz w:val="20"/>
                <w:szCs w:val="20"/>
              </w:rPr>
              <w:t>-11.41</w:t>
            </w:r>
          </w:p>
        </w:tc>
        <w:tc>
          <w:tcPr>
            <w:tcW w:w="564" w:type="dxa"/>
            <w:tcBorders>
              <w:top w:val="nil"/>
              <w:left w:val="nil"/>
              <w:bottom w:val="nil"/>
              <w:right w:val="nil"/>
            </w:tcBorders>
            <w:shd w:val="clear" w:color="auto" w:fill="auto"/>
            <w:noWrap/>
            <w:vAlign w:val="bottom"/>
            <w:hideMark/>
          </w:tcPr>
          <w:p w14:paraId="1B992476" w14:textId="254ED174"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-0.43</w:t>
            </w:r>
          </w:p>
        </w:tc>
        <w:tc>
          <w:tcPr>
            <w:tcW w:w="602" w:type="dxa"/>
            <w:tcBorders>
              <w:top w:val="nil"/>
              <w:left w:val="nil"/>
              <w:bottom w:val="nil"/>
              <w:right w:val="nil"/>
            </w:tcBorders>
            <w:shd w:val="clear" w:color="auto" w:fill="auto"/>
            <w:noWrap/>
            <w:vAlign w:val="bottom"/>
            <w:hideMark/>
          </w:tcPr>
          <w:p w14:paraId="5D188FE4" w14:textId="5933987B" w:rsidR="008E1AE5" w:rsidRPr="000B6FD6" w:rsidRDefault="008E1AE5" w:rsidP="000B6FD6">
            <w:pPr>
              <w:tabs>
                <w:tab w:val="decimal" w:pos="295"/>
              </w:tabs>
              <w:spacing w:after="0" w:line="240" w:lineRule="auto"/>
              <w:jc w:val="both"/>
              <w:rPr>
                <w:rFonts w:eastAsia="Times New Roman"/>
                <w:sz w:val="20"/>
                <w:szCs w:val="20"/>
              </w:rPr>
            </w:pPr>
            <w:r w:rsidRPr="000B6FD6">
              <w:rPr>
                <w:color w:val="000000"/>
                <w:sz w:val="20"/>
                <w:szCs w:val="20"/>
              </w:rPr>
              <w:t>-4.92</w:t>
            </w:r>
          </w:p>
        </w:tc>
        <w:tc>
          <w:tcPr>
            <w:tcW w:w="600" w:type="dxa"/>
            <w:tcBorders>
              <w:top w:val="nil"/>
              <w:left w:val="single" w:sz="4" w:space="0" w:color="auto"/>
              <w:bottom w:val="nil"/>
              <w:right w:val="nil"/>
            </w:tcBorders>
            <w:shd w:val="clear" w:color="auto" w:fill="auto"/>
            <w:noWrap/>
            <w:vAlign w:val="bottom"/>
            <w:hideMark/>
          </w:tcPr>
          <w:p w14:paraId="1255138B" w14:textId="44B8E243" w:rsidR="008E1AE5" w:rsidRPr="000B6FD6" w:rsidRDefault="008E1AE5" w:rsidP="000B6FD6">
            <w:pPr>
              <w:tabs>
                <w:tab w:val="decimal" w:pos="230"/>
              </w:tabs>
              <w:spacing w:after="0" w:line="240" w:lineRule="auto"/>
              <w:jc w:val="both"/>
              <w:rPr>
                <w:rFonts w:eastAsia="Times New Roman"/>
                <w:sz w:val="20"/>
                <w:szCs w:val="20"/>
              </w:rPr>
            </w:pPr>
            <w:r w:rsidRPr="000B6FD6">
              <w:rPr>
                <w:color w:val="000000"/>
                <w:sz w:val="20"/>
                <w:szCs w:val="20"/>
              </w:rPr>
              <w:t>-0.95</w:t>
            </w:r>
          </w:p>
        </w:tc>
        <w:tc>
          <w:tcPr>
            <w:tcW w:w="660" w:type="dxa"/>
            <w:tcBorders>
              <w:top w:val="nil"/>
              <w:left w:val="nil"/>
              <w:bottom w:val="nil"/>
              <w:right w:val="single" w:sz="4" w:space="0" w:color="auto"/>
            </w:tcBorders>
            <w:shd w:val="clear" w:color="auto" w:fill="auto"/>
            <w:noWrap/>
            <w:vAlign w:val="bottom"/>
            <w:hideMark/>
          </w:tcPr>
          <w:p w14:paraId="64DB7CAF" w14:textId="6A205DCE" w:rsidR="008E1AE5" w:rsidRPr="000B6FD6" w:rsidRDefault="008E1AE5" w:rsidP="000B6FD6">
            <w:pPr>
              <w:tabs>
                <w:tab w:val="decimal" w:pos="260"/>
              </w:tabs>
              <w:spacing w:after="0" w:line="240" w:lineRule="auto"/>
              <w:jc w:val="both"/>
              <w:rPr>
                <w:rFonts w:eastAsia="Times New Roman"/>
                <w:sz w:val="20"/>
                <w:szCs w:val="20"/>
              </w:rPr>
            </w:pPr>
            <w:r w:rsidRPr="000B6FD6">
              <w:rPr>
                <w:color w:val="000000"/>
                <w:sz w:val="20"/>
                <w:szCs w:val="20"/>
              </w:rPr>
              <w:t>-7.31</w:t>
            </w:r>
          </w:p>
        </w:tc>
        <w:tc>
          <w:tcPr>
            <w:tcW w:w="580" w:type="dxa"/>
            <w:tcBorders>
              <w:top w:val="nil"/>
              <w:left w:val="nil"/>
              <w:bottom w:val="nil"/>
              <w:right w:val="nil"/>
            </w:tcBorders>
            <w:shd w:val="clear" w:color="auto" w:fill="auto"/>
            <w:noWrap/>
            <w:vAlign w:val="bottom"/>
            <w:hideMark/>
          </w:tcPr>
          <w:p w14:paraId="534B2076" w14:textId="7398469C" w:rsidR="008E1AE5" w:rsidRPr="000B6FD6" w:rsidRDefault="00DB10EC" w:rsidP="007D66DE">
            <w:pPr>
              <w:tabs>
                <w:tab w:val="decimal" w:pos="52"/>
              </w:tabs>
              <w:spacing w:after="0" w:line="240" w:lineRule="auto"/>
              <w:jc w:val="center"/>
              <w:rPr>
                <w:rFonts w:eastAsia="Times New Roman"/>
                <w:color w:val="000000"/>
                <w:sz w:val="20"/>
                <w:szCs w:val="20"/>
              </w:rPr>
            </w:pPr>
            <w:r>
              <w:rPr>
                <w:rFonts w:eastAsia="Times New Roman"/>
                <w:color w:val="000000"/>
                <w:sz w:val="20"/>
                <w:szCs w:val="20"/>
              </w:rPr>
              <w:t>--</w:t>
            </w:r>
          </w:p>
        </w:tc>
        <w:tc>
          <w:tcPr>
            <w:tcW w:w="520" w:type="dxa"/>
            <w:tcBorders>
              <w:top w:val="nil"/>
              <w:left w:val="nil"/>
              <w:bottom w:val="nil"/>
              <w:right w:val="single" w:sz="12" w:space="0" w:color="auto"/>
            </w:tcBorders>
            <w:shd w:val="clear" w:color="auto" w:fill="auto"/>
            <w:noWrap/>
            <w:vAlign w:val="bottom"/>
            <w:hideMark/>
          </w:tcPr>
          <w:p w14:paraId="04293560" w14:textId="77777777" w:rsidR="008E1AE5" w:rsidRPr="000B6FD6" w:rsidRDefault="008E1AE5" w:rsidP="000B6FD6">
            <w:pPr>
              <w:spacing w:after="0" w:line="240" w:lineRule="auto"/>
              <w:jc w:val="both"/>
              <w:rPr>
                <w:rFonts w:eastAsia="Times New Roman"/>
                <w:color w:val="000000"/>
                <w:sz w:val="20"/>
                <w:szCs w:val="20"/>
              </w:rPr>
            </w:pPr>
            <w:r w:rsidRPr="000B6FD6">
              <w:rPr>
                <w:rFonts w:eastAsia="Times New Roman"/>
                <w:color w:val="000000"/>
                <w:sz w:val="20"/>
                <w:szCs w:val="20"/>
              </w:rPr>
              <w:t> </w:t>
            </w:r>
          </w:p>
        </w:tc>
      </w:tr>
      <w:tr w:rsidR="008E1AE5" w:rsidRPr="000B6FD6" w14:paraId="6159A94D"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31BA0B83" w14:textId="13900ABC"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Threshold 2|3</w:t>
            </w:r>
          </w:p>
        </w:tc>
        <w:tc>
          <w:tcPr>
            <w:tcW w:w="600" w:type="dxa"/>
            <w:tcBorders>
              <w:top w:val="nil"/>
              <w:left w:val="single" w:sz="12" w:space="0" w:color="auto"/>
              <w:bottom w:val="nil"/>
              <w:right w:val="nil"/>
            </w:tcBorders>
            <w:shd w:val="clear" w:color="auto" w:fill="auto"/>
            <w:noWrap/>
            <w:vAlign w:val="center"/>
            <w:hideMark/>
          </w:tcPr>
          <w:p w14:paraId="49586167" w14:textId="6653D587" w:rsidR="008E1AE5" w:rsidRPr="000B6FD6" w:rsidRDefault="00DB10EC" w:rsidP="00DB10EC">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5E9D8AD3" w14:textId="77777777" w:rsidR="008E1AE5" w:rsidRPr="000B6FD6" w:rsidRDefault="008E1AE5"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5CE3BBC2" w14:textId="7E1D3B33" w:rsidR="008E1AE5" w:rsidRPr="000B6FD6" w:rsidRDefault="00DB10EC" w:rsidP="00DB10EC">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27A6EC07" w14:textId="77777777" w:rsidR="008E1AE5" w:rsidRPr="000B6FD6" w:rsidRDefault="008E1AE5"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49B98742" w14:textId="4A12FA93" w:rsidR="008E1AE5" w:rsidRPr="000B6FD6" w:rsidRDefault="00DB10EC" w:rsidP="00DB10EC">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6D86CA16" w14:textId="77777777" w:rsidR="008E1AE5" w:rsidRPr="000B6FD6" w:rsidRDefault="008E1AE5"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6703A966" w14:textId="53B4597D" w:rsidR="008E1AE5" w:rsidRPr="000B6FD6" w:rsidRDefault="008E1AE5" w:rsidP="000B6FD6">
            <w:pPr>
              <w:tabs>
                <w:tab w:val="decimal" w:pos="140"/>
              </w:tabs>
              <w:spacing w:after="0" w:line="240" w:lineRule="auto"/>
              <w:jc w:val="both"/>
              <w:rPr>
                <w:rFonts w:eastAsia="Times New Roman"/>
                <w:sz w:val="20"/>
                <w:szCs w:val="20"/>
              </w:rPr>
            </w:pPr>
            <w:r w:rsidRPr="000B6FD6">
              <w:rPr>
                <w:color w:val="000000"/>
                <w:sz w:val="20"/>
                <w:szCs w:val="20"/>
              </w:rPr>
              <w:t>-1.31</w:t>
            </w:r>
          </w:p>
        </w:tc>
        <w:tc>
          <w:tcPr>
            <w:tcW w:w="586" w:type="dxa"/>
            <w:tcBorders>
              <w:top w:val="nil"/>
              <w:left w:val="nil"/>
              <w:bottom w:val="nil"/>
              <w:right w:val="nil"/>
            </w:tcBorders>
            <w:shd w:val="clear" w:color="auto" w:fill="auto"/>
            <w:noWrap/>
            <w:vAlign w:val="bottom"/>
            <w:hideMark/>
          </w:tcPr>
          <w:p w14:paraId="12868E31" w14:textId="6C07BEE4" w:rsidR="008E1AE5" w:rsidRPr="000B6FD6" w:rsidRDefault="008E1AE5" w:rsidP="000B6FD6">
            <w:pPr>
              <w:tabs>
                <w:tab w:val="decimal" w:pos="272"/>
              </w:tabs>
              <w:spacing w:after="0" w:line="240" w:lineRule="auto"/>
              <w:jc w:val="both"/>
              <w:rPr>
                <w:rFonts w:eastAsia="Times New Roman"/>
                <w:sz w:val="20"/>
                <w:szCs w:val="20"/>
              </w:rPr>
            </w:pPr>
            <w:r w:rsidRPr="000B6FD6">
              <w:rPr>
                <w:color w:val="000000"/>
                <w:sz w:val="20"/>
                <w:szCs w:val="20"/>
              </w:rPr>
              <w:t>-10.77</w:t>
            </w:r>
          </w:p>
        </w:tc>
        <w:tc>
          <w:tcPr>
            <w:tcW w:w="600" w:type="dxa"/>
            <w:tcBorders>
              <w:top w:val="nil"/>
              <w:left w:val="single" w:sz="4" w:space="0" w:color="auto"/>
              <w:bottom w:val="nil"/>
              <w:right w:val="nil"/>
            </w:tcBorders>
            <w:shd w:val="clear" w:color="auto" w:fill="auto"/>
            <w:noWrap/>
            <w:vAlign w:val="bottom"/>
            <w:hideMark/>
          </w:tcPr>
          <w:p w14:paraId="4F09A300" w14:textId="3AE205E9" w:rsidR="008E1AE5" w:rsidRPr="000B6FD6" w:rsidRDefault="008E1AE5" w:rsidP="000B6FD6">
            <w:pPr>
              <w:tabs>
                <w:tab w:val="decimal" w:pos="152"/>
              </w:tabs>
              <w:spacing w:after="0" w:line="240" w:lineRule="auto"/>
              <w:jc w:val="both"/>
              <w:rPr>
                <w:rFonts w:eastAsia="Times New Roman"/>
                <w:sz w:val="20"/>
                <w:szCs w:val="20"/>
              </w:rPr>
            </w:pPr>
            <w:r w:rsidRPr="000B6FD6">
              <w:rPr>
                <w:color w:val="000000"/>
                <w:sz w:val="20"/>
                <w:szCs w:val="20"/>
              </w:rPr>
              <w:t>0.51</w:t>
            </w:r>
          </w:p>
        </w:tc>
        <w:tc>
          <w:tcPr>
            <w:tcW w:w="500" w:type="dxa"/>
            <w:tcBorders>
              <w:top w:val="nil"/>
              <w:left w:val="nil"/>
              <w:bottom w:val="nil"/>
              <w:right w:val="nil"/>
            </w:tcBorders>
            <w:shd w:val="clear" w:color="auto" w:fill="auto"/>
            <w:noWrap/>
            <w:vAlign w:val="bottom"/>
            <w:hideMark/>
          </w:tcPr>
          <w:p w14:paraId="3FBF0F7E" w14:textId="62EFD34D" w:rsidR="008E1AE5" w:rsidRPr="000B6FD6" w:rsidRDefault="008E1AE5" w:rsidP="000B6FD6">
            <w:pPr>
              <w:tabs>
                <w:tab w:val="decimal" w:pos="183"/>
              </w:tabs>
              <w:spacing w:after="0" w:line="240" w:lineRule="auto"/>
              <w:jc w:val="both"/>
              <w:rPr>
                <w:rFonts w:eastAsia="Times New Roman"/>
                <w:sz w:val="20"/>
                <w:szCs w:val="20"/>
              </w:rPr>
            </w:pPr>
            <w:r w:rsidRPr="000B6FD6">
              <w:rPr>
                <w:color w:val="000000"/>
                <w:sz w:val="20"/>
                <w:szCs w:val="20"/>
              </w:rPr>
              <w:t>4.63</w:t>
            </w:r>
          </w:p>
        </w:tc>
        <w:tc>
          <w:tcPr>
            <w:tcW w:w="580" w:type="dxa"/>
            <w:tcBorders>
              <w:top w:val="nil"/>
              <w:left w:val="single" w:sz="4" w:space="0" w:color="auto"/>
              <w:bottom w:val="nil"/>
              <w:right w:val="nil"/>
            </w:tcBorders>
            <w:shd w:val="clear" w:color="auto" w:fill="auto"/>
            <w:noWrap/>
            <w:vAlign w:val="bottom"/>
            <w:hideMark/>
          </w:tcPr>
          <w:p w14:paraId="1FC21C1C" w14:textId="2E4CD837" w:rsidR="008E1AE5" w:rsidRPr="000B6FD6" w:rsidRDefault="008E1AE5" w:rsidP="000B6FD6">
            <w:pPr>
              <w:tabs>
                <w:tab w:val="decimal" w:pos="223"/>
              </w:tabs>
              <w:spacing w:after="0" w:line="240" w:lineRule="auto"/>
              <w:jc w:val="both"/>
              <w:rPr>
                <w:rFonts w:eastAsia="Times New Roman"/>
                <w:sz w:val="20"/>
                <w:szCs w:val="20"/>
              </w:rPr>
            </w:pPr>
            <w:r w:rsidRPr="000B6FD6">
              <w:rPr>
                <w:color w:val="000000"/>
                <w:sz w:val="20"/>
                <w:szCs w:val="20"/>
              </w:rPr>
              <w:t>0.83</w:t>
            </w:r>
          </w:p>
        </w:tc>
        <w:tc>
          <w:tcPr>
            <w:tcW w:w="520" w:type="dxa"/>
            <w:tcBorders>
              <w:top w:val="nil"/>
              <w:left w:val="nil"/>
              <w:bottom w:val="nil"/>
              <w:right w:val="nil"/>
            </w:tcBorders>
            <w:shd w:val="clear" w:color="auto" w:fill="auto"/>
            <w:noWrap/>
            <w:vAlign w:val="bottom"/>
            <w:hideMark/>
          </w:tcPr>
          <w:p w14:paraId="74BD0EA6" w14:textId="51CAF46D"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6.26</w:t>
            </w:r>
          </w:p>
        </w:tc>
        <w:tc>
          <w:tcPr>
            <w:tcW w:w="600" w:type="dxa"/>
            <w:tcBorders>
              <w:top w:val="nil"/>
              <w:left w:val="single" w:sz="4" w:space="0" w:color="auto"/>
              <w:bottom w:val="nil"/>
              <w:right w:val="nil"/>
            </w:tcBorders>
            <w:shd w:val="clear" w:color="auto" w:fill="auto"/>
            <w:noWrap/>
            <w:vAlign w:val="bottom"/>
            <w:hideMark/>
          </w:tcPr>
          <w:p w14:paraId="13E7E427" w14:textId="1EB4C1A1" w:rsidR="008E1AE5" w:rsidRPr="000B6FD6" w:rsidRDefault="008E1AE5" w:rsidP="000B6FD6">
            <w:pPr>
              <w:tabs>
                <w:tab w:val="decimal" w:pos="186"/>
              </w:tabs>
              <w:spacing w:after="0" w:line="240" w:lineRule="auto"/>
              <w:jc w:val="both"/>
              <w:rPr>
                <w:rFonts w:eastAsia="Times New Roman"/>
                <w:sz w:val="20"/>
                <w:szCs w:val="20"/>
              </w:rPr>
            </w:pPr>
            <w:r w:rsidRPr="000B6FD6">
              <w:rPr>
                <w:color w:val="000000"/>
                <w:sz w:val="20"/>
                <w:szCs w:val="20"/>
              </w:rPr>
              <w:t>-1.00</w:t>
            </w:r>
          </w:p>
        </w:tc>
        <w:tc>
          <w:tcPr>
            <w:tcW w:w="620" w:type="dxa"/>
            <w:tcBorders>
              <w:top w:val="nil"/>
              <w:left w:val="nil"/>
              <w:bottom w:val="nil"/>
              <w:right w:val="single" w:sz="4" w:space="0" w:color="auto"/>
            </w:tcBorders>
            <w:shd w:val="clear" w:color="auto" w:fill="auto"/>
            <w:noWrap/>
            <w:vAlign w:val="bottom"/>
            <w:hideMark/>
          </w:tcPr>
          <w:p w14:paraId="42286ABC" w14:textId="7DA31602" w:rsidR="008E1AE5" w:rsidRPr="000B6FD6" w:rsidRDefault="008E1AE5" w:rsidP="000B6FD6">
            <w:pPr>
              <w:tabs>
                <w:tab w:val="decimal" w:pos="307"/>
              </w:tabs>
              <w:spacing w:after="0" w:line="240" w:lineRule="auto"/>
              <w:jc w:val="both"/>
              <w:rPr>
                <w:rFonts w:eastAsia="Times New Roman"/>
                <w:sz w:val="20"/>
                <w:szCs w:val="20"/>
              </w:rPr>
            </w:pPr>
            <w:r w:rsidRPr="000B6FD6">
              <w:rPr>
                <w:color w:val="000000"/>
                <w:sz w:val="20"/>
                <w:szCs w:val="20"/>
              </w:rPr>
              <w:t>-8.93</w:t>
            </w:r>
          </w:p>
        </w:tc>
        <w:tc>
          <w:tcPr>
            <w:tcW w:w="564" w:type="dxa"/>
            <w:tcBorders>
              <w:top w:val="nil"/>
              <w:left w:val="nil"/>
              <w:bottom w:val="nil"/>
              <w:right w:val="nil"/>
            </w:tcBorders>
            <w:shd w:val="clear" w:color="auto" w:fill="auto"/>
            <w:noWrap/>
            <w:vAlign w:val="bottom"/>
            <w:hideMark/>
          </w:tcPr>
          <w:p w14:paraId="23937B7A" w14:textId="226FABC9"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-0.02</w:t>
            </w:r>
          </w:p>
        </w:tc>
        <w:tc>
          <w:tcPr>
            <w:tcW w:w="602" w:type="dxa"/>
            <w:tcBorders>
              <w:top w:val="nil"/>
              <w:left w:val="nil"/>
              <w:bottom w:val="nil"/>
              <w:right w:val="nil"/>
            </w:tcBorders>
            <w:shd w:val="clear" w:color="auto" w:fill="auto"/>
            <w:noWrap/>
            <w:vAlign w:val="bottom"/>
            <w:hideMark/>
          </w:tcPr>
          <w:p w14:paraId="6BF4AE3E" w14:textId="67A645B3" w:rsidR="008E1AE5" w:rsidRPr="000B6FD6" w:rsidRDefault="008E1AE5" w:rsidP="000B6FD6">
            <w:pPr>
              <w:tabs>
                <w:tab w:val="decimal" w:pos="295"/>
              </w:tabs>
              <w:spacing w:after="0" w:line="240" w:lineRule="auto"/>
              <w:jc w:val="both"/>
              <w:rPr>
                <w:rFonts w:eastAsia="Times New Roman"/>
                <w:sz w:val="20"/>
                <w:szCs w:val="20"/>
              </w:rPr>
            </w:pPr>
            <w:r w:rsidRPr="000B6FD6">
              <w:rPr>
                <w:color w:val="000000"/>
                <w:sz w:val="20"/>
                <w:szCs w:val="20"/>
              </w:rPr>
              <w:t>-0.22</w:t>
            </w:r>
          </w:p>
        </w:tc>
        <w:tc>
          <w:tcPr>
            <w:tcW w:w="600" w:type="dxa"/>
            <w:tcBorders>
              <w:top w:val="nil"/>
              <w:left w:val="single" w:sz="4" w:space="0" w:color="auto"/>
              <w:bottom w:val="nil"/>
              <w:right w:val="nil"/>
            </w:tcBorders>
            <w:shd w:val="clear" w:color="auto" w:fill="auto"/>
            <w:noWrap/>
            <w:vAlign w:val="bottom"/>
            <w:hideMark/>
          </w:tcPr>
          <w:p w14:paraId="24CD5FD6" w14:textId="1364B045" w:rsidR="008E1AE5" w:rsidRPr="000B6FD6" w:rsidRDefault="008E1AE5" w:rsidP="000B6FD6">
            <w:pPr>
              <w:tabs>
                <w:tab w:val="decimal" w:pos="230"/>
              </w:tabs>
              <w:spacing w:after="0" w:line="240" w:lineRule="auto"/>
              <w:jc w:val="both"/>
              <w:rPr>
                <w:rFonts w:eastAsia="Times New Roman"/>
                <w:sz w:val="20"/>
                <w:szCs w:val="20"/>
              </w:rPr>
            </w:pPr>
            <w:r w:rsidRPr="000B6FD6">
              <w:rPr>
                <w:color w:val="000000"/>
                <w:sz w:val="20"/>
                <w:szCs w:val="20"/>
              </w:rPr>
              <w:t>-0.07</w:t>
            </w:r>
          </w:p>
        </w:tc>
        <w:tc>
          <w:tcPr>
            <w:tcW w:w="660" w:type="dxa"/>
            <w:tcBorders>
              <w:top w:val="nil"/>
              <w:left w:val="nil"/>
              <w:bottom w:val="nil"/>
              <w:right w:val="single" w:sz="4" w:space="0" w:color="auto"/>
            </w:tcBorders>
            <w:shd w:val="clear" w:color="auto" w:fill="auto"/>
            <w:noWrap/>
            <w:vAlign w:val="bottom"/>
            <w:hideMark/>
          </w:tcPr>
          <w:p w14:paraId="75E24A03" w14:textId="41AF0D7E" w:rsidR="008E1AE5" w:rsidRPr="000B6FD6" w:rsidRDefault="008E1AE5" w:rsidP="000B6FD6">
            <w:pPr>
              <w:tabs>
                <w:tab w:val="decimal" w:pos="260"/>
              </w:tabs>
              <w:spacing w:after="0" w:line="240" w:lineRule="auto"/>
              <w:jc w:val="both"/>
              <w:rPr>
                <w:rFonts w:eastAsia="Times New Roman"/>
                <w:sz w:val="20"/>
                <w:szCs w:val="20"/>
              </w:rPr>
            </w:pPr>
            <w:r w:rsidRPr="000B6FD6">
              <w:rPr>
                <w:color w:val="000000"/>
                <w:sz w:val="20"/>
                <w:szCs w:val="20"/>
              </w:rPr>
              <w:t>-0.56</w:t>
            </w:r>
          </w:p>
        </w:tc>
        <w:tc>
          <w:tcPr>
            <w:tcW w:w="580" w:type="dxa"/>
            <w:tcBorders>
              <w:top w:val="nil"/>
              <w:left w:val="nil"/>
              <w:bottom w:val="nil"/>
              <w:right w:val="nil"/>
            </w:tcBorders>
            <w:shd w:val="clear" w:color="auto" w:fill="auto"/>
            <w:noWrap/>
            <w:vAlign w:val="center"/>
            <w:hideMark/>
          </w:tcPr>
          <w:p w14:paraId="053E5AEA" w14:textId="4D0C8006" w:rsidR="008E1AE5" w:rsidRPr="000B6FD6" w:rsidRDefault="00DB10EC"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4432865E" w14:textId="77777777"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 </w:t>
            </w:r>
          </w:p>
        </w:tc>
      </w:tr>
      <w:tr w:rsidR="008E1AE5" w:rsidRPr="000B6FD6" w14:paraId="7DC95CBC"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47C0D10E" w14:textId="325B28D4"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Threshold 3|4</w:t>
            </w:r>
          </w:p>
        </w:tc>
        <w:tc>
          <w:tcPr>
            <w:tcW w:w="600" w:type="dxa"/>
            <w:tcBorders>
              <w:top w:val="nil"/>
              <w:left w:val="single" w:sz="12" w:space="0" w:color="auto"/>
              <w:bottom w:val="nil"/>
              <w:right w:val="nil"/>
            </w:tcBorders>
            <w:shd w:val="clear" w:color="auto" w:fill="auto"/>
            <w:noWrap/>
            <w:vAlign w:val="center"/>
            <w:hideMark/>
          </w:tcPr>
          <w:p w14:paraId="4B20D702" w14:textId="0B8AF3BC" w:rsidR="008E1AE5" w:rsidRPr="000B6FD6" w:rsidRDefault="00DB10EC" w:rsidP="00DB10EC">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45E54829" w14:textId="77777777" w:rsidR="008E1AE5" w:rsidRPr="000B6FD6" w:rsidRDefault="008E1AE5"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080E1DF8" w14:textId="371BF425" w:rsidR="008E1AE5" w:rsidRPr="000B6FD6" w:rsidRDefault="00DB10EC" w:rsidP="00DB10EC">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20A07B1A" w14:textId="77777777" w:rsidR="008E1AE5" w:rsidRPr="000B6FD6" w:rsidRDefault="008E1AE5"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479F5D47" w14:textId="5523B304" w:rsidR="008E1AE5" w:rsidRPr="000B6FD6" w:rsidRDefault="00DB10EC" w:rsidP="00DB10EC">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47CA358C" w14:textId="77777777" w:rsidR="008E1AE5" w:rsidRPr="000B6FD6" w:rsidRDefault="008E1AE5"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33752403" w14:textId="46E9F1DB" w:rsidR="008E1AE5" w:rsidRPr="000B6FD6" w:rsidRDefault="008E1AE5" w:rsidP="000B6FD6">
            <w:pPr>
              <w:tabs>
                <w:tab w:val="decimal" w:pos="140"/>
              </w:tabs>
              <w:spacing w:after="0" w:line="240" w:lineRule="auto"/>
              <w:jc w:val="both"/>
              <w:rPr>
                <w:rFonts w:eastAsia="Times New Roman"/>
                <w:sz w:val="20"/>
                <w:szCs w:val="20"/>
              </w:rPr>
            </w:pPr>
            <w:r w:rsidRPr="000B6FD6">
              <w:rPr>
                <w:color w:val="000000"/>
                <w:sz w:val="20"/>
                <w:szCs w:val="20"/>
              </w:rPr>
              <w:t>0.12</w:t>
            </w:r>
          </w:p>
        </w:tc>
        <w:tc>
          <w:tcPr>
            <w:tcW w:w="586" w:type="dxa"/>
            <w:tcBorders>
              <w:top w:val="nil"/>
              <w:left w:val="nil"/>
              <w:bottom w:val="nil"/>
              <w:right w:val="nil"/>
            </w:tcBorders>
            <w:shd w:val="clear" w:color="auto" w:fill="auto"/>
            <w:noWrap/>
            <w:vAlign w:val="bottom"/>
            <w:hideMark/>
          </w:tcPr>
          <w:p w14:paraId="2FF34D00" w14:textId="785402B8" w:rsidR="008E1AE5" w:rsidRPr="000B6FD6" w:rsidRDefault="008E1AE5" w:rsidP="000B6FD6">
            <w:pPr>
              <w:tabs>
                <w:tab w:val="decimal" w:pos="272"/>
              </w:tabs>
              <w:spacing w:after="0" w:line="240" w:lineRule="auto"/>
              <w:jc w:val="both"/>
              <w:rPr>
                <w:rFonts w:eastAsia="Times New Roman"/>
                <w:sz w:val="20"/>
                <w:szCs w:val="20"/>
              </w:rPr>
            </w:pPr>
            <w:r w:rsidRPr="000B6FD6">
              <w:rPr>
                <w:color w:val="000000"/>
                <w:sz w:val="20"/>
                <w:szCs w:val="20"/>
              </w:rPr>
              <w:t>1.05</w:t>
            </w:r>
          </w:p>
        </w:tc>
        <w:tc>
          <w:tcPr>
            <w:tcW w:w="600" w:type="dxa"/>
            <w:tcBorders>
              <w:top w:val="nil"/>
              <w:left w:val="single" w:sz="4" w:space="0" w:color="auto"/>
              <w:bottom w:val="nil"/>
              <w:right w:val="nil"/>
            </w:tcBorders>
            <w:shd w:val="clear" w:color="auto" w:fill="auto"/>
            <w:noWrap/>
            <w:vAlign w:val="center"/>
            <w:hideMark/>
          </w:tcPr>
          <w:p w14:paraId="23DDBE89" w14:textId="13E9A8D7" w:rsidR="008E1AE5" w:rsidRPr="000B6FD6" w:rsidRDefault="00DB10EC" w:rsidP="00DB10EC">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0CE356D4" w14:textId="77777777" w:rsidR="008E1AE5" w:rsidRPr="000B6FD6" w:rsidRDefault="008E1AE5"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bottom"/>
            <w:hideMark/>
          </w:tcPr>
          <w:p w14:paraId="0886BA51" w14:textId="6399C815" w:rsidR="008E1AE5" w:rsidRPr="000B6FD6" w:rsidRDefault="008E1AE5" w:rsidP="000B6FD6">
            <w:pPr>
              <w:tabs>
                <w:tab w:val="decimal" w:pos="223"/>
              </w:tabs>
              <w:spacing w:after="0" w:line="240" w:lineRule="auto"/>
              <w:jc w:val="both"/>
              <w:rPr>
                <w:rFonts w:eastAsia="Times New Roman"/>
                <w:sz w:val="20"/>
                <w:szCs w:val="20"/>
              </w:rPr>
            </w:pPr>
            <w:r w:rsidRPr="000B6FD6">
              <w:rPr>
                <w:color w:val="000000"/>
                <w:sz w:val="20"/>
                <w:szCs w:val="20"/>
              </w:rPr>
              <w:t>1.87</w:t>
            </w:r>
          </w:p>
        </w:tc>
        <w:tc>
          <w:tcPr>
            <w:tcW w:w="520" w:type="dxa"/>
            <w:tcBorders>
              <w:top w:val="nil"/>
              <w:left w:val="nil"/>
              <w:bottom w:val="nil"/>
              <w:right w:val="nil"/>
            </w:tcBorders>
            <w:shd w:val="clear" w:color="auto" w:fill="auto"/>
            <w:noWrap/>
            <w:vAlign w:val="bottom"/>
            <w:hideMark/>
          </w:tcPr>
          <w:p w14:paraId="33A66ADA" w14:textId="478151FC"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13.66</w:t>
            </w:r>
          </w:p>
        </w:tc>
        <w:tc>
          <w:tcPr>
            <w:tcW w:w="600" w:type="dxa"/>
            <w:tcBorders>
              <w:top w:val="nil"/>
              <w:left w:val="single" w:sz="4" w:space="0" w:color="auto"/>
              <w:bottom w:val="nil"/>
              <w:right w:val="nil"/>
            </w:tcBorders>
            <w:shd w:val="clear" w:color="auto" w:fill="auto"/>
            <w:noWrap/>
            <w:vAlign w:val="bottom"/>
            <w:hideMark/>
          </w:tcPr>
          <w:p w14:paraId="125DF43B" w14:textId="5FC5308D" w:rsidR="008E1AE5" w:rsidRPr="000B6FD6" w:rsidRDefault="008E1AE5" w:rsidP="000B6FD6">
            <w:pPr>
              <w:tabs>
                <w:tab w:val="decimal" w:pos="186"/>
              </w:tabs>
              <w:spacing w:after="0" w:line="240" w:lineRule="auto"/>
              <w:jc w:val="both"/>
              <w:rPr>
                <w:rFonts w:eastAsia="Times New Roman"/>
                <w:sz w:val="20"/>
                <w:szCs w:val="20"/>
              </w:rPr>
            </w:pPr>
            <w:r w:rsidRPr="000B6FD6">
              <w:rPr>
                <w:color w:val="000000"/>
                <w:sz w:val="20"/>
                <w:szCs w:val="20"/>
              </w:rPr>
              <w:t>-0.65</w:t>
            </w:r>
          </w:p>
        </w:tc>
        <w:tc>
          <w:tcPr>
            <w:tcW w:w="620" w:type="dxa"/>
            <w:tcBorders>
              <w:top w:val="nil"/>
              <w:left w:val="nil"/>
              <w:bottom w:val="nil"/>
              <w:right w:val="single" w:sz="4" w:space="0" w:color="auto"/>
            </w:tcBorders>
            <w:shd w:val="clear" w:color="auto" w:fill="auto"/>
            <w:noWrap/>
            <w:vAlign w:val="bottom"/>
            <w:hideMark/>
          </w:tcPr>
          <w:p w14:paraId="396F3667" w14:textId="1C02676A" w:rsidR="008E1AE5" w:rsidRPr="000B6FD6" w:rsidRDefault="008E1AE5" w:rsidP="000B6FD6">
            <w:pPr>
              <w:tabs>
                <w:tab w:val="decimal" w:pos="307"/>
              </w:tabs>
              <w:spacing w:after="0" w:line="240" w:lineRule="auto"/>
              <w:jc w:val="both"/>
              <w:rPr>
                <w:rFonts w:eastAsia="Times New Roman"/>
                <w:sz w:val="20"/>
                <w:szCs w:val="20"/>
              </w:rPr>
            </w:pPr>
            <w:r w:rsidRPr="000B6FD6">
              <w:rPr>
                <w:color w:val="000000"/>
                <w:sz w:val="20"/>
                <w:szCs w:val="20"/>
              </w:rPr>
              <w:t>-5.75</w:t>
            </w:r>
          </w:p>
        </w:tc>
        <w:tc>
          <w:tcPr>
            <w:tcW w:w="564" w:type="dxa"/>
            <w:tcBorders>
              <w:top w:val="nil"/>
              <w:left w:val="nil"/>
              <w:bottom w:val="nil"/>
              <w:right w:val="nil"/>
            </w:tcBorders>
            <w:shd w:val="clear" w:color="auto" w:fill="auto"/>
            <w:noWrap/>
            <w:vAlign w:val="bottom"/>
            <w:hideMark/>
          </w:tcPr>
          <w:p w14:paraId="7A86E561" w14:textId="7C6B5EFC"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0.38</w:t>
            </w:r>
          </w:p>
        </w:tc>
        <w:tc>
          <w:tcPr>
            <w:tcW w:w="602" w:type="dxa"/>
            <w:tcBorders>
              <w:top w:val="nil"/>
              <w:left w:val="nil"/>
              <w:bottom w:val="nil"/>
              <w:right w:val="nil"/>
            </w:tcBorders>
            <w:shd w:val="clear" w:color="auto" w:fill="auto"/>
            <w:noWrap/>
            <w:vAlign w:val="bottom"/>
            <w:hideMark/>
          </w:tcPr>
          <w:p w14:paraId="241AC3E2" w14:textId="1D02B3B4" w:rsidR="008E1AE5" w:rsidRPr="000B6FD6" w:rsidRDefault="008E1AE5" w:rsidP="000B6FD6">
            <w:pPr>
              <w:tabs>
                <w:tab w:val="decimal" w:pos="295"/>
              </w:tabs>
              <w:spacing w:after="0" w:line="240" w:lineRule="auto"/>
              <w:jc w:val="both"/>
              <w:rPr>
                <w:rFonts w:eastAsia="Times New Roman"/>
                <w:sz w:val="20"/>
                <w:szCs w:val="20"/>
              </w:rPr>
            </w:pPr>
            <w:r w:rsidRPr="000B6FD6">
              <w:rPr>
                <w:color w:val="000000"/>
                <w:sz w:val="20"/>
                <w:szCs w:val="20"/>
              </w:rPr>
              <w:t>4.43</w:t>
            </w:r>
          </w:p>
        </w:tc>
        <w:tc>
          <w:tcPr>
            <w:tcW w:w="600" w:type="dxa"/>
            <w:tcBorders>
              <w:top w:val="nil"/>
              <w:left w:val="single" w:sz="4" w:space="0" w:color="auto"/>
              <w:bottom w:val="nil"/>
              <w:right w:val="nil"/>
            </w:tcBorders>
            <w:shd w:val="clear" w:color="auto" w:fill="auto"/>
            <w:noWrap/>
            <w:vAlign w:val="bottom"/>
            <w:hideMark/>
          </w:tcPr>
          <w:p w14:paraId="31D98281" w14:textId="2AD11B3B" w:rsidR="008E1AE5" w:rsidRPr="000B6FD6" w:rsidRDefault="008E1AE5" w:rsidP="000B6FD6">
            <w:pPr>
              <w:tabs>
                <w:tab w:val="decimal" w:pos="230"/>
              </w:tabs>
              <w:spacing w:after="0" w:line="240" w:lineRule="auto"/>
              <w:jc w:val="both"/>
              <w:rPr>
                <w:rFonts w:eastAsia="Times New Roman"/>
                <w:sz w:val="20"/>
                <w:szCs w:val="20"/>
              </w:rPr>
            </w:pPr>
            <w:r w:rsidRPr="000B6FD6">
              <w:rPr>
                <w:color w:val="000000"/>
                <w:sz w:val="20"/>
                <w:szCs w:val="20"/>
              </w:rPr>
              <w:t>0.81</w:t>
            </w:r>
          </w:p>
        </w:tc>
        <w:tc>
          <w:tcPr>
            <w:tcW w:w="660" w:type="dxa"/>
            <w:tcBorders>
              <w:top w:val="nil"/>
              <w:left w:val="nil"/>
              <w:bottom w:val="nil"/>
              <w:right w:val="single" w:sz="4" w:space="0" w:color="auto"/>
            </w:tcBorders>
            <w:shd w:val="clear" w:color="auto" w:fill="auto"/>
            <w:noWrap/>
            <w:vAlign w:val="bottom"/>
            <w:hideMark/>
          </w:tcPr>
          <w:p w14:paraId="00705AB2" w14:textId="4A95FA8E" w:rsidR="008E1AE5" w:rsidRPr="000B6FD6" w:rsidRDefault="008E1AE5" w:rsidP="000B6FD6">
            <w:pPr>
              <w:tabs>
                <w:tab w:val="decimal" w:pos="260"/>
              </w:tabs>
              <w:spacing w:after="0" w:line="240" w:lineRule="auto"/>
              <w:jc w:val="both"/>
              <w:rPr>
                <w:rFonts w:eastAsia="Times New Roman"/>
                <w:sz w:val="20"/>
                <w:szCs w:val="20"/>
              </w:rPr>
            </w:pPr>
            <w:r w:rsidRPr="000B6FD6">
              <w:rPr>
                <w:color w:val="000000"/>
                <w:sz w:val="20"/>
                <w:szCs w:val="20"/>
              </w:rPr>
              <w:t>6.66</w:t>
            </w:r>
          </w:p>
        </w:tc>
        <w:tc>
          <w:tcPr>
            <w:tcW w:w="580" w:type="dxa"/>
            <w:tcBorders>
              <w:top w:val="nil"/>
              <w:left w:val="nil"/>
              <w:bottom w:val="nil"/>
              <w:right w:val="nil"/>
            </w:tcBorders>
            <w:shd w:val="clear" w:color="auto" w:fill="auto"/>
            <w:noWrap/>
            <w:vAlign w:val="center"/>
            <w:hideMark/>
          </w:tcPr>
          <w:p w14:paraId="71540B3E" w14:textId="67B605E1" w:rsidR="008E1AE5" w:rsidRPr="000B6FD6" w:rsidRDefault="00DB10EC"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40404CA6" w14:textId="77777777"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 </w:t>
            </w:r>
          </w:p>
        </w:tc>
      </w:tr>
      <w:tr w:rsidR="008E1AE5" w:rsidRPr="000B6FD6" w14:paraId="031CE209" w14:textId="77777777" w:rsidTr="007C34CD">
        <w:trPr>
          <w:trHeight w:val="216"/>
          <w:jc w:val="center"/>
        </w:trPr>
        <w:tc>
          <w:tcPr>
            <w:tcW w:w="3240" w:type="dxa"/>
            <w:tcBorders>
              <w:top w:val="nil"/>
              <w:left w:val="single" w:sz="12" w:space="0" w:color="auto"/>
              <w:bottom w:val="nil"/>
              <w:right w:val="single" w:sz="12" w:space="0" w:color="auto"/>
            </w:tcBorders>
            <w:shd w:val="clear" w:color="auto" w:fill="auto"/>
            <w:noWrap/>
            <w:vAlign w:val="bottom"/>
            <w:hideMark/>
          </w:tcPr>
          <w:p w14:paraId="30F78FBC" w14:textId="46D1FE2A"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Threshold 4|5</w:t>
            </w:r>
          </w:p>
        </w:tc>
        <w:tc>
          <w:tcPr>
            <w:tcW w:w="600" w:type="dxa"/>
            <w:tcBorders>
              <w:top w:val="nil"/>
              <w:left w:val="single" w:sz="12" w:space="0" w:color="auto"/>
              <w:bottom w:val="nil"/>
              <w:right w:val="nil"/>
            </w:tcBorders>
            <w:shd w:val="clear" w:color="auto" w:fill="auto"/>
            <w:noWrap/>
            <w:vAlign w:val="center"/>
            <w:hideMark/>
          </w:tcPr>
          <w:p w14:paraId="2451E774" w14:textId="7E40F8B7" w:rsidR="008E1AE5" w:rsidRPr="000B6FD6" w:rsidRDefault="00DB10EC" w:rsidP="00DB10EC">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single" w:sz="4" w:space="0" w:color="auto"/>
            </w:tcBorders>
            <w:shd w:val="clear" w:color="auto" w:fill="auto"/>
            <w:noWrap/>
            <w:vAlign w:val="center"/>
            <w:hideMark/>
          </w:tcPr>
          <w:p w14:paraId="752923E8" w14:textId="150930EC" w:rsidR="008E1AE5" w:rsidRPr="000B6FD6" w:rsidRDefault="008E1AE5"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nil"/>
              <w:right w:val="nil"/>
            </w:tcBorders>
            <w:shd w:val="clear" w:color="auto" w:fill="auto"/>
            <w:noWrap/>
            <w:vAlign w:val="center"/>
            <w:hideMark/>
          </w:tcPr>
          <w:p w14:paraId="46536228" w14:textId="1E932F93" w:rsidR="008E1AE5" w:rsidRPr="000B6FD6" w:rsidRDefault="00DB10EC" w:rsidP="00DB10EC">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07E98182" w14:textId="77777777" w:rsidR="008E1AE5" w:rsidRPr="000B6FD6" w:rsidRDefault="008E1AE5" w:rsidP="000B6FD6">
            <w:pPr>
              <w:tabs>
                <w:tab w:val="decimal" w:pos="164"/>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center"/>
            <w:hideMark/>
          </w:tcPr>
          <w:p w14:paraId="241A1E10" w14:textId="55978395" w:rsidR="008E1AE5" w:rsidRPr="000B6FD6" w:rsidRDefault="00DB10EC" w:rsidP="00DB10EC">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nil"/>
              <w:right w:val="nil"/>
            </w:tcBorders>
            <w:shd w:val="clear" w:color="auto" w:fill="auto"/>
            <w:noWrap/>
            <w:vAlign w:val="center"/>
            <w:hideMark/>
          </w:tcPr>
          <w:p w14:paraId="19000A61" w14:textId="77777777" w:rsidR="008E1AE5" w:rsidRPr="000B6FD6" w:rsidRDefault="008E1AE5" w:rsidP="000B6FD6">
            <w:pPr>
              <w:tabs>
                <w:tab w:val="decimal" w:pos="217"/>
              </w:tabs>
              <w:spacing w:after="0" w:line="240" w:lineRule="auto"/>
              <w:jc w:val="both"/>
              <w:rPr>
                <w:rFonts w:eastAsia="Times New Roman"/>
                <w:sz w:val="20"/>
                <w:szCs w:val="20"/>
              </w:rPr>
            </w:pPr>
          </w:p>
        </w:tc>
        <w:tc>
          <w:tcPr>
            <w:tcW w:w="574" w:type="dxa"/>
            <w:tcBorders>
              <w:top w:val="nil"/>
              <w:left w:val="single" w:sz="4" w:space="0" w:color="auto"/>
              <w:bottom w:val="nil"/>
              <w:right w:val="nil"/>
            </w:tcBorders>
            <w:shd w:val="clear" w:color="auto" w:fill="auto"/>
            <w:noWrap/>
            <w:vAlign w:val="bottom"/>
            <w:hideMark/>
          </w:tcPr>
          <w:p w14:paraId="319AF86A" w14:textId="79DD103F" w:rsidR="008E1AE5" w:rsidRPr="000B6FD6" w:rsidRDefault="008E1AE5" w:rsidP="000B6FD6">
            <w:pPr>
              <w:tabs>
                <w:tab w:val="decimal" w:pos="140"/>
              </w:tabs>
              <w:spacing w:after="0" w:line="240" w:lineRule="auto"/>
              <w:jc w:val="both"/>
              <w:rPr>
                <w:rFonts w:eastAsia="Times New Roman"/>
                <w:sz w:val="20"/>
                <w:szCs w:val="20"/>
              </w:rPr>
            </w:pPr>
            <w:r w:rsidRPr="000B6FD6">
              <w:rPr>
                <w:color w:val="000000"/>
                <w:sz w:val="20"/>
                <w:szCs w:val="20"/>
              </w:rPr>
              <w:t>1.49</w:t>
            </w:r>
          </w:p>
        </w:tc>
        <w:tc>
          <w:tcPr>
            <w:tcW w:w="586" w:type="dxa"/>
            <w:tcBorders>
              <w:top w:val="nil"/>
              <w:left w:val="nil"/>
              <w:bottom w:val="nil"/>
              <w:right w:val="nil"/>
            </w:tcBorders>
            <w:shd w:val="clear" w:color="auto" w:fill="auto"/>
            <w:noWrap/>
            <w:vAlign w:val="bottom"/>
            <w:hideMark/>
          </w:tcPr>
          <w:p w14:paraId="2138D7CC" w14:textId="1A000573" w:rsidR="008E1AE5" w:rsidRPr="000B6FD6" w:rsidRDefault="008E1AE5" w:rsidP="000B6FD6">
            <w:pPr>
              <w:tabs>
                <w:tab w:val="decimal" w:pos="272"/>
              </w:tabs>
              <w:spacing w:after="0" w:line="240" w:lineRule="auto"/>
              <w:jc w:val="both"/>
              <w:rPr>
                <w:rFonts w:eastAsia="Times New Roman"/>
                <w:sz w:val="20"/>
                <w:szCs w:val="20"/>
              </w:rPr>
            </w:pPr>
            <w:r w:rsidRPr="000B6FD6">
              <w:rPr>
                <w:color w:val="000000"/>
                <w:sz w:val="20"/>
                <w:szCs w:val="20"/>
              </w:rPr>
              <w:t>12.02</w:t>
            </w:r>
          </w:p>
        </w:tc>
        <w:tc>
          <w:tcPr>
            <w:tcW w:w="600" w:type="dxa"/>
            <w:tcBorders>
              <w:top w:val="nil"/>
              <w:left w:val="single" w:sz="4" w:space="0" w:color="auto"/>
              <w:bottom w:val="nil"/>
              <w:right w:val="nil"/>
            </w:tcBorders>
            <w:shd w:val="clear" w:color="auto" w:fill="auto"/>
            <w:noWrap/>
            <w:vAlign w:val="center"/>
            <w:hideMark/>
          </w:tcPr>
          <w:p w14:paraId="1CBB660F" w14:textId="05FEFCBA" w:rsidR="008E1AE5" w:rsidRPr="000B6FD6" w:rsidRDefault="00DB10EC" w:rsidP="00DB10EC">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nil"/>
              <w:right w:val="nil"/>
            </w:tcBorders>
            <w:shd w:val="clear" w:color="auto" w:fill="auto"/>
            <w:noWrap/>
            <w:vAlign w:val="center"/>
            <w:hideMark/>
          </w:tcPr>
          <w:p w14:paraId="5C4702B9" w14:textId="77777777" w:rsidR="008E1AE5" w:rsidRPr="000B6FD6" w:rsidRDefault="008E1AE5" w:rsidP="000B6FD6">
            <w:pPr>
              <w:tabs>
                <w:tab w:val="decimal" w:pos="183"/>
              </w:tabs>
              <w:spacing w:after="0" w:line="240" w:lineRule="auto"/>
              <w:jc w:val="both"/>
              <w:rPr>
                <w:rFonts w:eastAsia="Times New Roman"/>
                <w:sz w:val="20"/>
                <w:szCs w:val="20"/>
              </w:rPr>
            </w:pPr>
          </w:p>
        </w:tc>
        <w:tc>
          <w:tcPr>
            <w:tcW w:w="580" w:type="dxa"/>
            <w:tcBorders>
              <w:top w:val="nil"/>
              <w:left w:val="single" w:sz="4" w:space="0" w:color="auto"/>
              <w:bottom w:val="nil"/>
              <w:right w:val="nil"/>
            </w:tcBorders>
            <w:shd w:val="clear" w:color="auto" w:fill="auto"/>
            <w:noWrap/>
            <w:vAlign w:val="center"/>
            <w:hideMark/>
          </w:tcPr>
          <w:p w14:paraId="2B4052AB" w14:textId="74A19E3F" w:rsidR="008E1AE5" w:rsidRPr="000B6FD6" w:rsidRDefault="00DB10EC" w:rsidP="00DB10EC">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nil"/>
            </w:tcBorders>
            <w:shd w:val="clear" w:color="auto" w:fill="auto"/>
            <w:noWrap/>
            <w:vAlign w:val="center"/>
            <w:hideMark/>
          </w:tcPr>
          <w:p w14:paraId="5DB02D55" w14:textId="77777777" w:rsidR="008E1AE5" w:rsidRPr="000B6FD6" w:rsidRDefault="008E1AE5" w:rsidP="000B6FD6">
            <w:pPr>
              <w:tabs>
                <w:tab w:val="decimal" w:pos="225"/>
              </w:tabs>
              <w:spacing w:after="0" w:line="240" w:lineRule="auto"/>
              <w:jc w:val="both"/>
              <w:rPr>
                <w:rFonts w:eastAsia="Times New Roman"/>
                <w:sz w:val="20"/>
                <w:szCs w:val="20"/>
              </w:rPr>
            </w:pPr>
          </w:p>
        </w:tc>
        <w:tc>
          <w:tcPr>
            <w:tcW w:w="600" w:type="dxa"/>
            <w:tcBorders>
              <w:top w:val="nil"/>
              <w:left w:val="single" w:sz="4" w:space="0" w:color="auto"/>
              <w:bottom w:val="nil"/>
              <w:right w:val="nil"/>
            </w:tcBorders>
            <w:shd w:val="clear" w:color="auto" w:fill="auto"/>
            <w:noWrap/>
            <w:vAlign w:val="bottom"/>
            <w:hideMark/>
          </w:tcPr>
          <w:p w14:paraId="4AC7ED18" w14:textId="4EF9DCB8" w:rsidR="008E1AE5" w:rsidRPr="000B6FD6" w:rsidRDefault="008E1AE5" w:rsidP="000B6FD6">
            <w:pPr>
              <w:tabs>
                <w:tab w:val="decimal" w:pos="186"/>
              </w:tabs>
              <w:spacing w:after="0" w:line="240" w:lineRule="auto"/>
              <w:jc w:val="both"/>
              <w:rPr>
                <w:rFonts w:eastAsia="Times New Roman"/>
                <w:sz w:val="20"/>
                <w:szCs w:val="20"/>
              </w:rPr>
            </w:pPr>
            <w:r w:rsidRPr="000B6FD6">
              <w:rPr>
                <w:color w:val="000000"/>
                <w:sz w:val="20"/>
                <w:szCs w:val="20"/>
              </w:rPr>
              <w:t>-0.38</w:t>
            </w:r>
          </w:p>
        </w:tc>
        <w:tc>
          <w:tcPr>
            <w:tcW w:w="620" w:type="dxa"/>
            <w:tcBorders>
              <w:top w:val="nil"/>
              <w:left w:val="nil"/>
              <w:bottom w:val="nil"/>
              <w:right w:val="single" w:sz="4" w:space="0" w:color="auto"/>
            </w:tcBorders>
            <w:shd w:val="clear" w:color="auto" w:fill="auto"/>
            <w:noWrap/>
            <w:vAlign w:val="bottom"/>
            <w:hideMark/>
          </w:tcPr>
          <w:p w14:paraId="72DF9C0A" w14:textId="17B9F4C4" w:rsidR="008E1AE5" w:rsidRPr="000B6FD6" w:rsidRDefault="008E1AE5" w:rsidP="000B6FD6">
            <w:pPr>
              <w:tabs>
                <w:tab w:val="decimal" w:pos="307"/>
              </w:tabs>
              <w:spacing w:after="0" w:line="240" w:lineRule="auto"/>
              <w:jc w:val="both"/>
              <w:rPr>
                <w:rFonts w:eastAsia="Times New Roman"/>
                <w:sz w:val="20"/>
                <w:szCs w:val="20"/>
              </w:rPr>
            </w:pPr>
            <w:r w:rsidRPr="000B6FD6">
              <w:rPr>
                <w:color w:val="000000"/>
                <w:sz w:val="20"/>
                <w:szCs w:val="20"/>
              </w:rPr>
              <w:t>-3.37</w:t>
            </w:r>
          </w:p>
        </w:tc>
        <w:tc>
          <w:tcPr>
            <w:tcW w:w="564" w:type="dxa"/>
            <w:tcBorders>
              <w:top w:val="nil"/>
              <w:left w:val="nil"/>
              <w:bottom w:val="nil"/>
              <w:right w:val="nil"/>
            </w:tcBorders>
            <w:shd w:val="clear" w:color="auto" w:fill="auto"/>
            <w:noWrap/>
            <w:vAlign w:val="bottom"/>
            <w:hideMark/>
          </w:tcPr>
          <w:p w14:paraId="0772222C" w14:textId="335E8408" w:rsidR="008E1AE5" w:rsidRPr="000B6FD6" w:rsidRDefault="008E1AE5" w:rsidP="000B6FD6">
            <w:pPr>
              <w:tabs>
                <w:tab w:val="decimal" w:pos="225"/>
              </w:tabs>
              <w:spacing w:after="0" w:line="240" w:lineRule="auto"/>
              <w:jc w:val="both"/>
              <w:rPr>
                <w:rFonts w:eastAsia="Times New Roman"/>
                <w:sz w:val="20"/>
                <w:szCs w:val="20"/>
              </w:rPr>
            </w:pPr>
            <w:r w:rsidRPr="000B6FD6">
              <w:rPr>
                <w:color w:val="000000"/>
                <w:sz w:val="20"/>
                <w:szCs w:val="20"/>
              </w:rPr>
              <w:t>1.01</w:t>
            </w:r>
          </w:p>
        </w:tc>
        <w:tc>
          <w:tcPr>
            <w:tcW w:w="602" w:type="dxa"/>
            <w:tcBorders>
              <w:top w:val="nil"/>
              <w:left w:val="nil"/>
              <w:bottom w:val="nil"/>
              <w:right w:val="nil"/>
            </w:tcBorders>
            <w:shd w:val="clear" w:color="auto" w:fill="auto"/>
            <w:noWrap/>
            <w:vAlign w:val="bottom"/>
            <w:hideMark/>
          </w:tcPr>
          <w:p w14:paraId="4095B33F" w14:textId="1A42F8C4" w:rsidR="008E1AE5" w:rsidRPr="000B6FD6" w:rsidRDefault="008E1AE5" w:rsidP="000B6FD6">
            <w:pPr>
              <w:tabs>
                <w:tab w:val="decimal" w:pos="295"/>
              </w:tabs>
              <w:spacing w:after="0" w:line="240" w:lineRule="auto"/>
              <w:jc w:val="both"/>
              <w:rPr>
                <w:rFonts w:eastAsia="Times New Roman"/>
                <w:sz w:val="20"/>
                <w:szCs w:val="20"/>
              </w:rPr>
            </w:pPr>
            <w:r w:rsidRPr="000B6FD6">
              <w:rPr>
                <w:color w:val="000000"/>
                <w:sz w:val="20"/>
                <w:szCs w:val="20"/>
              </w:rPr>
              <w:t>11.57</w:t>
            </w:r>
          </w:p>
        </w:tc>
        <w:tc>
          <w:tcPr>
            <w:tcW w:w="600" w:type="dxa"/>
            <w:tcBorders>
              <w:top w:val="nil"/>
              <w:left w:val="single" w:sz="4" w:space="0" w:color="auto"/>
              <w:bottom w:val="nil"/>
              <w:right w:val="nil"/>
            </w:tcBorders>
            <w:shd w:val="clear" w:color="auto" w:fill="auto"/>
            <w:noWrap/>
            <w:vAlign w:val="bottom"/>
            <w:hideMark/>
          </w:tcPr>
          <w:p w14:paraId="4A0A59BE" w14:textId="573528D6" w:rsidR="008E1AE5" w:rsidRPr="000B6FD6" w:rsidRDefault="008E1AE5" w:rsidP="000B6FD6">
            <w:pPr>
              <w:tabs>
                <w:tab w:val="decimal" w:pos="230"/>
              </w:tabs>
              <w:spacing w:after="0" w:line="240" w:lineRule="auto"/>
              <w:jc w:val="both"/>
              <w:rPr>
                <w:rFonts w:eastAsia="Times New Roman"/>
                <w:sz w:val="20"/>
                <w:szCs w:val="20"/>
              </w:rPr>
            </w:pPr>
            <w:r w:rsidRPr="000B6FD6">
              <w:rPr>
                <w:color w:val="000000"/>
                <w:sz w:val="20"/>
                <w:szCs w:val="20"/>
              </w:rPr>
              <w:t>1.98</w:t>
            </w:r>
          </w:p>
        </w:tc>
        <w:tc>
          <w:tcPr>
            <w:tcW w:w="660" w:type="dxa"/>
            <w:tcBorders>
              <w:top w:val="nil"/>
              <w:left w:val="nil"/>
              <w:bottom w:val="nil"/>
              <w:right w:val="single" w:sz="4" w:space="0" w:color="auto"/>
            </w:tcBorders>
            <w:shd w:val="clear" w:color="auto" w:fill="auto"/>
            <w:noWrap/>
            <w:vAlign w:val="bottom"/>
            <w:hideMark/>
          </w:tcPr>
          <w:p w14:paraId="0A21B068" w14:textId="37584D3F" w:rsidR="008E1AE5" w:rsidRPr="000B6FD6" w:rsidRDefault="008E1AE5" w:rsidP="000B6FD6">
            <w:pPr>
              <w:tabs>
                <w:tab w:val="decimal" w:pos="260"/>
              </w:tabs>
              <w:spacing w:after="0" w:line="240" w:lineRule="auto"/>
              <w:jc w:val="both"/>
              <w:rPr>
                <w:rFonts w:eastAsia="Times New Roman"/>
                <w:sz w:val="20"/>
                <w:szCs w:val="20"/>
              </w:rPr>
            </w:pPr>
            <w:r w:rsidRPr="000B6FD6">
              <w:rPr>
                <w:color w:val="000000"/>
                <w:sz w:val="20"/>
                <w:szCs w:val="20"/>
              </w:rPr>
              <w:t>16.54</w:t>
            </w:r>
          </w:p>
        </w:tc>
        <w:tc>
          <w:tcPr>
            <w:tcW w:w="580" w:type="dxa"/>
            <w:tcBorders>
              <w:top w:val="nil"/>
              <w:left w:val="nil"/>
              <w:bottom w:val="nil"/>
              <w:right w:val="nil"/>
            </w:tcBorders>
            <w:shd w:val="clear" w:color="auto" w:fill="auto"/>
            <w:noWrap/>
            <w:vAlign w:val="center"/>
            <w:hideMark/>
          </w:tcPr>
          <w:p w14:paraId="49794C37" w14:textId="4FF43C31" w:rsidR="008E1AE5" w:rsidRPr="000B6FD6" w:rsidRDefault="00DB10EC"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nil"/>
              <w:right w:val="single" w:sz="12" w:space="0" w:color="auto"/>
            </w:tcBorders>
            <w:shd w:val="clear" w:color="auto" w:fill="auto"/>
            <w:noWrap/>
            <w:vAlign w:val="center"/>
            <w:hideMark/>
          </w:tcPr>
          <w:p w14:paraId="4D6DA9EE" w14:textId="77777777" w:rsidR="008E1AE5" w:rsidRPr="000B6FD6" w:rsidRDefault="008E1AE5" w:rsidP="000B6FD6">
            <w:pPr>
              <w:spacing w:after="0" w:line="240" w:lineRule="auto"/>
              <w:jc w:val="both"/>
              <w:rPr>
                <w:rFonts w:eastAsia="Times New Roman"/>
                <w:sz w:val="20"/>
                <w:szCs w:val="20"/>
              </w:rPr>
            </w:pPr>
            <w:r w:rsidRPr="000B6FD6">
              <w:rPr>
                <w:rFonts w:eastAsia="Times New Roman"/>
                <w:sz w:val="20"/>
                <w:szCs w:val="20"/>
              </w:rPr>
              <w:t> </w:t>
            </w:r>
          </w:p>
        </w:tc>
      </w:tr>
      <w:tr w:rsidR="009B158A" w:rsidRPr="000B6FD6" w14:paraId="3B2DD2AF" w14:textId="77777777" w:rsidTr="007C34CD">
        <w:trPr>
          <w:trHeight w:val="216"/>
          <w:jc w:val="center"/>
        </w:trPr>
        <w:tc>
          <w:tcPr>
            <w:tcW w:w="3240" w:type="dxa"/>
            <w:tcBorders>
              <w:top w:val="nil"/>
              <w:left w:val="single" w:sz="12" w:space="0" w:color="auto"/>
              <w:bottom w:val="single" w:sz="12" w:space="0" w:color="auto"/>
              <w:right w:val="single" w:sz="12" w:space="0" w:color="auto"/>
            </w:tcBorders>
            <w:shd w:val="clear" w:color="auto" w:fill="auto"/>
            <w:noWrap/>
            <w:vAlign w:val="bottom"/>
            <w:hideMark/>
          </w:tcPr>
          <w:p w14:paraId="06182D31" w14:textId="1A08D760" w:rsidR="009B158A" w:rsidRPr="000B6FD6" w:rsidRDefault="009B158A" w:rsidP="000B6FD6">
            <w:pPr>
              <w:spacing w:after="0" w:line="240" w:lineRule="auto"/>
              <w:jc w:val="both"/>
              <w:rPr>
                <w:rFonts w:eastAsia="Times New Roman"/>
                <w:sz w:val="20"/>
                <w:szCs w:val="20"/>
              </w:rPr>
            </w:pPr>
            <w:r w:rsidRPr="000B6FD6">
              <w:rPr>
                <w:rFonts w:eastAsia="Times New Roman"/>
                <w:sz w:val="20"/>
                <w:szCs w:val="20"/>
              </w:rPr>
              <w:t>Threshold 5|6</w:t>
            </w:r>
          </w:p>
        </w:tc>
        <w:tc>
          <w:tcPr>
            <w:tcW w:w="600" w:type="dxa"/>
            <w:tcBorders>
              <w:top w:val="nil"/>
              <w:left w:val="single" w:sz="12" w:space="0" w:color="auto"/>
              <w:bottom w:val="single" w:sz="12" w:space="0" w:color="auto"/>
              <w:right w:val="nil"/>
            </w:tcBorders>
            <w:shd w:val="clear" w:color="auto" w:fill="auto"/>
            <w:noWrap/>
            <w:vAlign w:val="center"/>
            <w:hideMark/>
          </w:tcPr>
          <w:p w14:paraId="688A73F0" w14:textId="58DCF3BC" w:rsidR="009B158A" w:rsidRPr="000B6FD6" w:rsidRDefault="00DB10EC" w:rsidP="00DB10EC">
            <w:pPr>
              <w:tabs>
                <w:tab w:val="decimal" w:pos="225"/>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single" w:sz="12" w:space="0" w:color="auto"/>
              <w:right w:val="single" w:sz="4" w:space="0" w:color="auto"/>
            </w:tcBorders>
            <w:shd w:val="clear" w:color="auto" w:fill="auto"/>
            <w:noWrap/>
            <w:vAlign w:val="center"/>
            <w:hideMark/>
          </w:tcPr>
          <w:p w14:paraId="228EA56E" w14:textId="46E68856" w:rsidR="009B158A" w:rsidRPr="000B6FD6" w:rsidRDefault="009B158A"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single" w:sz="12" w:space="0" w:color="auto"/>
              <w:right w:val="nil"/>
            </w:tcBorders>
            <w:shd w:val="clear" w:color="auto" w:fill="auto"/>
            <w:noWrap/>
            <w:vAlign w:val="center"/>
            <w:hideMark/>
          </w:tcPr>
          <w:p w14:paraId="556D430D" w14:textId="2F7F5501" w:rsidR="009B158A" w:rsidRPr="000B6FD6" w:rsidRDefault="00DB10EC" w:rsidP="00DB10EC">
            <w:pPr>
              <w:tabs>
                <w:tab w:val="decimal" w:pos="116"/>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nil"/>
            </w:tcBorders>
            <w:shd w:val="clear" w:color="auto" w:fill="auto"/>
            <w:noWrap/>
            <w:vAlign w:val="center"/>
            <w:hideMark/>
          </w:tcPr>
          <w:p w14:paraId="5BB23E9C" w14:textId="77777777" w:rsidR="009B158A" w:rsidRPr="000B6FD6" w:rsidRDefault="009B158A" w:rsidP="000B6FD6">
            <w:pPr>
              <w:tabs>
                <w:tab w:val="decimal" w:pos="164"/>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single" w:sz="4" w:space="0" w:color="auto"/>
              <w:bottom w:val="single" w:sz="12" w:space="0" w:color="auto"/>
              <w:right w:val="nil"/>
            </w:tcBorders>
            <w:shd w:val="clear" w:color="auto" w:fill="auto"/>
            <w:noWrap/>
            <w:vAlign w:val="center"/>
            <w:hideMark/>
          </w:tcPr>
          <w:p w14:paraId="6018CE4C" w14:textId="309FD0E2" w:rsidR="009B158A" w:rsidRPr="000B6FD6" w:rsidRDefault="00DB10EC" w:rsidP="00DB10EC">
            <w:pPr>
              <w:tabs>
                <w:tab w:val="decimal" w:pos="187"/>
              </w:tabs>
              <w:spacing w:after="0" w:line="240" w:lineRule="auto"/>
              <w:jc w:val="center"/>
              <w:rPr>
                <w:rFonts w:eastAsia="Times New Roman"/>
                <w:sz w:val="20"/>
                <w:szCs w:val="20"/>
              </w:rPr>
            </w:pPr>
            <w:r>
              <w:rPr>
                <w:rFonts w:eastAsia="Times New Roman"/>
                <w:sz w:val="20"/>
                <w:szCs w:val="20"/>
              </w:rPr>
              <w:t>--</w:t>
            </w:r>
          </w:p>
        </w:tc>
        <w:tc>
          <w:tcPr>
            <w:tcW w:w="615" w:type="dxa"/>
            <w:tcBorders>
              <w:top w:val="nil"/>
              <w:left w:val="nil"/>
              <w:bottom w:val="single" w:sz="12" w:space="0" w:color="auto"/>
              <w:right w:val="nil"/>
            </w:tcBorders>
            <w:shd w:val="clear" w:color="auto" w:fill="auto"/>
            <w:noWrap/>
            <w:vAlign w:val="center"/>
            <w:hideMark/>
          </w:tcPr>
          <w:p w14:paraId="32AF1B78" w14:textId="77777777" w:rsidR="009B158A" w:rsidRPr="000B6FD6" w:rsidRDefault="009B158A" w:rsidP="000B6FD6">
            <w:pPr>
              <w:tabs>
                <w:tab w:val="decimal" w:pos="217"/>
              </w:tabs>
              <w:spacing w:after="0" w:line="240" w:lineRule="auto"/>
              <w:jc w:val="both"/>
              <w:rPr>
                <w:rFonts w:eastAsia="Times New Roman"/>
                <w:sz w:val="20"/>
                <w:szCs w:val="20"/>
              </w:rPr>
            </w:pPr>
            <w:r w:rsidRPr="000B6FD6">
              <w:rPr>
                <w:rFonts w:eastAsia="Times New Roman"/>
                <w:sz w:val="20"/>
                <w:szCs w:val="20"/>
              </w:rPr>
              <w:t> </w:t>
            </w:r>
          </w:p>
        </w:tc>
        <w:tc>
          <w:tcPr>
            <w:tcW w:w="574" w:type="dxa"/>
            <w:tcBorders>
              <w:top w:val="nil"/>
              <w:left w:val="single" w:sz="4" w:space="0" w:color="auto"/>
              <w:bottom w:val="single" w:sz="12" w:space="0" w:color="auto"/>
              <w:right w:val="nil"/>
            </w:tcBorders>
            <w:shd w:val="clear" w:color="auto" w:fill="auto"/>
            <w:noWrap/>
            <w:vAlign w:val="bottom"/>
            <w:hideMark/>
          </w:tcPr>
          <w:p w14:paraId="02BD869E" w14:textId="0E8CF625" w:rsidR="009B158A" w:rsidRPr="000B6FD6" w:rsidRDefault="009B158A" w:rsidP="000B6FD6">
            <w:pPr>
              <w:tabs>
                <w:tab w:val="decimal" w:pos="140"/>
              </w:tabs>
              <w:spacing w:after="0" w:line="240" w:lineRule="auto"/>
              <w:jc w:val="both"/>
              <w:rPr>
                <w:rFonts w:eastAsia="Times New Roman"/>
                <w:sz w:val="20"/>
                <w:szCs w:val="20"/>
              </w:rPr>
            </w:pPr>
            <w:r w:rsidRPr="000B6FD6">
              <w:rPr>
                <w:color w:val="000000"/>
                <w:sz w:val="20"/>
                <w:szCs w:val="20"/>
              </w:rPr>
              <w:t>2.63</w:t>
            </w:r>
          </w:p>
        </w:tc>
        <w:tc>
          <w:tcPr>
            <w:tcW w:w="586" w:type="dxa"/>
            <w:tcBorders>
              <w:top w:val="nil"/>
              <w:left w:val="nil"/>
              <w:bottom w:val="single" w:sz="12" w:space="0" w:color="auto"/>
              <w:right w:val="nil"/>
            </w:tcBorders>
            <w:shd w:val="clear" w:color="auto" w:fill="auto"/>
            <w:noWrap/>
            <w:vAlign w:val="bottom"/>
            <w:hideMark/>
          </w:tcPr>
          <w:p w14:paraId="3BE1FB78" w14:textId="2C7B2A20" w:rsidR="009B158A" w:rsidRPr="000B6FD6" w:rsidRDefault="009B158A" w:rsidP="000B6FD6">
            <w:pPr>
              <w:tabs>
                <w:tab w:val="decimal" w:pos="272"/>
              </w:tabs>
              <w:spacing w:after="0" w:line="240" w:lineRule="auto"/>
              <w:jc w:val="both"/>
              <w:rPr>
                <w:rFonts w:eastAsia="Times New Roman"/>
                <w:sz w:val="20"/>
                <w:szCs w:val="20"/>
              </w:rPr>
            </w:pPr>
            <w:r w:rsidRPr="000B6FD6">
              <w:rPr>
                <w:color w:val="000000"/>
                <w:sz w:val="20"/>
                <w:szCs w:val="20"/>
              </w:rPr>
              <w:t>18.95</w:t>
            </w:r>
          </w:p>
        </w:tc>
        <w:tc>
          <w:tcPr>
            <w:tcW w:w="600" w:type="dxa"/>
            <w:tcBorders>
              <w:top w:val="nil"/>
              <w:left w:val="single" w:sz="4" w:space="0" w:color="auto"/>
              <w:bottom w:val="single" w:sz="12" w:space="0" w:color="auto"/>
              <w:right w:val="nil"/>
            </w:tcBorders>
            <w:shd w:val="clear" w:color="auto" w:fill="auto"/>
            <w:noWrap/>
            <w:vAlign w:val="center"/>
            <w:hideMark/>
          </w:tcPr>
          <w:p w14:paraId="6778FA8B" w14:textId="22321D06" w:rsidR="009B158A" w:rsidRPr="000B6FD6" w:rsidRDefault="00DB10EC" w:rsidP="00DB10EC">
            <w:pPr>
              <w:tabs>
                <w:tab w:val="decimal" w:pos="152"/>
              </w:tabs>
              <w:spacing w:after="0" w:line="240" w:lineRule="auto"/>
              <w:jc w:val="center"/>
              <w:rPr>
                <w:rFonts w:eastAsia="Times New Roman"/>
                <w:sz w:val="20"/>
                <w:szCs w:val="20"/>
              </w:rPr>
            </w:pPr>
            <w:r>
              <w:rPr>
                <w:rFonts w:eastAsia="Times New Roman"/>
                <w:sz w:val="20"/>
                <w:szCs w:val="20"/>
              </w:rPr>
              <w:t>--</w:t>
            </w:r>
          </w:p>
        </w:tc>
        <w:tc>
          <w:tcPr>
            <w:tcW w:w="500" w:type="dxa"/>
            <w:tcBorders>
              <w:top w:val="nil"/>
              <w:left w:val="nil"/>
              <w:bottom w:val="single" w:sz="12" w:space="0" w:color="auto"/>
              <w:right w:val="nil"/>
            </w:tcBorders>
            <w:shd w:val="clear" w:color="auto" w:fill="auto"/>
            <w:noWrap/>
            <w:vAlign w:val="center"/>
            <w:hideMark/>
          </w:tcPr>
          <w:p w14:paraId="27309012" w14:textId="77777777" w:rsidR="009B158A" w:rsidRPr="000B6FD6" w:rsidRDefault="009B158A" w:rsidP="000B6FD6">
            <w:pPr>
              <w:tabs>
                <w:tab w:val="decimal" w:pos="183"/>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single" w:sz="4" w:space="0" w:color="auto"/>
              <w:bottom w:val="single" w:sz="12" w:space="0" w:color="auto"/>
              <w:right w:val="nil"/>
            </w:tcBorders>
            <w:shd w:val="clear" w:color="auto" w:fill="auto"/>
            <w:noWrap/>
            <w:vAlign w:val="center"/>
            <w:hideMark/>
          </w:tcPr>
          <w:p w14:paraId="0D13D9C2" w14:textId="77904485" w:rsidR="009B158A" w:rsidRPr="000B6FD6" w:rsidRDefault="00DB10EC" w:rsidP="00DB10EC">
            <w:pPr>
              <w:tabs>
                <w:tab w:val="decimal" w:pos="223"/>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nil"/>
            </w:tcBorders>
            <w:shd w:val="clear" w:color="auto" w:fill="auto"/>
            <w:noWrap/>
            <w:vAlign w:val="center"/>
            <w:hideMark/>
          </w:tcPr>
          <w:p w14:paraId="4D95AB70" w14:textId="77777777" w:rsidR="009B158A" w:rsidRPr="000B6FD6" w:rsidRDefault="009B158A" w:rsidP="000B6FD6">
            <w:pPr>
              <w:tabs>
                <w:tab w:val="decimal" w:pos="225"/>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single" w:sz="4" w:space="0" w:color="auto"/>
              <w:bottom w:val="single" w:sz="12" w:space="0" w:color="auto"/>
              <w:right w:val="nil"/>
            </w:tcBorders>
            <w:shd w:val="clear" w:color="auto" w:fill="auto"/>
            <w:noWrap/>
            <w:vAlign w:val="center"/>
            <w:hideMark/>
          </w:tcPr>
          <w:p w14:paraId="01DEB7DD" w14:textId="3CDC9E00" w:rsidR="009B158A" w:rsidRPr="000B6FD6" w:rsidRDefault="00DB10EC" w:rsidP="007D66DE">
            <w:pPr>
              <w:tabs>
                <w:tab w:val="decimal" w:pos="186"/>
              </w:tabs>
              <w:spacing w:after="0" w:line="240" w:lineRule="auto"/>
              <w:jc w:val="center"/>
              <w:rPr>
                <w:rFonts w:eastAsia="Times New Roman"/>
                <w:sz w:val="20"/>
                <w:szCs w:val="20"/>
              </w:rPr>
            </w:pPr>
            <w:r>
              <w:rPr>
                <w:rFonts w:eastAsia="Times New Roman"/>
                <w:sz w:val="20"/>
                <w:szCs w:val="20"/>
              </w:rPr>
              <w:t>--</w:t>
            </w:r>
          </w:p>
        </w:tc>
        <w:tc>
          <w:tcPr>
            <w:tcW w:w="620" w:type="dxa"/>
            <w:tcBorders>
              <w:top w:val="nil"/>
              <w:left w:val="nil"/>
              <w:bottom w:val="single" w:sz="12" w:space="0" w:color="auto"/>
              <w:right w:val="single" w:sz="4" w:space="0" w:color="auto"/>
            </w:tcBorders>
            <w:shd w:val="clear" w:color="auto" w:fill="auto"/>
            <w:noWrap/>
            <w:vAlign w:val="center"/>
            <w:hideMark/>
          </w:tcPr>
          <w:p w14:paraId="58405A66" w14:textId="77777777" w:rsidR="009B158A" w:rsidRPr="000B6FD6" w:rsidRDefault="009B158A" w:rsidP="000B6FD6">
            <w:pPr>
              <w:tabs>
                <w:tab w:val="decimal" w:pos="307"/>
              </w:tabs>
              <w:spacing w:after="0" w:line="240" w:lineRule="auto"/>
              <w:jc w:val="both"/>
              <w:rPr>
                <w:rFonts w:eastAsia="Times New Roman"/>
                <w:sz w:val="20"/>
                <w:szCs w:val="20"/>
              </w:rPr>
            </w:pPr>
            <w:r w:rsidRPr="000B6FD6">
              <w:rPr>
                <w:rFonts w:eastAsia="Times New Roman"/>
                <w:sz w:val="20"/>
                <w:szCs w:val="20"/>
              </w:rPr>
              <w:t> </w:t>
            </w:r>
          </w:p>
        </w:tc>
        <w:tc>
          <w:tcPr>
            <w:tcW w:w="564" w:type="dxa"/>
            <w:tcBorders>
              <w:top w:val="nil"/>
              <w:left w:val="nil"/>
              <w:bottom w:val="single" w:sz="12" w:space="0" w:color="auto"/>
              <w:right w:val="nil"/>
            </w:tcBorders>
            <w:shd w:val="clear" w:color="auto" w:fill="auto"/>
            <w:noWrap/>
            <w:vAlign w:val="center"/>
            <w:hideMark/>
          </w:tcPr>
          <w:p w14:paraId="37D8CEFA" w14:textId="76A649CD" w:rsidR="009B158A" w:rsidRPr="000B6FD6" w:rsidRDefault="00DB10EC" w:rsidP="007D66DE">
            <w:pPr>
              <w:tabs>
                <w:tab w:val="decimal" w:pos="225"/>
              </w:tabs>
              <w:spacing w:after="0" w:line="240" w:lineRule="auto"/>
              <w:jc w:val="center"/>
              <w:rPr>
                <w:rFonts w:eastAsia="Times New Roman"/>
                <w:sz w:val="20"/>
                <w:szCs w:val="20"/>
              </w:rPr>
            </w:pPr>
            <w:r>
              <w:rPr>
                <w:rFonts w:eastAsia="Times New Roman"/>
                <w:sz w:val="20"/>
                <w:szCs w:val="20"/>
              </w:rPr>
              <w:t>--</w:t>
            </w:r>
          </w:p>
        </w:tc>
        <w:tc>
          <w:tcPr>
            <w:tcW w:w="602" w:type="dxa"/>
            <w:tcBorders>
              <w:top w:val="nil"/>
              <w:left w:val="nil"/>
              <w:bottom w:val="single" w:sz="12" w:space="0" w:color="auto"/>
              <w:right w:val="nil"/>
            </w:tcBorders>
            <w:shd w:val="clear" w:color="auto" w:fill="auto"/>
            <w:noWrap/>
            <w:vAlign w:val="center"/>
            <w:hideMark/>
          </w:tcPr>
          <w:p w14:paraId="13892816" w14:textId="77777777" w:rsidR="009B158A" w:rsidRPr="000B6FD6" w:rsidRDefault="009B158A" w:rsidP="000B6FD6">
            <w:pPr>
              <w:tabs>
                <w:tab w:val="decimal" w:pos="295"/>
              </w:tabs>
              <w:spacing w:after="0" w:line="240" w:lineRule="auto"/>
              <w:jc w:val="both"/>
              <w:rPr>
                <w:rFonts w:eastAsia="Times New Roman"/>
                <w:sz w:val="20"/>
                <w:szCs w:val="20"/>
              </w:rPr>
            </w:pPr>
            <w:r w:rsidRPr="000B6FD6">
              <w:rPr>
                <w:rFonts w:eastAsia="Times New Roman"/>
                <w:sz w:val="20"/>
                <w:szCs w:val="20"/>
              </w:rPr>
              <w:t> </w:t>
            </w:r>
          </w:p>
        </w:tc>
        <w:tc>
          <w:tcPr>
            <w:tcW w:w="600" w:type="dxa"/>
            <w:tcBorders>
              <w:top w:val="nil"/>
              <w:left w:val="single" w:sz="4" w:space="0" w:color="auto"/>
              <w:bottom w:val="single" w:sz="12" w:space="0" w:color="auto"/>
              <w:right w:val="nil"/>
            </w:tcBorders>
            <w:shd w:val="clear" w:color="auto" w:fill="auto"/>
            <w:noWrap/>
            <w:vAlign w:val="center"/>
            <w:hideMark/>
          </w:tcPr>
          <w:p w14:paraId="0FD3909D" w14:textId="5A7C6B37" w:rsidR="009B158A" w:rsidRPr="000B6FD6" w:rsidRDefault="00DB10EC" w:rsidP="007D66DE">
            <w:pPr>
              <w:tabs>
                <w:tab w:val="decimal" w:pos="230"/>
              </w:tabs>
              <w:spacing w:after="0" w:line="240" w:lineRule="auto"/>
              <w:jc w:val="center"/>
              <w:rPr>
                <w:rFonts w:eastAsia="Times New Roman"/>
                <w:sz w:val="20"/>
                <w:szCs w:val="20"/>
              </w:rPr>
            </w:pPr>
            <w:r>
              <w:rPr>
                <w:rFonts w:eastAsia="Times New Roman"/>
                <w:sz w:val="20"/>
                <w:szCs w:val="20"/>
              </w:rPr>
              <w:t>--</w:t>
            </w:r>
          </w:p>
        </w:tc>
        <w:tc>
          <w:tcPr>
            <w:tcW w:w="660" w:type="dxa"/>
            <w:tcBorders>
              <w:top w:val="nil"/>
              <w:left w:val="nil"/>
              <w:bottom w:val="single" w:sz="12" w:space="0" w:color="auto"/>
              <w:right w:val="single" w:sz="4" w:space="0" w:color="auto"/>
            </w:tcBorders>
            <w:shd w:val="clear" w:color="auto" w:fill="auto"/>
            <w:noWrap/>
            <w:vAlign w:val="center"/>
            <w:hideMark/>
          </w:tcPr>
          <w:p w14:paraId="425F887D" w14:textId="77777777" w:rsidR="009B158A" w:rsidRPr="000B6FD6" w:rsidRDefault="009B158A" w:rsidP="000B6FD6">
            <w:pPr>
              <w:tabs>
                <w:tab w:val="decimal" w:pos="260"/>
              </w:tabs>
              <w:spacing w:after="0" w:line="240" w:lineRule="auto"/>
              <w:jc w:val="both"/>
              <w:rPr>
                <w:rFonts w:eastAsia="Times New Roman"/>
                <w:sz w:val="20"/>
                <w:szCs w:val="20"/>
              </w:rPr>
            </w:pPr>
            <w:r w:rsidRPr="000B6FD6">
              <w:rPr>
                <w:rFonts w:eastAsia="Times New Roman"/>
                <w:sz w:val="20"/>
                <w:szCs w:val="20"/>
              </w:rPr>
              <w:t> </w:t>
            </w:r>
          </w:p>
        </w:tc>
        <w:tc>
          <w:tcPr>
            <w:tcW w:w="580" w:type="dxa"/>
            <w:tcBorders>
              <w:top w:val="nil"/>
              <w:left w:val="nil"/>
              <w:bottom w:val="single" w:sz="12" w:space="0" w:color="auto"/>
              <w:right w:val="nil"/>
            </w:tcBorders>
            <w:shd w:val="clear" w:color="auto" w:fill="auto"/>
            <w:noWrap/>
            <w:vAlign w:val="center"/>
            <w:hideMark/>
          </w:tcPr>
          <w:p w14:paraId="6603F8C0" w14:textId="7229FDA3" w:rsidR="009B158A" w:rsidRPr="000B6FD6" w:rsidRDefault="00DB10EC" w:rsidP="007D66DE">
            <w:pPr>
              <w:tabs>
                <w:tab w:val="decimal" w:pos="52"/>
              </w:tabs>
              <w:spacing w:after="0" w:line="240" w:lineRule="auto"/>
              <w:jc w:val="center"/>
              <w:rPr>
                <w:rFonts w:eastAsia="Times New Roman"/>
                <w:sz w:val="20"/>
                <w:szCs w:val="20"/>
              </w:rPr>
            </w:pPr>
            <w:r>
              <w:rPr>
                <w:rFonts w:eastAsia="Times New Roman"/>
                <w:sz w:val="20"/>
                <w:szCs w:val="20"/>
              </w:rPr>
              <w:t>--</w:t>
            </w:r>
          </w:p>
        </w:tc>
        <w:tc>
          <w:tcPr>
            <w:tcW w:w="520" w:type="dxa"/>
            <w:tcBorders>
              <w:top w:val="nil"/>
              <w:left w:val="nil"/>
              <w:bottom w:val="single" w:sz="12" w:space="0" w:color="auto"/>
              <w:right w:val="single" w:sz="12" w:space="0" w:color="auto"/>
            </w:tcBorders>
            <w:shd w:val="clear" w:color="auto" w:fill="auto"/>
            <w:noWrap/>
            <w:vAlign w:val="center"/>
            <w:hideMark/>
          </w:tcPr>
          <w:p w14:paraId="416AD9AE" w14:textId="77777777" w:rsidR="009B158A" w:rsidRPr="000B6FD6" w:rsidRDefault="009B158A" w:rsidP="000B6FD6">
            <w:pPr>
              <w:spacing w:after="0" w:line="240" w:lineRule="auto"/>
              <w:jc w:val="both"/>
              <w:rPr>
                <w:rFonts w:eastAsia="Times New Roman"/>
                <w:sz w:val="20"/>
                <w:szCs w:val="20"/>
              </w:rPr>
            </w:pPr>
            <w:r w:rsidRPr="000B6FD6">
              <w:rPr>
                <w:rFonts w:eastAsia="Times New Roman"/>
                <w:sz w:val="20"/>
                <w:szCs w:val="20"/>
              </w:rPr>
              <w:t> </w:t>
            </w:r>
          </w:p>
        </w:tc>
      </w:tr>
      <w:bookmarkEnd w:id="63"/>
    </w:tbl>
    <w:p w14:paraId="67F861AF" w14:textId="77777777" w:rsidR="00584169" w:rsidRPr="009B2F97" w:rsidRDefault="00584169" w:rsidP="000B6FD6">
      <w:pPr>
        <w:spacing w:line="240" w:lineRule="auto"/>
        <w:jc w:val="both"/>
      </w:pPr>
    </w:p>
    <w:p w14:paraId="015CC269" w14:textId="77777777" w:rsidR="00584169" w:rsidRPr="009B2F97" w:rsidRDefault="00584169" w:rsidP="000B6FD6">
      <w:pPr>
        <w:spacing w:line="240" w:lineRule="auto"/>
        <w:jc w:val="both"/>
        <w:rPr>
          <w:b/>
          <w:bCs/>
        </w:rPr>
      </w:pPr>
    </w:p>
    <w:p w14:paraId="21A5EF65" w14:textId="396B0C2A" w:rsidR="007C14D1" w:rsidRPr="009B2F97" w:rsidRDefault="007C14D1" w:rsidP="000B6FD6">
      <w:pPr>
        <w:spacing w:line="240" w:lineRule="auto"/>
        <w:jc w:val="both"/>
        <w:rPr>
          <w:noProof/>
        </w:rPr>
      </w:pPr>
      <w:r w:rsidRPr="009B2F97">
        <w:rPr>
          <w:noProof/>
        </w:rPr>
        <w:br w:type="page"/>
      </w:r>
    </w:p>
    <w:p w14:paraId="0073930E" w14:textId="0B6BD2B7" w:rsidR="008A6A5C" w:rsidRPr="009B2F97" w:rsidRDefault="007C14D1" w:rsidP="000B6FD6">
      <w:pPr>
        <w:spacing w:line="240" w:lineRule="auto"/>
        <w:jc w:val="both"/>
        <w:rPr>
          <w:b/>
          <w:bCs/>
          <w:noProof/>
        </w:rPr>
      </w:pPr>
      <w:r w:rsidRPr="009B2F97">
        <w:rPr>
          <w:b/>
          <w:bCs/>
          <w:noProof/>
        </w:rPr>
        <w:lastRenderedPageBreak/>
        <w:t xml:space="preserve">Table 5: </w:t>
      </w:r>
      <w:bookmarkStart w:id="64" w:name="_Hlk148699097"/>
      <w:r w:rsidRPr="009B2F97">
        <w:rPr>
          <w:b/>
          <w:bCs/>
          <w:noProof/>
        </w:rPr>
        <w:t>Implied Correlations between Main Outcomes</w:t>
      </w:r>
      <w:bookmarkEnd w:id="64"/>
    </w:p>
    <w:tbl>
      <w:tblPr>
        <w:tblStyle w:val="TableGrid"/>
        <w:tblW w:w="1300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95"/>
        <w:gridCol w:w="1170"/>
        <w:gridCol w:w="990"/>
        <w:gridCol w:w="990"/>
        <w:gridCol w:w="990"/>
        <w:gridCol w:w="1052"/>
        <w:gridCol w:w="1080"/>
        <w:gridCol w:w="1080"/>
        <w:gridCol w:w="1080"/>
        <w:gridCol w:w="990"/>
        <w:gridCol w:w="990"/>
      </w:tblGrid>
      <w:tr w:rsidR="008D0D0A" w:rsidRPr="000B6FD6" w14:paraId="22CE7DD1" w14:textId="77777777" w:rsidTr="00926421">
        <w:trPr>
          <w:cantSplit/>
          <w:trHeight w:val="864"/>
        </w:trPr>
        <w:tc>
          <w:tcPr>
            <w:tcW w:w="2595" w:type="dxa"/>
            <w:tcBorders>
              <w:top w:val="single" w:sz="12" w:space="0" w:color="auto"/>
              <w:bottom w:val="single" w:sz="12" w:space="0" w:color="auto"/>
              <w:right w:val="single" w:sz="12" w:space="0" w:color="auto"/>
            </w:tcBorders>
            <w:vAlign w:val="center"/>
          </w:tcPr>
          <w:p w14:paraId="6CDD2F4A" w14:textId="63A7B1EA" w:rsidR="008A6A5C" w:rsidRPr="000B6FD6" w:rsidRDefault="008A6A5C" w:rsidP="000B6FD6">
            <w:pPr>
              <w:jc w:val="both"/>
              <w:rPr>
                <w:b/>
                <w:bCs/>
                <w:noProof/>
                <w:sz w:val="20"/>
                <w:szCs w:val="20"/>
              </w:rPr>
            </w:pPr>
            <w:bookmarkStart w:id="65" w:name="_Hlk137719397"/>
            <w:r w:rsidRPr="000B6FD6">
              <w:rPr>
                <w:b/>
                <w:bCs/>
                <w:noProof/>
                <w:sz w:val="20"/>
                <w:szCs w:val="20"/>
              </w:rPr>
              <w:t>Housing Outcomes</w:t>
            </w:r>
          </w:p>
        </w:tc>
        <w:tc>
          <w:tcPr>
            <w:tcW w:w="1170" w:type="dxa"/>
            <w:tcBorders>
              <w:top w:val="single" w:sz="12" w:space="0" w:color="auto"/>
              <w:left w:val="single" w:sz="12" w:space="0" w:color="auto"/>
              <w:bottom w:val="single" w:sz="12" w:space="0" w:color="auto"/>
              <w:right w:val="single" w:sz="4" w:space="0" w:color="auto"/>
            </w:tcBorders>
            <w:tcMar>
              <w:left w:w="43" w:type="dxa"/>
              <w:right w:w="43" w:type="dxa"/>
            </w:tcMar>
            <w:vAlign w:val="center"/>
          </w:tcPr>
          <w:p w14:paraId="7C6C145B" w14:textId="5DA5B6CA" w:rsidR="008A6A5C" w:rsidRPr="000B6FD6" w:rsidRDefault="008A6A5C" w:rsidP="000B6FD6">
            <w:pPr>
              <w:jc w:val="center"/>
              <w:rPr>
                <w:b/>
                <w:bCs/>
                <w:noProof/>
                <w:sz w:val="20"/>
                <w:szCs w:val="20"/>
              </w:rPr>
            </w:pPr>
            <w:r w:rsidRPr="000B6FD6">
              <w:rPr>
                <w:rFonts w:eastAsia="Times New Roman"/>
                <w:b/>
                <w:bCs/>
                <w:sz w:val="20"/>
                <w:szCs w:val="20"/>
              </w:rPr>
              <w:t>Housing Type</w:t>
            </w:r>
            <w:r w:rsidR="000A1CB7">
              <w:rPr>
                <w:rFonts w:eastAsia="Times New Roman"/>
                <w:b/>
                <w:bCs/>
                <w:sz w:val="20"/>
                <w:szCs w:val="20"/>
              </w:rPr>
              <w:t xml:space="preserve"> (Apartment)</w:t>
            </w:r>
          </w:p>
        </w:tc>
        <w:tc>
          <w:tcPr>
            <w:tcW w:w="99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090D02CC" w14:textId="77777777" w:rsidR="008A6A5C" w:rsidRDefault="008A6A5C" w:rsidP="000B6FD6">
            <w:pPr>
              <w:jc w:val="center"/>
              <w:rPr>
                <w:rFonts w:eastAsia="Times New Roman"/>
                <w:b/>
                <w:bCs/>
                <w:sz w:val="20"/>
                <w:szCs w:val="20"/>
              </w:rPr>
            </w:pPr>
            <w:r w:rsidRPr="000B6FD6">
              <w:rPr>
                <w:rFonts w:eastAsia="Times New Roman"/>
                <w:b/>
                <w:bCs/>
                <w:sz w:val="20"/>
                <w:szCs w:val="20"/>
              </w:rPr>
              <w:t>Tenure Type</w:t>
            </w:r>
          </w:p>
          <w:p w14:paraId="5955D0C8" w14:textId="7A9D4C8A" w:rsidR="000A1CB7" w:rsidRPr="000B6FD6" w:rsidRDefault="000A1CB7" w:rsidP="000B6FD6">
            <w:pPr>
              <w:jc w:val="center"/>
              <w:rPr>
                <w:b/>
                <w:bCs/>
                <w:noProof/>
                <w:sz w:val="20"/>
                <w:szCs w:val="20"/>
              </w:rPr>
            </w:pPr>
            <w:r>
              <w:rPr>
                <w:rFonts w:eastAsia="Times New Roman"/>
                <w:b/>
                <w:bCs/>
                <w:sz w:val="20"/>
                <w:szCs w:val="20"/>
              </w:rPr>
              <w:t>(Rent)</w:t>
            </w:r>
          </w:p>
        </w:tc>
        <w:tc>
          <w:tcPr>
            <w:tcW w:w="99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4C376DE2" w14:textId="77777777" w:rsidR="008A6A5C" w:rsidRPr="000B6FD6" w:rsidRDefault="008A6A5C" w:rsidP="000B6FD6">
            <w:pPr>
              <w:jc w:val="center"/>
              <w:rPr>
                <w:b/>
                <w:bCs/>
                <w:noProof/>
                <w:sz w:val="20"/>
                <w:szCs w:val="20"/>
              </w:rPr>
            </w:pPr>
            <w:r w:rsidRPr="000B6FD6">
              <w:rPr>
                <w:rFonts w:eastAsia="Times New Roman"/>
                <w:b/>
                <w:bCs/>
                <w:sz w:val="20"/>
                <w:szCs w:val="20"/>
              </w:rPr>
              <w:t>Presence of Patio or Yard</w:t>
            </w:r>
          </w:p>
        </w:tc>
        <w:tc>
          <w:tcPr>
            <w:tcW w:w="99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057F6028" w14:textId="77777777" w:rsidR="008A6A5C" w:rsidRPr="000B6FD6" w:rsidRDefault="008A6A5C" w:rsidP="000B6FD6">
            <w:pPr>
              <w:jc w:val="center"/>
              <w:rPr>
                <w:b/>
                <w:bCs/>
                <w:noProof/>
                <w:sz w:val="20"/>
                <w:szCs w:val="20"/>
              </w:rPr>
            </w:pPr>
            <w:r w:rsidRPr="000B6FD6">
              <w:rPr>
                <w:rFonts w:eastAsia="Times New Roman"/>
                <w:b/>
                <w:bCs/>
                <w:sz w:val="20"/>
                <w:szCs w:val="20"/>
              </w:rPr>
              <w:t>Number of bedrooms</w:t>
            </w:r>
          </w:p>
        </w:tc>
        <w:tc>
          <w:tcPr>
            <w:tcW w:w="1052"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029884F9" w14:textId="77777777" w:rsidR="008A6A5C" w:rsidRPr="000B6FD6" w:rsidRDefault="008A6A5C" w:rsidP="000B6FD6">
            <w:pPr>
              <w:jc w:val="center"/>
              <w:rPr>
                <w:b/>
                <w:bCs/>
                <w:noProof/>
                <w:sz w:val="20"/>
                <w:szCs w:val="20"/>
              </w:rPr>
            </w:pPr>
            <w:r w:rsidRPr="000B6FD6">
              <w:rPr>
                <w:rFonts w:eastAsia="Times New Roman"/>
                <w:b/>
                <w:bCs/>
                <w:sz w:val="20"/>
                <w:szCs w:val="20"/>
              </w:rPr>
              <w:t>Population Density</w:t>
            </w:r>
          </w:p>
        </w:tc>
        <w:tc>
          <w:tcPr>
            <w:tcW w:w="108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3031FEE7" w14:textId="77777777" w:rsidR="008A6A5C" w:rsidRPr="000B6FD6" w:rsidRDefault="008A6A5C" w:rsidP="000B6FD6">
            <w:pPr>
              <w:jc w:val="center"/>
              <w:rPr>
                <w:b/>
                <w:bCs/>
                <w:noProof/>
                <w:sz w:val="20"/>
                <w:szCs w:val="20"/>
              </w:rPr>
            </w:pPr>
            <w:r w:rsidRPr="000B6FD6">
              <w:rPr>
                <w:rFonts w:eastAsia="Times New Roman"/>
                <w:b/>
                <w:bCs/>
                <w:sz w:val="20"/>
                <w:szCs w:val="20"/>
              </w:rPr>
              <w:t>Median Housing Cost</w:t>
            </w:r>
          </w:p>
        </w:tc>
        <w:tc>
          <w:tcPr>
            <w:tcW w:w="108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090CB17A" w14:textId="77777777" w:rsidR="008A6A5C" w:rsidRPr="000B6FD6" w:rsidRDefault="008A6A5C" w:rsidP="000B6FD6">
            <w:pPr>
              <w:jc w:val="center"/>
              <w:rPr>
                <w:b/>
                <w:bCs/>
                <w:noProof/>
                <w:sz w:val="20"/>
                <w:szCs w:val="20"/>
              </w:rPr>
            </w:pPr>
            <w:r w:rsidRPr="000B6FD6">
              <w:rPr>
                <w:rFonts w:eastAsia="Times New Roman"/>
                <w:b/>
                <w:bCs/>
                <w:sz w:val="20"/>
                <w:szCs w:val="20"/>
              </w:rPr>
              <w:t>Amenities Rating</w:t>
            </w:r>
          </w:p>
        </w:tc>
        <w:tc>
          <w:tcPr>
            <w:tcW w:w="108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4701395C" w14:textId="77777777" w:rsidR="008A6A5C" w:rsidRPr="000B6FD6" w:rsidRDefault="008A6A5C" w:rsidP="000B6FD6">
            <w:pPr>
              <w:jc w:val="center"/>
              <w:rPr>
                <w:b/>
                <w:bCs/>
                <w:noProof/>
                <w:sz w:val="20"/>
                <w:szCs w:val="20"/>
              </w:rPr>
            </w:pPr>
            <w:r w:rsidRPr="000B6FD6">
              <w:rPr>
                <w:rFonts w:eastAsia="Times New Roman"/>
                <w:b/>
                <w:bCs/>
                <w:sz w:val="20"/>
                <w:szCs w:val="20"/>
              </w:rPr>
              <w:t>School Quality</w:t>
            </w:r>
          </w:p>
        </w:tc>
        <w:tc>
          <w:tcPr>
            <w:tcW w:w="990" w:type="dxa"/>
            <w:tcBorders>
              <w:top w:val="single" w:sz="12" w:space="0" w:color="auto"/>
              <w:left w:val="single" w:sz="4" w:space="0" w:color="auto"/>
              <w:bottom w:val="single" w:sz="12" w:space="0" w:color="auto"/>
              <w:right w:val="single" w:sz="4" w:space="0" w:color="auto"/>
            </w:tcBorders>
            <w:tcMar>
              <w:left w:w="43" w:type="dxa"/>
              <w:right w:w="43" w:type="dxa"/>
            </w:tcMar>
            <w:vAlign w:val="center"/>
          </w:tcPr>
          <w:p w14:paraId="1502666D" w14:textId="77777777" w:rsidR="008A6A5C" w:rsidRPr="000B6FD6" w:rsidRDefault="008A6A5C" w:rsidP="000B6FD6">
            <w:pPr>
              <w:jc w:val="center"/>
              <w:rPr>
                <w:b/>
                <w:bCs/>
                <w:noProof/>
                <w:sz w:val="20"/>
                <w:szCs w:val="20"/>
              </w:rPr>
            </w:pPr>
            <w:r w:rsidRPr="000B6FD6">
              <w:rPr>
                <w:rFonts w:eastAsia="Times New Roman"/>
                <w:b/>
                <w:bCs/>
                <w:sz w:val="20"/>
                <w:szCs w:val="20"/>
              </w:rPr>
              <w:t>Crime Rate</w:t>
            </w:r>
          </w:p>
        </w:tc>
        <w:tc>
          <w:tcPr>
            <w:tcW w:w="990" w:type="dxa"/>
            <w:tcBorders>
              <w:top w:val="single" w:sz="12" w:space="0" w:color="auto"/>
              <w:left w:val="single" w:sz="4" w:space="0" w:color="auto"/>
              <w:bottom w:val="single" w:sz="12" w:space="0" w:color="auto"/>
              <w:right w:val="single" w:sz="12" w:space="0" w:color="auto"/>
            </w:tcBorders>
            <w:tcMar>
              <w:left w:w="43" w:type="dxa"/>
              <w:right w:w="43" w:type="dxa"/>
            </w:tcMar>
            <w:vAlign w:val="center"/>
          </w:tcPr>
          <w:p w14:paraId="18201B92" w14:textId="77777777" w:rsidR="008A6A5C" w:rsidRPr="000B6FD6" w:rsidRDefault="008A6A5C" w:rsidP="000B6FD6">
            <w:pPr>
              <w:jc w:val="center"/>
              <w:rPr>
                <w:b/>
                <w:bCs/>
                <w:noProof/>
                <w:sz w:val="20"/>
                <w:szCs w:val="20"/>
              </w:rPr>
            </w:pPr>
            <w:r w:rsidRPr="000B6FD6">
              <w:rPr>
                <w:rFonts w:eastAsia="Times New Roman"/>
                <w:b/>
                <w:bCs/>
                <w:sz w:val="20"/>
                <w:szCs w:val="20"/>
              </w:rPr>
              <w:t>Commute Distance</w:t>
            </w:r>
          </w:p>
        </w:tc>
      </w:tr>
      <w:tr w:rsidR="008D0D0A" w:rsidRPr="000B6FD6" w14:paraId="3BC68F2D" w14:textId="77777777" w:rsidTr="00926421">
        <w:trPr>
          <w:trHeight w:val="288"/>
        </w:trPr>
        <w:tc>
          <w:tcPr>
            <w:tcW w:w="2595" w:type="dxa"/>
            <w:tcBorders>
              <w:top w:val="single" w:sz="12" w:space="0" w:color="auto"/>
              <w:right w:val="single" w:sz="12" w:space="0" w:color="auto"/>
            </w:tcBorders>
            <w:vAlign w:val="center"/>
          </w:tcPr>
          <w:p w14:paraId="66BD833B" w14:textId="52779EEA" w:rsidR="008A6A5C" w:rsidRPr="000B6FD6" w:rsidRDefault="008A6A5C" w:rsidP="000B6FD6">
            <w:pPr>
              <w:jc w:val="both"/>
              <w:rPr>
                <w:b/>
                <w:bCs/>
                <w:noProof/>
                <w:sz w:val="20"/>
                <w:szCs w:val="20"/>
              </w:rPr>
            </w:pPr>
            <w:r w:rsidRPr="000B6FD6">
              <w:rPr>
                <w:b/>
                <w:bCs/>
                <w:noProof/>
                <w:sz w:val="20"/>
                <w:szCs w:val="20"/>
              </w:rPr>
              <w:t>Housing Type</w:t>
            </w:r>
            <w:r w:rsidR="000351C1">
              <w:rPr>
                <w:b/>
                <w:bCs/>
                <w:noProof/>
                <w:sz w:val="20"/>
                <w:szCs w:val="20"/>
              </w:rPr>
              <w:t xml:space="preserve"> (Apartment)</w:t>
            </w:r>
          </w:p>
        </w:tc>
        <w:tc>
          <w:tcPr>
            <w:tcW w:w="1170" w:type="dxa"/>
            <w:tcBorders>
              <w:top w:val="single" w:sz="12" w:space="0" w:color="auto"/>
              <w:left w:val="single" w:sz="12" w:space="0" w:color="auto"/>
              <w:right w:val="single" w:sz="4" w:space="0" w:color="auto"/>
            </w:tcBorders>
            <w:vAlign w:val="center"/>
          </w:tcPr>
          <w:p w14:paraId="0F605324" w14:textId="77777777" w:rsidR="008A6A5C" w:rsidRPr="000B6FD6" w:rsidRDefault="008A6A5C" w:rsidP="000B6FD6">
            <w:pPr>
              <w:tabs>
                <w:tab w:val="decimal" w:pos="330"/>
              </w:tabs>
              <w:jc w:val="both"/>
              <w:rPr>
                <w:noProof/>
                <w:sz w:val="20"/>
                <w:szCs w:val="20"/>
              </w:rPr>
            </w:pPr>
            <w:r w:rsidRPr="000B6FD6">
              <w:rPr>
                <w:color w:val="000000"/>
                <w:sz w:val="20"/>
                <w:szCs w:val="20"/>
              </w:rPr>
              <w:t>1.000</w:t>
            </w:r>
          </w:p>
        </w:tc>
        <w:tc>
          <w:tcPr>
            <w:tcW w:w="990" w:type="dxa"/>
            <w:tcBorders>
              <w:top w:val="single" w:sz="12" w:space="0" w:color="auto"/>
              <w:left w:val="single" w:sz="4" w:space="0" w:color="auto"/>
              <w:right w:val="single" w:sz="4" w:space="0" w:color="auto"/>
            </w:tcBorders>
            <w:vAlign w:val="center"/>
          </w:tcPr>
          <w:p w14:paraId="7D624459" w14:textId="77777777" w:rsidR="008A6A5C" w:rsidRPr="000B6FD6" w:rsidRDefault="008A6A5C" w:rsidP="000B6FD6">
            <w:pPr>
              <w:tabs>
                <w:tab w:val="decimal" w:pos="347"/>
              </w:tabs>
              <w:jc w:val="both"/>
              <w:rPr>
                <w:noProof/>
                <w:sz w:val="20"/>
                <w:szCs w:val="20"/>
              </w:rPr>
            </w:pPr>
            <w:r w:rsidRPr="000B6FD6">
              <w:rPr>
                <w:color w:val="000000"/>
                <w:sz w:val="20"/>
                <w:szCs w:val="20"/>
              </w:rPr>
              <w:t>0.227</w:t>
            </w:r>
          </w:p>
        </w:tc>
        <w:tc>
          <w:tcPr>
            <w:tcW w:w="990" w:type="dxa"/>
            <w:tcBorders>
              <w:top w:val="single" w:sz="12" w:space="0" w:color="auto"/>
              <w:left w:val="single" w:sz="4" w:space="0" w:color="auto"/>
              <w:right w:val="single" w:sz="4" w:space="0" w:color="auto"/>
            </w:tcBorders>
            <w:vAlign w:val="center"/>
          </w:tcPr>
          <w:p w14:paraId="3DE4F3FB" w14:textId="77777777" w:rsidR="008A6A5C" w:rsidRPr="000B6FD6" w:rsidRDefault="008A6A5C" w:rsidP="000B6FD6">
            <w:pPr>
              <w:tabs>
                <w:tab w:val="decimal" w:pos="365"/>
              </w:tabs>
              <w:jc w:val="both"/>
              <w:rPr>
                <w:noProof/>
                <w:sz w:val="20"/>
                <w:szCs w:val="20"/>
              </w:rPr>
            </w:pPr>
            <w:r w:rsidRPr="000B6FD6">
              <w:rPr>
                <w:color w:val="000000"/>
                <w:sz w:val="20"/>
                <w:szCs w:val="20"/>
              </w:rPr>
              <w:t>-0.318</w:t>
            </w:r>
          </w:p>
        </w:tc>
        <w:tc>
          <w:tcPr>
            <w:tcW w:w="990" w:type="dxa"/>
            <w:tcBorders>
              <w:top w:val="single" w:sz="12" w:space="0" w:color="auto"/>
              <w:left w:val="single" w:sz="4" w:space="0" w:color="auto"/>
              <w:right w:val="single" w:sz="4" w:space="0" w:color="auto"/>
            </w:tcBorders>
            <w:vAlign w:val="center"/>
          </w:tcPr>
          <w:p w14:paraId="1370C285" w14:textId="77777777" w:rsidR="008A6A5C" w:rsidRPr="000B6FD6" w:rsidRDefault="008A6A5C" w:rsidP="000B6FD6">
            <w:pPr>
              <w:tabs>
                <w:tab w:val="decimal" w:pos="293"/>
              </w:tabs>
              <w:jc w:val="both"/>
              <w:rPr>
                <w:noProof/>
                <w:sz w:val="20"/>
                <w:szCs w:val="20"/>
              </w:rPr>
            </w:pPr>
            <w:r w:rsidRPr="000B6FD6">
              <w:rPr>
                <w:color w:val="000000"/>
                <w:sz w:val="20"/>
                <w:szCs w:val="20"/>
              </w:rPr>
              <w:t>-0.282</w:t>
            </w:r>
          </w:p>
        </w:tc>
        <w:tc>
          <w:tcPr>
            <w:tcW w:w="1052" w:type="dxa"/>
            <w:tcBorders>
              <w:top w:val="single" w:sz="12" w:space="0" w:color="auto"/>
              <w:left w:val="single" w:sz="4" w:space="0" w:color="auto"/>
              <w:right w:val="single" w:sz="4" w:space="0" w:color="auto"/>
            </w:tcBorders>
            <w:vAlign w:val="center"/>
          </w:tcPr>
          <w:p w14:paraId="67E33617" w14:textId="77777777" w:rsidR="008A6A5C" w:rsidRPr="000B6FD6" w:rsidRDefault="008A6A5C" w:rsidP="000B6FD6">
            <w:pPr>
              <w:tabs>
                <w:tab w:val="decimal" w:pos="311"/>
              </w:tabs>
              <w:jc w:val="both"/>
              <w:rPr>
                <w:noProof/>
                <w:sz w:val="20"/>
                <w:szCs w:val="20"/>
              </w:rPr>
            </w:pPr>
            <w:r w:rsidRPr="000B6FD6">
              <w:rPr>
                <w:color w:val="000000"/>
                <w:sz w:val="20"/>
                <w:szCs w:val="20"/>
              </w:rPr>
              <w:t>0.216</w:t>
            </w:r>
          </w:p>
        </w:tc>
        <w:tc>
          <w:tcPr>
            <w:tcW w:w="1080" w:type="dxa"/>
            <w:tcBorders>
              <w:top w:val="single" w:sz="12" w:space="0" w:color="auto"/>
              <w:left w:val="single" w:sz="4" w:space="0" w:color="auto"/>
              <w:right w:val="single" w:sz="4" w:space="0" w:color="auto"/>
            </w:tcBorders>
            <w:vAlign w:val="center"/>
          </w:tcPr>
          <w:p w14:paraId="129EFF07" w14:textId="77777777" w:rsidR="008A6A5C" w:rsidRPr="000B6FD6" w:rsidRDefault="008A6A5C" w:rsidP="000B6FD6">
            <w:pPr>
              <w:tabs>
                <w:tab w:val="decimal" w:pos="329"/>
              </w:tabs>
              <w:jc w:val="both"/>
              <w:rPr>
                <w:noProof/>
                <w:sz w:val="20"/>
                <w:szCs w:val="20"/>
              </w:rPr>
            </w:pPr>
            <w:r w:rsidRPr="000B6FD6">
              <w:rPr>
                <w:color w:val="000000"/>
                <w:sz w:val="20"/>
                <w:szCs w:val="20"/>
              </w:rPr>
              <w:t>0.026</w:t>
            </w:r>
          </w:p>
        </w:tc>
        <w:tc>
          <w:tcPr>
            <w:tcW w:w="1080" w:type="dxa"/>
            <w:tcBorders>
              <w:top w:val="single" w:sz="12" w:space="0" w:color="auto"/>
              <w:left w:val="single" w:sz="4" w:space="0" w:color="auto"/>
              <w:right w:val="single" w:sz="4" w:space="0" w:color="auto"/>
            </w:tcBorders>
            <w:vAlign w:val="center"/>
          </w:tcPr>
          <w:p w14:paraId="78AA6DE1" w14:textId="77777777" w:rsidR="008A6A5C" w:rsidRPr="000B6FD6" w:rsidRDefault="008A6A5C" w:rsidP="000B6FD6">
            <w:pPr>
              <w:tabs>
                <w:tab w:val="decimal" w:pos="347"/>
              </w:tabs>
              <w:jc w:val="both"/>
              <w:rPr>
                <w:noProof/>
                <w:sz w:val="20"/>
                <w:szCs w:val="20"/>
              </w:rPr>
            </w:pPr>
            <w:r w:rsidRPr="000B6FD6">
              <w:rPr>
                <w:color w:val="000000"/>
                <w:sz w:val="20"/>
                <w:szCs w:val="20"/>
              </w:rPr>
              <w:t>0.140</w:t>
            </w:r>
          </w:p>
        </w:tc>
        <w:tc>
          <w:tcPr>
            <w:tcW w:w="1080" w:type="dxa"/>
            <w:tcBorders>
              <w:top w:val="single" w:sz="12" w:space="0" w:color="auto"/>
              <w:left w:val="single" w:sz="4" w:space="0" w:color="auto"/>
              <w:right w:val="single" w:sz="4" w:space="0" w:color="auto"/>
            </w:tcBorders>
            <w:vAlign w:val="center"/>
          </w:tcPr>
          <w:p w14:paraId="3D4655BD"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top w:val="single" w:sz="12" w:space="0" w:color="auto"/>
              <w:left w:val="single" w:sz="4" w:space="0" w:color="auto"/>
              <w:right w:val="single" w:sz="4" w:space="0" w:color="auto"/>
            </w:tcBorders>
            <w:vAlign w:val="center"/>
          </w:tcPr>
          <w:p w14:paraId="4E53F705" w14:textId="77777777" w:rsidR="008A6A5C" w:rsidRPr="000B6FD6" w:rsidRDefault="008A6A5C" w:rsidP="000B6FD6">
            <w:pPr>
              <w:tabs>
                <w:tab w:val="decimal" w:pos="293"/>
              </w:tabs>
              <w:jc w:val="both"/>
              <w:rPr>
                <w:noProof/>
                <w:sz w:val="20"/>
                <w:szCs w:val="20"/>
              </w:rPr>
            </w:pPr>
            <w:r w:rsidRPr="000B6FD6">
              <w:rPr>
                <w:color w:val="000000"/>
                <w:sz w:val="20"/>
                <w:szCs w:val="20"/>
              </w:rPr>
              <w:t>0.185</w:t>
            </w:r>
          </w:p>
        </w:tc>
        <w:tc>
          <w:tcPr>
            <w:tcW w:w="990" w:type="dxa"/>
            <w:tcBorders>
              <w:top w:val="single" w:sz="12" w:space="0" w:color="auto"/>
              <w:left w:val="single" w:sz="4" w:space="0" w:color="auto"/>
              <w:right w:val="single" w:sz="12" w:space="0" w:color="auto"/>
            </w:tcBorders>
            <w:vAlign w:val="center"/>
          </w:tcPr>
          <w:p w14:paraId="06385FF9" w14:textId="77777777" w:rsidR="008A6A5C" w:rsidRPr="000B6FD6" w:rsidRDefault="008A6A5C" w:rsidP="000B6FD6">
            <w:pPr>
              <w:tabs>
                <w:tab w:val="decimal" w:pos="311"/>
              </w:tabs>
              <w:jc w:val="both"/>
              <w:rPr>
                <w:noProof/>
                <w:sz w:val="20"/>
                <w:szCs w:val="20"/>
              </w:rPr>
            </w:pPr>
            <w:r w:rsidRPr="000B6FD6">
              <w:rPr>
                <w:color w:val="000000"/>
                <w:sz w:val="20"/>
                <w:szCs w:val="20"/>
              </w:rPr>
              <w:t>-0.139</w:t>
            </w:r>
          </w:p>
        </w:tc>
      </w:tr>
      <w:tr w:rsidR="008D0D0A" w:rsidRPr="000B6FD6" w14:paraId="3619A91E" w14:textId="77777777" w:rsidTr="00926421">
        <w:trPr>
          <w:trHeight w:val="288"/>
        </w:trPr>
        <w:tc>
          <w:tcPr>
            <w:tcW w:w="2595" w:type="dxa"/>
            <w:tcBorders>
              <w:right w:val="single" w:sz="12" w:space="0" w:color="auto"/>
            </w:tcBorders>
            <w:vAlign w:val="center"/>
          </w:tcPr>
          <w:p w14:paraId="4B6F8245" w14:textId="68070036" w:rsidR="008A6A5C" w:rsidRPr="000B6FD6" w:rsidRDefault="008A6A5C" w:rsidP="000B6FD6">
            <w:pPr>
              <w:jc w:val="both"/>
              <w:rPr>
                <w:b/>
                <w:bCs/>
                <w:noProof/>
                <w:sz w:val="20"/>
                <w:szCs w:val="20"/>
              </w:rPr>
            </w:pPr>
            <w:r w:rsidRPr="000B6FD6">
              <w:rPr>
                <w:b/>
                <w:bCs/>
                <w:noProof/>
                <w:sz w:val="20"/>
                <w:szCs w:val="20"/>
              </w:rPr>
              <w:t>Tenure Type</w:t>
            </w:r>
            <w:r w:rsidR="000351C1">
              <w:rPr>
                <w:b/>
                <w:bCs/>
                <w:noProof/>
                <w:sz w:val="20"/>
                <w:szCs w:val="20"/>
              </w:rPr>
              <w:t xml:space="preserve"> (Rent)</w:t>
            </w:r>
          </w:p>
        </w:tc>
        <w:tc>
          <w:tcPr>
            <w:tcW w:w="1170" w:type="dxa"/>
            <w:tcBorders>
              <w:left w:val="single" w:sz="12" w:space="0" w:color="auto"/>
              <w:right w:val="single" w:sz="4" w:space="0" w:color="auto"/>
            </w:tcBorders>
            <w:vAlign w:val="center"/>
          </w:tcPr>
          <w:p w14:paraId="0FE57181" w14:textId="21AB5BB0"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70400C92" w14:textId="77777777" w:rsidR="008A6A5C" w:rsidRPr="000B6FD6" w:rsidRDefault="008A6A5C" w:rsidP="000B6FD6">
            <w:pPr>
              <w:tabs>
                <w:tab w:val="decimal" w:pos="347"/>
              </w:tabs>
              <w:jc w:val="both"/>
              <w:rPr>
                <w:noProof/>
                <w:sz w:val="20"/>
                <w:szCs w:val="20"/>
              </w:rPr>
            </w:pPr>
            <w:r w:rsidRPr="000B6FD6">
              <w:rPr>
                <w:color w:val="000000"/>
                <w:sz w:val="20"/>
                <w:szCs w:val="20"/>
              </w:rPr>
              <w:t>1.000</w:t>
            </w:r>
          </w:p>
        </w:tc>
        <w:tc>
          <w:tcPr>
            <w:tcW w:w="990" w:type="dxa"/>
            <w:tcBorders>
              <w:left w:val="single" w:sz="4" w:space="0" w:color="auto"/>
              <w:right w:val="single" w:sz="4" w:space="0" w:color="auto"/>
            </w:tcBorders>
            <w:vAlign w:val="center"/>
          </w:tcPr>
          <w:p w14:paraId="642F2B68" w14:textId="77777777" w:rsidR="008A6A5C" w:rsidRPr="000B6FD6" w:rsidRDefault="008A6A5C" w:rsidP="000B6FD6">
            <w:pPr>
              <w:tabs>
                <w:tab w:val="decimal" w:pos="365"/>
              </w:tabs>
              <w:jc w:val="both"/>
              <w:rPr>
                <w:noProof/>
                <w:sz w:val="20"/>
                <w:szCs w:val="20"/>
              </w:rPr>
            </w:pPr>
            <w:r w:rsidRPr="000B6FD6">
              <w:rPr>
                <w:color w:val="000000"/>
                <w:sz w:val="20"/>
                <w:szCs w:val="20"/>
              </w:rPr>
              <w:t>-0.110</w:t>
            </w:r>
          </w:p>
        </w:tc>
        <w:tc>
          <w:tcPr>
            <w:tcW w:w="990" w:type="dxa"/>
            <w:tcBorders>
              <w:left w:val="single" w:sz="4" w:space="0" w:color="auto"/>
              <w:right w:val="single" w:sz="4" w:space="0" w:color="auto"/>
            </w:tcBorders>
            <w:vAlign w:val="center"/>
          </w:tcPr>
          <w:p w14:paraId="00A1240E" w14:textId="77777777" w:rsidR="008A6A5C" w:rsidRPr="000B6FD6" w:rsidRDefault="008A6A5C" w:rsidP="000B6FD6">
            <w:pPr>
              <w:tabs>
                <w:tab w:val="decimal" w:pos="293"/>
              </w:tabs>
              <w:jc w:val="both"/>
              <w:rPr>
                <w:noProof/>
                <w:sz w:val="20"/>
                <w:szCs w:val="20"/>
              </w:rPr>
            </w:pPr>
            <w:r w:rsidRPr="000B6FD6">
              <w:rPr>
                <w:color w:val="000000"/>
                <w:sz w:val="20"/>
                <w:szCs w:val="20"/>
              </w:rPr>
              <w:t>-0.088</w:t>
            </w:r>
          </w:p>
        </w:tc>
        <w:tc>
          <w:tcPr>
            <w:tcW w:w="1052" w:type="dxa"/>
            <w:tcBorders>
              <w:left w:val="single" w:sz="4" w:space="0" w:color="auto"/>
              <w:right w:val="single" w:sz="4" w:space="0" w:color="auto"/>
            </w:tcBorders>
            <w:vAlign w:val="center"/>
          </w:tcPr>
          <w:p w14:paraId="40F0D672" w14:textId="77777777" w:rsidR="008A6A5C" w:rsidRPr="000B6FD6" w:rsidRDefault="008A6A5C" w:rsidP="000B6FD6">
            <w:pPr>
              <w:tabs>
                <w:tab w:val="decimal" w:pos="311"/>
              </w:tabs>
              <w:jc w:val="both"/>
              <w:rPr>
                <w:noProof/>
                <w:sz w:val="20"/>
                <w:szCs w:val="20"/>
              </w:rPr>
            </w:pPr>
            <w:r w:rsidRPr="000B6FD6">
              <w:rPr>
                <w:color w:val="000000"/>
                <w:sz w:val="20"/>
                <w:szCs w:val="20"/>
              </w:rPr>
              <w:t>0.056</w:t>
            </w:r>
          </w:p>
        </w:tc>
        <w:tc>
          <w:tcPr>
            <w:tcW w:w="1080" w:type="dxa"/>
            <w:tcBorders>
              <w:left w:val="single" w:sz="4" w:space="0" w:color="auto"/>
              <w:right w:val="single" w:sz="4" w:space="0" w:color="auto"/>
            </w:tcBorders>
            <w:vAlign w:val="center"/>
          </w:tcPr>
          <w:p w14:paraId="725FB771" w14:textId="77777777" w:rsidR="008A6A5C" w:rsidRPr="000B6FD6" w:rsidRDefault="008A6A5C" w:rsidP="000B6FD6">
            <w:pPr>
              <w:tabs>
                <w:tab w:val="decimal" w:pos="329"/>
              </w:tabs>
              <w:jc w:val="both"/>
              <w:rPr>
                <w:noProof/>
                <w:sz w:val="20"/>
                <w:szCs w:val="20"/>
              </w:rPr>
            </w:pPr>
            <w:r w:rsidRPr="000B6FD6">
              <w:rPr>
                <w:color w:val="000000"/>
                <w:sz w:val="20"/>
                <w:szCs w:val="20"/>
              </w:rPr>
              <w:t>-0.002</w:t>
            </w:r>
          </w:p>
        </w:tc>
        <w:tc>
          <w:tcPr>
            <w:tcW w:w="1080" w:type="dxa"/>
            <w:tcBorders>
              <w:left w:val="single" w:sz="4" w:space="0" w:color="auto"/>
              <w:right w:val="single" w:sz="4" w:space="0" w:color="auto"/>
            </w:tcBorders>
            <w:vAlign w:val="center"/>
          </w:tcPr>
          <w:p w14:paraId="5D0D6229" w14:textId="77777777" w:rsidR="008A6A5C" w:rsidRPr="000B6FD6" w:rsidRDefault="008A6A5C" w:rsidP="000B6FD6">
            <w:pPr>
              <w:tabs>
                <w:tab w:val="decimal" w:pos="347"/>
              </w:tabs>
              <w:jc w:val="both"/>
              <w:rPr>
                <w:noProof/>
                <w:sz w:val="20"/>
                <w:szCs w:val="20"/>
              </w:rPr>
            </w:pPr>
            <w:r w:rsidRPr="000B6FD6">
              <w:rPr>
                <w:color w:val="000000"/>
                <w:sz w:val="20"/>
                <w:szCs w:val="20"/>
              </w:rPr>
              <w:t>0.044</w:t>
            </w:r>
          </w:p>
        </w:tc>
        <w:tc>
          <w:tcPr>
            <w:tcW w:w="1080" w:type="dxa"/>
            <w:tcBorders>
              <w:left w:val="single" w:sz="4" w:space="0" w:color="auto"/>
              <w:right w:val="single" w:sz="4" w:space="0" w:color="auto"/>
            </w:tcBorders>
            <w:vAlign w:val="center"/>
          </w:tcPr>
          <w:p w14:paraId="657B9F53"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left w:val="single" w:sz="4" w:space="0" w:color="auto"/>
              <w:right w:val="single" w:sz="4" w:space="0" w:color="auto"/>
            </w:tcBorders>
            <w:vAlign w:val="center"/>
          </w:tcPr>
          <w:p w14:paraId="529C2A96" w14:textId="77777777" w:rsidR="008A6A5C" w:rsidRPr="000B6FD6" w:rsidRDefault="008A6A5C" w:rsidP="000B6FD6">
            <w:pPr>
              <w:tabs>
                <w:tab w:val="decimal" w:pos="293"/>
              </w:tabs>
              <w:jc w:val="both"/>
              <w:rPr>
                <w:noProof/>
                <w:sz w:val="20"/>
                <w:szCs w:val="20"/>
              </w:rPr>
            </w:pPr>
            <w:r w:rsidRPr="000B6FD6">
              <w:rPr>
                <w:color w:val="000000"/>
                <w:sz w:val="20"/>
                <w:szCs w:val="20"/>
              </w:rPr>
              <w:t>0.050</w:t>
            </w:r>
          </w:p>
        </w:tc>
        <w:tc>
          <w:tcPr>
            <w:tcW w:w="990" w:type="dxa"/>
            <w:tcBorders>
              <w:left w:val="single" w:sz="4" w:space="0" w:color="auto"/>
              <w:right w:val="single" w:sz="12" w:space="0" w:color="auto"/>
            </w:tcBorders>
            <w:vAlign w:val="center"/>
          </w:tcPr>
          <w:p w14:paraId="4C1AAADC" w14:textId="77777777" w:rsidR="008A6A5C" w:rsidRPr="000B6FD6" w:rsidRDefault="008A6A5C" w:rsidP="000B6FD6">
            <w:pPr>
              <w:tabs>
                <w:tab w:val="decimal" w:pos="311"/>
              </w:tabs>
              <w:jc w:val="both"/>
              <w:rPr>
                <w:noProof/>
                <w:sz w:val="20"/>
                <w:szCs w:val="20"/>
              </w:rPr>
            </w:pPr>
            <w:r w:rsidRPr="000B6FD6">
              <w:rPr>
                <w:color w:val="000000"/>
                <w:sz w:val="20"/>
                <w:szCs w:val="20"/>
              </w:rPr>
              <w:t>-0.036</w:t>
            </w:r>
          </w:p>
        </w:tc>
      </w:tr>
      <w:tr w:rsidR="008D0D0A" w:rsidRPr="000B6FD6" w14:paraId="0001E1B4" w14:textId="77777777" w:rsidTr="00926421">
        <w:trPr>
          <w:trHeight w:val="288"/>
        </w:trPr>
        <w:tc>
          <w:tcPr>
            <w:tcW w:w="2595" w:type="dxa"/>
            <w:tcBorders>
              <w:right w:val="single" w:sz="12" w:space="0" w:color="auto"/>
            </w:tcBorders>
            <w:vAlign w:val="center"/>
          </w:tcPr>
          <w:p w14:paraId="1179ACA8" w14:textId="77777777" w:rsidR="008A6A5C" w:rsidRPr="000B6FD6" w:rsidRDefault="008A6A5C" w:rsidP="000B6FD6">
            <w:pPr>
              <w:jc w:val="both"/>
              <w:rPr>
                <w:b/>
                <w:bCs/>
                <w:noProof/>
                <w:sz w:val="20"/>
                <w:szCs w:val="20"/>
              </w:rPr>
            </w:pPr>
            <w:r w:rsidRPr="000B6FD6">
              <w:rPr>
                <w:b/>
                <w:bCs/>
                <w:noProof/>
                <w:sz w:val="20"/>
                <w:szCs w:val="20"/>
              </w:rPr>
              <w:t>Presence of Patio or Yard</w:t>
            </w:r>
          </w:p>
        </w:tc>
        <w:tc>
          <w:tcPr>
            <w:tcW w:w="1170" w:type="dxa"/>
            <w:tcBorders>
              <w:left w:val="single" w:sz="12" w:space="0" w:color="auto"/>
              <w:right w:val="single" w:sz="4" w:space="0" w:color="auto"/>
            </w:tcBorders>
            <w:vAlign w:val="center"/>
          </w:tcPr>
          <w:p w14:paraId="03E16AD3" w14:textId="45E93824"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79CBC032" w14:textId="6393C299"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18992A10" w14:textId="77777777" w:rsidR="008A6A5C" w:rsidRPr="000B6FD6" w:rsidRDefault="008A6A5C" w:rsidP="000B6FD6">
            <w:pPr>
              <w:tabs>
                <w:tab w:val="decimal" w:pos="365"/>
              </w:tabs>
              <w:jc w:val="both"/>
              <w:rPr>
                <w:noProof/>
                <w:sz w:val="20"/>
                <w:szCs w:val="20"/>
              </w:rPr>
            </w:pPr>
            <w:r w:rsidRPr="000B6FD6">
              <w:rPr>
                <w:color w:val="000000"/>
                <w:sz w:val="20"/>
                <w:szCs w:val="20"/>
              </w:rPr>
              <w:t>1.000</w:t>
            </w:r>
          </w:p>
        </w:tc>
        <w:tc>
          <w:tcPr>
            <w:tcW w:w="990" w:type="dxa"/>
            <w:tcBorders>
              <w:left w:val="single" w:sz="4" w:space="0" w:color="auto"/>
              <w:right w:val="single" w:sz="4" w:space="0" w:color="auto"/>
            </w:tcBorders>
            <w:vAlign w:val="center"/>
          </w:tcPr>
          <w:p w14:paraId="46EF70DE" w14:textId="77777777" w:rsidR="008A6A5C" w:rsidRPr="000B6FD6" w:rsidRDefault="008A6A5C" w:rsidP="000B6FD6">
            <w:pPr>
              <w:tabs>
                <w:tab w:val="decimal" w:pos="293"/>
              </w:tabs>
              <w:jc w:val="both"/>
              <w:rPr>
                <w:noProof/>
                <w:sz w:val="20"/>
                <w:szCs w:val="20"/>
              </w:rPr>
            </w:pPr>
            <w:r w:rsidRPr="000B6FD6">
              <w:rPr>
                <w:color w:val="000000"/>
                <w:sz w:val="20"/>
                <w:szCs w:val="20"/>
              </w:rPr>
              <w:t>0.123</w:t>
            </w:r>
          </w:p>
        </w:tc>
        <w:tc>
          <w:tcPr>
            <w:tcW w:w="1052" w:type="dxa"/>
            <w:tcBorders>
              <w:left w:val="single" w:sz="4" w:space="0" w:color="auto"/>
              <w:right w:val="single" w:sz="4" w:space="0" w:color="auto"/>
            </w:tcBorders>
            <w:vAlign w:val="center"/>
          </w:tcPr>
          <w:p w14:paraId="6AC9D24E" w14:textId="77777777" w:rsidR="008A6A5C" w:rsidRPr="000B6FD6" w:rsidRDefault="008A6A5C" w:rsidP="000B6FD6">
            <w:pPr>
              <w:tabs>
                <w:tab w:val="decimal" w:pos="311"/>
              </w:tabs>
              <w:jc w:val="both"/>
              <w:rPr>
                <w:noProof/>
                <w:sz w:val="20"/>
                <w:szCs w:val="20"/>
              </w:rPr>
            </w:pPr>
            <w:r w:rsidRPr="000B6FD6">
              <w:rPr>
                <w:color w:val="000000"/>
                <w:sz w:val="20"/>
                <w:szCs w:val="20"/>
              </w:rPr>
              <w:t>-0.077</w:t>
            </w:r>
          </w:p>
        </w:tc>
        <w:tc>
          <w:tcPr>
            <w:tcW w:w="1080" w:type="dxa"/>
            <w:tcBorders>
              <w:left w:val="single" w:sz="4" w:space="0" w:color="auto"/>
              <w:right w:val="single" w:sz="4" w:space="0" w:color="auto"/>
            </w:tcBorders>
            <w:vAlign w:val="center"/>
          </w:tcPr>
          <w:p w14:paraId="5B95FC7C" w14:textId="77777777" w:rsidR="008A6A5C" w:rsidRPr="000B6FD6" w:rsidRDefault="008A6A5C" w:rsidP="000B6FD6">
            <w:pPr>
              <w:tabs>
                <w:tab w:val="decimal" w:pos="329"/>
              </w:tabs>
              <w:jc w:val="both"/>
              <w:rPr>
                <w:noProof/>
                <w:sz w:val="20"/>
                <w:szCs w:val="20"/>
              </w:rPr>
            </w:pPr>
            <w:r w:rsidRPr="000B6FD6">
              <w:rPr>
                <w:color w:val="000000"/>
                <w:sz w:val="20"/>
                <w:szCs w:val="20"/>
              </w:rPr>
              <w:t>0.005</w:t>
            </w:r>
          </w:p>
        </w:tc>
        <w:tc>
          <w:tcPr>
            <w:tcW w:w="1080" w:type="dxa"/>
            <w:tcBorders>
              <w:left w:val="single" w:sz="4" w:space="0" w:color="auto"/>
              <w:right w:val="single" w:sz="4" w:space="0" w:color="auto"/>
            </w:tcBorders>
            <w:vAlign w:val="center"/>
          </w:tcPr>
          <w:p w14:paraId="24040E85" w14:textId="77777777" w:rsidR="008A6A5C" w:rsidRPr="000B6FD6" w:rsidRDefault="008A6A5C" w:rsidP="000B6FD6">
            <w:pPr>
              <w:tabs>
                <w:tab w:val="decimal" w:pos="347"/>
              </w:tabs>
              <w:jc w:val="both"/>
              <w:rPr>
                <w:noProof/>
                <w:sz w:val="20"/>
                <w:szCs w:val="20"/>
              </w:rPr>
            </w:pPr>
            <w:r w:rsidRPr="000B6FD6">
              <w:rPr>
                <w:color w:val="000000"/>
                <w:sz w:val="20"/>
                <w:szCs w:val="20"/>
              </w:rPr>
              <w:t>-0.061</w:t>
            </w:r>
          </w:p>
        </w:tc>
        <w:tc>
          <w:tcPr>
            <w:tcW w:w="1080" w:type="dxa"/>
            <w:tcBorders>
              <w:left w:val="single" w:sz="4" w:space="0" w:color="auto"/>
              <w:right w:val="single" w:sz="4" w:space="0" w:color="auto"/>
            </w:tcBorders>
            <w:vAlign w:val="center"/>
          </w:tcPr>
          <w:p w14:paraId="4AADC641"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left w:val="single" w:sz="4" w:space="0" w:color="auto"/>
              <w:right w:val="single" w:sz="4" w:space="0" w:color="auto"/>
            </w:tcBorders>
            <w:vAlign w:val="center"/>
          </w:tcPr>
          <w:p w14:paraId="079B7F76" w14:textId="77777777" w:rsidR="008A6A5C" w:rsidRPr="000B6FD6" w:rsidRDefault="008A6A5C" w:rsidP="000B6FD6">
            <w:pPr>
              <w:tabs>
                <w:tab w:val="decimal" w:pos="293"/>
              </w:tabs>
              <w:jc w:val="both"/>
              <w:rPr>
                <w:noProof/>
                <w:sz w:val="20"/>
                <w:szCs w:val="20"/>
              </w:rPr>
            </w:pPr>
            <w:r w:rsidRPr="000B6FD6">
              <w:rPr>
                <w:color w:val="000000"/>
                <w:sz w:val="20"/>
                <w:szCs w:val="20"/>
              </w:rPr>
              <w:t>-0.069</w:t>
            </w:r>
          </w:p>
        </w:tc>
        <w:tc>
          <w:tcPr>
            <w:tcW w:w="990" w:type="dxa"/>
            <w:tcBorders>
              <w:left w:val="single" w:sz="4" w:space="0" w:color="auto"/>
              <w:right w:val="single" w:sz="12" w:space="0" w:color="auto"/>
            </w:tcBorders>
            <w:vAlign w:val="center"/>
          </w:tcPr>
          <w:p w14:paraId="73758F28" w14:textId="77777777" w:rsidR="008A6A5C" w:rsidRPr="000B6FD6" w:rsidRDefault="008A6A5C" w:rsidP="000B6FD6">
            <w:pPr>
              <w:tabs>
                <w:tab w:val="decimal" w:pos="311"/>
              </w:tabs>
              <w:jc w:val="both"/>
              <w:rPr>
                <w:noProof/>
                <w:sz w:val="20"/>
                <w:szCs w:val="20"/>
              </w:rPr>
            </w:pPr>
            <w:r w:rsidRPr="000B6FD6">
              <w:rPr>
                <w:color w:val="000000"/>
                <w:sz w:val="20"/>
                <w:szCs w:val="20"/>
              </w:rPr>
              <w:t>0.051</w:t>
            </w:r>
          </w:p>
        </w:tc>
      </w:tr>
      <w:tr w:rsidR="008D0D0A" w:rsidRPr="000B6FD6" w14:paraId="4D9EB702" w14:textId="77777777" w:rsidTr="00926421">
        <w:trPr>
          <w:trHeight w:val="288"/>
        </w:trPr>
        <w:tc>
          <w:tcPr>
            <w:tcW w:w="2595" w:type="dxa"/>
            <w:tcBorders>
              <w:right w:val="single" w:sz="12" w:space="0" w:color="auto"/>
            </w:tcBorders>
            <w:vAlign w:val="center"/>
          </w:tcPr>
          <w:p w14:paraId="633C66B8" w14:textId="77777777" w:rsidR="008A6A5C" w:rsidRPr="000B6FD6" w:rsidRDefault="008A6A5C" w:rsidP="000B6FD6">
            <w:pPr>
              <w:jc w:val="both"/>
              <w:rPr>
                <w:b/>
                <w:bCs/>
                <w:noProof/>
                <w:sz w:val="20"/>
                <w:szCs w:val="20"/>
              </w:rPr>
            </w:pPr>
            <w:r w:rsidRPr="000B6FD6">
              <w:rPr>
                <w:b/>
                <w:bCs/>
                <w:noProof/>
                <w:sz w:val="20"/>
                <w:szCs w:val="20"/>
              </w:rPr>
              <w:t>Number of Bedrooms</w:t>
            </w:r>
          </w:p>
        </w:tc>
        <w:tc>
          <w:tcPr>
            <w:tcW w:w="1170" w:type="dxa"/>
            <w:tcBorders>
              <w:left w:val="single" w:sz="12" w:space="0" w:color="auto"/>
              <w:right w:val="single" w:sz="4" w:space="0" w:color="auto"/>
            </w:tcBorders>
            <w:vAlign w:val="center"/>
          </w:tcPr>
          <w:p w14:paraId="1F3D80C1" w14:textId="1F1BA8AD"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158140A3" w14:textId="369D4ADD"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1A995C7F" w14:textId="0E2EF82A"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087E3F38" w14:textId="77777777" w:rsidR="008A6A5C" w:rsidRPr="000B6FD6" w:rsidRDefault="008A6A5C" w:rsidP="000B6FD6">
            <w:pPr>
              <w:tabs>
                <w:tab w:val="decimal" w:pos="293"/>
              </w:tabs>
              <w:jc w:val="both"/>
              <w:rPr>
                <w:noProof/>
                <w:sz w:val="20"/>
                <w:szCs w:val="20"/>
              </w:rPr>
            </w:pPr>
            <w:r w:rsidRPr="000B6FD6">
              <w:rPr>
                <w:color w:val="000000"/>
                <w:sz w:val="20"/>
                <w:szCs w:val="20"/>
              </w:rPr>
              <w:t>1.000</w:t>
            </w:r>
          </w:p>
        </w:tc>
        <w:tc>
          <w:tcPr>
            <w:tcW w:w="1052" w:type="dxa"/>
            <w:tcBorders>
              <w:left w:val="single" w:sz="4" w:space="0" w:color="auto"/>
              <w:right w:val="single" w:sz="4" w:space="0" w:color="auto"/>
            </w:tcBorders>
            <w:vAlign w:val="center"/>
          </w:tcPr>
          <w:p w14:paraId="6E4BFAF8" w14:textId="77777777" w:rsidR="008A6A5C" w:rsidRPr="000B6FD6" w:rsidRDefault="008A6A5C" w:rsidP="000B6FD6">
            <w:pPr>
              <w:tabs>
                <w:tab w:val="decimal" w:pos="311"/>
              </w:tabs>
              <w:jc w:val="both"/>
              <w:rPr>
                <w:noProof/>
                <w:sz w:val="20"/>
                <w:szCs w:val="20"/>
              </w:rPr>
            </w:pPr>
            <w:r w:rsidRPr="000B6FD6">
              <w:rPr>
                <w:color w:val="000000"/>
                <w:sz w:val="20"/>
                <w:szCs w:val="20"/>
              </w:rPr>
              <w:t>-0.086</w:t>
            </w:r>
          </w:p>
        </w:tc>
        <w:tc>
          <w:tcPr>
            <w:tcW w:w="1080" w:type="dxa"/>
            <w:tcBorders>
              <w:left w:val="single" w:sz="4" w:space="0" w:color="auto"/>
              <w:right w:val="single" w:sz="4" w:space="0" w:color="auto"/>
            </w:tcBorders>
            <w:vAlign w:val="center"/>
          </w:tcPr>
          <w:p w14:paraId="73E7DBB3" w14:textId="77777777" w:rsidR="008A6A5C" w:rsidRPr="000B6FD6" w:rsidRDefault="008A6A5C" w:rsidP="000B6FD6">
            <w:pPr>
              <w:tabs>
                <w:tab w:val="decimal" w:pos="329"/>
              </w:tabs>
              <w:jc w:val="both"/>
              <w:rPr>
                <w:noProof/>
                <w:sz w:val="20"/>
                <w:szCs w:val="20"/>
              </w:rPr>
            </w:pPr>
            <w:r w:rsidRPr="000B6FD6">
              <w:rPr>
                <w:color w:val="000000"/>
                <w:sz w:val="20"/>
                <w:szCs w:val="20"/>
              </w:rPr>
              <w:t>-0.010</w:t>
            </w:r>
          </w:p>
        </w:tc>
        <w:tc>
          <w:tcPr>
            <w:tcW w:w="1080" w:type="dxa"/>
            <w:tcBorders>
              <w:left w:val="single" w:sz="4" w:space="0" w:color="auto"/>
              <w:right w:val="single" w:sz="4" w:space="0" w:color="auto"/>
            </w:tcBorders>
            <w:vAlign w:val="center"/>
          </w:tcPr>
          <w:p w14:paraId="20E4598A" w14:textId="77777777" w:rsidR="008A6A5C" w:rsidRPr="000B6FD6" w:rsidRDefault="008A6A5C" w:rsidP="000B6FD6">
            <w:pPr>
              <w:tabs>
                <w:tab w:val="decimal" w:pos="347"/>
              </w:tabs>
              <w:jc w:val="both"/>
              <w:rPr>
                <w:noProof/>
                <w:sz w:val="20"/>
                <w:szCs w:val="20"/>
              </w:rPr>
            </w:pPr>
            <w:r w:rsidRPr="000B6FD6">
              <w:rPr>
                <w:color w:val="000000"/>
                <w:sz w:val="20"/>
                <w:szCs w:val="20"/>
              </w:rPr>
              <w:t>-0.056</w:t>
            </w:r>
          </w:p>
        </w:tc>
        <w:tc>
          <w:tcPr>
            <w:tcW w:w="1080" w:type="dxa"/>
            <w:tcBorders>
              <w:left w:val="single" w:sz="4" w:space="0" w:color="auto"/>
              <w:right w:val="single" w:sz="4" w:space="0" w:color="auto"/>
            </w:tcBorders>
            <w:vAlign w:val="center"/>
          </w:tcPr>
          <w:p w14:paraId="734BD22E"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left w:val="single" w:sz="4" w:space="0" w:color="auto"/>
              <w:right w:val="single" w:sz="4" w:space="0" w:color="auto"/>
            </w:tcBorders>
            <w:vAlign w:val="center"/>
          </w:tcPr>
          <w:p w14:paraId="3ECB20C1" w14:textId="77777777" w:rsidR="008A6A5C" w:rsidRPr="000B6FD6" w:rsidRDefault="008A6A5C" w:rsidP="000B6FD6">
            <w:pPr>
              <w:tabs>
                <w:tab w:val="decimal" w:pos="293"/>
              </w:tabs>
              <w:jc w:val="both"/>
              <w:rPr>
                <w:noProof/>
                <w:sz w:val="20"/>
                <w:szCs w:val="20"/>
              </w:rPr>
            </w:pPr>
            <w:r w:rsidRPr="000B6FD6">
              <w:rPr>
                <w:color w:val="000000"/>
                <w:sz w:val="20"/>
                <w:szCs w:val="20"/>
              </w:rPr>
              <w:t>-0.074</w:t>
            </w:r>
          </w:p>
        </w:tc>
        <w:tc>
          <w:tcPr>
            <w:tcW w:w="990" w:type="dxa"/>
            <w:tcBorders>
              <w:left w:val="single" w:sz="4" w:space="0" w:color="auto"/>
              <w:right w:val="single" w:sz="12" w:space="0" w:color="auto"/>
            </w:tcBorders>
            <w:vAlign w:val="center"/>
          </w:tcPr>
          <w:p w14:paraId="11B45146" w14:textId="77777777" w:rsidR="008A6A5C" w:rsidRPr="000B6FD6" w:rsidRDefault="008A6A5C" w:rsidP="000B6FD6">
            <w:pPr>
              <w:tabs>
                <w:tab w:val="decimal" w:pos="311"/>
              </w:tabs>
              <w:jc w:val="both"/>
              <w:rPr>
                <w:noProof/>
                <w:sz w:val="20"/>
                <w:szCs w:val="20"/>
              </w:rPr>
            </w:pPr>
            <w:r w:rsidRPr="000B6FD6">
              <w:rPr>
                <w:color w:val="000000"/>
                <w:sz w:val="20"/>
                <w:szCs w:val="20"/>
              </w:rPr>
              <w:t>0.045</w:t>
            </w:r>
          </w:p>
        </w:tc>
      </w:tr>
      <w:tr w:rsidR="008D0D0A" w:rsidRPr="000B6FD6" w14:paraId="5E6C7675" w14:textId="77777777" w:rsidTr="00926421">
        <w:trPr>
          <w:trHeight w:val="288"/>
        </w:trPr>
        <w:tc>
          <w:tcPr>
            <w:tcW w:w="2595" w:type="dxa"/>
            <w:tcBorders>
              <w:right w:val="single" w:sz="12" w:space="0" w:color="auto"/>
            </w:tcBorders>
            <w:vAlign w:val="center"/>
          </w:tcPr>
          <w:p w14:paraId="5CDF93A1" w14:textId="77777777" w:rsidR="008A6A5C" w:rsidRPr="000B6FD6" w:rsidRDefault="008A6A5C" w:rsidP="000B6FD6">
            <w:pPr>
              <w:jc w:val="both"/>
              <w:rPr>
                <w:b/>
                <w:bCs/>
                <w:noProof/>
                <w:sz w:val="20"/>
                <w:szCs w:val="20"/>
              </w:rPr>
            </w:pPr>
            <w:r w:rsidRPr="000B6FD6">
              <w:rPr>
                <w:b/>
                <w:bCs/>
                <w:noProof/>
                <w:sz w:val="20"/>
                <w:szCs w:val="20"/>
              </w:rPr>
              <w:t>Population Density</w:t>
            </w:r>
          </w:p>
        </w:tc>
        <w:tc>
          <w:tcPr>
            <w:tcW w:w="1170" w:type="dxa"/>
            <w:tcBorders>
              <w:left w:val="single" w:sz="12" w:space="0" w:color="auto"/>
              <w:right w:val="single" w:sz="4" w:space="0" w:color="auto"/>
            </w:tcBorders>
            <w:vAlign w:val="center"/>
          </w:tcPr>
          <w:p w14:paraId="082F6168" w14:textId="0322C866"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1CB88510" w14:textId="4B4DCD9C"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6DD565B7" w14:textId="3AF311F0"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2EAC1272" w14:textId="4A84F6B8" w:rsidR="008A6A5C" w:rsidRPr="000B6FD6" w:rsidRDefault="008A6A5C" w:rsidP="000B6FD6">
            <w:pPr>
              <w:tabs>
                <w:tab w:val="decimal" w:pos="293"/>
              </w:tabs>
              <w:jc w:val="both"/>
              <w:rPr>
                <w:noProof/>
                <w:sz w:val="20"/>
                <w:szCs w:val="20"/>
              </w:rPr>
            </w:pPr>
          </w:p>
        </w:tc>
        <w:tc>
          <w:tcPr>
            <w:tcW w:w="1052" w:type="dxa"/>
            <w:tcBorders>
              <w:left w:val="single" w:sz="4" w:space="0" w:color="auto"/>
              <w:right w:val="single" w:sz="4" w:space="0" w:color="auto"/>
            </w:tcBorders>
            <w:vAlign w:val="center"/>
          </w:tcPr>
          <w:p w14:paraId="1A4C67B9" w14:textId="77777777" w:rsidR="008A6A5C" w:rsidRPr="000B6FD6" w:rsidRDefault="008A6A5C" w:rsidP="000B6FD6">
            <w:pPr>
              <w:tabs>
                <w:tab w:val="decimal" w:pos="311"/>
              </w:tabs>
              <w:jc w:val="both"/>
              <w:rPr>
                <w:noProof/>
                <w:sz w:val="20"/>
                <w:szCs w:val="20"/>
              </w:rPr>
            </w:pPr>
            <w:r w:rsidRPr="000B6FD6">
              <w:rPr>
                <w:color w:val="000000"/>
                <w:sz w:val="20"/>
                <w:szCs w:val="20"/>
              </w:rPr>
              <w:t>1.000</w:t>
            </w:r>
          </w:p>
        </w:tc>
        <w:tc>
          <w:tcPr>
            <w:tcW w:w="1080" w:type="dxa"/>
            <w:tcBorders>
              <w:left w:val="single" w:sz="4" w:space="0" w:color="auto"/>
              <w:right w:val="single" w:sz="4" w:space="0" w:color="auto"/>
            </w:tcBorders>
            <w:vAlign w:val="center"/>
          </w:tcPr>
          <w:p w14:paraId="0033E28D" w14:textId="77777777" w:rsidR="008A6A5C" w:rsidRPr="000B6FD6" w:rsidRDefault="008A6A5C" w:rsidP="000B6FD6">
            <w:pPr>
              <w:tabs>
                <w:tab w:val="decimal" w:pos="329"/>
              </w:tabs>
              <w:jc w:val="both"/>
              <w:rPr>
                <w:noProof/>
                <w:sz w:val="20"/>
                <w:szCs w:val="20"/>
              </w:rPr>
            </w:pPr>
            <w:r w:rsidRPr="000B6FD6">
              <w:rPr>
                <w:color w:val="000000"/>
                <w:sz w:val="20"/>
                <w:szCs w:val="20"/>
              </w:rPr>
              <w:t>0.027</w:t>
            </w:r>
          </w:p>
        </w:tc>
        <w:tc>
          <w:tcPr>
            <w:tcW w:w="1080" w:type="dxa"/>
            <w:tcBorders>
              <w:left w:val="single" w:sz="4" w:space="0" w:color="auto"/>
              <w:right w:val="single" w:sz="4" w:space="0" w:color="auto"/>
            </w:tcBorders>
            <w:vAlign w:val="center"/>
          </w:tcPr>
          <w:p w14:paraId="6186F37E" w14:textId="77777777" w:rsidR="008A6A5C" w:rsidRPr="000B6FD6" w:rsidRDefault="008A6A5C" w:rsidP="000B6FD6">
            <w:pPr>
              <w:tabs>
                <w:tab w:val="decimal" w:pos="347"/>
              </w:tabs>
              <w:jc w:val="both"/>
              <w:rPr>
                <w:noProof/>
                <w:sz w:val="20"/>
                <w:szCs w:val="20"/>
              </w:rPr>
            </w:pPr>
            <w:r w:rsidRPr="000B6FD6">
              <w:rPr>
                <w:color w:val="000000"/>
                <w:sz w:val="20"/>
                <w:szCs w:val="20"/>
              </w:rPr>
              <w:t>0.055</w:t>
            </w:r>
          </w:p>
        </w:tc>
        <w:tc>
          <w:tcPr>
            <w:tcW w:w="1080" w:type="dxa"/>
            <w:tcBorders>
              <w:left w:val="single" w:sz="4" w:space="0" w:color="auto"/>
              <w:right w:val="single" w:sz="4" w:space="0" w:color="auto"/>
            </w:tcBorders>
            <w:vAlign w:val="center"/>
          </w:tcPr>
          <w:p w14:paraId="1138126D"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left w:val="single" w:sz="4" w:space="0" w:color="auto"/>
              <w:right w:val="single" w:sz="4" w:space="0" w:color="auto"/>
            </w:tcBorders>
            <w:vAlign w:val="center"/>
          </w:tcPr>
          <w:p w14:paraId="2F27A5CF" w14:textId="77777777" w:rsidR="008A6A5C" w:rsidRPr="000B6FD6" w:rsidRDefault="008A6A5C" w:rsidP="000B6FD6">
            <w:pPr>
              <w:tabs>
                <w:tab w:val="decimal" w:pos="293"/>
              </w:tabs>
              <w:jc w:val="both"/>
              <w:rPr>
                <w:noProof/>
                <w:sz w:val="20"/>
                <w:szCs w:val="20"/>
              </w:rPr>
            </w:pPr>
            <w:r w:rsidRPr="000B6FD6">
              <w:rPr>
                <w:color w:val="000000"/>
                <w:sz w:val="20"/>
                <w:szCs w:val="20"/>
              </w:rPr>
              <w:t>0.087</w:t>
            </w:r>
          </w:p>
        </w:tc>
        <w:tc>
          <w:tcPr>
            <w:tcW w:w="990" w:type="dxa"/>
            <w:tcBorders>
              <w:left w:val="single" w:sz="4" w:space="0" w:color="auto"/>
              <w:right w:val="single" w:sz="12" w:space="0" w:color="auto"/>
            </w:tcBorders>
            <w:vAlign w:val="center"/>
          </w:tcPr>
          <w:p w14:paraId="1F10B13F" w14:textId="77777777" w:rsidR="008A6A5C" w:rsidRPr="000B6FD6" w:rsidRDefault="008A6A5C" w:rsidP="000B6FD6">
            <w:pPr>
              <w:tabs>
                <w:tab w:val="decimal" w:pos="311"/>
              </w:tabs>
              <w:jc w:val="both"/>
              <w:rPr>
                <w:noProof/>
                <w:sz w:val="20"/>
                <w:szCs w:val="20"/>
              </w:rPr>
            </w:pPr>
            <w:r w:rsidRPr="000B6FD6">
              <w:rPr>
                <w:color w:val="000000"/>
                <w:sz w:val="20"/>
                <w:szCs w:val="20"/>
              </w:rPr>
              <w:t>0.012</w:t>
            </w:r>
          </w:p>
        </w:tc>
      </w:tr>
      <w:tr w:rsidR="008D0D0A" w:rsidRPr="000B6FD6" w14:paraId="333DE0E6" w14:textId="77777777" w:rsidTr="00926421">
        <w:trPr>
          <w:trHeight w:val="288"/>
        </w:trPr>
        <w:tc>
          <w:tcPr>
            <w:tcW w:w="2595" w:type="dxa"/>
            <w:tcBorders>
              <w:right w:val="single" w:sz="12" w:space="0" w:color="auto"/>
            </w:tcBorders>
            <w:vAlign w:val="center"/>
          </w:tcPr>
          <w:p w14:paraId="020945AB" w14:textId="77777777" w:rsidR="008A6A5C" w:rsidRPr="000B6FD6" w:rsidRDefault="008A6A5C" w:rsidP="000B6FD6">
            <w:pPr>
              <w:jc w:val="both"/>
              <w:rPr>
                <w:b/>
                <w:bCs/>
                <w:noProof/>
                <w:sz w:val="20"/>
                <w:szCs w:val="20"/>
              </w:rPr>
            </w:pPr>
            <w:r w:rsidRPr="000B6FD6">
              <w:rPr>
                <w:b/>
                <w:bCs/>
                <w:noProof/>
                <w:sz w:val="20"/>
                <w:szCs w:val="20"/>
              </w:rPr>
              <w:t>Median Housing Cost</w:t>
            </w:r>
          </w:p>
        </w:tc>
        <w:tc>
          <w:tcPr>
            <w:tcW w:w="1170" w:type="dxa"/>
            <w:tcBorders>
              <w:left w:val="single" w:sz="12" w:space="0" w:color="auto"/>
              <w:right w:val="single" w:sz="4" w:space="0" w:color="auto"/>
            </w:tcBorders>
            <w:vAlign w:val="center"/>
          </w:tcPr>
          <w:p w14:paraId="38C25876" w14:textId="686E9278"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12C86836" w14:textId="02D5C4E6"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2D5292B8" w14:textId="1A040440"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53D37209" w14:textId="69F9D3BF" w:rsidR="008A6A5C" w:rsidRPr="000B6FD6" w:rsidRDefault="008A6A5C" w:rsidP="000B6FD6">
            <w:pPr>
              <w:tabs>
                <w:tab w:val="decimal" w:pos="293"/>
              </w:tabs>
              <w:jc w:val="both"/>
              <w:rPr>
                <w:noProof/>
                <w:sz w:val="20"/>
                <w:szCs w:val="20"/>
              </w:rPr>
            </w:pPr>
          </w:p>
        </w:tc>
        <w:tc>
          <w:tcPr>
            <w:tcW w:w="1052" w:type="dxa"/>
            <w:tcBorders>
              <w:left w:val="single" w:sz="4" w:space="0" w:color="auto"/>
              <w:right w:val="single" w:sz="4" w:space="0" w:color="auto"/>
            </w:tcBorders>
            <w:vAlign w:val="center"/>
          </w:tcPr>
          <w:p w14:paraId="71CAB143" w14:textId="54BCBCB2" w:rsidR="008A6A5C" w:rsidRPr="000B6FD6" w:rsidRDefault="008A6A5C" w:rsidP="000B6FD6">
            <w:pPr>
              <w:tabs>
                <w:tab w:val="decimal" w:pos="311"/>
              </w:tabs>
              <w:jc w:val="both"/>
              <w:rPr>
                <w:noProof/>
                <w:sz w:val="20"/>
                <w:szCs w:val="20"/>
              </w:rPr>
            </w:pPr>
          </w:p>
        </w:tc>
        <w:tc>
          <w:tcPr>
            <w:tcW w:w="1080" w:type="dxa"/>
            <w:tcBorders>
              <w:left w:val="single" w:sz="4" w:space="0" w:color="auto"/>
              <w:right w:val="single" w:sz="4" w:space="0" w:color="auto"/>
            </w:tcBorders>
            <w:vAlign w:val="center"/>
          </w:tcPr>
          <w:p w14:paraId="07FF4A0F" w14:textId="77777777" w:rsidR="008A6A5C" w:rsidRPr="000B6FD6" w:rsidRDefault="008A6A5C" w:rsidP="000B6FD6">
            <w:pPr>
              <w:tabs>
                <w:tab w:val="decimal" w:pos="329"/>
              </w:tabs>
              <w:jc w:val="both"/>
              <w:rPr>
                <w:noProof/>
                <w:sz w:val="20"/>
                <w:szCs w:val="20"/>
              </w:rPr>
            </w:pPr>
            <w:r w:rsidRPr="000B6FD6">
              <w:rPr>
                <w:color w:val="000000"/>
                <w:sz w:val="20"/>
                <w:szCs w:val="20"/>
              </w:rPr>
              <w:t>1.000</w:t>
            </w:r>
          </w:p>
        </w:tc>
        <w:tc>
          <w:tcPr>
            <w:tcW w:w="1080" w:type="dxa"/>
            <w:tcBorders>
              <w:left w:val="single" w:sz="4" w:space="0" w:color="auto"/>
              <w:right w:val="single" w:sz="4" w:space="0" w:color="auto"/>
            </w:tcBorders>
            <w:vAlign w:val="center"/>
          </w:tcPr>
          <w:p w14:paraId="67C8D885" w14:textId="77777777" w:rsidR="008A6A5C" w:rsidRPr="000B6FD6" w:rsidRDefault="008A6A5C" w:rsidP="000B6FD6">
            <w:pPr>
              <w:tabs>
                <w:tab w:val="decimal" w:pos="347"/>
              </w:tabs>
              <w:jc w:val="both"/>
              <w:rPr>
                <w:noProof/>
                <w:sz w:val="20"/>
                <w:szCs w:val="20"/>
              </w:rPr>
            </w:pPr>
            <w:r w:rsidRPr="000B6FD6">
              <w:rPr>
                <w:color w:val="000000"/>
                <w:sz w:val="20"/>
                <w:szCs w:val="20"/>
              </w:rPr>
              <w:t>0.007</w:t>
            </w:r>
          </w:p>
        </w:tc>
        <w:tc>
          <w:tcPr>
            <w:tcW w:w="1080" w:type="dxa"/>
            <w:tcBorders>
              <w:left w:val="single" w:sz="4" w:space="0" w:color="auto"/>
              <w:right w:val="single" w:sz="4" w:space="0" w:color="auto"/>
            </w:tcBorders>
            <w:vAlign w:val="center"/>
          </w:tcPr>
          <w:p w14:paraId="1F275390"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left w:val="single" w:sz="4" w:space="0" w:color="auto"/>
              <w:right w:val="single" w:sz="4" w:space="0" w:color="auto"/>
            </w:tcBorders>
            <w:vAlign w:val="center"/>
          </w:tcPr>
          <w:p w14:paraId="42BD8EB5" w14:textId="77777777" w:rsidR="008A6A5C" w:rsidRPr="000B6FD6" w:rsidRDefault="008A6A5C" w:rsidP="000B6FD6">
            <w:pPr>
              <w:tabs>
                <w:tab w:val="decimal" w:pos="293"/>
              </w:tabs>
              <w:jc w:val="both"/>
              <w:rPr>
                <w:noProof/>
                <w:sz w:val="20"/>
                <w:szCs w:val="20"/>
              </w:rPr>
            </w:pPr>
            <w:r w:rsidRPr="000B6FD6">
              <w:rPr>
                <w:color w:val="000000"/>
                <w:sz w:val="20"/>
                <w:szCs w:val="20"/>
              </w:rPr>
              <w:t>0.021</w:t>
            </w:r>
          </w:p>
        </w:tc>
        <w:tc>
          <w:tcPr>
            <w:tcW w:w="990" w:type="dxa"/>
            <w:tcBorders>
              <w:left w:val="single" w:sz="4" w:space="0" w:color="auto"/>
              <w:right w:val="single" w:sz="12" w:space="0" w:color="auto"/>
            </w:tcBorders>
            <w:vAlign w:val="center"/>
          </w:tcPr>
          <w:p w14:paraId="7D1895F5" w14:textId="77777777" w:rsidR="008A6A5C" w:rsidRPr="000B6FD6" w:rsidRDefault="008A6A5C" w:rsidP="000B6FD6">
            <w:pPr>
              <w:tabs>
                <w:tab w:val="decimal" w:pos="311"/>
              </w:tabs>
              <w:jc w:val="both"/>
              <w:rPr>
                <w:noProof/>
                <w:sz w:val="20"/>
                <w:szCs w:val="20"/>
              </w:rPr>
            </w:pPr>
            <w:r w:rsidRPr="000B6FD6">
              <w:rPr>
                <w:color w:val="000000"/>
                <w:sz w:val="20"/>
                <w:szCs w:val="20"/>
              </w:rPr>
              <w:t>-0.004</w:t>
            </w:r>
          </w:p>
        </w:tc>
      </w:tr>
      <w:tr w:rsidR="008D0D0A" w:rsidRPr="000B6FD6" w14:paraId="7CB9CA2A" w14:textId="77777777" w:rsidTr="00926421">
        <w:trPr>
          <w:trHeight w:val="288"/>
        </w:trPr>
        <w:tc>
          <w:tcPr>
            <w:tcW w:w="2595" w:type="dxa"/>
            <w:tcBorders>
              <w:right w:val="single" w:sz="12" w:space="0" w:color="auto"/>
            </w:tcBorders>
            <w:vAlign w:val="center"/>
          </w:tcPr>
          <w:p w14:paraId="67E9ABFF" w14:textId="77777777" w:rsidR="008A6A5C" w:rsidRPr="000B6FD6" w:rsidRDefault="008A6A5C" w:rsidP="000B6FD6">
            <w:pPr>
              <w:jc w:val="both"/>
              <w:rPr>
                <w:b/>
                <w:bCs/>
                <w:noProof/>
                <w:sz w:val="20"/>
                <w:szCs w:val="20"/>
              </w:rPr>
            </w:pPr>
            <w:r w:rsidRPr="000B6FD6">
              <w:rPr>
                <w:b/>
                <w:bCs/>
                <w:noProof/>
                <w:sz w:val="20"/>
                <w:szCs w:val="20"/>
              </w:rPr>
              <w:t>Amenities Rating</w:t>
            </w:r>
          </w:p>
        </w:tc>
        <w:tc>
          <w:tcPr>
            <w:tcW w:w="1170" w:type="dxa"/>
            <w:tcBorders>
              <w:left w:val="single" w:sz="12" w:space="0" w:color="auto"/>
              <w:right w:val="single" w:sz="4" w:space="0" w:color="auto"/>
            </w:tcBorders>
            <w:vAlign w:val="center"/>
          </w:tcPr>
          <w:p w14:paraId="0A784AAE" w14:textId="74F6063F"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43D59E0C" w14:textId="5DEF5C42"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751D0BF8" w14:textId="2723B97C"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76613296" w14:textId="303D3D99" w:rsidR="008A6A5C" w:rsidRPr="000B6FD6" w:rsidRDefault="008A6A5C" w:rsidP="000B6FD6">
            <w:pPr>
              <w:tabs>
                <w:tab w:val="decimal" w:pos="293"/>
              </w:tabs>
              <w:jc w:val="both"/>
              <w:rPr>
                <w:noProof/>
                <w:sz w:val="20"/>
                <w:szCs w:val="20"/>
              </w:rPr>
            </w:pPr>
          </w:p>
        </w:tc>
        <w:tc>
          <w:tcPr>
            <w:tcW w:w="1052" w:type="dxa"/>
            <w:tcBorders>
              <w:left w:val="single" w:sz="4" w:space="0" w:color="auto"/>
              <w:right w:val="single" w:sz="4" w:space="0" w:color="auto"/>
            </w:tcBorders>
            <w:vAlign w:val="center"/>
          </w:tcPr>
          <w:p w14:paraId="09DE8A53" w14:textId="679FD606" w:rsidR="008A6A5C" w:rsidRPr="000B6FD6" w:rsidRDefault="008A6A5C" w:rsidP="000B6FD6">
            <w:pPr>
              <w:tabs>
                <w:tab w:val="decimal" w:pos="311"/>
              </w:tabs>
              <w:jc w:val="both"/>
              <w:rPr>
                <w:noProof/>
                <w:sz w:val="20"/>
                <w:szCs w:val="20"/>
              </w:rPr>
            </w:pPr>
          </w:p>
        </w:tc>
        <w:tc>
          <w:tcPr>
            <w:tcW w:w="1080" w:type="dxa"/>
            <w:tcBorders>
              <w:left w:val="single" w:sz="4" w:space="0" w:color="auto"/>
              <w:right w:val="single" w:sz="4" w:space="0" w:color="auto"/>
            </w:tcBorders>
            <w:vAlign w:val="center"/>
          </w:tcPr>
          <w:p w14:paraId="396D3FEF" w14:textId="67A89B5B" w:rsidR="008A6A5C" w:rsidRPr="000B6FD6" w:rsidRDefault="008A6A5C" w:rsidP="000B6FD6">
            <w:pPr>
              <w:tabs>
                <w:tab w:val="decimal" w:pos="329"/>
              </w:tabs>
              <w:jc w:val="both"/>
              <w:rPr>
                <w:noProof/>
                <w:sz w:val="20"/>
                <w:szCs w:val="20"/>
              </w:rPr>
            </w:pPr>
          </w:p>
        </w:tc>
        <w:tc>
          <w:tcPr>
            <w:tcW w:w="1080" w:type="dxa"/>
            <w:tcBorders>
              <w:left w:val="single" w:sz="4" w:space="0" w:color="auto"/>
              <w:right w:val="single" w:sz="4" w:space="0" w:color="auto"/>
            </w:tcBorders>
            <w:vAlign w:val="center"/>
          </w:tcPr>
          <w:p w14:paraId="2F3A8CFE" w14:textId="77777777" w:rsidR="008A6A5C" w:rsidRPr="000B6FD6" w:rsidRDefault="008A6A5C" w:rsidP="000B6FD6">
            <w:pPr>
              <w:tabs>
                <w:tab w:val="decimal" w:pos="347"/>
              </w:tabs>
              <w:jc w:val="both"/>
              <w:rPr>
                <w:noProof/>
                <w:sz w:val="20"/>
                <w:szCs w:val="20"/>
              </w:rPr>
            </w:pPr>
            <w:r w:rsidRPr="000B6FD6">
              <w:rPr>
                <w:color w:val="000000"/>
                <w:sz w:val="20"/>
                <w:szCs w:val="20"/>
              </w:rPr>
              <w:t>1.000</w:t>
            </w:r>
          </w:p>
        </w:tc>
        <w:tc>
          <w:tcPr>
            <w:tcW w:w="1080" w:type="dxa"/>
            <w:tcBorders>
              <w:left w:val="single" w:sz="4" w:space="0" w:color="auto"/>
              <w:right w:val="single" w:sz="4" w:space="0" w:color="auto"/>
            </w:tcBorders>
            <w:vAlign w:val="center"/>
          </w:tcPr>
          <w:p w14:paraId="743FA597" w14:textId="77777777" w:rsidR="008A6A5C" w:rsidRPr="000B6FD6" w:rsidRDefault="008A6A5C" w:rsidP="000B6FD6">
            <w:pPr>
              <w:tabs>
                <w:tab w:val="decimal" w:pos="365"/>
              </w:tabs>
              <w:jc w:val="both"/>
              <w:rPr>
                <w:noProof/>
                <w:sz w:val="20"/>
                <w:szCs w:val="20"/>
              </w:rPr>
            </w:pPr>
            <w:r w:rsidRPr="000B6FD6">
              <w:rPr>
                <w:color w:val="000000"/>
                <w:sz w:val="20"/>
                <w:szCs w:val="20"/>
              </w:rPr>
              <w:t>0.000</w:t>
            </w:r>
          </w:p>
        </w:tc>
        <w:tc>
          <w:tcPr>
            <w:tcW w:w="990" w:type="dxa"/>
            <w:tcBorders>
              <w:left w:val="single" w:sz="4" w:space="0" w:color="auto"/>
              <w:right w:val="single" w:sz="4" w:space="0" w:color="auto"/>
            </w:tcBorders>
            <w:vAlign w:val="center"/>
          </w:tcPr>
          <w:p w14:paraId="48C09056" w14:textId="77777777" w:rsidR="008A6A5C" w:rsidRPr="000B6FD6" w:rsidRDefault="008A6A5C" w:rsidP="000B6FD6">
            <w:pPr>
              <w:tabs>
                <w:tab w:val="decimal" w:pos="293"/>
              </w:tabs>
              <w:jc w:val="both"/>
              <w:rPr>
                <w:noProof/>
                <w:sz w:val="20"/>
                <w:szCs w:val="20"/>
              </w:rPr>
            </w:pPr>
            <w:r w:rsidRPr="000B6FD6">
              <w:rPr>
                <w:color w:val="000000"/>
                <w:sz w:val="20"/>
                <w:szCs w:val="20"/>
              </w:rPr>
              <w:t>0.050</w:t>
            </w:r>
          </w:p>
        </w:tc>
        <w:tc>
          <w:tcPr>
            <w:tcW w:w="990" w:type="dxa"/>
            <w:tcBorders>
              <w:left w:val="single" w:sz="4" w:space="0" w:color="auto"/>
              <w:right w:val="single" w:sz="12" w:space="0" w:color="auto"/>
            </w:tcBorders>
            <w:vAlign w:val="center"/>
          </w:tcPr>
          <w:p w14:paraId="1E6DFE19" w14:textId="77777777" w:rsidR="008A6A5C" w:rsidRPr="000B6FD6" w:rsidRDefault="008A6A5C" w:rsidP="000B6FD6">
            <w:pPr>
              <w:tabs>
                <w:tab w:val="decimal" w:pos="311"/>
              </w:tabs>
              <w:jc w:val="both"/>
              <w:rPr>
                <w:noProof/>
                <w:sz w:val="20"/>
                <w:szCs w:val="20"/>
              </w:rPr>
            </w:pPr>
            <w:r w:rsidRPr="000B6FD6">
              <w:rPr>
                <w:color w:val="000000"/>
                <w:sz w:val="20"/>
                <w:szCs w:val="20"/>
              </w:rPr>
              <w:t>0.020</w:t>
            </w:r>
          </w:p>
        </w:tc>
      </w:tr>
      <w:tr w:rsidR="008D0D0A" w:rsidRPr="000B6FD6" w14:paraId="677DE961" w14:textId="77777777" w:rsidTr="00926421">
        <w:trPr>
          <w:trHeight w:val="288"/>
        </w:trPr>
        <w:tc>
          <w:tcPr>
            <w:tcW w:w="2595" w:type="dxa"/>
            <w:tcBorders>
              <w:right w:val="single" w:sz="12" w:space="0" w:color="auto"/>
            </w:tcBorders>
            <w:vAlign w:val="center"/>
          </w:tcPr>
          <w:p w14:paraId="7E8D993A" w14:textId="77777777" w:rsidR="008A6A5C" w:rsidRPr="000B6FD6" w:rsidRDefault="008A6A5C" w:rsidP="000B6FD6">
            <w:pPr>
              <w:jc w:val="both"/>
              <w:rPr>
                <w:b/>
                <w:bCs/>
                <w:noProof/>
                <w:sz w:val="20"/>
                <w:szCs w:val="20"/>
              </w:rPr>
            </w:pPr>
            <w:r w:rsidRPr="000B6FD6">
              <w:rPr>
                <w:b/>
                <w:bCs/>
                <w:noProof/>
                <w:sz w:val="20"/>
                <w:szCs w:val="20"/>
              </w:rPr>
              <w:t>School Quality</w:t>
            </w:r>
          </w:p>
        </w:tc>
        <w:tc>
          <w:tcPr>
            <w:tcW w:w="1170" w:type="dxa"/>
            <w:tcBorders>
              <w:left w:val="single" w:sz="12" w:space="0" w:color="auto"/>
              <w:right w:val="single" w:sz="4" w:space="0" w:color="auto"/>
            </w:tcBorders>
            <w:vAlign w:val="center"/>
          </w:tcPr>
          <w:p w14:paraId="193C3C89" w14:textId="1D5A8B03"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36EB0DFD" w14:textId="42B32C5E"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728481EB" w14:textId="208F804C"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6078FA7F" w14:textId="3870F00C" w:rsidR="008A6A5C" w:rsidRPr="000B6FD6" w:rsidRDefault="008A6A5C" w:rsidP="000B6FD6">
            <w:pPr>
              <w:tabs>
                <w:tab w:val="decimal" w:pos="293"/>
              </w:tabs>
              <w:jc w:val="both"/>
              <w:rPr>
                <w:noProof/>
                <w:sz w:val="20"/>
                <w:szCs w:val="20"/>
              </w:rPr>
            </w:pPr>
          </w:p>
        </w:tc>
        <w:tc>
          <w:tcPr>
            <w:tcW w:w="1052" w:type="dxa"/>
            <w:tcBorders>
              <w:left w:val="single" w:sz="4" w:space="0" w:color="auto"/>
              <w:right w:val="single" w:sz="4" w:space="0" w:color="auto"/>
            </w:tcBorders>
            <w:vAlign w:val="center"/>
          </w:tcPr>
          <w:p w14:paraId="1C2ECA28" w14:textId="79E28A74" w:rsidR="008A6A5C" w:rsidRPr="000B6FD6" w:rsidRDefault="008A6A5C" w:rsidP="000B6FD6">
            <w:pPr>
              <w:tabs>
                <w:tab w:val="decimal" w:pos="311"/>
              </w:tabs>
              <w:jc w:val="both"/>
              <w:rPr>
                <w:noProof/>
                <w:sz w:val="20"/>
                <w:szCs w:val="20"/>
              </w:rPr>
            </w:pPr>
          </w:p>
        </w:tc>
        <w:tc>
          <w:tcPr>
            <w:tcW w:w="1080" w:type="dxa"/>
            <w:tcBorders>
              <w:left w:val="single" w:sz="4" w:space="0" w:color="auto"/>
              <w:right w:val="single" w:sz="4" w:space="0" w:color="auto"/>
            </w:tcBorders>
            <w:vAlign w:val="center"/>
          </w:tcPr>
          <w:p w14:paraId="4A0E2936" w14:textId="4A5CF209" w:rsidR="008A6A5C" w:rsidRPr="000B6FD6" w:rsidRDefault="008A6A5C" w:rsidP="000B6FD6">
            <w:pPr>
              <w:tabs>
                <w:tab w:val="decimal" w:pos="329"/>
              </w:tabs>
              <w:jc w:val="both"/>
              <w:rPr>
                <w:noProof/>
                <w:sz w:val="20"/>
                <w:szCs w:val="20"/>
              </w:rPr>
            </w:pPr>
          </w:p>
        </w:tc>
        <w:tc>
          <w:tcPr>
            <w:tcW w:w="1080" w:type="dxa"/>
            <w:tcBorders>
              <w:left w:val="single" w:sz="4" w:space="0" w:color="auto"/>
              <w:right w:val="single" w:sz="4" w:space="0" w:color="auto"/>
            </w:tcBorders>
            <w:vAlign w:val="center"/>
          </w:tcPr>
          <w:p w14:paraId="1C4FDDCD" w14:textId="2E965E4D" w:rsidR="008A6A5C" w:rsidRPr="000B6FD6" w:rsidRDefault="008A6A5C" w:rsidP="000B6FD6">
            <w:pPr>
              <w:tabs>
                <w:tab w:val="decimal" w:pos="347"/>
              </w:tabs>
              <w:jc w:val="both"/>
              <w:rPr>
                <w:noProof/>
                <w:sz w:val="20"/>
                <w:szCs w:val="20"/>
              </w:rPr>
            </w:pPr>
          </w:p>
        </w:tc>
        <w:tc>
          <w:tcPr>
            <w:tcW w:w="1080" w:type="dxa"/>
            <w:tcBorders>
              <w:left w:val="single" w:sz="4" w:space="0" w:color="auto"/>
              <w:right w:val="single" w:sz="4" w:space="0" w:color="auto"/>
            </w:tcBorders>
            <w:vAlign w:val="center"/>
          </w:tcPr>
          <w:p w14:paraId="3EFCCB81" w14:textId="77777777" w:rsidR="008A6A5C" w:rsidRPr="000B6FD6" w:rsidRDefault="008A6A5C" w:rsidP="000B6FD6">
            <w:pPr>
              <w:tabs>
                <w:tab w:val="decimal" w:pos="365"/>
              </w:tabs>
              <w:jc w:val="both"/>
              <w:rPr>
                <w:noProof/>
                <w:sz w:val="20"/>
                <w:szCs w:val="20"/>
              </w:rPr>
            </w:pPr>
            <w:r w:rsidRPr="000B6FD6">
              <w:rPr>
                <w:color w:val="000000"/>
                <w:sz w:val="20"/>
                <w:szCs w:val="20"/>
              </w:rPr>
              <w:t>1.000</w:t>
            </w:r>
          </w:p>
        </w:tc>
        <w:tc>
          <w:tcPr>
            <w:tcW w:w="990" w:type="dxa"/>
            <w:tcBorders>
              <w:left w:val="single" w:sz="4" w:space="0" w:color="auto"/>
              <w:right w:val="single" w:sz="4" w:space="0" w:color="auto"/>
            </w:tcBorders>
            <w:vAlign w:val="center"/>
          </w:tcPr>
          <w:p w14:paraId="0317D907" w14:textId="77777777" w:rsidR="008A6A5C" w:rsidRPr="000B6FD6" w:rsidRDefault="008A6A5C" w:rsidP="000B6FD6">
            <w:pPr>
              <w:tabs>
                <w:tab w:val="decimal" w:pos="293"/>
              </w:tabs>
              <w:jc w:val="both"/>
              <w:rPr>
                <w:noProof/>
                <w:sz w:val="20"/>
                <w:szCs w:val="20"/>
              </w:rPr>
            </w:pPr>
            <w:r w:rsidRPr="000B6FD6">
              <w:rPr>
                <w:color w:val="000000"/>
                <w:sz w:val="20"/>
                <w:szCs w:val="20"/>
              </w:rPr>
              <w:t>0.000</w:t>
            </w:r>
          </w:p>
        </w:tc>
        <w:tc>
          <w:tcPr>
            <w:tcW w:w="990" w:type="dxa"/>
            <w:tcBorders>
              <w:left w:val="single" w:sz="4" w:space="0" w:color="auto"/>
              <w:right w:val="single" w:sz="12" w:space="0" w:color="auto"/>
            </w:tcBorders>
            <w:vAlign w:val="center"/>
          </w:tcPr>
          <w:p w14:paraId="44ED87C2" w14:textId="77777777" w:rsidR="008A6A5C" w:rsidRPr="000B6FD6" w:rsidRDefault="008A6A5C" w:rsidP="000B6FD6">
            <w:pPr>
              <w:tabs>
                <w:tab w:val="decimal" w:pos="311"/>
              </w:tabs>
              <w:jc w:val="both"/>
              <w:rPr>
                <w:noProof/>
                <w:sz w:val="20"/>
                <w:szCs w:val="20"/>
              </w:rPr>
            </w:pPr>
            <w:r w:rsidRPr="000B6FD6">
              <w:rPr>
                <w:color w:val="000000"/>
                <w:sz w:val="20"/>
                <w:szCs w:val="20"/>
              </w:rPr>
              <w:t>0.000</w:t>
            </w:r>
          </w:p>
        </w:tc>
      </w:tr>
      <w:tr w:rsidR="008D0D0A" w:rsidRPr="000B6FD6" w14:paraId="211A0FF6" w14:textId="77777777" w:rsidTr="00926421">
        <w:trPr>
          <w:trHeight w:val="288"/>
        </w:trPr>
        <w:tc>
          <w:tcPr>
            <w:tcW w:w="2595" w:type="dxa"/>
            <w:tcBorders>
              <w:right w:val="single" w:sz="12" w:space="0" w:color="auto"/>
            </w:tcBorders>
            <w:vAlign w:val="center"/>
          </w:tcPr>
          <w:p w14:paraId="646F1F27" w14:textId="77777777" w:rsidR="008A6A5C" w:rsidRPr="000B6FD6" w:rsidRDefault="008A6A5C" w:rsidP="000B6FD6">
            <w:pPr>
              <w:jc w:val="both"/>
              <w:rPr>
                <w:b/>
                <w:bCs/>
                <w:noProof/>
                <w:sz w:val="20"/>
                <w:szCs w:val="20"/>
              </w:rPr>
            </w:pPr>
            <w:r w:rsidRPr="000B6FD6">
              <w:rPr>
                <w:b/>
                <w:bCs/>
                <w:noProof/>
                <w:sz w:val="20"/>
                <w:szCs w:val="20"/>
              </w:rPr>
              <w:t>Crime Rate</w:t>
            </w:r>
          </w:p>
        </w:tc>
        <w:tc>
          <w:tcPr>
            <w:tcW w:w="1170" w:type="dxa"/>
            <w:tcBorders>
              <w:left w:val="single" w:sz="12" w:space="0" w:color="auto"/>
              <w:right w:val="single" w:sz="4" w:space="0" w:color="auto"/>
            </w:tcBorders>
            <w:vAlign w:val="center"/>
          </w:tcPr>
          <w:p w14:paraId="160B111C" w14:textId="3593A9C3" w:rsidR="008A6A5C" w:rsidRPr="000B6FD6" w:rsidRDefault="008A6A5C" w:rsidP="000B6FD6">
            <w:pPr>
              <w:tabs>
                <w:tab w:val="decimal" w:pos="330"/>
              </w:tabs>
              <w:jc w:val="both"/>
              <w:rPr>
                <w:noProof/>
                <w:sz w:val="20"/>
                <w:szCs w:val="20"/>
              </w:rPr>
            </w:pPr>
          </w:p>
        </w:tc>
        <w:tc>
          <w:tcPr>
            <w:tcW w:w="990" w:type="dxa"/>
            <w:tcBorders>
              <w:left w:val="single" w:sz="4" w:space="0" w:color="auto"/>
              <w:right w:val="single" w:sz="4" w:space="0" w:color="auto"/>
            </w:tcBorders>
            <w:vAlign w:val="center"/>
          </w:tcPr>
          <w:p w14:paraId="419C0EE7" w14:textId="6EB9DB33" w:rsidR="008A6A5C" w:rsidRPr="000B6FD6" w:rsidRDefault="008A6A5C" w:rsidP="000B6FD6">
            <w:pPr>
              <w:tabs>
                <w:tab w:val="decimal" w:pos="347"/>
              </w:tabs>
              <w:jc w:val="both"/>
              <w:rPr>
                <w:noProof/>
                <w:sz w:val="20"/>
                <w:szCs w:val="20"/>
              </w:rPr>
            </w:pPr>
          </w:p>
        </w:tc>
        <w:tc>
          <w:tcPr>
            <w:tcW w:w="990" w:type="dxa"/>
            <w:tcBorders>
              <w:left w:val="single" w:sz="4" w:space="0" w:color="auto"/>
              <w:right w:val="single" w:sz="4" w:space="0" w:color="auto"/>
            </w:tcBorders>
            <w:vAlign w:val="center"/>
          </w:tcPr>
          <w:p w14:paraId="1AF48272" w14:textId="3C39AA91"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313D10AE" w14:textId="5FB5D18D" w:rsidR="008A6A5C" w:rsidRPr="000B6FD6" w:rsidRDefault="008A6A5C" w:rsidP="000B6FD6">
            <w:pPr>
              <w:tabs>
                <w:tab w:val="decimal" w:pos="293"/>
              </w:tabs>
              <w:jc w:val="both"/>
              <w:rPr>
                <w:noProof/>
                <w:sz w:val="20"/>
                <w:szCs w:val="20"/>
              </w:rPr>
            </w:pPr>
          </w:p>
        </w:tc>
        <w:tc>
          <w:tcPr>
            <w:tcW w:w="1052" w:type="dxa"/>
            <w:tcBorders>
              <w:left w:val="single" w:sz="4" w:space="0" w:color="auto"/>
              <w:right w:val="single" w:sz="4" w:space="0" w:color="auto"/>
            </w:tcBorders>
            <w:vAlign w:val="center"/>
          </w:tcPr>
          <w:p w14:paraId="0EB59EB5" w14:textId="02E68206" w:rsidR="008A6A5C" w:rsidRPr="000B6FD6" w:rsidRDefault="008A6A5C" w:rsidP="000B6FD6">
            <w:pPr>
              <w:tabs>
                <w:tab w:val="decimal" w:pos="311"/>
              </w:tabs>
              <w:jc w:val="both"/>
              <w:rPr>
                <w:noProof/>
                <w:sz w:val="20"/>
                <w:szCs w:val="20"/>
              </w:rPr>
            </w:pPr>
          </w:p>
        </w:tc>
        <w:tc>
          <w:tcPr>
            <w:tcW w:w="1080" w:type="dxa"/>
            <w:tcBorders>
              <w:left w:val="single" w:sz="4" w:space="0" w:color="auto"/>
              <w:right w:val="single" w:sz="4" w:space="0" w:color="auto"/>
            </w:tcBorders>
            <w:vAlign w:val="center"/>
          </w:tcPr>
          <w:p w14:paraId="689641C5" w14:textId="6ABE2666" w:rsidR="008A6A5C" w:rsidRPr="000B6FD6" w:rsidRDefault="008A6A5C" w:rsidP="000B6FD6">
            <w:pPr>
              <w:tabs>
                <w:tab w:val="decimal" w:pos="329"/>
              </w:tabs>
              <w:jc w:val="both"/>
              <w:rPr>
                <w:noProof/>
                <w:sz w:val="20"/>
                <w:szCs w:val="20"/>
              </w:rPr>
            </w:pPr>
          </w:p>
        </w:tc>
        <w:tc>
          <w:tcPr>
            <w:tcW w:w="1080" w:type="dxa"/>
            <w:tcBorders>
              <w:left w:val="single" w:sz="4" w:space="0" w:color="auto"/>
              <w:right w:val="single" w:sz="4" w:space="0" w:color="auto"/>
            </w:tcBorders>
            <w:vAlign w:val="center"/>
          </w:tcPr>
          <w:p w14:paraId="67660F5C" w14:textId="59AC864A" w:rsidR="008A6A5C" w:rsidRPr="000B6FD6" w:rsidRDefault="008A6A5C" w:rsidP="000B6FD6">
            <w:pPr>
              <w:tabs>
                <w:tab w:val="decimal" w:pos="347"/>
              </w:tabs>
              <w:jc w:val="both"/>
              <w:rPr>
                <w:noProof/>
                <w:sz w:val="20"/>
                <w:szCs w:val="20"/>
              </w:rPr>
            </w:pPr>
          </w:p>
        </w:tc>
        <w:tc>
          <w:tcPr>
            <w:tcW w:w="1080" w:type="dxa"/>
            <w:tcBorders>
              <w:left w:val="single" w:sz="4" w:space="0" w:color="auto"/>
              <w:right w:val="single" w:sz="4" w:space="0" w:color="auto"/>
            </w:tcBorders>
            <w:vAlign w:val="center"/>
          </w:tcPr>
          <w:p w14:paraId="516832BC" w14:textId="434DE053" w:rsidR="008A6A5C" w:rsidRPr="000B6FD6" w:rsidRDefault="008A6A5C" w:rsidP="000B6FD6">
            <w:pPr>
              <w:tabs>
                <w:tab w:val="decimal" w:pos="365"/>
              </w:tabs>
              <w:jc w:val="both"/>
              <w:rPr>
                <w:noProof/>
                <w:sz w:val="20"/>
                <w:szCs w:val="20"/>
              </w:rPr>
            </w:pPr>
          </w:p>
        </w:tc>
        <w:tc>
          <w:tcPr>
            <w:tcW w:w="990" w:type="dxa"/>
            <w:tcBorders>
              <w:left w:val="single" w:sz="4" w:space="0" w:color="auto"/>
              <w:right w:val="single" w:sz="4" w:space="0" w:color="auto"/>
            </w:tcBorders>
            <w:vAlign w:val="center"/>
          </w:tcPr>
          <w:p w14:paraId="256F28DF" w14:textId="77777777" w:rsidR="008A6A5C" w:rsidRPr="000B6FD6" w:rsidRDefault="008A6A5C" w:rsidP="000B6FD6">
            <w:pPr>
              <w:tabs>
                <w:tab w:val="decimal" w:pos="293"/>
              </w:tabs>
              <w:jc w:val="both"/>
              <w:rPr>
                <w:noProof/>
                <w:sz w:val="20"/>
                <w:szCs w:val="20"/>
              </w:rPr>
            </w:pPr>
            <w:r w:rsidRPr="000B6FD6">
              <w:rPr>
                <w:color w:val="000000"/>
                <w:sz w:val="20"/>
                <w:szCs w:val="20"/>
              </w:rPr>
              <w:t>1.000</w:t>
            </w:r>
          </w:p>
        </w:tc>
        <w:tc>
          <w:tcPr>
            <w:tcW w:w="990" w:type="dxa"/>
            <w:tcBorders>
              <w:left w:val="single" w:sz="4" w:space="0" w:color="auto"/>
              <w:right w:val="single" w:sz="12" w:space="0" w:color="auto"/>
            </w:tcBorders>
            <w:vAlign w:val="center"/>
          </w:tcPr>
          <w:p w14:paraId="347FACEF" w14:textId="77777777" w:rsidR="008A6A5C" w:rsidRPr="000B6FD6" w:rsidRDefault="008A6A5C" w:rsidP="000B6FD6">
            <w:pPr>
              <w:tabs>
                <w:tab w:val="decimal" w:pos="311"/>
              </w:tabs>
              <w:jc w:val="both"/>
              <w:rPr>
                <w:noProof/>
                <w:sz w:val="20"/>
                <w:szCs w:val="20"/>
              </w:rPr>
            </w:pPr>
            <w:r w:rsidRPr="000B6FD6">
              <w:rPr>
                <w:color w:val="000000"/>
                <w:sz w:val="20"/>
                <w:szCs w:val="20"/>
              </w:rPr>
              <w:t>0.026</w:t>
            </w:r>
          </w:p>
        </w:tc>
      </w:tr>
      <w:tr w:rsidR="008D0D0A" w:rsidRPr="000B6FD6" w14:paraId="71D423AC" w14:textId="77777777" w:rsidTr="00926421">
        <w:trPr>
          <w:trHeight w:val="288"/>
        </w:trPr>
        <w:tc>
          <w:tcPr>
            <w:tcW w:w="2595" w:type="dxa"/>
            <w:tcBorders>
              <w:bottom w:val="single" w:sz="12" w:space="0" w:color="auto"/>
              <w:right w:val="single" w:sz="12" w:space="0" w:color="auto"/>
            </w:tcBorders>
            <w:vAlign w:val="center"/>
          </w:tcPr>
          <w:p w14:paraId="7FE3209D" w14:textId="77777777" w:rsidR="008A6A5C" w:rsidRPr="000B6FD6" w:rsidRDefault="008A6A5C" w:rsidP="000B6FD6">
            <w:pPr>
              <w:jc w:val="both"/>
              <w:rPr>
                <w:b/>
                <w:bCs/>
                <w:noProof/>
                <w:sz w:val="20"/>
                <w:szCs w:val="20"/>
              </w:rPr>
            </w:pPr>
            <w:r w:rsidRPr="000B6FD6">
              <w:rPr>
                <w:b/>
                <w:bCs/>
                <w:noProof/>
                <w:sz w:val="20"/>
                <w:szCs w:val="20"/>
              </w:rPr>
              <w:t>Commute Distance</w:t>
            </w:r>
          </w:p>
        </w:tc>
        <w:tc>
          <w:tcPr>
            <w:tcW w:w="1170" w:type="dxa"/>
            <w:tcBorders>
              <w:left w:val="single" w:sz="12" w:space="0" w:color="auto"/>
              <w:bottom w:val="single" w:sz="12" w:space="0" w:color="auto"/>
              <w:right w:val="single" w:sz="4" w:space="0" w:color="auto"/>
            </w:tcBorders>
            <w:vAlign w:val="center"/>
          </w:tcPr>
          <w:p w14:paraId="4767157B" w14:textId="7CE4761A" w:rsidR="008A6A5C" w:rsidRPr="000B6FD6" w:rsidRDefault="008A6A5C" w:rsidP="000B6FD6">
            <w:pPr>
              <w:tabs>
                <w:tab w:val="decimal" w:pos="330"/>
              </w:tabs>
              <w:jc w:val="both"/>
              <w:rPr>
                <w:noProof/>
                <w:sz w:val="20"/>
                <w:szCs w:val="20"/>
              </w:rPr>
            </w:pPr>
          </w:p>
        </w:tc>
        <w:tc>
          <w:tcPr>
            <w:tcW w:w="990" w:type="dxa"/>
            <w:tcBorders>
              <w:left w:val="single" w:sz="4" w:space="0" w:color="auto"/>
              <w:bottom w:val="single" w:sz="12" w:space="0" w:color="auto"/>
              <w:right w:val="single" w:sz="4" w:space="0" w:color="auto"/>
            </w:tcBorders>
            <w:vAlign w:val="center"/>
          </w:tcPr>
          <w:p w14:paraId="58AFDFA2" w14:textId="6B1B378C" w:rsidR="008A6A5C" w:rsidRPr="000B6FD6" w:rsidRDefault="008A6A5C" w:rsidP="000B6FD6">
            <w:pPr>
              <w:tabs>
                <w:tab w:val="decimal" w:pos="347"/>
              </w:tabs>
              <w:jc w:val="both"/>
              <w:rPr>
                <w:noProof/>
                <w:sz w:val="20"/>
                <w:szCs w:val="20"/>
              </w:rPr>
            </w:pPr>
          </w:p>
        </w:tc>
        <w:tc>
          <w:tcPr>
            <w:tcW w:w="990" w:type="dxa"/>
            <w:tcBorders>
              <w:left w:val="single" w:sz="4" w:space="0" w:color="auto"/>
              <w:bottom w:val="single" w:sz="12" w:space="0" w:color="auto"/>
              <w:right w:val="single" w:sz="4" w:space="0" w:color="auto"/>
            </w:tcBorders>
            <w:vAlign w:val="center"/>
          </w:tcPr>
          <w:p w14:paraId="6E231C6C" w14:textId="0B51570B" w:rsidR="008A6A5C" w:rsidRPr="000B6FD6" w:rsidRDefault="008A6A5C" w:rsidP="000B6FD6">
            <w:pPr>
              <w:tabs>
                <w:tab w:val="decimal" w:pos="365"/>
              </w:tabs>
              <w:jc w:val="both"/>
              <w:rPr>
                <w:noProof/>
                <w:sz w:val="20"/>
                <w:szCs w:val="20"/>
              </w:rPr>
            </w:pPr>
          </w:p>
        </w:tc>
        <w:tc>
          <w:tcPr>
            <w:tcW w:w="990" w:type="dxa"/>
            <w:tcBorders>
              <w:left w:val="single" w:sz="4" w:space="0" w:color="auto"/>
              <w:bottom w:val="single" w:sz="12" w:space="0" w:color="auto"/>
              <w:right w:val="single" w:sz="4" w:space="0" w:color="auto"/>
            </w:tcBorders>
            <w:vAlign w:val="center"/>
          </w:tcPr>
          <w:p w14:paraId="54063B84" w14:textId="5D34FC37" w:rsidR="008A6A5C" w:rsidRPr="000B6FD6" w:rsidRDefault="008A6A5C" w:rsidP="000B6FD6">
            <w:pPr>
              <w:tabs>
                <w:tab w:val="decimal" w:pos="293"/>
              </w:tabs>
              <w:jc w:val="both"/>
              <w:rPr>
                <w:noProof/>
                <w:sz w:val="20"/>
                <w:szCs w:val="20"/>
              </w:rPr>
            </w:pPr>
          </w:p>
        </w:tc>
        <w:tc>
          <w:tcPr>
            <w:tcW w:w="1052" w:type="dxa"/>
            <w:tcBorders>
              <w:left w:val="single" w:sz="4" w:space="0" w:color="auto"/>
              <w:bottom w:val="single" w:sz="12" w:space="0" w:color="auto"/>
              <w:right w:val="single" w:sz="4" w:space="0" w:color="auto"/>
            </w:tcBorders>
            <w:vAlign w:val="center"/>
          </w:tcPr>
          <w:p w14:paraId="0E262088" w14:textId="6016D9A6" w:rsidR="008A6A5C" w:rsidRPr="000B6FD6" w:rsidRDefault="008A6A5C" w:rsidP="000B6FD6">
            <w:pPr>
              <w:tabs>
                <w:tab w:val="decimal" w:pos="311"/>
              </w:tabs>
              <w:jc w:val="both"/>
              <w:rPr>
                <w:noProof/>
                <w:sz w:val="20"/>
                <w:szCs w:val="20"/>
              </w:rPr>
            </w:pPr>
          </w:p>
        </w:tc>
        <w:tc>
          <w:tcPr>
            <w:tcW w:w="1080" w:type="dxa"/>
            <w:tcBorders>
              <w:left w:val="single" w:sz="4" w:space="0" w:color="auto"/>
              <w:bottom w:val="single" w:sz="12" w:space="0" w:color="auto"/>
              <w:right w:val="single" w:sz="4" w:space="0" w:color="auto"/>
            </w:tcBorders>
            <w:vAlign w:val="center"/>
          </w:tcPr>
          <w:p w14:paraId="67BAB242" w14:textId="1BD3FCCF" w:rsidR="008A6A5C" w:rsidRPr="000B6FD6" w:rsidRDefault="008A6A5C" w:rsidP="000B6FD6">
            <w:pPr>
              <w:tabs>
                <w:tab w:val="decimal" w:pos="329"/>
              </w:tabs>
              <w:jc w:val="both"/>
              <w:rPr>
                <w:noProof/>
                <w:sz w:val="20"/>
                <w:szCs w:val="20"/>
              </w:rPr>
            </w:pPr>
          </w:p>
        </w:tc>
        <w:tc>
          <w:tcPr>
            <w:tcW w:w="1080" w:type="dxa"/>
            <w:tcBorders>
              <w:left w:val="single" w:sz="4" w:space="0" w:color="auto"/>
              <w:bottom w:val="single" w:sz="12" w:space="0" w:color="auto"/>
              <w:right w:val="single" w:sz="4" w:space="0" w:color="auto"/>
            </w:tcBorders>
            <w:vAlign w:val="center"/>
          </w:tcPr>
          <w:p w14:paraId="0055784E" w14:textId="4AA8A850" w:rsidR="008A6A5C" w:rsidRPr="000B6FD6" w:rsidRDefault="008A6A5C" w:rsidP="000B6FD6">
            <w:pPr>
              <w:tabs>
                <w:tab w:val="decimal" w:pos="347"/>
              </w:tabs>
              <w:jc w:val="both"/>
              <w:rPr>
                <w:noProof/>
                <w:sz w:val="20"/>
                <w:szCs w:val="20"/>
              </w:rPr>
            </w:pPr>
          </w:p>
        </w:tc>
        <w:tc>
          <w:tcPr>
            <w:tcW w:w="1080" w:type="dxa"/>
            <w:tcBorders>
              <w:left w:val="single" w:sz="4" w:space="0" w:color="auto"/>
              <w:bottom w:val="single" w:sz="12" w:space="0" w:color="auto"/>
              <w:right w:val="single" w:sz="4" w:space="0" w:color="auto"/>
            </w:tcBorders>
            <w:vAlign w:val="center"/>
          </w:tcPr>
          <w:p w14:paraId="69F4F225" w14:textId="1DA3B323" w:rsidR="008A6A5C" w:rsidRPr="000B6FD6" w:rsidRDefault="008A6A5C" w:rsidP="000B6FD6">
            <w:pPr>
              <w:tabs>
                <w:tab w:val="decimal" w:pos="365"/>
              </w:tabs>
              <w:jc w:val="both"/>
              <w:rPr>
                <w:noProof/>
                <w:sz w:val="20"/>
                <w:szCs w:val="20"/>
              </w:rPr>
            </w:pPr>
          </w:p>
        </w:tc>
        <w:tc>
          <w:tcPr>
            <w:tcW w:w="990" w:type="dxa"/>
            <w:tcBorders>
              <w:left w:val="single" w:sz="4" w:space="0" w:color="auto"/>
              <w:bottom w:val="single" w:sz="12" w:space="0" w:color="auto"/>
              <w:right w:val="single" w:sz="4" w:space="0" w:color="auto"/>
            </w:tcBorders>
            <w:vAlign w:val="center"/>
          </w:tcPr>
          <w:p w14:paraId="74FA5CEA" w14:textId="2C1BF72B" w:rsidR="008A6A5C" w:rsidRPr="000B6FD6" w:rsidRDefault="008A6A5C" w:rsidP="000B6FD6">
            <w:pPr>
              <w:tabs>
                <w:tab w:val="decimal" w:pos="293"/>
              </w:tabs>
              <w:jc w:val="both"/>
              <w:rPr>
                <w:noProof/>
                <w:sz w:val="20"/>
                <w:szCs w:val="20"/>
              </w:rPr>
            </w:pPr>
          </w:p>
        </w:tc>
        <w:tc>
          <w:tcPr>
            <w:tcW w:w="990" w:type="dxa"/>
            <w:tcBorders>
              <w:left w:val="single" w:sz="4" w:space="0" w:color="auto"/>
              <w:bottom w:val="single" w:sz="12" w:space="0" w:color="auto"/>
              <w:right w:val="single" w:sz="12" w:space="0" w:color="auto"/>
            </w:tcBorders>
            <w:vAlign w:val="center"/>
          </w:tcPr>
          <w:p w14:paraId="43CB85AD" w14:textId="77777777" w:rsidR="008A6A5C" w:rsidRPr="000B6FD6" w:rsidRDefault="008A6A5C" w:rsidP="000B6FD6">
            <w:pPr>
              <w:tabs>
                <w:tab w:val="decimal" w:pos="311"/>
              </w:tabs>
              <w:jc w:val="both"/>
              <w:rPr>
                <w:noProof/>
                <w:sz w:val="20"/>
                <w:szCs w:val="20"/>
              </w:rPr>
            </w:pPr>
            <w:r w:rsidRPr="000B6FD6">
              <w:rPr>
                <w:color w:val="000000"/>
                <w:sz w:val="20"/>
                <w:szCs w:val="20"/>
              </w:rPr>
              <w:t>1.000</w:t>
            </w:r>
          </w:p>
        </w:tc>
      </w:tr>
      <w:bookmarkEnd w:id="65"/>
    </w:tbl>
    <w:p w14:paraId="4B7C5AA6" w14:textId="77777777" w:rsidR="00141A0C" w:rsidRPr="009B2F97" w:rsidRDefault="00141A0C" w:rsidP="000B6FD6">
      <w:pPr>
        <w:spacing w:line="240" w:lineRule="auto"/>
        <w:jc w:val="both"/>
        <w:rPr>
          <w:b/>
          <w:bCs/>
          <w:noProof/>
        </w:rPr>
      </w:pPr>
    </w:p>
    <w:p w14:paraId="4A85F877" w14:textId="77777777" w:rsidR="00141A0C" w:rsidRPr="009B2F97" w:rsidRDefault="00141A0C" w:rsidP="000B6FD6">
      <w:pPr>
        <w:spacing w:line="240" w:lineRule="auto"/>
        <w:jc w:val="both"/>
        <w:rPr>
          <w:b/>
          <w:bCs/>
          <w:noProof/>
        </w:rPr>
      </w:pPr>
    </w:p>
    <w:p w14:paraId="3A35B84A" w14:textId="7CAE6C84" w:rsidR="00141A0C" w:rsidRPr="009B2F97" w:rsidRDefault="00141A0C" w:rsidP="000B6FD6">
      <w:pPr>
        <w:spacing w:line="240" w:lineRule="auto"/>
        <w:jc w:val="both"/>
        <w:rPr>
          <w:b/>
          <w:bCs/>
          <w:noProof/>
        </w:rPr>
      </w:pPr>
      <w:r w:rsidRPr="00D01ACC">
        <w:rPr>
          <w:b/>
          <w:bCs/>
          <w:noProof/>
        </w:rPr>
        <w:t xml:space="preserve">Table 6: </w:t>
      </w:r>
      <w:bookmarkStart w:id="66" w:name="_Hlk148699215"/>
      <w:r w:rsidRPr="00D01ACC">
        <w:rPr>
          <w:b/>
          <w:bCs/>
          <w:noProof/>
        </w:rPr>
        <w:t>Disaggregate Data Fit Measures</w:t>
      </w:r>
      <w:bookmarkEnd w:id="66"/>
    </w:p>
    <w:tbl>
      <w:tblPr>
        <w:tblW w:w="9165" w:type="dxa"/>
        <w:tblLook w:val="04A0" w:firstRow="1" w:lastRow="0" w:firstColumn="1" w:lastColumn="0" w:noHBand="0" w:noVBand="1"/>
      </w:tblPr>
      <w:tblGrid>
        <w:gridCol w:w="5385"/>
        <w:gridCol w:w="1980"/>
        <w:gridCol w:w="1800"/>
      </w:tblGrid>
      <w:tr w:rsidR="00141A0C" w:rsidRPr="000B6FD6" w14:paraId="5C1D7307" w14:textId="77777777" w:rsidTr="00926421">
        <w:trPr>
          <w:trHeight w:val="288"/>
        </w:trPr>
        <w:tc>
          <w:tcPr>
            <w:tcW w:w="5385" w:type="dxa"/>
            <w:vMerge w:val="restart"/>
            <w:tcBorders>
              <w:top w:val="single" w:sz="12" w:space="0" w:color="auto"/>
              <w:left w:val="single" w:sz="12" w:space="0" w:color="auto"/>
              <w:bottom w:val="double" w:sz="6" w:space="0" w:color="000000"/>
              <w:right w:val="single" w:sz="12" w:space="0" w:color="auto"/>
            </w:tcBorders>
            <w:shd w:val="clear" w:color="auto" w:fill="auto"/>
            <w:noWrap/>
            <w:vAlign w:val="center"/>
            <w:hideMark/>
          </w:tcPr>
          <w:p w14:paraId="39EBBB16" w14:textId="77777777" w:rsidR="00141A0C" w:rsidRPr="000B6FD6" w:rsidRDefault="00141A0C" w:rsidP="000B6FD6">
            <w:pPr>
              <w:spacing w:after="0" w:line="240" w:lineRule="auto"/>
              <w:jc w:val="both"/>
              <w:rPr>
                <w:rFonts w:eastAsia="Times New Roman"/>
                <w:b/>
                <w:bCs/>
                <w:sz w:val="20"/>
                <w:szCs w:val="20"/>
              </w:rPr>
            </w:pPr>
            <w:bookmarkStart w:id="67" w:name="_Hlk148699193"/>
            <w:r w:rsidRPr="000B6FD6">
              <w:rPr>
                <w:rFonts w:eastAsia="Times New Roman"/>
                <w:b/>
                <w:bCs/>
                <w:sz w:val="20"/>
                <w:szCs w:val="20"/>
              </w:rPr>
              <w:t>Summary Statistics</w:t>
            </w:r>
          </w:p>
        </w:tc>
        <w:tc>
          <w:tcPr>
            <w:tcW w:w="378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23750A6B" w14:textId="77777777" w:rsidR="00141A0C" w:rsidRPr="000B6FD6" w:rsidRDefault="00141A0C" w:rsidP="000B6FD6">
            <w:pPr>
              <w:spacing w:after="0" w:line="240" w:lineRule="auto"/>
              <w:jc w:val="center"/>
              <w:rPr>
                <w:rFonts w:eastAsia="Times New Roman"/>
                <w:b/>
                <w:bCs/>
                <w:sz w:val="20"/>
                <w:szCs w:val="20"/>
              </w:rPr>
            </w:pPr>
            <w:r w:rsidRPr="000B6FD6">
              <w:rPr>
                <w:rFonts w:eastAsia="Times New Roman"/>
                <w:b/>
                <w:bCs/>
                <w:sz w:val="20"/>
                <w:szCs w:val="20"/>
              </w:rPr>
              <w:t>Model</w:t>
            </w:r>
          </w:p>
        </w:tc>
      </w:tr>
      <w:tr w:rsidR="00141A0C" w:rsidRPr="000B6FD6" w14:paraId="1A4F3613" w14:textId="77777777" w:rsidTr="00926421">
        <w:trPr>
          <w:trHeight w:val="288"/>
        </w:trPr>
        <w:tc>
          <w:tcPr>
            <w:tcW w:w="5385" w:type="dxa"/>
            <w:vMerge/>
            <w:tcBorders>
              <w:top w:val="single" w:sz="8" w:space="0" w:color="auto"/>
              <w:left w:val="single" w:sz="12" w:space="0" w:color="auto"/>
              <w:bottom w:val="single" w:sz="12" w:space="0" w:color="auto"/>
              <w:right w:val="single" w:sz="12" w:space="0" w:color="auto"/>
            </w:tcBorders>
            <w:vAlign w:val="center"/>
            <w:hideMark/>
          </w:tcPr>
          <w:p w14:paraId="70D2AA4F" w14:textId="77777777" w:rsidR="00141A0C" w:rsidRPr="000B6FD6" w:rsidRDefault="00141A0C" w:rsidP="000B6FD6">
            <w:pPr>
              <w:spacing w:after="0" w:line="240" w:lineRule="auto"/>
              <w:jc w:val="both"/>
              <w:rPr>
                <w:rFonts w:eastAsia="Times New Roman"/>
                <w:b/>
                <w:bCs/>
                <w:sz w:val="20"/>
                <w:szCs w:val="20"/>
              </w:rPr>
            </w:pPr>
          </w:p>
        </w:tc>
        <w:tc>
          <w:tcPr>
            <w:tcW w:w="1980" w:type="dxa"/>
            <w:tcBorders>
              <w:top w:val="single" w:sz="4" w:space="0" w:color="auto"/>
              <w:left w:val="single" w:sz="12" w:space="0" w:color="auto"/>
              <w:bottom w:val="single" w:sz="12" w:space="0" w:color="auto"/>
              <w:right w:val="nil"/>
            </w:tcBorders>
            <w:shd w:val="clear" w:color="auto" w:fill="auto"/>
            <w:noWrap/>
            <w:vAlign w:val="bottom"/>
            <w:hideMark/>
          </w:tcPr>
          <w:p w14:paraId="5CDC7F93" w14:textId="77777777" w:rsidR="00141A0C" w:rsidRPr="000B6FD6" w:rsidRDefault="00141A0C" w:rsidP="000B6FD6">
            <w:pPr>
              <w:spacing w:after="0" w:line="240" w:lineRule="auto"/>
              <w:jc w:val="center"/>
              <w:rPr>
                <w:rFonts w:eastAsia="Times New Roman"/>
                <w:b/>
                <w:bCs/>
                <w:sz w:val="20"/>
                <w:szCs w:val="20"/>
              </w:rPr>
            </w:pPr>
            <w:r w:rsidRPr="000B6FD6">
              <w:rPr>
                <w:rFonts w:eastAsia="Times New Roman"/>
                <w:b/>
                <w:bCs/>
                <w:sz w:val="20"/>
                <w:szCs w:val="20"/>
              </w:rPr>
              <w:t>Joint (GHDM) Model</w:t>
            </w:r>
          </w:p>
        </w:tc>
        <w:tc>
          <w:tcPr>
            <w:tcW w:w="1800" w:type="dxa"/>
            <w:tcBorders>
              <w:top w:val="single" w:sz="4" w:space="0" w:color="auto"/>
              <w:left w:val="single" w:sz="4" w:space="0" w:color="auto"/>
              <w:bottom w:val="single" w:sz="12" w:space="0" w:color="auto"/>
              <w:right w:val="single" w:sz="12" w:space="0" w:color="auto"/>
            </w:tcBorders>
            <w:shd w:val="clear" w:color="auto" w:fill="auto"/>
            <w:noWrap/>
            <w:vAlign w:val="bottom"/>
            <w:hideMark/>
          </w:tcPr>
          <w:p w14:paraId="12171361" w14:textId="77777777" w:rsidR="00141A0C" w:rsidRPr="000B6FD6" w:rsidRDefault="00141A0C" w:rsidP="000B6FD6">
            <w:pPr>
              <w:spacing w:after="0" w:line="240" w:lineRule="auto"/>
              <w:jc w:val="center"/>
              <w:rPr>
                <w:rFonts w:eastAsia="Times New Roman"/>
                <w:b/>
                <w:bCs/>
                <w:sz w:val="20"/>
                <w:szCs w:val="20"/>
              </w:rPr>
            </w:pPr>
            <w:r w:rsidRPr="000B6FD6">
              <w:rPr>
                <w:rFonts w:eastAsia="Times New Roman"/>
                <w:b/>
                <w:bCs/>
                <w:sz w:val="20"/>
                <w:szCs w:val="20"/>
              </w:rPr>
              <w:t>Independent Model</w:t>
            </w:r>
          </w:p>
        </w:tc>
      </w:tr>
      <w:tr w:rsidR="00141A0C" w:rsidRPr="000B6FD6" w14:paraId="44A2F53F" w14:textId="77777777" w:rsidTr="00926421">
        <w:trPr>
          <w:trHeight w:val="288"/>
        </w:trPr>
        <w:tc>
          <w:tcPr>
            <w:tcW w:w="5385"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BDA3577" w14:textId="77777777" w:rsidR="00141A0C" w:rsidRPr="000B6FD6" w:rsidRDefault="00141A0C" w:rsidP="000B6FD6">
            <w:pPr>
              <w:spacing w:after="0" w:line="240" w:lineRule="auto"/>
              <w:jc w:val="both"/>
              <w:rPr>
                <w:rFonts w:eastAsia="Times New Roman"/>
                <w:sz w:val="20"/>
                <w:szCs w:val="20"/>
              </w:rPr>
            </w:pPr>
            <w:r w:rsidRPr="000B6FD6">
              <w:rPr>
                <w:rFonts w:eastAsia="Times New Roman"/>
                <w:sz w:val="20"/>
                <w:szCs w:val="20"/>
              </w:rPr>
              <w:t>Predictive log-likelihood at convergence</w:t>
            </w:r>
          </w:p>
        </w:tc>
        <w:tc>
          <w:tcPr>
            <w:tcW w:w="1980" w:type="dxa"/>
            <w:tcBorders>
              <w:top w:val="single" w:sz="12" w:space="0" w:color="auto"/>
              <w:left w:val="single" w:sz="12" w:space="0" w:color="auto"/>
              <w:bottom w:val="single" w:sz="4" w:space="0" w:color="auto"/>
              <w:right w:val="nil"/>
            </w:tcBorders>
            <w:shd w:val="clear" w:color="auto" w:fill="auto"/>
            <w:noWrap/>
            <w:vAlign w:val="center"/>
          </w:tcPr>
          <w:p w14:paraId="2D4209C5" w14:textId="26FA2208" w:rsidR="00141A0C" w:rsidRPr="000B6FD6" w:rsidRDefault="00094AFB" w:rsidP="000B6FD6">
            <w:pPr>
              <w:spacing w:after="0" w:line="240" w:lineRule="auto"/>
              <w:jc w:val="center"/>
              <w:rPr>
                <w:rFonts w:eastAsia="Times New Roman"/>
                <w:sz w:val="20"/>
                <w:szCs w:val="20"/>
              </w:rPr>
            </w:pPr>
            <w:r w:rsidRPr="000B6FD6">
              <w:rPr>
                <w:rFonts w:eastAsia="Times New Roman"/>
                <w:sz w:val="20"/>
                <w:szCs w:val="20"/>
              </w:rPr>
              <w:t>-20046.13</w:t>
            </w:r>
          </w:p>
        </w:tc>
        <w:tc>
          <w:tcPr>
            <w:tcW w:w="1800"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597DA800" w14:textId="77777777" w:rsidR="00141A0C" w:rsidRPr="000B6FD6" w:rsidRDefault="00141A0C" w:rsidP="000B6FD6">
            <w:pPr>
              <w:spacing w:after="0" w:line="240" w:lineRule="auto"/>
              <w:jc w:val="center"/>
              <w:rPr>
                <w:rFonts w:eastAsia="Times New Roman"/>
                <w:sz w:val="20"/>
                <w:szCs w:val="20"/>
              </w:rPr>
            </w:pPr>
            <w:r w:rsidRPr="000B6FD6">
              <w:rPr>
                <w:rFonts w:eastAsia="Times New Roman"/>
                <w:sz w:val="20"/>
                <w:szCs w:val="20"/>
              </w:rPr>
              <w:t>-21464.82</w:t>
            </w:r>
          </w:p>
        </w:tc>
      </w:tr>
      <w:tr w:rsidR="00141A0C" w:rsidRPr="000B6FD6" w14:paraId="354614CC" w14:textId="77777777" w:rsidTr="00926421">
        <w:trPr>
          <w:trHeight w:val="288"/>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AA74548" w14:textId="77777777" w:rsidR="00141A0C" w:rsidRPr="000B6FD6" w:rsidRDefault="00141A0C" w:rsidP="000B6FD6">
            <w:pPr>
              <w:spacing w:after="0" w:line="240" w:lineRule="auto"/>
              <w:jc w:val="both"/>
              <w:rPr>
                <w:rFonts w:eastAsia="Times New Roman"/>
                <w:sz w:val="20"/>
                <w:szCs w:val="20"/>
              </w:rPr>
            </w:pPr>
            <w:r w:rsidRPr="000B6FD6">
              <w:rPr>
                <w:rFonts w:eastAsia="Times New Roman"/>
                <w:sz w:val="20"/>
                <w:szCs w:val="20"/>
              </w:rPr>
              <w:t>Number of parameters</w:t>
            </w:r>
          </w:p>
        </w:tc>
        <w:tc>
          <w:tcPr>
            <w:tcW w:w="1980" w:type="dxa"/>
            <w:tcBorders>
              <w:top w:val="single" w:sz="4" w:space="0" w:color="auto"/>
              <w:left w:val="single" w:sz="12" w:space="0" w:color="auto"/>
              <w:bottom w:val="single" w:sz="4" w:space="0" w:color="auto"/>
              <w:right w:val="nil"/>
            </w:tcBorders>
            <w:shd w:val="clear" w:color="auto" w:fill="auto"/>
            <w:noWrap/>
            <w:vAlign w:val="center"/>
          </w:tcPr>
          <w:p w14:paraId="3E19BB5D" w14:textId="70E7D2A4" w:rsidR="00141A0C" w:rsidRPr="00080A59" w:rsidRDefault="0025770C" w:rsidP="000B6FD6">
            <w:pPr>
              <w:spacing w:after="0" w:line="240" w:lineRule="auto"/>
              <w:jc w:val="center"/>
              <w:rPr>
                <w:rFonts w:eastAsia="Times New Roman"/>
                <w:sz w:val="20"/>
                <w:szCs w:val="20"/>
              </w:rPr>
            </w:pPr>
            <w:r w:rsidRPr="00080A59">
              <w:rPr>
                <w:rFonts w:eastAsia="Times New Roman"/>
                <w:sz w:val="20"/>
                <w:szCs w:val="20"/>
              </w:rPr>
              <w:t>1</w:t>
            </w:r>
            <w:r w:rsidR="0010725F" w:rsidRPr="00080A59">
              <w:rPr>
                <w:rFonts w:eastAsia="Times New Roman"/>
                <w:sz w:val="20"/>
                <w:szCs w:val="20"/>
              </w:rPr>
              <w:t>74</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C35C150" w14:textId="3803E91A" w:rsidR="00141A0C" w:rsidRPr="00080A59" w:rsidRDefault="000E136C" w:rsidP="000B6FD6">
            <w:pPr>
              <w:spacing w:after="0" w:line="240" w:lineRule="auto"/>
              <w:jc w:val="center"/>
              <w:rPr>
                <w:rFonts w:eastAsia="Times New Roman"/>
                <w:sz w:val="20"/>
                <w:szCs w:val="20"/>
              </w:rPr>
            </w:pPr>
            <w:r w:rsidRPr="00080A59">
              <w:rPr>
                <w:rFonts w:eastAsia="Times New Roman"/>
                <w:sz w:val="20"/>
                <w:szCs w:val="20"/>
              </w:rPr>
              <w:t>1</w:t>
            </w:r>
            <w:r w:rsidR="0010725F" w:rsidRPr="00080A59">
              <w:rPr>
                <w:rFonts w:eastAsia="Times New Roman"/>
                <w:sz w:val="20"/>
                <w:szCs w:val="20"/>
              </w:rPr>
              <w:t>65</w:t>
            </w:r>
          </w:p>
        </w:tc>
      </w:tr>
      <w:tr w:rsidR="00141A0C" w:rsidRPr="000B6FD6" w14:paraId="405C52AF" w14:textId="77777777" w:rsidTr="00926421">
        <w:trPr>
          <w:trHeight w:val="288"/>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C989DF7" w14:textId="77777777" w:rsidR="00141A0C" w:rsidRPr="000B6FD6" w:rsidRDefault="00141A0C" w:rsidP="000B6FD6">
            <w:pPr>
              <w:spacing w:after="0" w:line="240" w:lineRule="auto"/>
              <w:jc w:val="both"/>
              <w:rPr>
                <w:rFonts w:eastAsia="Times New Roman"/>
                <w:sz w:val="20"/>
                <w:szCs w:val="20"/>
              </w:rPr>
            </w:pPr>
            <w:r w:rsidRPr="000B6FD6">
              <w:rPr>
                <w:rFonts w:eastAsia="Times New Roman"/>
                <w:sz w:val="20"/>
                <w:szCs w:val="20"/>
              </w:rPr>
              <w:t>Bayesian Information Criterion (BIC)</w:t>
            </w:r>
          </w:p>
        </w:tc>
        <w:tc>
          <w:tcPr>
            <w:tcW w:w="1980" w:type="dxa"/>
            <w:tcBorders>
              <w:top w:val="single" w:sz="4" w:space="0" w:color="auto"/>
              <w:left w:val="single" w:sz="12" w:space="0" w:color="auto"/>
              <w:bottom w:val="single" w:sz="4" w:space="0" w:color="auto"/>
              <w:right w:val="nil"/>
            </w:tcBorders>
            <w:shd w:val="clear" w:color="auto" w:fill="auto"/>
            <w:noWrap/>
            <w:vAlign w:val="center"/>
          </w:tcPr>
          <w:p w14:paraId="65F0EDFC" w14:textId="5F07C8C3" w:rsidR="00141A0C" w:rsidRPr="000B6FD6" w:rsidRDefault="002B006D" w:rsidP="000B6FD6">
            <w:pPr>
              <w:spacing w:after="0" w:line="240" w:lineRule="auto"/>
              <w:jc w:val="center"/>
              <w:rPr>
                <w:rFonts w:eastAsia="Times New Roman"/>
                <w:sz w:val="20"/>
                <w:szCs w:val="20"/>
              </w:rPr>
            </w:pPr>
            <w:r w:rsidRPr="000B6FD6">
              <w:rPr>
                <w:rFonts w:eastAsia="Times New Roman"/>
                <w:sz w:val="20"/>
                <w:szCs w:val="20"/>
              </w:rPr>
              <w:t>20</w:t>
            </w:r>
            <w:r w:rsidR="003B7BA7">
              <w:rPr>
                <w:rFonts w:eastAsia="Times New Roman"/>
                <w:sz w:val="20"/>
                <w:szCs w:val="20"/>
              </w:rPr>
              <w:t>7</w:t>
            </w:r>
            <w:r w:rsidR="00080A59">
              <w:rPr>
                <w:rFonts w:eastAsia="Times New Roman"/>
                <w:sz w:val="20"/>
                <w:szCs w:val="20"/>
              </w:rPr>
              <w:t>13.66</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6E6D3E8" w14:textId="2C31C1EB" w:rsidR="00141A0C" w:rsidRPr="000B6FD6" w:rsidRDefault="00141A0C" w:rsidP="000B6FD6">
            <w:pPr>
              <w:spacing w:after="0" w:line="240" w:lineRule="auto"/>
              <w:jc w:val="center"/>
              <w:rPr>
                <w:sz w:val="20"/>
                <w:szCs w:val="20"/>
              </w:rPr>
            </w:pPr>
            <w:r w:rsidRPr="000B6FD6">
              <w:rPr>
                <w:sz w:val="20"/>
                <w:szCs w:val="20"/>
              </w:rPr>
              <w:t>2</w:t>
            </w:r>
            <w:r w:rsidR="004C53B5" w:rsidRPr="000B6FD6">
              <w:rPr>
                <w:sz w:val="20"/>
                <w:szCs w:val="20"/>
              </w:rPr>
              <w:t>2</w:t>
            </w:r>
            <w:r w:rsidR="00080A59">
              <w:rPr>
                <w:sz w:val="20"/>
                <w:szCs w:val="20"/>
              </w:rPr>
              <w:t>097.82</w:t>
            </w:r>
          </w:p>
        </w:tc>
      </w:tr>
      <w:tr w:rsidR="00141A0C" w:rsidRPr="000B6FD6" w14:paraId="16907BCC" w14:textId="77777777" w:rsidTr="00926421">
        <w:trPr>
          <w:trHeight w:val="288"/>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0DCD087" w14:textId="77777777" w:rsidR="00141A0C" w:rsidRPr="000B6FD6" w:rsidRDefault="00141A0C" w:rsidP="000B6FD6">
            <w:pPr>
              <w:spacing w:after="0" w:line="240" w:lineRule="auto"/>
              <w:jc w:val="both"/>
              <w:rPr>
                <w:rFonts w:eastAsia="Times New Roman"/>
                <w:sz w:val="20"/>
                <w:szCs w:val="20"/>
              </w:rPr>
            </w:pPr>
            <w:r w:rsidRPr="000B6FD6">
              <w:rPr>
                <w:rFonts w:eastAsia="Times New Roman"/>
                <w:sz w:val="20"/>
                <w:szCs w:val="20"/>
              </w:rPr>
              <w:t>Constants-only predictive log-likelihood</w:t>
            </w:r>
          </w:p>
        </w:tc>
        <w:tc>
          <w:tcPr>
            <w:tcW w:w="1980" w:type="dxa"/>
            <w:tcBorders>
              <w:top w:val="single" w:sz="4" w:space="0" w:color="auto"/>
              <w:left w:val="single" w:sz="12" w:space="0" w:color="auto"/>
              <w:bottom w:val="single" w:sz="4" w:space="0" w:color="auto"/>
              <w:right w:val="nil"/>
            </w:tcBorders>
            <w:shd w:val="clear" w:color="auto" w:fill="auto"/>
            <w:noWrap/>
            <w:vAlign w:val="center"/>
          </w:tcPr>
          <w:p w14:paraId="2238936D" w14:textId="77777777" w:rsidR="00141A0C" w:rsidRPr="000B6FD6" w:rsidRDefault="00141A0C" w:rsidP="000B6FD6">
            <w:pPr>
              <w:spacing w:after="0" w:line="240" w:lineRule="auto"/>
              <w:jc w:val="center"/>
              <w:rPr>
                <w:rFonts w:eastAsia="Times New Roman"/>
                <w:sz w:val="20"/>
                <w:szCs w:val="20"/>
              </w:rPr>
            </w:pPr>
            <w:r w:rsidRPr="000B6FD6">
              <w:rPr>
                <w:rFonts w:eastAsia="Times New Roman"/>
                <w:sz w:val="20"/>
                <w:szCs w:val="20"/>
              </w:rPr>
              <w:t>-26641.42</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F7C81E7" w14:textId="77777777" w:rsidR="00141A0C" w:rsidRPr="000B6FD6" w:rsidRDefault="00141A0C" w:rsidP="000B6FD6">
            <w:pPr>
              <w:spacing w:after="0" w:line="240" w:lineRule="auto"/>
              <w:jc w:val="center"/>
              <w:rPr>
                <w:rFonts w:eastAsia="Times New Roman"/>
                <w:sz w:val="20"/>
                <w:szCs w:val="20"/>
              </w:rPr>
            </w:pPr>
            <w:r w:rsidRPr="000B6FD6">
              <w:rPr>
                <w:rFonts w:eastAsia="Times New Roman"/>
                <w:sz w:val="20"/>
                <w:szCs w:val="20"/>
              </w:rPr>
              <w:t>-26641.42</w:t>
            </w:r>
          </w:p>
        </w:tc>
      </w:tr>
      <w:tr w:rsidR="00141A0C" w:rsidRPr="000B6FD6" w14:paraId="44D9DE54" w14:textId="77777777" w:rsidTr="00926421">
        <w:trPr>
          <w:trHeight w:val="288"/>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FEA04C5" w14:textId="77777777" w:rsidR="00141A0C" w:rsidRPr="000B6FD6" w:rsidRDefault="00141A0C" w:rsidP="000B6FD6">
            <w:pPr>
              <w:spacing w:after="0" w:line="240" w:lineRule="auto"/>
              <w:jc w:val="both"/>
              <w:rPr>
                <w:rFonts w:eastAsia="Times New Roman"/>
                <w:sz w:val="20"/>
                <w:szCs w:val="20"/>
              </w:rPr>
            </w:pPr>
            <w:r w:rsidRPr="000B6FD6">
              <w:rPr>
                <w:rFonts w:eastAsia="Times New Roman"/>
                <w:sz w:val="20"/>
                <w:szCs w:val="20"/>
              </w:rPr>
              <w:t>Predictive adjusted likelihood ratio index</w:t>
            </w:r>
          </w:p>
        </w:tc>
        <w:tc>
          <w:tcPr>
            <w:tcW w:w="1980" w:type="dxa"/>
            <w:tcBorders>
              <w:top w:val="single" w:sz="4" w:space="0" w:color="auto"/>
              <w:left w:val="single" w:sz="12" w:space="0" w:color="auto"/>
              <w:bottom w:val="single" w:sz="4" w:space="0" w:color="auto"/>
              <w:right w:val="nil"/>
            </w:tcBorders>
            <w:shd w:val="clear" w:color="auto" w:fill="auto"/>
            <w:noWrap/>
            <w:vAlign w:val="center"/>
          </w:tcPr>
          <w:p w14:paraId="0FC5D43C" w14:textId="6524D5CD" w:rsidR="00141A0C" w:rsidRPr="000B6FD6" w:rsidRDefault="005E52CE" w:rsidP="000B6FD6">
            <w:pPr>
              <w:spacing w:after="0" w:line="240" w:lineRule="auto"/>
              <w:jc w:val="center"/>
              <w:rPr>
                <w:rFonts w:eastAsia="Times New Roman"/>
                <w:sz w:val="20"/>
                <w:szCs w:val="20"/>
              </w:rPr>
            </w:pPr>
            <w:r w:rsidRPr="000B6FD6">
              <w:rPr>
                <w:rFonts w:eastAsia="Times New Roman"/>
                <w:sz w:val="20"/>
                <w:szCs w:val="20"/>
              </w:rPr>
              <w:t>0.2</w:t>
            </w:r>
            <w:r w:rsidR="002F459D">
              <w:rPr>
                <w:rFonts w:eastAsia="Times New Roman"/>
                <w:sz w:val="20"/>
                <w:szCs w:val="20"/>
              </w:rPr>
              <w:t>42</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36BAD08" w14:textId="744C163A" w:rsidR="00141A0C" w:rsidRPr="000B6FD6" w:rsidRDefault="00141A0C" w:rsidP="000B6FD6">
            <w:pPr>
              <w:spacing w:after="0" w:line="240" w:lineRule="auto"/>
              <w:jc w:val="center"/>
              <w:rPr>
                <w:rFonts w:eastAsia="Times New Roman"/>
                <w:sz w:val="20"/>
                <w:szCs w:val="20"/>
              </w:rPr>
            </w:pPr>
            <w:r w:rsidRPr="000B6FD6">
              <w:rPr>
                <w:rFonts w:eastAsia="Times New Roman"/>
                <w:sz w:val="20"/>
                <w:szCs w:val="20"/>
              </w:rPr>
              <w:t>0.</w:t>
            </w:r>
            <w:r w:rsidR="00373A38" w:rsidRPr="000B6FD6">
              <w:rPr>
                <w:rFonts w:eastAsia="Times New Roman"/>
                <w:sz w:val="20"/>
                <w:szCs w:val="20"/>
              </w:rPr>
              <w:t>1</w:t>
            </w:r>
            <w:r w:rsidR="002F459D">
              <w:rPr>
                <w:rFonts w:eastAsia="Times New Roman"/>
                <w:sz w:val="20"/>
                <w:szCs w:val="20"/>
              </w:rPr>
              <w:t>89</w:t>
            </w:r>
          </w:p>
        </w:tc>
      </w:tr>
      <w:tr w:rsidR="00141A0C" w:rsidRPr="000B6FD6" w14:paraId="73D5EC67" w14:textId="77777777" w:rsidTr="00926421">
        <w:trPr>
          <w:trHeight w:val="288"/>
        </w:trPr>
        <w:tc>
          <w:tcPr>
            <w:tcW w:w="5385"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75330EDC" w14:textId="77777777" w:rsidR="00141A0C" w:rsidRPr="000B6FD6" w:rsidRDefault="00141A0C" w:rsidP="000B6FD6">
            <w:pPr>
              <w:spacing w:after="0" w:line="240" w:lineRule="auto"/>
              <w:jc w:val="both"/>
              <w:rPr>
                <w:rFonts w:eastAsia="Times New Roman"/>
                <w:sz w:val="20"/>
                <w:szCs w:val="20"/>
              </w:rPr>
            </w:pPr>
            <w:r w:rsidRPr="000B6FD6">
              <w:rPr>
                <w:rFonts w:eastAsia="Times New Roman"/>
                <w:sz w:val="20"/>
                <w:szCs w:val="20"/>
              </w:rPr>
              <w:t>Informal non-nested adjusted likelihood ratio test: joint model versus independent model</w:t>
            </w:r>
          </w:p>
        </w:tc>
        <w:tc>
          <w:tcPr>
            <w:tcW w:w="3780"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14:paraId="42CDFFAA" w14:textId="7A3CAE1F" w:rsidR="00141A0C" w:rsidRPr="000B6FD6" w:rsidRDefault="007311DB" w:rsidP="000B6FD6">
            <w:pPr>
              <w:spacing w:after="0" w:line="240" w:lineRule="auto"/>
              <w:jc w:val="both"/>
              <w:rPr>
                <w:rFonts w:eastAsia="Times New Roman"/>
                <w:sz w:val="20"/>
                <w:szCs w:val="20"/>
              </w:rPr>
            </w:pPr>
            <m:oMathPara>
              <m:oMath>
                <m:r>
                  <m:rPr>
                    <m:sty m:val="p"/>
                  </m:rPr>
                  <w:rPr>
                    <w:rFonts w:ascii="Cambria Math" w:eastAsia="Times New Roman" w:hAnsi="Cambria Math"/>
                    <w:sz w:val="20"/>
                    <w:szCs w:val="20"/>
                  </w:rPr>
                  <m:t>Φ[-53.226]</m:t>
                </m:r>
                <m:r>
                  <w:rPr>
                    <w:rFonts w:ascii="Cambria Math" w:eastAsia="Times New Roman" w:hAnsi="Cambria Math"/>
                    <w:sz w:val="20"/>
                    <w:szCs w:val="20"/>
                  </w:rPr>
                  <m:t xml:space="preserve"> </m:t>
                </m:r>
                <m:r>
                  <m:rPr>
                    <m:sty m:val="p"/>
                  </m:rPr>
                  <w:rPr>
                    <w:rFonts w:ascii="Cambria Math" w:eastAsia="Times New Roman" w:hAnsi="Cambria Math"/>
                    <w:sz w:val="20"/>
                    <w:szCs w:val="20"/>
                  </w:rPr>
                  <m:t>≈0.000</m:t>
                </m:r>
              </m:oMath>
            </m:oMathPara>
          </w:p>
        </w:tc>
      </w:tr>
      <w:bookmarkEnd w:id="67"/>
    </w:tbl>
    <w:p w14:paraId="70DB2ED7" w14:textId="77777777" w:rsidR="00141A0C" w:rsidRDefault="00141A0C" w:rsidP="000B6FD6">
      <w:pPr>
        <w:spacing w:line="240" w:lineRule="auto"/>
        <w:jc w:val="both"/>
        <w:rPr>
          <w:noProof/>
        </w:rPr>
      </w:pPr>
    </w:p>
    <w:p w14:paraId="35EA27EC" w14:textId="77777777" w:rsidR="00DF518F" w:rsidRDefault="00DF518F" w:rsidP="000B6FD6">
      <w:pPr>
        <w:spacing w:line="240" w:lineRule="auto"/>
        <w:jc w:val="both"/>
        <w:rPr>
          <w:noProof/>
        </w:rPr>
      </w:pPr>
    </w:p>
    <w:p w14:paraId="71D8E309" w14:textId="099F72CD" w:rsidR="00DF518F" w:rsidRDefault="00DF518F" w:rsidP="000B6FD6">
      <w:pPr>
        <w:spacing w:line="240" w:lineRule="auto"/>
        <w:jc w:val="both"/>
        <w:rPr>
          <w:b/>
          <w:bCs/>
          <w:noProof/>
        </w:rPr>
      </w:pPr>
      <w:r>
        <w:rPr>
          <w:b/>
          <w:bCs/>
          <w:noProof/>
        </w:rPr>
        <w:lastRenderedPageBreak/>
        <w:t xml:space="preserve">Table 7: </w:t>
      </w:r>
      <w:r w:rsidR="00B71110">
        <w:rPr>
          <w:b/>
          <w:bCs/>
          <w:noProof/>
        </w:rPr>
        <w:t>Average Treatment Effects</w:t>
      </w:r>
    </w:p>
    <w:tbl>
      <w:tblPr>
        <w:tblStyle w:val="TableGrid"/>
        <w:tblW w:w="132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5"/>
        <w:gridCol w:w="1170"/>
        <w:gridCol w:w="990"/>
        <w:gridCol w:w="1008"/>
        <w:gridCol w:w="792"/>
        <w:gridCol w:w="1008"/>
        <w:gridCol w:w="972"/>
        <w:gridCol w:w="990"/>
        <w:gridCol w:w="900"/>
        <w:gridCol w:w="900"/>
        <w:gridCol w:w="900"/>
        <w:gridCol w:w="900"/>
      </w:tblGrid>
      <w:tr w:rsidR="000B6A21" w:rsidRPr="00862DF8" w14:paraId="62177785" w14:textId="77777777" w:rsidTr="00926421">
        <w:trPr>
          <w:trHeight w:val="720"/>
        </w:trPr>
        <w:tc>
          <w:tcPr>
            <w:tcW w:w="2685" w:type="dxa"/>
            <w:tcBorders>
              <w:top w:val="single" w:sz="12" w:space="0" w:color="auto"/>
              <w:bottom w:val="nil"/>
              <w:right w:val="single" w:sz="4" w:space="0" w:color="auto"/>
            </w:tcBorders>
            <w:tcMar>
              <w:left w:w="43" w:type="dxa"/>
              <w:right w:w="43" w:type="dxa"/>
            </w:tcMar>
            <w:vAlign w:val="center"/>
          </w:tcPr>
          <w:p w14:paraId="6896D45F" w14:textId="123D07D2" w:rsidR="006E6148" w:rsidRPr="00BB08BF" w:rsidRDefault="006E6148" w:rsidP="007C3C87">
            <w:pPr>
              <w:jc w:val="center"/>
              <w:rPr>
                <w:b/>
                <w:bCs/>
                <w:noProof/>
                <w:sz w:val="18"/>
                <w:szCs w:val="18"/>
              </w:rPr>
            </w:pPr>
            <w:bookmarkStart w:id="68" w:name="_Hlk148699319"/>
            <w:r w:rsidRPr="00BB08BF">
              <w:rPr>
                <w:b/>
                <w:bCs/>
                <w:noProof/>
                <w:sz w:val="18"/>
                <w:szCs w:val="18"/>
              </w:rPr>
              <w:t>Variable</w:t>
            </w:r>
          </w:p>
        </w:tc>
        <w:tc>
          <w:tcPr>
            <w:tcW w:w="1170" w:type="dxa"/>
            <w:tcBorders>
              <w:top w:val="single" w:sz="12" w:space="0" w:color="auto"/>
              <w:left w:val="single" w:sz="4" w:space="0" w:color="auto"/>
              <w:bottom w:val="nil"/>
              <w:right w:val="single" w:sz="4" w:space="0" w:color="auto"/>
            </w:tcBorders>
            <w:tcMar>
              <w:left w:w="43" w:type="dxa"/>
              <w:right w:w="43" w:type="dxa"/>
            </w:tcMar>
            <w:vAlign w:val="center"/>
          </w:tcPr>
          <w:p w14:paraId="5DED54CD" w14:textId="47341137" w:rsidR="006E6148" w:rsidRPr="00BB08BF" w:rsidRDefault="006E6148" w:rsidP="00862DF8">
            <w:pPr>
              <w:jc w:val="center"/>
              <w:rPr>
                <w:rFonts w:eastAsia="Times New Roman"/>
                <w:b/>
                <w:bCs/>
                <w:sz w:val="18"/>
                <w:szCs w:val="18"/>
              </w:rPr>
            </w:pPr>
            <w:r w:rsidRPr="00BB08BF">
              <w:rPr>
                <w:rFonts w:eastAsia="Times New Roman"/>
                <w:b/>
                <w:bCs/>
                <w:sz w:val="18"/>
                <w:szCs w:val="18"/>
              </w:rPr>
              <w:t>Base Level</w:t>
            </w:r>
          </w:p>
        </w:tc>
        <w:tc>
          <w:tcPr>
            <w:tcW w:w="990" w:type="dxa"/>
            <w:tcBorders>
              <w:top w:val="single" w:sz="12" w:space="0" w:color="auto"/>
              <w:left w:val="single" w:sz="4" w:space="0" w:color="auto"/>
              <w:bottom w:val="nil"/>
              <w:right w:val="single" w:sz="12" w:space="0" w:color="auto"/>
            </w:tcBorders>
            <w:tcMar>
              <w:left w:w="43" w:type="dxa"/>
              <w:right w:w="43" w:type="dxa"/>
            </w:tcMar>
            <w:vAlign w:val="center"/>
          </w:tcPr>
          <w:p w14:paraId="2367C364" w14:textId="5A53AF1F" w:rsidR="006E6148" w:rsidRPr="00BB08BF" w:rsidRDefault="006E6148" w:rsidP="00862DF8">
            <w:pPr>
              <w:jc w:val="center"/>
              <w:rPr>
                <w:rFonts w:eastAsia="Times New Roman"/>
                <w:b/>
                <w:bCs/>
                <w:sz w:val="18"/>
                <w:szCs w:val="18"/>
              </w:rPr>
            </w:pPr>
            <w:r w:rsidRPr="00BB08BF">
              <w:rPr>
                <w:rFonts w:eastAsia="Times New Roman"/>
                <w:b/>
                <w:bCs/>
                <w:sz w:val="18"/>
                <w:szCs w:val="18"/>
              </w:rPr>
              <w:t>Treatment Level</w:t>
            </w:r>
          </w:p>
        </w:tc>
        <w:tc>
          <w:tcPr>
            <w:tcW w:w="1008" w:type="dxa"/>
            <w:tcBorders>
              <w:top w:val="single" w:sz="12" w:space="0" w:color="auto"/>
              <w:left w:val="single" w:sz="12" w:space="0" w:color="auto"/>
              <w:bottom w:val="nil"/>
              <w:right w:val="single" w:sz="4" w:space="0" w:color="auto"/>
            </w:tcBorders>
            <w:tcMar>
              <w:left w:w="43" w:type="dxa"/>
              <w:right w:w="43" w:type="dxa"/>
            </w:tcMar>
            <w:vAlign w:val="center"/>
          </w:tcPr>
          <w:p w14:paraId="7D5E3A7E" w14:textId="4AFB3D34" w:rsidR="006E6148" w:rsidRPr="00BB08BF" w:rsidRDefault="006E6148" w:rsidP="00727DC4">
            <w:pPr>
              <w:jc w:val="center"/>
              <w:rPr>
                <w:b/>
                <w:bCs/>
                <w:noProof/>
                <w:sz w:val="18"/>
                <w:szCs w:val="18"/>
              </w:rPr>
            </w:pPr>
            <w:r w:rsidRPr="00BB08BF">
              <w:rPr>
                <w:rFonts w:eastAsia="Times New Roman"/>
                <w:b/>
                <w:bCs/>
                <w:sz w:val="18"/>
                <w:szCs w:val="18"/>
              </w:rPr>
              <w:t>Housing Type</w:t>
            </w:r>
          </w:p>
        </w:tc>
        <w:tc>
          <w:tcPr>
            <w:tcW w:w="792" w:type="dxa"/>
            <w:tcBorders>
              <w:top w:val="single" w:sz="12" w:space="0" w:color="auto"/>
              <w:left w:val="single" w:sz="4" w:space="0" w:color="auto"/>
              <w:bottom w:val="nil"/>
              <w:right w:val="single" w:sz="4" w:space="0" w:color="auto"/>
            </w:tcBorders>
            <w:tcMar>
              <w:left w:w="43" w:type="dxa"/>
              <w:right w:w="43" w:type="dxa"/>
            </w:tcMar>
            <w:vAlign w:val="center"/>
          </w:tcPr>
          <w:p w14:paraId="22F6FFE4" w14:textId="77777777" w:rsidR="006E6148" w:rsidRPr="00BB08BF" w:rsidRDefault="006E6148" w:rsidP="00727DC4">
            <w:pPr>
              <w:jc w:val="center"/>
              <w:rPr>
                <w:b/>
                <w:bCs/>
                <w:noProof/>
                <w:sz w:val="18"/>
                <w:szCs w:val="18"/>
              </w:rPr>
            </w:pPr>
            <w:r w:rsidRPr="00BB08BF">
              <w:rPr>
                <w:rFonts w:eastAsia="Times New Roman"/>
                <w:b/>
                <w:bCs/>
                <w:sz w:val="18"/>
                <w:szCs w:val="18"/>
              </w:rPr>
              <w:t>Tenure Type</w:t>
            </w:r>
          </w:p>
        </w:tc>
        <w:tc>
          <w:tcPr>
            <w:tcW w:w="1008" w:type="dxa"/>
            <w:tcBorders>
              <w:top w:val="single" w:sz="12" w:space="0" w:color="auto"/>
              <w:left w:val="single" w:sz="4" w:space="0" w:color="auto"/>
              <w:bottom w:val="nil"/>
              <w:right w:val="single" w:sz="4" w:space="0" w:color="auto"/>
            </w:tcBorders>
            <w:tcMar>
              <w:left w:w="43" w:type="dxa"/>
              <w:right w:w="43" w:type="dxa"/>
            </w:tcMar>
            <w:vAlign w:val="center"/>
          </w:tcPr>
          <w:p w14:paraId="78C39B13" w14:textId="77777777" w:rsidR="006E6148" w:rsidRPr="00BB08BF" w:rsidRDefault="006E6148" w:rsidP="00727DC4">
            <w:pPr>
              <w:jc w:val="center"/>
              <w:rPr>
                <w:b/>
                <w:bCs/>
                <w:noProof/>
                <w:sz w:val="18"/>
                <w:szCs w:val="18"/>
              </w:rPr>
            </w:pPr>
            <w:r w:rsidRPr="00BB08BF">
              <w:rPr>
                <w:rFonts w:eastAsia="Times New Roman"/>
                <w:b/>
                <w:bCs/>
                <w:sz w:val="18"/>
                <w:szCs w:val="18"/>
              </w:rPr>
              <w:t>Presence of Patio or Yard</w:t>
            </w:r>
          </w:p>
        </w:tc>
        <w:tc>
          <w:tcPr>
            <w:tcW w:w="972" w:type="dxa"/>
            <w:tcBorders>
              <w:top w:val="single" w:sz="12" w:space="0" w:color="auto"/>
              <w:left w:val="single" w:sz="4" w:space="0" w:color="auto"/>
              <w:bottom w:val="nil"/>
              <w:right w:val="single" w:sz="4" w:space="0" w:color="auto"/>
            </w:tcBorders>
            <w:tcMar>
              <w:left w:w="43" w:type="dxa"/>
              <w:right w:w="43" w:type="dxa"/>
            </w:tcMar>
            <w:vAlign w:val="center"/>
          </w:tcPr>
          <w:p w14:paraId="03213286" w14:textId="77777777" w:rsidR="006E6148" w:rsidRPr="00BB08BF" w:rsidRDefault="006E6148" w:rsidP="00727DC4">
            <w:pPr>
              <w:jc w:val="center"/>
              <w:rPr>
                <w:b/>
                <w:bCs/>
                <w:noProof/>
                <w:sz w:val="18"/>
                <w:szCs w:val="18"/>
              </w:rPr>
            </w:pPr>
            <w:r w:rsidRPr="00BB08BF">
              <w:rPr>
                <w:rFonts w:eastAsia="Times New Roman"/>
                <w:b/>
                <w:bCs/>
                <w:sz w:val="18"/>
                <w:szCs w:val="18"/>
              </w:rPr>
              <w:t>Number of bedrooms</w:t>
            </w:r>
          </w:p>
        </w:tc>
        <w:tc>
          <w:tcPr>
            <w:tcW w:w="990" w:type="dxa"/>
            <w:tcBorders>
              <w:top w:val="single" w:sz="12" w:space="0" w:color="auto"/>
              <w:left w:val="single" w:sz="4" w:space="0" w:color="auto"/>
              <w:bottom w:val="nil"/>
              <w:right w:val="single" w:sz="4" w:space="0" w:color="auto"/>
            </w:tcBorders>
            <w:tcMar>
              <w:left w:w="43" w:type="dxa"/>
              <w:right w:w="43" w:type="dxa"/>
            </w:tcMar>
            <w:vAlign w:val="center"/>
          </w:tcPr>
          <w:p w14:paraId="2B9BF3A8" w14:textId="77777777" w:rsidR="006E6148" w:rsidRPr="00BB08BF" w:rsidRDefault="006E6148" w:rsidP="00727DC4">
            <w:pPr>
              <w:jc w:val="center"/>
              <w:rPr>
                <w:b/>
                <w:bCs/>
                <w:noProof/>
                <w:sz w:val="18"/>
                <w:szCs w:val="18"/>
              </w:rPr>
            </w:pPr>
            <w:r w:rsidRPr="00BB08BF">
              <w:rPr>
                <w:rFonts w:eastAsia="Times New Roman"/>
                <w:b/>
                <w:bCs/>
                <w:sz w:val="18"/>
                <w:szCs w:val="18"/>
              </w:rPr>
              <w:t>Population Density</w:t>
            </w:r>
          </w:p>
        </w:tc>
        <w:tc>
          <w:tcPr>
            <w:tcW w:w="900" w:type="dxa"/>
            <w:tcBorders>
              <w:top w:val="single" w:sz="12" w:space="0" w:color="auto"/>
              <w:left w:val="single" w:sz="4" w:space="0" w:color="auto"/>
              <w:bottom w:val="nil"/>
              <w:right w:val="single" w:sz="4" w:space="0" w:color="auto"/>
            </w:tcBorders>
            <w:tcMar>
              <w:left w:w="43" w:type="dxa"/>
              <w:right w:w="43" w:type="dxa"/>
            </w:tcMar>
            <w:vAlign w:val="center"/>
          </w:tcPr>
          <w:p w14:paraId="18DF379F" w14:textId="77777777" w:rsidR="006E6148" w:rsidRPr="00BB08BF" w:rsidRDefault="006E6148" w:rsidP="00727DC4">
            <w:pPr>
              <w:jc w:val="center"/>
              <w:rPr>
                <w:b/>
                <w:bCs/>
                <w:noProof/>
                <w:sz w:val="18"/>
                <w:szCs w:val="18"/>
              </w:rPr>
            </w:pPr>
            <w:r w:rsidRPr="00BB08BF">
              <w:rPr>
                <w:rFonts w:eastAsia="Times New Roman"/>
                <w:b/>
                <w:bCs/>
                <w:sz w:val="18"/>
                <w:szCs w:val="18"/>
              </w:rPr>
              <w:t>Median Housing Cost</w:t>
            </w:r>
          </w:p>
        </w:tc>
        <w:tc>
          <w:tcPr>
            <w:tcW w:w="900" w:type="dxa"/>
            <w:tcBorders>
              <w:top w:val="single" w:sz="12" w:space="0" w:color="auto"/>
              <w:left w:val="single" w:sz="4" w:space="0" w:color="auto"/>
              <w:bottom w:val="nil"/>
              <w:right w:val="single" w:sz="4" w:space="0" w:color="auto"/>
            </w:tcBorders>
            <w:tcMar>
              <w:left w:w="43" w:type="dxa"/>
              <w:right w:w="43" w:type="dxa"/>
            </w:tcMar>
            <w:vAlign w:val="center"/>
          </w:tcPr>
          <w:p w14:paraId="46659319" w14:textId="77777777" w:rsidR="006E6148" w:rsidRPr="00BB08BF" w:rsidRDefault="006E6148" w:rsidP="00727DC4">
            <w:pPr>
              <w:jc w:val="center"/>
              <w:rPr>
                <w:b/>
                <w:bCs/>
                <w:noProof/>
                <w:sz w:val="18"/>
                <w:szCs w:val="18"/>
              </w:rPr>
            </w:pPr>
            <w:r w:rsidRPr="00BB08BF">
              <w:rPr>
                <w:rFonts w:eastAsia="Times New Roman"/>
                <w:b/>
                <w:bCs/>
                <w:sz w:val="18"/>
                <w:szCs w:val="18"/>
              </w:rPr>
              <w:t>Amenities Rating</w:t>
            </w:r>
          </w:p>
        </w:tc>
        <w:tc>
          <w:tcPr>
            <w:tcW w:w="900" w:type="dxa"/>
            <w:tcBorders>
              <w:top w:val="single" w:sz="12" w:space="0" w:color="auto"/>
              <w:left w:val="single" w:sz="4" w:space="0" w:color="auto"/>
              <w:bottom w:val="nil"/>
              <w:right w:val="single" w:sz="4" w:space="0" w:color="auto"/>
            </w:tcBorders>
            <w:tcMar>
              <w:left w:w="43" w:type="dxa"/>
              <w:right w:w="43" w:type="dxa"/>
            </w:tcMar>
            <w:vAlign w:val="center"/>
          </w:tcPr>
          <w:p w14:paraId="41C8F2BC" w14:textId="77777777" w:rsidR="006E6148" w:rsidRPr="00BB08BF" w:rsidRDefault="006E6148" w:rsidP="00727DC4">
            <w:pPr>
              <w:jc w:val="center"/>
              <w:rPr>
                <w:b/>
                <w:bCs/>
                <w:noProof/>
                <w:sz w:val="18"/>
                <w:szCs w:val="18"/>
              </w:rPr>
            </w:pPr>
            <w:r w:rsidRPr="00BB08BF">
              <w:rPr>
                <w:rFonts w:eastAsia="Times New Roman"/>
                <w:b/>
                <w:bCs/>
                <w:sz w:val="18"/>
                <w:szCs w:val="18"/>
              </w:rPr>
              <w:t>School Quality</w:t>
            </w:r>
          </w:p>
        </w:tc>
        <w:tc>
          <w:tcPr>
            <w:tcW w:w="900" w:type="dxa"/>
            <w:tcBorders>
              <w:top w:val="single" w:sz="12" w:space="0" w:color="auto"/>
              <w:left w:val="single" w:sz="4" w:space="0" w:color="auto"/>
              <w:bottom w:val="nil"/>
            </w:tcBorders>
            <w:tcMar>
              <w:left w:w="43" w:type="dxa"/>
              <w:right w:w="43" w:type="dxa"/>
            </w:tcMar>
            <w:vAlign w:val="center"/>
          </w:tcPr>
          <w:p w14:paraId="5514E92B" w14:textId="77777777" w:rsidR="006E6148" w:rsidRPr="00BB08BF" w:rsidRDefault="006E6148" w:rsidP="00727DC4">
            <w:pPr>
              <w:jc w:val="center"/>
              <w:rPr>
                <w:b/>
                <w:bCs/>
                <w:noProof/>
                <w:sz w:val="18"/>
                <w:szCs w:val="18"/>
              </w:rPr>
            </w:pPr>
            <w:r w:rsidRPr="00BB08BF">
              <w:rPr>
                <w:rFonts w:eastAsia="Times New Roman"/>
                <w:b/>
                <w:bCs/>
                <w:sz w:val="18"/>
                <w:szCs w:val="18"/>
              </w:rPr>
              <w:t>Crime Rate</w:t>
            </w:r>
          </w:p>
        </w:tc>
      </w:tr>
      <w:tr w:rsidR="00091FBF" w:rsidRPr="00862DF8" w14:paraId="2849438C" w14:textId="77777777" w:rsidTr="00926421">
        <w:trPr>
          <w:trHeight w:val="144"/>
        </w:trPr>
        <w:tc>
          <w:tcPr>
            <w:tcW w:w="2685" w:type="dxa"/>
            <w:tcBorders>
              <w:top w:val="nil"/>
              <w:bottom w:val="single" w:sz="12" w:space="0" w:color="auto"/>
              <w:right w:val="single" w:sz="4" w:space="0" w:color="auto"/>
            </w:tcBorders>
            <w:tcMar>
              <w:left w:w="43" w:type="dxa"/>
              <w:right w:w="43" w:type="dxa"/>
            </w:tcMar>
            <w:vAlign w:val="center"/>
          </w:tcPr>
          <w:p w14:paraId="1FCE21AA" w14:textId="3119B746" w:rsidR="002E5CBD" w:rsidRPr="00BB08BF" w:rsidRDefault="002E5CBD" w:rsidP="00727DC4">
            <w:pPr>
              <w:jc w:val="both"/>
              <w:rPr>
                <w:noProof/>
                <w:sz w:val="18"/>
                <w:szCs w:val="18"/>
              </w:rPr>
            </w:pPr>
          </w:p>
        </w:tc>
        <w:tc>
          <w:tcPr>
            <w:tcW w:w="1170" w:type="dxa"/>
            <w:tcBorders>
              <w:top w:val="nil"/>
              <w:left w:val="single" w:sz="4" w:space="0" w:color="auto"/>
              <w:bottom w:val="single" w:sz="12" w:space="0" w:color="auto"/>
              <w:right w:val="single" w:sz="4" w:space="0" w:color="auto"/>
            </w:tcBorders>
            <w:tcMar>
              <w:left w:w="43" w:type="dxa"/>
              <w:right w:w="43" w:type="dxa"/>
            </w:tcMar>
            <w:vAlign w:val="center"/>
          </w:tcPr>
          <w:p w14:paraId="41EE2942" w14:textId="77777777" w:rsidR="002E5CBD" w:rsidRPr="00BB08BF" w:rsidRDefault="002E5CBD" w:rsidP="00862DF8">
            <w:pPr>
              <w:jc w:val="center"/>
              <w:rPr>
                <w:rFonts w:eastAsia="Times New Roman"/>
                <w:sz w:val="18"/>
                <w:szCs w:val="18"/>
              </w:rPr>
            </w:pPr>
          </w:p>
        </w:tc>
        <w:tc>
          <w:tcPr>
            <w:tcW w:w="990" w:type="dxa"/>
            <w:tcBorders>
              <w:top w:val="nil"/>
              <w:left w:val="single" w:sz="4" w:space="0" w:color="auto"/>
              <w:bottom w:val="single" w:sz="12" w:space="0" w:color="auto"/>
              <w:right w:val="single" w:sz="12" w:space="0" w:color="auto"/>
            </w:tcBorders>
            <w:tcMar>
              <w:left w:w="43" w:type="dxa"/>
              <w:right w:w="43" w:type="dxa"/>
            </w:tcMar>
            <w:vAlign w:val="center"/>
          </w:tcPr>
          <w:p w14:paraId="68B1B326" w14:textId="77777777" w:rsidR="002E5CBD" w:rsidRPr="00BB08BF" w:rsidRDefault="002E5CBD" w:rsidP="00862DF8">
            <w:pPr>
              <w:jc w:val="center"/>
              <w:rPr>
                <w:rFonts w:eastAsia="Times New Roman"/>
                <w:sz w:val="18"/>
                <w:szCs w:val="18"/>
              </w:rPr>
            </w:pPr>
          </w:p>
        </w:tc>
        <w:tc>
          <w:tcPr>
            <w:tcW w:w="1008" w:type="dxa"/>
            <w:tcBorders>
              <w:top w:val="nil"/>
              <w:left w:val="single" w:sz="12" w:space="0" w:color="auto"/>
              <w:bottom w:val="single" w:sz="12" w:space="0" w:color="auto"/>
              <w:right w:val="single" w:sz="4" w:space="0" w:color="auto"/>
            </w:tcBorders>
            <w:tcMar>
              <w:left w:w="43" w:type="dxa"/>
              <w:right w:w="43" w:type="dxa"/>
            </w:tcMar>
            <w:vAlign w:val="center"/>
          </w:tcPr>
          <w:p w14:paraId="0432A169" w14:textId="521F48BD" w:rsidR="002E5CBD" w:rsidRPr="00BB08BF" w:rsidRDefault="00A84A8E" w:rsidP="00727DC4">
            <w:pPr>
              <w:jc w:val="center"/>
              <w:rPr>
                <w:rFonts w:eastAsia="Times New Roman"/>
                <w:sz w:val="18"/>
                <w:szCs w:val="18"/>
              </w:rPr>
            </w:pPr>
            <w:r w:rsidRPr="00BB08BF">
              <w:rPr>
                <w:rFonts w:eastAsia="Times New Roman"/>
                <w:sz w:val="18"/>
                <w:szCs w:val="18"/>
              </w:rPr>
              <w:t>Apartment</w:t>
            </w:r>
          </w:p>
        </w:tc>
        <w:tc>
          <w:tcPr>
            <w:tcW w:w="792" w:type="dxa"/>
            <w:tcBorders>
              <w:top w:val="nil"/>
              <w:left w:val="single" w:sz="4" w:space="0" w:color="auto"/>
              <w:bottom w:val="single" w:sz="12" w:space="0" w:color="auto"/>
              <w:right w:val="single" w:sz="4" w:space="0" w:color="auto"/>
            </w:tcBorders>
            <w:tcMar>
              <w:left w:w="43" w:type="dxa"/>
              <w:right w:w="43" w:type="dxa"/>
            </w:tcMar>
            <w:vAlign w:val="center"/>
          </w:tcPr>
          <w:p w14:paraId="2566DC23" w14:textId="5268B182" w:rsidR="002E5CBD" w:rsidRPr="00BB08BF" w:rsidRDefault="00A84A8E" w:rsidP="00727DC4">
            <w:pPr>
              <w:jc w:val="center"/>
              <w:rPr>
                <w:rFonts w:eastAsia="Times New Roman"/>
                <w:sz w:val="18"/>
                <w:szCs w:val="18"/>
              </w:rPr>
            </w:pPr>
            <w:r w:rsidRPr="00BB08BF">
              <w:rPr>
                <w:rFonts w:eastAsia="Times New Roman"/>
                <w:sz w:val="18"/>
                <w:szCs w:val="18"/>
              </w:rPr>
              <w:t>Rent</w:t>
            </w:r>
          </w:p>
        </w:tc>
        <w:tc>
          <w:tcPr>
            <w:tcW w:w="1008" w:type="dxa"/>
            <w:tcBorders>
              <w:top w:val="nil"/>
              <w:left w:val="single" w:sz="4" w:space="0" w:color="auto"/>
              <w:bottom w:val="single" w:sz="12" w:space="0" w:color="auto"/>
              <w:right w:val="single" w:sz="4" w:space="0" w:color="auto"/>
            </w:tcBorders>
            <w:tcMar>
              <w:left w:w="43" w:type="dxa"/>
              <w:right w:w="43" w:type="dxa"/>
            </w:tcMar>
            <w:vAlign w:val="center"/>
          </w:tcPr>
          <w:p w14:paraId="7617FDE2" w14:textId="369398AF" w:rsidR="002E5CBD" w:rsidRPr="00BB08BF" w:rsidRDefault="009F5E95" w:rsidP="00727DC4">
            <w:pPr>
              <w:jc w:val="center"/>
              <w:rPr>
                <w:rFonts w:eastAsia="Times New Roman"/>
                <w:sz w:val="18"/>
                <w:szCs w:val="18"/>
              </w:rPr>
            </w:pPr>
            <w:r>
              <w:rPr>
                <w:rFonts w:eastAsia="Times New Roman"/>
                <w:sz w:val="18"/>
                <w:szCs w:val="18"/>
              </w:rPr>
              <w:t>Yes</w:t>
            </w:r>
          </w:p>
        </w:tc>
        <w:tc>
          <w:tcPr>
            <w:tcW w:w="972" w:type="dxa"/>
            <w:tcBorders>
              <w:top w:val="nil"/>
              <w:left w:val="single" w:sz="4" w:space="0" w:color="auto"/>
              <w:bottom w:val="single" w:sz="12" w:space="0" w:color="auto"/>
              <w:right w:val="single" w:sz="4" w:space="0" w:color="auto"/>
            </w:tcBorders>
            <w:tcMar>
              <w:left w:w="43" w:type="dxa"/>
              <w:right w:w="43" w:type="dxa"/>
            </w:tcMar>
            <w:vAlign w:val="center"/>
          </w:tcPr>
          <w:p w14:paraId="1173B8C5" w14:textId="641FF20F" w:rsidR="002E5CBD" w:rsidRPr="00BB08BF" w:rsidRDefault="00A84A8E" w:rsidP="00727DC4">
            <w:pPr>
              <w:jc w:val="center"/>
              <w:rPr>
                <w:rFonts w:eastAsia="Times New Roman"/>
                <w:sz w:val="18"/>
                <w:szCs w:val="18"/>
              </w:rPr>
            </w:pPr>
            <w:r w:rsidRPr="00BB08BF">
              <w:rPr>
                <w:rFonts w:eastAsia="Times New Roman"/>
                <w:sz w:val="18"/>
                <w:szCs w:val="18"/>
              </w:rPr>
              <w:t>5+</w:t>
            </w:r>
          </w:p>
        </w:tc>
        <w:tc>
          <w:tcPr>
            <w:tcW w:w="990" w:type="dxa"/>
            <w:tcBorders>
              <w:top w:val="nil"/>
              <w:left w:val="single" w:sz="4" w:space="0" w:color="auto"/>
              <w:bottom w:val="single" w:sz="12" w:space="0" w:color="auto"/>
              <w:right w:val="single" w:sz="4" w:space="0" w:color="auto"/>
            </w:tcBorders>
            <w:tcMar>
              <w:left w:w="43" w:type="dxa"/>
              <w:right w:w="43" w:type="dxa"/>
            </w:tcMar>
            <w:vAlign w:val="center"/>
          </w:tcPr>
          <w:p w14:paraId="1F84262D" w14:textId="1222C75E" w:rsidR="002E5CBD" w:rsidRPr="00BB08BF" w:rsidRDefault="001A5DBF" w:rsidP="00727DC4">
            <w:pPr>
              <w:jc w:val="center"/>
              <w:rPr>
                <w:rFonts w:eastAsia="Times New Roman"/>
                <w:sz w:val="18"/>
                <w:szCs w:val="18"/>
              </w:rPr>
            </w:pPr>
            <w:r w:rsidRPr="00BB08BF">
              <w:rPr>
                <w:rFonts w:eastAsia="Times New Roman"/>
                <w:sz w:val="18"/>
                <w:szCs w:val="18"/>
              </w:rPr>
              <w:t>High</w:t>
            </w:r>
          </w:p>
        </w:tc>
        <w:tc>
          <w:tcPr>
            <w:tcW w:w="900" w:type="dxa"/>
            <w:tcBorders>
              <w:top w:val="nil"/>
              <w:left w:val="single" w:sz="4" w:space="0" w:color="auto"/>
              <w:bottom w:val="single" w:sz="12" w:space="0" w:color="auto"/>
              <w:right w:val="single" w:sz="4" w:space="0" w:color="auto"/>
            </w:tcBorders>
            <w:tcMar>
              <w:left w:w="43" w:type="dxa"/>
              <w:right w:w="43" w:type="dxa"/>
            </w:tcMar>
            <w:vAlign w:val="center"/>
          </w:tcPr>
          <w:p w14:paraId="2BB94033" w14:textId="2C2F99E6" w:rsidR="002E5CBD" w:rsidRPr="00BB08BF" w:rsidRDefault="001A5DBF" w:rsidP="00727DC4">
            <w:pPr>
              <w:jc w:val="center"/>
              <w:rPr>
                <w:rFonts w:eastAsia="Times New Roman"/>
                <w:sz w:val="18"/>
                <w:szCs w:val="18"/>
              </w:rPr>
            </w:pPr>
            <w:r w:rsidRPr="00BB08BF">
              <w:rPr>
                <w:rFonts w:eastAsia="Times New Roman"/>
                <w:sz w:val="18"/>
                <w:szCs w:val="18"/>
              </w:rPr>
              <w:t>High</w:t>
            </w:r>
          </w:p>
        </w:tc>
        <w:tc>
          <w:tcPr>
            <w:tcW w:w="900" w:type="dxa"/>
            <w:tcBorders>
              <w:top w:val="nil"/>
              <w:left w:val="single" w:sz="4" w:space="0" w:color="auto"/>
              <w:bottom w:val="single" w:sz="12" w:space="0" w:color="auto"/>
              <w:right w:val="single" w:sz="4" w:space="0" w:color="auto"/>
            </w:tcBorders>
            <w:tcMar>
              <w:left w:w="43" w:type="dxa"/>
              <w:right w:w="43" w:type="dxa"/>
            </w:tcMar>
            <w:vAlign w:val="center"/>
          </w:tcPr>
          <w:p w14:paraId="7CE0B2AD" w14:textId="20A0568B" w:rsidR="002E5CBD" w:rsidRPr="00BB08BF" w:rsidRDefault="001A5DBF" w:rsidP="00727DC4">
            <w:pPr>
              <w:jc w:val="center"/>
              <w:rPr>
                <w:rFonts w:eastAsia="Times New Roman"/>
                <w:sz w:val="18"/>
                <w:szCs w:val="18"/>
              </w:rPr>
            </w:pPr>
            <w:r w:rsidRPr="00BB08BF">
              <w:rPr>
                <w:rFonts w:eastAsia="Times New Roman"/>
                <w:sz w:val="18"/>
                <w:szCs w:val="18"/>
              </w:rPr>
              <w:t>Many</w:t>
            </w:r>
          </w:p>
        </w:tc>
        <w:tc>
          <w:tcPr>
            <w:tcW w:w="900" w:type="dxa"/>
            <w:tcBorders>
              <w:top w:val="nil"/>
              <w:left w:val="single" w:sz="4" w:space="0" w:color="auto"/>
              <w:bottom w:val="single" w:sz="12" w:space="0" w:color="auto"/>
              <w:right w:val="single" w:sz="4" w:space="0" w:color="auto"/>
            </w:tcBorders>
            <w:tcMar>
              <w:left w:w="43" w:type="dxa"/>
              <w:right w:w="43" w:type="dxa"/>
            </w:tcMar>
            <w:vAlign w:val="center"/>
          </w:tcPr>
          <w:p w14:paraId="533381FF" w14:textId="56A29706" w:rsidR="002E5CBD" w:rsidRPr="00BB08BF" w:rsidRDefault="001A5DBF" w:rsidP="00727DC4">
            <w:pPr>
              <w:jc w:val="center"/>
              <w:rPr>
                <w:rFonts w:eastAsia="Times New Roman"/>
                <w:sz w:val="18"/>
                <w:szCs w:val="18"/>
              </w:rPr>
            </w:pPr>
            <w:r w:rsidRPr="00BB08BF">
              <w:rPr>
                <w:rFonts w:eastAsia="Times New Roman"/>
                <w:sz w:val="18"/>
                <w:szCs w:val="18"/>
              </w:rPr>
              <w:t>Excellent</w:t>
            </w:r>
          </w:p>
        </w:tc>
        <w:tc>
          <w:tcPr>
            <w:tcW w:w="900" w:type="dxa"/>
            <w:tcBorders>
              <w:top w:val="nil"/>
              <w:left w:val="single" w:sz="4" w:space="0" w:color="auto"/>
              <w:bottom w:val="single" w:sz="12" w:space="0" w:color="auto"/>
            </w:tcBorders>
            <w:tcMar>
              <w:left w:w="43" w:type="dxa"/>
              <w:right w:w="43" w:type="dxa"/>
            </w:tcMar>
            <w:vAlign w:val="center"/>
          </w:tcPr>
          <w:p w14:paraId="7A0EE3E2" w14:textId="0D4218AB" w:rsidR="002E5CBD" w:rsidRPr="00BB08BF" w:rsidRDefault="00347B8D" w:rsidP="00727DC4">
            <w:pPr>
              <w:jc w:val="center"/>
              <w:rPr>
                <w:rFonts w:eastAsia="Times New Roman"/>
                <w:sz w:val="18"/>
                <w:szCs w:val="18"/>
              </w:rPr>
            </w:pPr>
            <w:r w:rsidRPr="00BB08BF">
              <w:rPr>
                <w:rFonts w:eastAsia="Times New Roman"/>
                <w:sz w:val="18"/>
                <w:szCs w:val="18"/>
              </w:rPr>
              <w:t>Very High</w:t>
            </w:r>
          </w:p>
        </w:tc>
      </w:tr>
      <w:tr w:rsidR="000B6A21" w:rsidRPr="00862DF8" w14:paraId="03100593" w14:textId="77777777" w:rsidTr="00926421">
        <w:trPr>
          <w:trHeight w:val="348"/>
        </w:trPr>
        <w:tc>
          <w:tcPr>
            <w:tcW w:w="2685" w:type="dxa"/>
            <w:tcBorders>
              <w:top w:val="single" w:sz="12" w:space="0" w:color="auto"/>
              <w:right w:val="single" w:sz="4" w:space="0" w:color="auto"/>
            </w:tcBorders>
            <w:tcMar>
              <w:left w:w="43" w:type="dxa"/>
              <w:right w:w="43" w:type="dxa"/>
            </w:tcMar>
            <w:vAlign w:val="center"/>
          </w:tcPr>
          <w:p w14:paraId="3951216D" w14:textId="116D6DA4" w:rsidR="006E6148" w:rsidRPr="00BB08BF" w:rsidRDefault="006E6148" w:rsidP="00926421">
            <w:pPr>
              <w:rPr>
                <w:b/>
                <w:bCs/>
                <w:noProof/>
                <w:sz w:val="18"/>
                <w:szCs w:val="18"/>
              </w:rPr>
            </w:pPr>
            <w:r w:rsidRPr="00BB08BF">
              <w:rPr>
                <w:b/>
                <w:bCs/>
                <w:noProof/>
                <w:sz w:val="18"/>
                <w:szCs w:val="18"/>
              </w:rPr>
              <w:t>ATEs for Employed Individual</w:t>
            </w:r>
            <w:r w:rsidR="00FA4865">
              <w:rPr>
                <w:b/>
                <w:bCs/>
                <w:noProof/>
                <w:sz w:val="18"/>
                <w:szCs w:val="18"/>
              </w:rPr>
              <w:t xml:space="preserve"> with an Office</w:t>
            </w:r>
          </w:p>
        </w:tc>
        <w:tc>
          <w:tcPr>
            <w:tcW w:w="1170" w:type="dxa"/>
            <w:tcBorders>
              <w:top w:val="single" w:sz="12" w:space="0" w:color="auto"/>
              <w:left w:val="single" w:sz="4" w:space="0" w:color="auto"/>
              <w:right w:val="single" w:sz="4" w:space="0" w:color="auto"/>
            </w:tcBorders>
            <w:tcMar>
              <w:left w:w="43" w:type="dxa"/>
              <w:right w:w="43" w:type="dxa"/>
            </w:tcMar>
            <w:vAlign w:val="center"/>
          </w:tcPr>
          <w:p w14:paraId="361A5E8E" w14:textId="77777777" w:rsidR="006E6148" w:rsidRPr="00BB08BF" w:rsidRDefault="006E6148" w:rsidP="00862DF8">
            <w:pPr>
              <w:tabs>
                <w:tab w:val="decimal" w:pos="480"/>
              </w:tabs>
              <w:jc w:val="center"/>
              <w:rPr>
                <w:noProof/>
                <w:sz w:val="18"/>
                <w:szCs w:val="18"/>
              </w:rPr>
            </w:pPr>
          </w:p>
        </w:tc>
        <w:tc>
          <w:tcPr>
            <w:tcW w:w="990" w:type="dxa"/>
            <w:tcBorders>
              <w:top w:val="single" w:sz="12" w:space="0" w:color="auto"/>
              <w:left w:val="single" w:sz="4" w:space="0" w:color="auto"/>
              <w:right w:val="single" w:sz="12" w:space="0" w:color="auto"/>
            </w:tcBorders>
            <w:tcMar>
              <w:left w:w="43" w:type="dxa"/>
              <w:right w:w="43" w:type="dxa"/>
            </w:tcMar>
            <w:vAlign w:val="center"/>
          </w:tcPr>
          <w:p w14:paraId="56056898" w14:textId="77777777" w:rsidR="006E6148" w:rsidRPr="00BB08BF" w:rsidRDefault="006E6148" w:rsidP="00862DF8">
            <w:pPr>
              <w:tabs>
                <w:tab w:val="decimal" w:pos="480"/>
              </w:tabs>
              <w:jc w:val="center"/>
              <w:rPr>
                <w:noProof/>
                <w:sz w:val="18"/>
                <w:szCs w:val="18"/>
              </w:rPr>
            </w:pPr>
          </w:p>
        </w:tc>
        <w:tc>
          <w:tcPr>
            <w:tcW w:w="1008" w:type="dxa"/>
            <w:tcBorders>
              <w:top w:val="single" w:sz="12" w:space="0" w:color="auto"/>
              <w:left w:val="single" w:sz="12" w:space="0" w:color="auto"/>
              <w:right w:val="single" w:sz="4" w:space="0" w:color="auto"/>
            </w:tcBorders>
            <w:tcMar>
              <w:left w:w="43" w:type="dxa"/>
              <w:right w:w="43" w:type="dxa"/>
            </w:tcMar>
            <w:vAlign w:val="center"/>
          </w:tcPr>
          <w:p w14:paraId="787C32F4" w14:textId="2DEC1C46" w:rsidR="006E6148" w:rsidRPr="00BB08BF" w:rsidRDefault="006E6148" w:rsidP="00186503">
            <w:pPr>
              <w:tabs>
                <w:tab w:val="decimal" w:pos="480"/>
              </w:tabs>
              <w:jc w:val="center"/>
              <w:rPr>
                <w:noProof/>
                <w:sz w:val="18"/>
                <w:szCs w:val="18"/>
              </w:rPr>
            </w:pPr>
          </w:p>
        </w:tc>
        <w:tc>
          <w:tcPr>
            <w:tcW w:w="792" w:type="dxa"/>
            <w:tcBorders>
              <w:top w:val="single" w:sz="12" w:space="0" w:color="auto"/>
              <w:left w:val="single" w:sz="4" w:space="0" w:color="auto"/>
              <w:right w:val="single" w:sz="4" w:space="0" w:color="auto"/>
            </w:tcBorders>
            <w:tcMar>
              <w:left w:w="43" w:type="dxa"/>
              <w:right w:w="43" w:type="dxa"/>
            </w:tcMar>
            <w:vAlign w:val="center"/>
          </w:tcPr>
          <w:p w14:paraId="4FBBAB1B" w14:textId="6177A2D1" w:rsidR="006E6148" w:rsidRPr="00BB08BF" w:rsidRDefault="006E6148" w:rsidP="00186503">
            <w:pPr>
              <w:tabs>
                <w:tab w:val="decimal" w:pos="406"/>
              </w:tabs>
              <w:jc w:val="center"/>
              <w:rPr>
                <w:noProof/>
                <w:sz w:val="18"/>
                <w:szCs w:val="18"/>
              </w:rPr>
            </w:pPr>
          </w:p>
        </w:tc>
        <w:tc>
          <w:tcPr>
            <w:tcW w:w="1008" w:type="dxa"/>
            <w:tcBorders>
              <w:top w:val="single" w:sz="12" w:space="0" w:color="auto"/>
              <w:left w:val="single" w:sz="4" w:space="0" w:color="auto"/>
              <w:right w:val="single" w:sz="4" w:space="0" w:color="auto"/>
            </w:tcBorders>
            <w:tcMar>
              <w:left w:w="43" w:type="dxa"/>
              <w:right w:w="43" w:type="dxa"/>
            </w:tcMar>
            <w:vAlign w:val="center"/>
          </w:tcPr>
          <w:p w14:paraId="6DA01D5F" w14:textId="10CE9D5D" w:rsidR="006E6148" w:rsidRPr="00BB08BF" w:rsidRDefault="006E6148" w:rsidP="00186503">
            <w:pPr>
              <w:tabs>
                <w:tab w:val="decimal" w:pos="0"/>
                <w:tab w:val="decimal" w:pos="526"/>
              </w:tabs>
              <w:jc w:val="center"/>
              <w:rPr>
                <w:noProof/>
                <w:sz w:val="18"/>
                <w:szCs w:val="18"/>
              </w:rPr>
            </w:pPr>
          </w:p>
        </w:tc>
        <w:tc>
          <w:tcPr>
            <w:tcW w:w="972" w:type="dxa"/>
            <w:tcBorders>
              <w:top w:val="single" w:sz="12" w:space="0" w:color="auto"/>
              <w:left w:val="single" w:sz="4" w:space="0" w:color="auto"/>
              <w:right w:val="single" w:sz="4" w:space="0" w:color="auto"/>
            </w:tcBorders>
            <w:tcMar>
              <w:left w:w="43" w:type="dxa"/>
              <w:right w:w="43" w:type="dxa"/>
            </w:tcMar>
            <w:vAlign w:val="center"/>
          </w:tcPr>
          <w:p w14:paraId="3293BB4D" w14:textId="762BFE7B" w:rsidR="006E6148" w:rsidRPr="00BB08BF" w:rsidRDefault="006E6148" w:rsidP="00186503">
            <w:pPr>
              <w:tabs>
                <w:tab w:val="decimal" w:pos="293"/>
                <w:tab w:val="decimal" w:pos="570"/>
              </w:tabs>
              <w:jc w:val="center"/>
              <w:rPr>
                <w:noProof/>
                <w:sz w:val="18"/>
                <w:szCs w:val="18"/>
              </w:rPr>
            </w:pPr>
          </w:p>
        </w:tc>
        <w:tc>
          <w:tcPr>
            <w:tcW w:w="990" w:type="dxa"/>
            <w:tcBorders>
              <w:top w:val="single" w:sz="12" w:space="0" w:color="auto"/>
              <w:left w:val="single" w:sz="4" w:space="0" w:color="auto"/>
              <w:right w:val="single" w:sz="4" w:space="0" w:color="auto"/>
            </w:tcBorders>
            <w:tcMar>
              <w:left w:w="43" w:type="dxa"/>
              <w:right w:w="43" w:type="dxa"/>
            </w:tcMar>
            <w:vAlign w:val="center"/>
          </w:tcPr>
          <w:p w14:paraId="68854120" w14:textId="22DF938B" w:rsidR="006E6148" w:rsidRPr="00BB08BF" w:rsidRDefault="006E6148" w:rsidP="00186503">
            <w:pPr>
              <w:tabs>
                <w:tab w:val="decimal" w:pos="570"/>
              </w:tabs>
              <w:jc w:val="center"/>
              <w:rPr>
                <w:noProof/>
                <w:sz w:val="18"/>
                <w:szCs w:val="18"/>
              </w:rPr>
            </w:pPr>
          </w:p>
        </w:tc>
        <w:tc>
          <w:tcPr>
            <w:tcW w:w="900" w:type="dxa"/>
            <w:tcBorders>
              <w:top w:val="single" w:sz="12" w:space="0" w:color="auto"/>
              <w:left w:val="single" w:sz="4" w:space="0" w:color="auto"/>
              <w:right w:val="single" w:sz="4" w:space="0" w:color="auto"/>
            </w:tcBorders>
            <w:tcMar>
              <w:left w:w="43" w:type="dxa"/>
              <w:right w:w="43" w:type="dxa"/>
            </w:tcMar>
            <w:vAlign w:val="center"/>
          </w:tcPr>
          <w:p w14:paraId="5B2065C1" w14:textId="0E13A64D" w:rsidR="006E6148" w:rsidRPr="00BB08BF" w:rsidRDefault="006E6148" w:rsidP="00186503">
            <w:pPr>
              <w:tabs>
                <w:tab w:val="decimal" w:pos="570"/>
              </w:tabs>
              <w:jc w:val="center"/>
              <w:rPr>
                <w:noProof/>
                <w:sz w:val="18"/>
                <w:szCs w:val="18"/>
              </w:rPr>
            </w:pPr>
          </w:p>
        </w:tc>
        <w:tc>
          <w:tcPr>
            <w:tcW w:w="900" w:type="dxa"/>
            <w:tcBorders>
              <w:top w:val="single" w:sz="12" w:space="0" w:color="auto"/>
              <w:left w:val="single" w:sz="4" w:space="0" w:color="auto"/>
              <w:right w:val="single" w:sz="4" w:space="0" w:color="auto"/>
            </w:tcBorders>
            <w:tcMar>
              <w:left w:w="43" w:type="dxa"/>
              <w:right w:w="43" w:type="dxa"/>
            </w:tcMar>
            <w:vAlign w:val="center"/>
          </w:tcPr>
          <w:p w14:paraId="04EC83FE" w14:textId="6464E78B" w:rsidR="006E6148" w:rsidRPr="00BB08BF" w:rsidRDefault="006E6148" w:rsidP="00186503">
            <w:pPr>
              <w:tabs>
                <w:tab w:val="decimal" w:pos="570"/>
              </w:tabs>
              <w:jc w:val="center"/>
              <w:rPr>
                <w:noProof/>
                <w:sz w:val="18"/>
                <w:szCs w:val="18"/>
              </w:rPr>
            </w:pPr>
          </w:p>
        </w:tc>
        <w:tc>
          <w:tcPr>
            <w:tcW w:w="900" w:type="dxa"/>
            <w:tcBorders>
              <w:top w:val="single" w:sz="12" w:space="0" w:color="auto"/>
              <w:left w:val="single" w:sz="4" w:space="0" w:color="auto"/>
              <w:right w:val="single" w:sz="4" w:space="0" w:color="auto"/>
            </w:tcBorders>
            <w:tcMar>
              <w:left w:w="43" w:type="dxa"/>
              <w:right w:w="43" w:type="dxa"/>
            </w:tcMar>
            <w:vAlign w:val="center"/>
          </w:tcPr>
          <w:p w14:paraId="009069D0" w14:textId="5880E884" w:rsidR="006E6148" w:rsidRPr="00BB08BF" w:rsidRDefault="006E6148" w:rsidP="00186503">
            <w:pPr>
              <w:tabs>
                <w:tab w:val="decimal" w:pos="365"/>
                <w:tab w:val="decimal" w:pos="570"/>
              </w:tabs>
              <w:jc w:val="center"/>
              <w:rPr>
                <w:noProof/>
                <w:sz w:val="18"/>
                <w:szCs w:val="18"/>
              </w:rPr>
            </w:pPr>
          </w:p>
        </w:tc>
        <w:tc>
          <w:tcPr>
            <w:tcW w:w="900" w:type="dxa"/>
            <w:tcBorders>
              <w:top w:val="single" w:sz="12" w:space="0" w:color="auto"/>
              <w:left w:val="single" w:sz="4" w:space="0" w:color="auto"/>
            </w:tcBorders>
            <w:tcMar>
              <w:left w:w="43" w:type="dxa"/>
              <w:right w:w="43" w:type="dxa"/>
            </w:tcMar>
            <w:vAlign w:val="center"/>
          </w:tcPr>
          <w:p w14:paraId="3F380F6D" w14:textId="57BBBE50" w:rsidR="006E6148" w:rsidRPr="00BB08BF" w:rsidRDefault="006E6148" w:rsidP="00186503">
            <w:pPr>
              <w:jc w:val="center"/>
              <w:rPr>
                <w:noProof/>
                <w:sz w:val="18"/>
                <w:szCs w:val="18"/>
              </w:rPr>
            </w:pPr>
          </w:p>
        </w:tc>
      </w:tr>
      <w:tr w:rsidR="000B6A21" w:rsidRPr="00862DF8" w14:paraId="7DD6F160" w14:textId="77777777" w:rsidTr="00926421">
        <w:trPr>
          <w:trHeight w:val="288"/>
        </w:trPr>
        <w:tc>
          <w:tcPr>
            <w:tcW w:w="2685" w:type="dxa"/>
            <w:tcBorders>
              <w:right w:val="single" w:sz="4" w:space="0" w:color="auto"/>
            </w:tcBorders>
            <w:tcMar>
              <w:left w:w="43" w:type="dxa"/>
              <w:right w:w="43" w:type="dxa"/>
            </w:tcMar>
            <w:vAlign w:val="center"/>
          </w:tcPr>
          <w:p w14:paraId="18B28AD5" w14:textId="179CB094" w:rsidR="006E6148" w:rsidRPr="00BB08BF" w:rsidRDefault="006E6148" w:rsidP="00926421">
            <w:pPr>
              <w:rPr>
                <w:b/>
                <w:bCs/>
                <w:noProof/>
                <w:sz w:val="18"/>
                <w:szCs w:val="18"/>
              </w:rPr>
            </w:pPr>
            <w:r w:rsidRPr="00BB08BF">
              <w:rPr>
                <w:b/>
                <w:bCs/>
                <w:noProof/>
                <w:sz w:val="18"/>
                <w:szCs w:val="18"/>
              </w:rPr>
              <w:t xml:space="preserve">       Commute Distance</w:t>
            </w:r>
          </w:p>
        </w:tc>
        <w:tc>
          <w:tcPr>
            <w:tcW w:w="1170" w:type="dxa"/>
            <w:tcBorders>
              <w:left w:val="single" w:sz="4" w:space="0" w:color="auto"/>
              <w:right w:val="single" w:sz="4" w:space="0" w:color="auto"/>
            </w:tcBorders>
            <w:tcMar>
              <w:left w:w="43" w:type="dxa"/>
              <w:right w:w="43" w:type="dxa"/>
            </w:tcMar>
            <w:vAlign w:val="center"/>
          </w:tcPr>
          <w:p w14:paraId="762E84AC" w14:textId="2A0A50B6" w:rsidR="006E6148" w:rsidRPr="00BB08BF" w:rsidRDefault="00EA34D2" w:rsidP="00D154E2">
            <w:pPr>
              <w:tabs>
                <w:tab w:val="decimal" w:pos="0"/>
              </w:tabs>
              <w:jc w:val="center"/>
              <w:rPr>
                <w:sz w:val="18"/>
                <w:szCs w:val="18"/>
              </w:rPr>
            </w:pPr>
            <w:r w:rsidRPr="00BB08BF">
              <w:rPr>
                <w:rFonts w:eastAsia="Times New Roman"/>
                <w:color w:val="000000"/>
                <w:sz w:val="18"/>
                <w:szCs w:val="18"/>
              </w:rPr>
              <w:t>≤ 5 miles</w:t>
            </w:r>
          </w:p>
        </w:tc>
        <w:tc>
          <w:tcPr>
            <w:tcW w:w="990" w:type="dxa"/>
            <w:tcBorders>
              <w:left w:val="single" w:sz="4" w:space="0" w:color="auto"/>
              <w:right w:val="single" w:sz="12" w:space="0" w:color="auto"/>
            </w:tcBorders>
            <w:tcMar>
              <w:left w:w="43" w:type="dxa"/>
              <w:right w:w="43" w:type="dxa"/>
            </w:tcMar>
            <w:vAlign w:val="center"/>
          </w:tcPr>
          <w:p w14:paraId="5E19BDAA" w14:textId="6894ECCF" w:rsidR="006E6148" w:rsidRPr="00BB08BF" w:rsidRDefault="00EA34D2" w:rsidP="00D154E2">
            <w:pPr>
              <w:jc w:val="center"/>
              <w:rPr>
                <w:sz w:val="18"/>
                <w:szCs w:val="18"/>
              </w:rPr>
            </w:pPr>
            <w:r w:rsidRPr="00BB08BF">
              <w:rPr>
                <w:sz w:val="18"/>
                <w:szCs w:val="18"/>
              </w:rPr>
              <w:t>&gt; 20 miles</w:t>
            </w:r>
          </w:p>
        </w:tc>
        <w:tc>
          <w:tcPr>
            <w:tcW w:w="1008" w:type="dxa"/>
            <w:tcBorders>
              <w:left w:val="single" w:sz="12" w:space="0" w:color="auto"/>
              <w:right w:val="single" w:sz="4" w:space="0" w:color="auto"/>
            </w:tcBorders>
            <w:tcMar>
              <w:left w:w="43" w:type="dxa"/>
              <w:right w:w="43" w:type="dxa"/>
            </w:tcMar>
            <w:vAlign w:val="center"/>
          </w:tcPr>
          <w:p w14:paraId="1484CA3A" w14:textId="2A962BC4" w:rsidR="006E6148" w:rsidRPr="00BB08BF" w:rsidRDefault="006E6148" w:rsidP="00186503">
            <w:pPr>
              <w:tabs>
                <w:tab w:val="decimal" w:pos="480"/>
              </w:tabs>
              <w:jc w:val="center"/>
              <w:rPr>
                <w:noProof/>
                <w:sz w:val="18"/>
                <w:szCs w:val="18"/>
              </w:rPr>
            </w:pPr>
            <w:r w:rsidRPr="00BB08BF">
              <w:rPr>
                <w:sz w:val="18"/>
                <w:szCs w:val="18"/>
              </w:rPr>
              <w:t>-31.3%</w:t>
            </w:r>
          </w:p>
        </w:tc>
        <w:tc>
          <w:tcPr>
            <w:tcW w:w="792" w:type="dxa"/>
            <w:tcBorders>
              <w:left w:val="single" w:sz="4" w:space="0" w:color="auto"/>
              <w:right w:val="single" w:sz="4" w:space="0" w:color="auto"/>
            </w:tcBorders>
            <w:tcMar>
              <w:left w:w="43" w:type="dxa"/>
              <w:right w:w="43" w:type="dxa"/>
            </w:tcMar>
            <w:vAlign w:val="center"/>
          </w:tcPr>
          <w:p w14:paraId="454ECA11" w14:textId="3E300D81" w:rsidR="006E6148" w:rsidRPr="00BB08BF" w:rsidRDefault="006E6148" w:rsidP="00186503">
            <w:pPr>
              <w:tabs>
                <w:tab w:val="decimal" w:pos="406"/>
              </w:tabs>
              <w:jc w:val="center"/>
              <w:rPr>
                <w:noProof/>
                <w:sz w:val="18"/>
                <w:szCs w:val="18"/>
              </w:rPr>
            </w:pPr>
            <w:r w:rsidRPr="00BB08BF">
              <w:rPr>
                <w:sz w:val="18"/>
                <w:szCs w:val="18"/>
              </w:rPr>
              <w:t>-47.7%</w:t>
            </w:r>
          </w:p>
        </w:tc>
        <w:tc>
          <w:tcPr>
            <w:tcW w:w="1008" w:type="dxa"/>
            <w:tcBorders>
              <w:left w:val="single" w:sz="4" w:space="0" w:color="auto"/>
              <w:right w:val="single" w:sz="4" w:space="0" w:color="auto"/>
            </w:tcBorders>
            <w:tcMar>
              <w:left w:w="43" w:type="dxa"/>
              <w:right w:w="43" w:type="dxa"/>
            </w:tcMar>
            <w:vAlign w:val="center"/>
          </w:tcPr>
          <w:p w14:paraId="7AAAD473" w14:textId="5482DFE9" w:rsidR="006E6148" w:rsidRPr="00BB08BF" w:rsidRDefault="006E6148" w:rsidP="00186503">
            <w:pPr>
              <w:tabs>
                <w:tab w:val="decimal" w:pos="0"/>
                <w:tab w:val="decimal" w:pos="480"/>
                <w:tab w:val="decimal" w:pos="526"/>
                <w:tab w:val="decimal" w:pos="660"/>
              </w:tabs>
              <w:jc w:val="center"/>
              <w:rPr>
                <w:noProof/>
                <w:sz w:val="18"/>
                <w:szCs w:val="18"/>
              </w:rPr>
            </w:pPr>
            <w:r w:rsidRPr="00BB08BF">
              <w:rPr>
                <w:sz w:val="18"/>
                <w:szCs w:val="18"/>
              </w:rPr>
              <w:t>10.5%</w:t>
            </w:r>
          </w:p>
        </w:tc>
        <w:tc>
          <w:tcPr>
            <w:tcW w:w="972" w:type="dxa"/>
            <w:tcBorders>
              <w:left w:val="single" w:sz="4" w:space="0" w:color="auto"/>
              <w:right w:val="single" w:sz="4" w:space="0" w:color="auto"/>
            </w:tcBorders>
            <w:tcMar>
              <w:left w:w="43" w:type="dxa"/>
              <w:right w:w="43" w:type="dxa"/>
            </w:tcMar>
            <w:vAlign w:val="center"/>
          </w:tcPr>
          <w:p w14:paraId="06A53DA9" w14:textId="3BD4C383" w:rsidR="006E6148" w:rsidRPr="00BB08BF" w:rsidRDefault="006E6148" w:rsidP="00186503">
            <w:pPr>
              <w:tabs>
                <w:tab w:val="decimal" w:pos="293"/>
                <w:tab w:val="decimal" w:pos="480"/>
                <w:tab w:val="decimal" w:pos="570"/>
                <w:tab w:val="decimal" w:pos="660"/>
              </w:tabs>
              <w:jc w:val="center"/>
              <w:rPr>
                <w:noProof/>
                <w:sz w:val="18"/>
                <w:szCs w:val="18"/>
              </w:rPr>
            </w:pPr>
            <w:r w:rsidRPr="00BB08BF">
              <w:rPr>
                <w:sz w:val="18"/>
                <w:szCs w:val="18"/>
              </w:rPr>
              <w:t>39.2%</w:t>
            </w:r>
          </w:p>
        </w:tc>
        <w:tc>
          <w:tcPr>
            <w:tcW w:w="990" w:type="dxa"/>
            <w:tcBorders>
              <w:left w:val="single" w:sz="4" w:space="0" w:color="auto"/>
              <w:right w:val="single" w:sz="4" w:space="0" w:color="auto"/>
            </w:tcBorders>
            <w:tcMar>
              <w:left w:w="43" w:type="dxa"/>
              <w:right w:w="43" w:type="dxa"/>
            </w:tcMar>
            <w:vAlign w:val="center"/>
          </w:tcPr>
          <w:p w14:paraId="0C3B35DE" w14:textId="6C5D5892"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-39.7%</w:t>
            </w:r>
          </w:p>
        </w:tc>
        <w:tc>
          <w:tcPr>
            <w:tcW w:w="900" w:type="dxa"/>
            <w:tcBorders>
              <w:left w:val="single" w:sz="4" w:space="0" w:color="auto"/>
              <w:right w:val="single" w:sz="4" w:space="0" w:color="auto"/>
            </w:tcBorders>
            <w:tcMar>
              <w:left w:w="43" w:type="dxa"/>
              <w:right w:w="43" w:type="dxa"/>
            </w:tcMar>
            <w:vAlign w:val="center"/>
          </w:tcPr>
          <w:p w14:paraId="568E4556" w14:textId="541BCD07"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12.2%</w:t>
            </w:r>
          </w:p>
        </w:tc>
        <w:tc>
          <w:tcPr>
            <w:tcW w:w="900" w:type="dxa"/>
            <w:tcBorders>
              <w:left w:val="single" w:sz="4" w:space="0" w:color="auto"/>
              <w:right w:val="single" w:sz="4" w:space="0" w:color="auto"/>
            </w:tcBorders>
            <w:tcMar>
              <w:left w:w="43" w:type="dxa"/>
              <w:right w:w="43" w:type="dxa"/>
            </w:tcMar>
            <w:vAlign w:val="center"/>
          </w:tcPr>
          <w:p w14:paraId="2B06DD38" w14:textId="49956646"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-9.4%</w:t>
            </w:r>
          </w:p>
        </w:tc>
        <w:tc>
          <w:tcPr>
            <w:tcW w:w="900" w:type="dxa"/>
            <w:tcBorders>
              <w:left w:val="single" w:sz="4" w:space="0" w:color="auto"/>
              <w:right w:val="single" w:sz="4" w:space="0" w:color="auto"/>
            </w:tcBorders>
            <w:tcMar>
              <w:left w:w="43" w:type="dxa"/>
              <w:right w:w="43" w:type="dxa"/>
            </w:tcMar>
            <w:vAlign w:val="center"/>
          </w:tcPr>
          <w:p w14:paraId="4161732D" w14:textId="03817861" w:rsidR="006E6148" w:rsidRPr="00BB08BF" w:rsidRDefault="006E6148" w:rsidP="00186503">
            <w:pPr>
              <w:tabs>
                <w:tab w:val="decimal" w:pos="365"/>
                <w:tab w:val="decimal" w:pos="480"/>
                <w:tab w:val="decimal" w:pos="570"/>
                <w:tab w:val="decimal" w:pos="660"/>
              </w:tabs>
              <w:jc w:val="center"/>
              <w:rPr>
                <w:noProof/>
                <w:sz w:val="18"/>
                <w:szCs w:val="18"/>
              </w:rPr>
            </w:pPr>
            <w:r w:rsidRPr="00BB08BF">
              <w:rPr>
                <w:sz w:val="18"/>
                <w:szCs w:val="18"/>
              </w:rPr>
              <w:t>-4.7%</w:t>
            </w:r>
          </w:p>
        </w:tc>
        <w:tc>
          <w:tcPr>
            <w:tcW w:w="900" w:type="dxa"/>
            <w:tcBorders>
              <w:left w:val="single" w:sz="4" w:space="0" w:color="auto"/>
            </w:tcBorders>
            <w:tcMar>
              <w:left w:w="43" w:type="dxa"/>
              <w:right w:w="43" w:type="dxa"/>
            </w:tcMar>
            <w:vAlign w:val="center"/>
          </w:tcPr>
          <w:p w14:paraId="528C6A46" w14:textId="18F3D8C3" w:rsidR="006E6148" w:rsidRPr="00BB08BF" w:rsidRDefault="006E6148" w:rsidP="00186503">
            <w:pPr>
              <w:tabs>
                <w:tab w:val="decimal" w:pos="480"/>
                <w:tab w:val="decimal" w:pos="660"/>
              </w:tabs>
              <w:jc w:val="center"/>
              <w:rPr>
                <w:noProof/>
                <w:sz w:val="18"/>
                <w:szCs w:val="18"/>
              </w:rPr>
            </w:pPr>
            <w:r w:rsidRPr="00BB08BF">
              <w:rPr>
                <w:sz w:val="18"/>
                <w:szCs w:val="18"/>
              </w:rPr>
              <w:t>-50.4%</w:t>
            </w:r>
          </w:p>
        </w:tc>
      </w:tr>
      <w:tr w:rsidR="000B6A21" w:rsidRPr="00862DF8" w14:paraId="2D752CAC" w14:textId="77777777" w:rsidTr="00926421">
        <w:trPr>
          <w:trHeight w:val="288"/>
        </w:trPr>
        <w:tc>
          <w:tcPr>
            <w:tcW w:w="2685" w:type="dxa"/>
            <w:tcBorders>
              <w:right w:val="single" w:sz="4" w:space="0" w:color="auto"/>
            </w:tcBorders>
            <w:tcMar>
              <w:left w:w="43" w:type="dxa"/>
              <w:right w:w="43" w:type="dxa"/>
            </w:tcMar>
            <w:vAlign w:val="center"/>
          </w:tcPr>
          <w:p w14:paraId="39F6F59F" w14:textId="1C9C7998" w:rsidR="006E6148" w:rsidRPr="00BB08BF" w:rsidRDefault="006E6148" w:rsidP="00926421">
            <w:pPr>
              <w:rPr>
                <w:b/>
                <w:bCs/>
                <w:noProof/>
                <w:sz w:val="18"/>
                <w:szCs w:val="18"/>
              </w:rPr>
            </w:pPr>
            <w:r w:rsidRPr="00BB08BF">
              <w:rPr>
                <w:b/>
                <w:bCs/>
                <w:noProof/>
                <w:sz w:val="18"/>
                <w:szCs w:val="18"/>
              </w:rPr>
              <w:t xml:space="preserve">       Housing Type</w:t>
            </w:r>
          </w:p>
        </w:tc>
        <w:tc>
          <w:tcPr>
            <w:tcW w:w="1170" w:type="dxa"/>
            <w:tcBorders>
              <w:left w:val="single" w:sz="4" w:space="0" w:color="auto"/>
              <w:right w:val="single" w:sz="4" w:space="0" w:color="auto"/>
            </w:tcBorders>
            <w:tcMar>
              <w:left w:w="43" w:type="dxa"/>
              <w:right w:w="43" w:type="dxa"/>
            </w:tcMar>
            <w:vAlign w:val="center"/>
          </w:tcPr>
          <w:p w14:paraId="4C8273A5" w14:textId="206C6214" w:rsidR="006E6148" w:rsidRPr="00BB08BF" w:rsidRDefault="00404B38" w:rsidP="00862DF8">
            <w:pPr>
              <w:tabs>
                <w:tab w:val="decimal" w:pos="480"/>
              </w:tabs>
              <w:jc w:val="center"/>
              <w:rPr>
                <w:noProof/>
                <w:sz w:val="18"/>
                <w:szCs w:val="18"/>
              </w:rPr>
            </w:pPr>
            <w:r w:rsidRPr="00BB08BF">
              <w:rPr>
                <w:noProof/>
                <w:sz w:val="18"/>
                <w:szCs w:val="18"/>
              </w:rPr>
              <w:t>Single-Family</w:t>
            </w:r>
          </w:p>
        </w:tc>
        <w:tc>
          <w:tcPr>
            <w:tcW w:w="990" w:type="dxa"/>
            <w:tcBorders>
              <w:left w:val="single" w:sz="4" w:space="0" w:color="auto"/>
              <w:right w:val="single" w:sz="12" w:space="0" w:color="auto"/>
            </w:tcBorders>
            <w:tcMar>
              <w:left w:w="43" w:type="dxa"/>
              <w:right w:w="43" w:type="dxa"/>
            </w:tcMar>
            <w:vAlign w:val="center"/>
          </w:tcPr>
          <w:p w14:paraId="4B11FACB" w14:textId="2A72EDF8" w:rsidR="006E6148" w:rsidRPr="00BB08BF" w:rsidRDefault="00404B38" w:rsidP="00862DF8">
            <w:pPr>
              <w:tabs>
                <w:tab w:val="decimal" w:pos="480"/>
              </w:tabs>
              <w:jc w:val="center"/>
              <w:rPr>
                <w:noProof/>
                <w:sz w:val="18"/>
                <w:szCs w:val="18"/>
              </w:rPr>
            </w:pPr>
            <w:r w:rsidRPr="00BB08BF">
              <w:rPr>
                <w:noProof/>
                <w:sz w:val="18"/>
                <w:szCs w:val="18"/>
              </w:rPr>
              <w:t>Apartment</w:t>
            </w:r>
          </w:p>
        </w:tc>
        <w:tc>
          <w:tcPr>
            <w:tcW w:w="1008" w:type="dxa"/>
            <w:tcBorders>
              <w:left w:val="single" w:sz="12" w:space="0" w:color="auto"/>
              <w:right w:val="single" w:sz="4" w:space="0" w:color="auto"/>
            </w:tcBorders>
            <w:tcMar>
              <w:left w:w="43" w:type="dxa"/>
              <w:right w:w="43" w:type="dxa"/>
            </w:tcMar>
            <w:vAlign w:val="center"/>
          </w:tcPr>
          <w:p w14:paraId="5239B771" w14:textId="2D5BE0F4" w:rsidR="006E6148" w:rsidRPr="00BB08BF" w:rsidRDefault="0066122B" w:rsidP="0066122B">
            <w:pPr>
              <w:tabs>
                <w:tab w:val="decimal" w:pos="480"/>
              </w:tabs>
              <w:rPr>
                <w:noProof/>
                <w:sz w:val="18"/>
                <w:szCs w:val="18"/>
              </w:rPr>
            </w:pPr>
            <w:r>
              <w:rPr>
                <w:noProof/>
                <w:sz w:val="18"/>
                <w:szCs w:val="18"/>
              </w:rPr>
              <w:t>--</w:t>
            </w:r>
          </w:p>
        </w:tc>
        <w:tc>
          <w:tcPr>
            <w:tcW w:w="792" w:type="dxa"/>
            <w:tcBorders>
              <w:left w:val="single" w:sz="4" w:space="0" w:color="auto"/>
              <w:right w:val="single" w:sz="4" w:space="0" w:color="auto"/>
            </w:tcBorders>
            <w:tcMar>
              <w:left w:w="43" w:type="dxa"/>
              <w:right w:w="43" w:type="dxa"/>
            </w:tcMar>
            <w:vAlign w:val="center"/>
          </w:tcPr>
          <w:p w14:paraId="0B3F4C5C" w14:textId="7BB501A6" w:rsidR="006E6148" w:rsidRPr="00BB08BF" w:rsidRDefault="006E6148" w:rsidP="00186503">
            <w:pPr>
              <w:tabs>
                <w:tab w:val="decimal" w:pos="406"/>
              </w:tabs>
              <w:jc w:val="center"/>
              <w:rPr>
                <w:noProof/>
                <w:sz w:val="18"/>
                <w:szCs w:val="18"/>
              </w:rPr>
            </w:pPr>
            <w:r w:rsidRPr="00BB08BF">
              <w:rPr>
                <w:sz w:val="18"/>
                <w:szCs w:val="18"/>
              </w:rPr>
              <w:t>639.4%</w:t>
            </w:r>
          </w:p>
        </w:tc>
        <w:tc>
          <w:tcPr>
            <w:tcW w:w="1008" w:type="dxa"/>
            <w:tcBorders>
              <w:left w:val="single" w:sz="4" w:space="0" w:color="auto"/>
              <w:right w:val="single" w:sz="4" w:space="0" w:color="auto"/>
            </w:tcBorders>
            <w:tcMar>
              <w:left w:w="43" w:type="dxa"/>
              <w:right w:w="43" w:type="dxa"/>
            </w:tcMar>
            <w:vAlign w:val="center"/>
          </w:tcPr>
          <w:p w14:paraId="166124E4" w14:textId="6A0D461F" w:rsidR="006E6148" w:rsidRPr="00BB08BF" w:rsidRDefault="006E6148" w:rsidP="00186503">
            <w:pPr>
              <w:tabs>
                <w:tab w:val="decimal" w:pos="0"/>
                <w:tab w:val="decimal" w:pos="480"/>
                <w:tab w:val="decimal" w:pos="526"/>
                <w:tab w:val="decimal" w:pos="660"/>
              </w:tabs>
              <w:jc w:val="center"/>
              <w:rPr>
                <w:noProof/>
                <w:sz w:val="18"/>
                <w:szCs w:val="18"/>
              </w:rPr>
            </w:pPr>
            <w:r w:rsidRPr="00BB08BF">
              <w:rPr>
                <w:sz w:val="18"/>
                <w:szCs w:val="18"/>
              </w:rPr>
              <w:t>-68.5%</w:t>
            </w:r>
          </w:p>
        </w:tc>
        <w:tc>
          <w:tcPr>
            <w:tcW w:w="972" w:type="dxa"/>
            <w:tcBorders>
              <w:left w:val="single" w:sz="4" w:space="0" w:color="auto"/>
              <w:right w:val="single" w:sz="4" w:space="0" w:color="auto"/>
            </w:tcBorders>
            <w:tcMar>
              <w:left w:w="43" w:type="dxa"/>
              <w:right w:w="43" w:type="dxa"/>
            </w:tcMar>
            <w:vAlign w:val="center"/>
          </w:tcPr>
          <w:p w14:paraId="27D0EC89" w14:textId="1A48072E" w:rsidR="006E6148" w:rsidRPr="00BB08BF" w:rsidRDefault="006E6148" w:rsidP="00186503">
            <w:pPr>
              <w:tabs>
                <w:tab w:val="decimal" w:pos="293"/>
                <w:tab w:val="decimal" w:pos="480"/>
                <w:tab w:val="decimal" w:pos="570"/>
                <w:tab w:val="decimal" w:pos="660"/>
              </w:tabs>
              <w:jc w:val="center"/>
              <w:rPr>
                <w:noProof/>
                <w:sz w:val="18"/>
                <w:szCs w:val="18"/>
              </w:rPr>
            </w:pPr>
            <w:r w:rsidRPr="00BB08BF">
              <w:rPr>
                <w:sz w:val="18"/>
                <w:szCs w:val="18"/>
              </w:rPr>
              <w:t>-99.8%</w:t>
            </w:r>
          </w:p>
        </w:tc>
        <w:tc>
          <w:tcPr>
            <w:tcW w:w="990" w:type="dxa"/>
            <w:tcBorders>
              <w:left w:val="single" w:sz="4" w:space="0" w:color="auto"/>
              <w:right w:val="single" w:sz="4" w:space="0" w:color="auto"/>
            </w:tcBorders>
            <w:tcMar>
              <w:left w:w="43" w:type="dxa"/>
              <w:right w:w="43" w:type="dxa"/>
            </w:tcMar>
            <w:vAlign w:val="center"/>
          </w:tcPr>
          <w:p w14:paraId="150F15F8" w14:textId="5848231C"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64.1%</w:t>
            </w:r>
          </w:p>
        </w:tc>
        <w:tc>
          <w:tcPr>
            <w:tcW w:w="900" w:type="dxa"/>
            <w:tcBorders>
              <w:left w:val="single" w:sz="4" w:space="0" w:color="auto"/>
              <w:right w:val="single" w:sz="4" w:space="0" w:color="auto"/>
            </w:tcBorders>
            <w:tcMar>
              <w:left w:w="43" w:type="dxa"/>
              <w:right w:w="43" w:type="dxa"/>
            </w:tcMar>
            <w:vAlign w:val="center"/>
          </w:tcPr>
          <w:p w14:paraId="7ECA8888" w14:textId="6277DA3D"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10.2%</w:t>
            </w:r>
          </w:p>
        </w:tc>
        <w:tc>
          <w:tcPr>
            <w:tcW w:w="900" w:type="dxa"/>
            <w:tcBorders>
              <w:left w:val="single" w:sz="4" w:space="0" w:color="auto"/>
              <w:right w:val="single" w:sz="4" w:space="0" w:color="auto"/>
            </w:tcBorders>
            <w:tcMar>
              <w:left w:w="43" w:type="dxa"/>
              <w:right w:w="43" w:type="dxa"/>
            </w:tcMar>
            <w:vAlign w:val="center"/>
          </w:tcPr>
          <w:p w14:paraId="3AE4C783" w14:textId="2AFC33AC"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12.0%</w:t>
            </w:r>
          </w:p>
        </w:tc>
        <w:tc>
          <w:tcPr>
            <w:tcW w:w="900" w:type="dxa"/>
            <w:tcBorders>
              <w:left w:val="single" w:sz="4" w:space="0" w:color="auto"/>
              <w:right w:val="single" w:sz="4" w:space="0" w:color="auto"/>
            </w:tcBorders>
            <w:tcMar>
              <w:left w:w="43" w:type="dxa"/>
              <w:right w:w="43" w:type="dxa"/>
            </w:tcMar>
            <w:vAlign w:val="center"/>
          </w:tcPr>
          <w:p w14:paraId="75C6BB09" w14:textId="28571B56" w:rsidR="006E6148" w:rsidRPr="00BB08BF" w:rsidRDefault="006E6148" w:rsidP="00186503">
            <w:pPr>
              <w:tabs>
                <w:tab w:val="decimal" w:pos="365"/>
                <w:tab w:val="decimal" w:pos="480"/>
                <w:tab w:val="decimal" w:pos="570"/>
                <w:tab w:val="decimal" w:pos="660"/>
              </w:tabs>
              <w:jc w:val="center"/>
              <w:rPr>
                <w:noProof/>
                <w:sz w:val="18"/>
                <w:szCs w:val="18"/>
              </w:rPr>
            </w:pPr>
            <w:r w:rsidRPr="00BB08BF">
              <w:rPr>
                <w:sz w:val="18"/>
                <w:szCs w:val="18"/>
              </w:rPr>
              <w:t>-24.9%</w:t>
            </w:r>
          </w:p>
        </w:tc>
        <w:tc>
          <w:tcPr>
            <w:tcW w:w="900" w:type="dxa"/>
            <w:tcBorders>
              <w:left w:val="single" w:sz="4" w:space="0" w:color="auto"/>
            </w:tcBorders>
            <w:tcMar>
              <w:left w:w="43" w:type="dxa"/>
              <w:right w:w="43" w:type="dxa"/>
            </w:tcMar>
            <w:vAlign w:val="center"/>
          </w:tcPr>
          <w:p w14:paraId="64024F4A" w14:textId="30C08184" w:rsidR="006E6148" w:rsidRPr="00BB08BF" w:rsidRDefault="006E6148" w:rsidP="00186503">
            <w:pPr>
              <w:tabs>
                <w:tab w:val="decimal" w:pos="631"/>
                <w:tab w:val="decimal" w:pos="660"/>
              </w:tabs>
              <w:jc w:val="center"/>
              <w:rPr>
                <w:noProof/>
                <w:sz w:val="18"/>
                <w:szCs w:val="18"/>
              </w:rPr>
            </w:pPr>
            <w:r w:rsidRPr="00BB08BF">
              <w:rPr>
                <w:sz w:val="18"/>
                <w:szCs w:val="18"/>
              </w:rPr>
              <w:t>203.5%</w:t>
            </w:r>
          </w:p>
        </w:tc>
      </w:tr>
      <w:tr w:rsidR="000B6A21" w:rsidRPr="00862DF8" w14:paraId="62EE3045" w14:textId="77777777" w:rsidTr="00926421">
        <w:trPr>
          <w:trHeight w:val="288"/>
        </w:trPr>
        <w:tc>
          <w:tcPr>
            <w:tcW w:w="2685" w:type="dxa"/>
            <w:tcBorders>
              <w:right w:val="single" w:sz="4" w:space="0" w:color="auto"/>
            </w:tcBorders>
            <w:tcMar>
              <w:left w:w="43" w:type="dxa"/>
              <w:right w:w="43" w:type="dxa"/>
            </w:tcMar>
            <w:vAlign w:val="center"/>
          </w:tcPr>
          <w:p w14:paraId="033F8433" w14:textId="3240CE01" w:rsidR="006E6148" w:rsidRPr="00BB08BF" w:rsidRDefault="006E6148" w:rsidP="00926421">
            <w:pPr>
              <w:rPr>
                <w:b/>
                <w:bCs/>
                <w:noProof/>
                <w:sz w:val="18"/>
                <w:szCs w:val="18"/>
              </w:rPr>
            </w:pPr>
            <w:r w:rsidRPr="00BB08BF">
              <w:rPr>
                <w:b/>
                <w:bCs/>
                <w:noProof/>
                <w:sz w:val="18"/>
                <w:szCs w:val="18"/>
              </w:rPr>
              <w:t xml:space="preserve">       Population Density</w:t>
            </w:r>
          </w:p>
        </w:tc>
        <w:tc>
          <w:tcPr>
            <w:tcW w:w="1170" w:type="dxa"/>
            <w:tcBorders>
              <w:left w:val="single" w:sz="4" w:space="0" w:color="auto"/>
              <w:right w:val="single" w:sz="4" w:space="0" w:color="auto"/>
            </w:tcBorders>
            <w:tcMar>
              <w:left w:w="43" w:type="dxa"/>
              <w:right w:w="43" w:type="dxa"/>
            </w:tcMar>
            <w:vAlign w:val="center"/>
          </w:tcPr>
          <w:p w14:paraId="0CE315D3" w14:textId="3DCA4523" w:rsidR="006E6148" w:rsidRPr="00BB08BF" w:rsidRDefault="00862DF8" w:rsidP="00862DF8">
            <w:pPr>
              <w:tabs>
                <w:tab w:val="decimal" w:pos="480"/>
                <w:tab w:val="decimal" w:pos="660"/>
              </w:tabs>
              <w:jc w:val="center"/>
              <w:rPr>
                <w:noProof/>
                <w:sz w:val="18"/>
                <w:szCs w:val="18"/>
              </w:rPr>
            </w:pPr>
            <w:r w:rsidRPr="00BB08BF">
              <w:rPr>
                <w:noProof/>
                <w:sz w:val="18"/>
                <w:szCs w:val="18"/>
              </w:rPr>
              <w:t>Low</w:t>
            </w:r>
          </w:p>
        </w:tc>
        <w:tc>
          <w:tcPr>
            <w:tcW w:w="990" w:type="dxa"/>
            <w:tcBorders>
              <w:left w:val="single" w:sz="4" w:space="0" w:color="auto"/>
              <w:right w:val="single" w:sz="12" w:space="0" w:color="auto"/>
            </w:tcBorders>
            <w:tcMar>
              <w:left w:w="43" w:type="dxa"/>
              <w:right w:w="43" w:type="dxa"/>
            </w:tcMar>
            <w:vAlign w:val="center"/>
          </w:tcPr>
          <w:p w14:paraId="5BABF281" w14:textId="02A5665D" w:rsidR="006E6148" w:rsidRPr="00BB08BF" w:rsidRDefault="00862DF8" w:rsidP="00862DF8">
            <w:pPr>
              <w:tabs>
                <w:tab w:val="decimal" w:pos="480"/>
                <w:tab w:val="decimal" w:pos="660"/>
              </w:tabs>
              <w:jc w:val="center"/>
              <w:rPr>
                <w:noProof/>
                <w:sz w:val="18"/>
                <w:szCs w:val="18"/>
              </w:rPr>
            </w:pPr>
            <w:r w:rsidRPr="00BB08BF">
              <w:rPr>
                <w:noProof/>
                <w:sz w:val="18"/>
                <w:szCs w:val="18"/>
              </w:rPr>
              <w:t>High</w:t>
            </w:r>
          </w:p>
        </w:tc>
        <w:tc>
          <w:tcPr>
            <w:tcW w:w="1008" w:type="dxa"/>
            <w:tcBorders>
              <w:left w:val="single" w:sz="12" w:space="0" w:color="auto"/>
              <w:right w:val="single" w:sz="4" w:space="0" w:color="auto"/>
            </w:tcBorders>
            <w:tcMar>
              <w:left w:w="43" w:type="dxa"/>
              <w:right w:w="43" w:type="dxa"/>
            </w:tcMar>
            <w:vAlign w:val="center"/>
          </w:tcPr>
          <w:p w14:paraId="36BF5778" w14:textId="61EA5285" w:rsidR="006E6148" w:rsidRPr="00BB08BF" w:rsidRDefault="0066122B" w:rsidP="00186503">
            <w:pPr>
              <w:tabs>
                <w:tab w:val="decimal" w:pos="480"/>
                <w:tab w:val="decimal" w:pos="660"/>
              </w:tabs>
              <w:jc w:val="center"/>
              <w:rPr>
                <w:noProof/>
                <w:sz w:val="18"/>
                <w:szCs w:val="18"/>
              </w:rPr>
            </w:pPr>
            <w:r>
              <w:rPr>
                <w:noProof/>
                <w:sz w:val="18"/>
                <w:szCs w:val="18"/>
              </w:rPr>
              <w:t>--</w:t>
            </w:r>
          </w:p>
        </w:tc>
        <w:tc>
          <w:tcPr>
            <w:tcW w:w="792" w:type="dxa"/>
            <w:tcBorders>
              <w:left w:val="single" w:sz="4" w:space="0" w:color="auto"/>
              <w:right w:val="single" w:sz="4" w:space="0" w:color="auto"/>
            </w:tcBorders>
            <w:tcMar>
              <w:left w:w="43" w:type="dxa"/>
              <w:right w:w="43" w:type="dxa"/>
            </w:tcMar>
            <w:vAlign w:val="center"/>
          </w:tcPr>
          <w:p w14:paraId="658B6040" w14:textId="0DC69F50" w:rsidR="006E6148" w:rsidRPr="00BB08BF" w:rsidRDefault="0066122B" w:rsidP="00186503">
            <w:pPr>
              <w:tabs>
                <w:tab w:val="decimal" w:pos="406"/>
              </w:tabs>
              <w:jc w:val="center"/>
              <w:rPr>
                <w:noProof/>
                <w:sz w:val="18"/>
                <w:szCs w:val="18"/>
              </w:rPr>
            </w:pPr>
            <w:r>
              <w:rPr>
                <w:noProof/>
                <w:sz w:val="18"/>
                <w:szCs w:val="18"/>
              </w:rPr>
              <w:t>--</w:t>
            </w:r>
          </w:p>
        </w:tc>
        <w:tc>
          <w:tcPr>
            <w:tcW w:w="1008" w:type="dxa"/>
            <w:tcBorders>
              <w:left w:val="single" w:sz="4" w:space="0" w:color="auto"/>
              <w:right w:val="single" w:sz="4" w:space="0" w:color="auto"/>
            </w:tcBorders>
            <w:tcMar>
              <w:left w:w="43" w:type="dxa"/>
              <w:right w:w="43" w:type="dxa"/>
            </w:tcMar>
            <w:vAlign w:val="center"/>
          </w:tcPr>
          <w:p w14:paraId="2EF856EF" w14:textId="3563A637" w:rsidR="006E6148" w:rsidRPr="00BB08BF" w:rsidRDefault="0066122B" w:rsidP="00186503">
            <w:pPr>
              <w:tabs>
                <w:tab w:val="decimal" w:pos="0"/>
                <w:tab w:val="decimal" w:pos="480"/>
                <w:tab w:val="decimal" w:pos="526"/>
                <w:tab w:val="decimal" w:pos="660"/>
              </w:tabs>
              <w:jc w:val="center"/>
              <w:rPr>
                <w:noProof/>
                <w:sz w:val="18"/>
                <w:szCs w:val="18"/>
              </w:rPr>
            </w:pPr>
            <w:r>
              <w:rPr>
                <w:noProof/>
                <w:sz w:val="18"/>
                <w:szCs w:val="18"/>
              </w:rPr>
              <w:t>--</w:t>
            </w:r>
          </w:p>
        </w:tc>
        <w:tc>
          <w:tcPr>
            <w:tcW w:w="972" w:type="dxa"/>
            <w:tcBorders>
              <w:left w:val="single" w:sz="4" w:space="0" w:color="auto"/>
              <w:right w:val="single" w:sz="4" w:space="0" w:color="auto"/>
            </w:tcBorders>
            <w:tcMar>
              <w:left w:w="43" w:type="dxa"/>
              <w:right w:w="43" w:type="dxa"/>
            </w:tcMar>
            <w:vAlign w:val="center"/>
          </w:tcPr>
          <w:p w14:paraId="082BE6F2" w14:textId="35E82030" w:rsidR="006E6148" w:rsidRPr="00BB08BF" w:rsidRDefault="0066122B" w:rsidP="00186503">
            <w:pPr>
              <w:tabs>
                <w:tab w:val="decimal" w:pos="293"/>
                <w:tab w:val="decimal" w:pos="480"/>
                <w:tab w:val="decimal" w:pos="570"/>
                <w:tab w:val="decimal" w:pos="660"/>
              </w:tabs>
              <w:jc w:val="center"/>
              <w:rPr>
                <w:noProof/>
                <w:sz w:val="18"/>
                <w:szCs w:val="18"/>
              </w:rPr>
            </w:pPr>
            <w:r>
              <w:rPr>
                <w:noProof/>
                <w:sz w:val="18"/>
                <w:szCs w:val="18"/>
              </w:rPr>
              <w:t>--</w:t>
            </w:r>
          </w:p>
        </w:tc>
        <w:tc>
          <w:tcPr>
            <w:tcW w:w="990" w:type="dxa"/>
            <w:tcBorders>
              <w:left w:val="single" w:sz="4" w:space="0" w:color="auto"/>
              <w:right w:val="single" w:sz="4" w:space="0" w:color="auto"/>
            </w:tcBorders>
            <w:tcMar>
              <w:left w:w="43" w:type="dxa"/>
              <w:right w:w="43" w:type="dxa"/>
            </w:tcMar>
            <w:vAlign w:val="center"/>
          </w:tcPr>
          <w:p w14:paraId="17477668" w14:textId="7AF17658" w:rsidR="006E6148" w:rsidRPr="00BB08BF" w:rsidRDefault="0066122B" w:rsidP="00186503">
            <w:pPr>
              <w:tabs>
                <w:tab w:val="decimal" w:pos="480"/>
                <w:tab w:val="decimal" w:pos="570"/>
                <w:tab w:val="decimal" w:pos="660"/>
              </w:tabs>
              <w:jc w:val="center"/>
              <w:rPr>
                <w:noProof/>
                <w:sz w:val="18"/>
                <w:szCs w:val="18"/>
              </w:rPr>
            </w:pPr>
            <w:r>
              <w:rPr>
                <w:noProof/>
                <w:sz w:val="18"/>
                <w:szCs w:val="18"/>
              </w:rPr>
              <w:t>--</w:t>
            </w:r>
          </w:p>
        </w:tc>
        <w:tc>
          <w:tcPr>
            <w:tcW w:w="900" w:type="dxa"/>
            <w:tcBorders>
              <w:left w:val="single" w:sz="4" w:space="0" w:color="auto"/>
              <w:right w:val="single" w:sz="4" w:space="0" w:color="auto"/>
            </w:tcBorders>
            <w:tcMar>
              <w:left w:w="43" w:type="dxa"/>
              <w:right w:w="43" w:type="dxa"/>
            </w:tcMar>
            <w:vAlign w:val="center"/>
          </w:tcPr>
          <w:p w14:paraId="2B9638DE" w14:textId="2D2DF6F0" w:rsidR="006E6148" w:rsidRPr="00BB08BF" w:rsidRDefault="0066122B" w:rsidP="00186503">
            <w:pPr>
              <w:tabs>
                <w:tab w:val="decimal" w:pos="480"/>
                <w:tab w:val="decimal" w:pos="570"/>
                <w:tab w:val="decimal" w:pos="660"/>
              </w:tabs>
              <w:jc w:val="center"/>
              <w:rPr>
                <w:noProof/>
                <w:sz w:val="18"/>
                <w:szCs w:val="18"/>
              </w:rPr>
            </w:pPr>
            <w:r>
              <w:rPr>
                <w:noProof/>
                <w:sz w:val="18"/>
                <w:szCs w:val="18"/>
              </w:rPr>
              <w:t>--</w:t>
            </w:r>
          </w:p>
        </w:tc>
        <w:tc>
          <w:tcPr>
            <w:tcW w:w="900" w:type="dxa"/>
            <w:tcBorders>
              <w:left w:val="single" w:sz="4" w:space="0" w:color="auto"/>
              <w:right w:val="single" w:sz="4" w:space="0" w:color="auto"/>
            </w:tcBorders>
            <w:tcMar>
              <w:left w:w="43" w:type="dxa"/>
              <w:right w:w="43" w:type="dxa"/>
            </w:tcMar>
            <w:vAlign w:val="center"/>
          </w:tcPr>
          <w:p w14:paraId="3D106242" w14:textId="5820382C"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52.1%</w:t>
            </w:r>
          </w:p>
        </w:tc>
        <w:tc>
          <w:tcPr>
            <w:tcW w:w="900" w:type="dxa"/>
            <w:tcBorders>
              <w:left w:val="single" w:sz="4" w:space="0" w:color="auto"/>
              <w:right w:val="single" w:sz="4" w:space="0" w:color="auto"/>
            </w:tcBorders>
            <w:tcMar>
              <w:left w:w="43" w:type="dxa"/>
              <w:right w:w="43" w:type="dxa"/>
            </w:tcMar>
            <w:vAlign w:val="center"/>
          </w:tcPr>
          <w:p w14:paraId="38964E00" w14:textId="6717DB81" w:rsidR="006E6148" w:rsidRPr="00BB08BF" w:rsidRDefault="006E6148" w:rsidP="00186503">
            <w:pPr>
              <w:tabs>
                <w:tab w:val="decimal" w:pos="365"/>
                <w:tab w:val="decimal" w:pos="480"/>
                <w:tab w:val="decimal" w:pos="570"/>
                <w:tab w:val="decimal" w:pos="660"/>
              </w:tabs>
              <w:jc w:val="center"/>
              <w:rPr>
                <w:noProof/>
                <w:sz w:val="18"/>
                <w:szCs w:val="18"/>
              </w:rPr>
            </w:pPr>
            <w:r w:rsidRPr="00BB08BF">
              <w:rPr>
                <w:sz w:val="18"/>
                <w:szCs w:val="18"/>
              </w:rPr>
              <w:t>-36.9%</w:t>
            </w:r>
          </w:p>
        </w:tc>
        <w:tc>
          <w:tcPr>
            <w:tcW w:w="900" w:type="dxa"/>
            <w:tcBorders>
              <w:left w:val="single" w:sz="4" w:space="0" w:color="auto"/>
            </w:tcBorders>
            <w:tcMar>
              <w:left w:w="43" w:type="dxa"/>
              <w:right w:w="43" w:type="dxa"/>
            </w:tcMar>
            <w:vAlign w:val="center"/>
          </w:tcPr>
          <w:p w14:paraId="793B2F89" w14:textId="194CD6CE" w:rsidR="006E6148" w:rsidRPr="00BB08BF" w:rsidRDefault="006E6148" w:rsidP="00186503">
            <w:pPr>
              <w:tabs>
                <w:tab w:val="decimal" w:pos="480"/>
                <w:tab w:val="decimal" w:pos="660"/>
              </w:tabs>
              <w:jc w:val="center"/>
              <w:rPr>
                <w:noProof/>
                <w:sz w:val="18"/>
                <w:szCs w:val="18"/>
              </w:rPr>
            </w:pPr>
            <w:r w:rsidRPr="00BB08BF">
              <w:rPr>
                <w:sz w:val="18"/>
                <w:szCs w:val="18"/>
              </w:rPr>
              <w:t>533.7%</w:t>
            </w:r>
          </w:p>
        </w:tc>
      </w:tr>
      <w:tr w:rsidR="000B6A21" w:rsidRPr="00862DF8" w14:paraId="3BB25CFE" w14:textId="77777777" w:rsidTr="00926421">
        <w:trPr>
          <w:trHeight w:val="288"/>
        </w:trPr>
        <w:tc>
          <w:tcPr>
            <w:tcW w:w="2685" w:type="dxa"/>
            <w:tcBorders>
              <w:bottom w:val="single" w:sz="12" w:space="0" w:color="auto"/>
              <w:right w:val="single" w:sz="4" w:space="0" w:color="auto"/>
            </w:tcBorders>
            <w:tcMar>
              <w:left w:w="43" w:type="dxa"/>
              <w:right w:w="43" w:type="dxa"/>
            </w:tcMar>
            <w:vAlign w:val="center"/>
          </w:tcPr>
          <w:p w14:paraId="66BEA1CD" w14:textId="6579C77E" w:rsidR="006E6148" w:rsidRPr="00BB08BF" w:rsidRDefault="006E6148" w:rsidP="00926421">
            <w:pPr>
              <w:rPr>
                <w:b/>
                <w:bCs/>
                <w:noProof/>
                <w:sz w:val="18"/>
                <w:szCs w:val="18"/>
              </w:rPr>
            </w:pPr>
            <w:r w:rsidRPr="00BB08BF">
              <w:rPr>
                <w:b/>
                <w:bCs/>
                <w:noProof/>
                <w:sz w:val="18"/>
                <w:szCs w:val="18"/>
              </w:rPr>
              <w:t xml:space="preserve">       Median Housing Cost</w:t>
            </w:r>
          </w:p>
        </w:tc>
        <w:tc>
          <w:tcPr>
            <w:tcW w:w="1170" w:type="dxa"/>
            <w:tcBorders>
              <w:left w:val="single" w:sz="4" w:space="0" w:color="auto"/>
              <w:bottom w:val="single" w:sz="12" w:space="0" w:color="auto"/>
              <w:right w:val="single" w:sz="4" w:space="0" w:color="auto"/>
            </w:tcBorders>
            <w:tcMar>
              <w:left w:w="43" w:type="dxa"/>
              <w:right w:w="43" w:type="dxa"/>
            </w:tcMar>
            <w:vAlign w:val="center"/>
          </w:tcPr>
          <w:p w14:paraId="687E9E0C" w14:textId="6E11CE41" w:rsidR="006E6148" w:rsidRPr="00BB08BF" w:rsidRDefault="00862DF8" w:rsidP="00862DF8">
            <w:pPr>
              <w:tabs>
                <w:tab w:val="decimal" w:pos="480"/>
                <w:tab w:val="decimal" w:pos="660"/>
              </w:tabs>
              <w:jc w:val="center"/>
              <w:rPr>
                <w:noProof/>
                <w:sz w:val="18"/>
                <w:szCs w:val="18"/>
              </w:rPr>
            </w:pPr>
            <w:r w:rsidRPr="00BB08BF">
              <w:rPr>
                <w:noProof/>
                <w:sz w:val="18"/>
                <w:szCs w:val="18"/>
              </w:rPr>
              <w:t>Low</w:t>
            </w:r>
          </w:p>
        </w:tc>
        <w:tc>
          <w:tcPr>
            <w:tcW w:w="990" w:type="dxa"/>
            <w:tcBorders>
              <w:left w:val="single" w:sz="4" w:space="0" w:color="auto"/>
              <w:bottom w:val="single" w:sz="12" w:space="0" w:color="auto"/>
              <w:right w:val="single" w:sz="12" w:space="0" w:color="auto"/>
            </w:tcBorders>
            <w:tcMar>
              <w:left w:w="43" w:type="dxa"/>
              <w:right w:w="43" w:type="dxa"/>
            </w:tcMar>
            <w:vAlign w:val="center"/>
          </w:tcPr>
          <w:p w14:paraId="2ED8ED59" w14:textId="52CEEAA5" w:rsidR="006E6148" w:rsidRPr="00BB08BF" w:rsidRDefault="00862DF8" w:rsidP="00862DF8">
            <w:pPr>
              <w:tabs>
                <w:tab w:val="decimal" w:pos="480"/>
                <w:tab w:val="decimal" w:pos="660"/>
              </w:tabs>
              <w:jc w:val="center"/>
              <w:rPr>
                <w:noProof/>
                <w:sz w:val="18"/>
                <w:szCs w:val="18"/>
              </w:rPr>
            </w:pPr>
            <w:r w:rsidRPr="00BB08BF">
              <w:rPr>
                <w:noProof/>
                <w:sz w:val="18"/>
                <w:szCs w:val="18"/>
              </w:rPr>
              <w:t>High</w:t>
            </w:r>
          </w:p>
        </w:tc>
        <w:tc>
          <w:tcPr>
            <w:tcW w:w="1008" w:type="dxa"/>
            <w:tcBorders>
              <w:left w:val="single" w:sz="12" w:space="0" w:color="auto"/>
              <w:bottom w:val="single" w:sz="12" w:space="0" w:color="auto"/>
              <w:right w:val="single" w:sz="4" w:space="0" w:color="auto"/>
            </w:tcBorders>
            <w:tcMar>
              <w:left w:w="43" w:type="dxa"/>
              <w:right w:w="43" w:type="dxa"/>
            </w:tcMar>
            <w:vAlign w:val="center"/>
          </w:tcPr>
          <w:p w14:paraId="3A523467" w14:textId="63941EA8" w:rsidR="006E6148" w:rsidRPr="00BB08BF" w:rsidRDefault="0066122B" w:rsidP="00186503">
            <w:pPr>
              <w:tabs>
                <w:tab w:val="decimal" w:pos="480"/>
                <w:tab w:val="decimal" w:pos="660"/>
              </w:tabs>
              <w:jc w:val="center"/>
              <w:rPr>
                <w:noProof/>
                <w:sz w:val="18"/>
                <w:szCs w:val="18"/>
              </w:rPr>
            </w:pPr>
            <w:r>
              <w:rPr>
                <w:noProof/>
                <w:sz w:val="18"/>
                <w:szCs w:val="18"/>
              </w:rPr>
              <w:t>--</w:t>
            </w:r>
          </w:p>
        </w:tc>
        <w:tc>
          <w:tcPr>
            <w:tcW w:w="792" w:type="dxa"/>
            <w:tcBorders>
              <w:left w:val="single" w:sz="4" w:space="0" w:color="auto"/>
              <w:bottom w:val="single" w:sz="12" w:space="0" w:color="auto"/>
              <w:right w:val="single" w:sz="4" w:space="0" w:color="auto"/>
            </w:tcBorders>
            <w:tcMar>
              <w:left w:w="43" w:type="dxa"/>
              <w:right w:w="43" w:type="dxa"/>
            </w:tcMar>
            <w:vAlign w:val="center"/>
          </w:tcPr>
          <w:p w14:paraId="7EB121B7" w14:textId="08F4F172" w:rsidR="006E6148" w:rsidRPr="00BB08BF" w:rsidRDefault="0066122B" w:rsidP="00186503">
            <w:pPr>
              <w:tabs>
                <w:tab w:val="decimal" w:pos="406"/>
              </w:tabs>
              <w:jc w:val="center"/>
              <w:rPr>
                <w:noProof/>
                <w:sz w:val="18"/>
                <w:szCs w:val="18"/>
              </w:rPr>
            </w:pPr>
            <w:r>
              <w:rPr>
                <w:noProof/>
                <w:sz w:val="18"/>
                <w:szCs w:val="18"/>
              </w:rPr>
              <w:t>--</w:t>
            </w:r>
          </w:p>
        </w:tc>
        <w:tc>
          <w:tcPr>
            <w:tcW w:w="1008" w:type="dxa"/>
            <w:tcBorders>
              <w:left w:val="single" w:sz="4" w:space="0" w:color="auto"/>
              <w:bottom w:val="single" w:sz="12" w:space="0" w:color="auto"/>
              <w:right w:val="single" w:sz="4" w:space="0" w:color="auto"/>
            </w:tcBorders>
            <w:tcMar>
              <w:left w:w="43" w:type="dxa"/>
              <w:right w:w="43" w:type="dxa"/>
            </w:tcMar>
            <w:vAlign w:val="center"/>
          </w:tcPr>
          <w:p w14:paraId="6C676290" w14:textId="69924064" w:rsidR="006E6148" w:rsidRPr="00BB08BF" w:rsidRDefault="0066122B" w:rsidP="00186503">
            <w:pPr>
              <w:tabs>
                <w:tab w:val="decimal" w:pos="0"/>
                <w:tab w:val="decimal" w:pos="480"/>
                <w:tab w:val="decimal" w:pos="526"/>
                <w:tab w:val="decimal" w:pos="660"/>
              </w:tabs>
              <w:jc w:val="center"/>
              <w:rPr>
                <w:noProof/>
                <w:sz w:val="18"/>
                <w:szCs w:val="18"/>
              </w:rPr>
            </w:pPr>
            <w:r>
              <w:rPr>
                <w:noProof/>
                <w:sz w:val="18"/>
                <w:szCs w:val="18"/>
              </w:rPr>
              <w:t>--</w:t>
            </w:r>
          </w:p>
        </w:tc>
        <w:tc>
          <w:tcPr>
            <w:tcW w:w="972" w:type="dxa"/>
            <w:tcBorders>
              <w:left w:val="single" w:sz="4" w:space="0" w:color="auto"/>
              <w:bottom w:val="single" w:sz="12" w:space="0" w:color="auto"/>
              <w:right w:val="single" w:sz="4" w:space="0" w:color="auto"/>
            </w:tcBorders>
            <w:tcMar>
              <w:left w:w="43" w:type="dxa"/>
              <w:right w:w="43" w:type="dxa"/>
            </w:tcMar>
            <w:vAlign w:val="center"/>
          </w:tcPr>
          <w:p w14:paraId="553D1C88" w14:textId="45486F44" w:rsidR="006E6148" w:rsidRPr="00BB08BF" w:rsidRDefault="006E6148" w:rsidP="00186503">
            <w:pPr>
              <w:tabs>
                <w:tab w:val="decimal" w:pos="293"/>
                <w:tab w:val="decimal" w:pos="480"/>
                <w:tab w:val="decimal" w:pos="570"/>
                <w:tab w:val="decimal" w:pos="660"/>
              </w:tabs>
              <w:jc w:val="center"/>
              <w:rPr>
                <w:noProof/>
                <w:sz w:val="18"/>
                <w:szCs w:val="18"/>
              </w:rPr>
            </w:pPr>
            <w:r w:rsidRPr="00BB08BF">
              <w:rPr>
                <w:sz w:val="18"/>
                <w:szCs w:val="18"/>
              </w:rPr>
              <w:t>36.4%</w:t>
            </w:r>
          </w:p>
        </w:tc>
        <w:tc>
          <w:tcPr>
            <w:tcW w:w="990" w:type="dxa"/>
            <w:tcBorders>
              <w:left w:val="single" w:sz="4" w:space="0" w:color="auto"/>
              <w:bottom w:val="single" w:sz="12" w:space="0" w:color="auto"/>
              <w:right w:val="single" w:sz="4" w:space="0" w:color="auto"/>
            </w:tcBorders>
            <w:tcMar>
              <w:left w:w="43" w:type="dxa"/>
              <w:right w:w="43" w:type="dxa"/>
            </w:tcMar>
            <w:vAlign w:val="center"/>
          </w:tcPr>
          <w:p w14:paraId="247C6EBD" w14:textId="06E1524F"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174.3%</w:t>
            </w:r>
          </w:p>
        </w:tc>
        <w:tc>
          <w:tcPr>
            <w:tcW w:w="900" w:type="dxa"/>
            <w:tcBorders>
              <w:left w:val="single" w:sz="4" w:space="0" w:color="auto"/>
              <w:bottom w:val="single" w:sz="12" w:space="0" w:color="auto"/>
              <w:right w:val="single" w:sz="4" w:space="0" w:color="auto"/>
            </w:tcBorders>
            <w:tcMar>
              <w:left w:w="43" w:type="dxa"/>
              <w:right w:w="43" w:type="dxa"/>
            </w:tcMar>
            <w:vAlign w:val="center"/>
          </w:tcPr>
          <w:p w14:paraId="54B120A0" w14:textId="2BBD9A24" w:rsidR="006E6148" w:rsidRPr="00BB08BF" w:rsidRDefault="0066122B" w:rsidP="00186503">
            <w:pPr>
              <w:tabs>
                <w:tab w:val="decimal" w:pos="480"/>
                <w:tab w:val="decimal" w:pos="570"/>
                <w:tab w:val="decimal" w:pos="660"/>
              </w:tabs>
              <w:jc w:val="center"/>
              <w:rPr>
                <w:noProof/>
                <w:sz w:val="18"/>
                <w:szCs w:val="18"/>
              </w:rPr>
            </w:pPr>
            <w:r>
              <w:rPr>
                <w:noProof/>
                <w:sz w:val="18"/>
                <w:szCs w:val="18"/>
              </w:rPr>
              <w:t>--</w:t>
            </w:r>
          </w:p>
        </w:tc>
        <w:tc>
          <w:tcPr>
            <w:tcW w:w="900" w:type="dxa"/>
            <w:tcBorders>
              <w:left w:val="single" w:sz="4" w:space="0" w:color="auto"/>
              <w:bottom w:val="single" w:sz="12" w:space="0" w:color="auto"/>
              <w:right w:val="single" w:sz="4" w:space="0" w:color="auto"/>
            </w:tcBorders>
            <w:tcMar>
              <w:left w:w="43" w:type="dxa"/>
              <w:right w:w="43" w:type="dxa"/>
            </w:tcMar>
            <w:vAlign w:val="center"/>
          </w:tcPr>
          <w:p w14:paraId="2A3D7D68" w14:textId="0349926A" w:rsidR="006E6148" w:rsidRPr="00BB08BF" w:rsidRDefault="006E6148" w:rsidP="00186503">
            <w:pPr>
              <w:tabs>
                <w:tab w:val="decimal" w:pos="480"/>
                <w:tab w:val="decimal" w:pos="570"/>
                <w:tab w:val="decimal" w:pos="660"/>
              </w:tabs>
              <w:jc w:val="center"/>
              <w:rPr>
                <w:noProof/>
                <w:sz w:val="18"/>
                <w:szCs w:val="18"/>
              </w:rPr>
            </w:pPr>
            <w:r w:rsidRPr="00BB08BF">
              <w:rPr>
                <w:sz w:val="18"/>
                <w:szCs w:val="18"/>
              </w:rPr>
              <w:t>15.6%</w:t>
            </w:r>
          </w:p>
        </w:tc>
        <w:tc>
          <w:tcPr>
            <w:tcW w:w="900" w:type="dxa"/>
            <w:tcBorders>
              <w:left w:val="single" w:sz="4" w:space="0" w:color="auto"/>
              <w:bottom w:val="single" w:sz="12" w:space="0" w:color="auto"/>
              <w:right w:val="single" w:sz="4" w:space="0" w:color="auto"/>
            </w:tcBorders>
            <w:tcMar>
              <w:left w:w="43" w:type="dxa"/>
              <w:right w:w="43" w:type="dxa"/>
            </w:tcMar>
            <w:vAlign w:val="center"/>
          </w:tcPr>
          <w:p w14:paraId="1400CC1C" w14:textId="3882A8E7" w:rsidR="006E6148" w:rsidRPr="00BB08BF" w:rsidRDefault="006E6148" w:rsidP="00186503">
            <w:pPr>
              <w:tabs>
                <w:tab w:val="decimal" w:pos="365"/>
                <w:tab w:val="decimal" w:pos="480"/>
                <w:tab w:val="decimal" w:pos="570"/>
                <w:tab w:val="decimal" w:pos="660"/>
              </w:tabs>
              <w:jc w:val="center"/>
              <w:rPr>
                <w:noProof/>
                <w:sz w:val="18"/>
                <w:szCs w:val="18"/>
              </w:rPr>
            </w:pPr>
            <w:r w:rsidRPr="00BB08BF">
              <w:rPr>
                <w:sz w:val="18"/>
                <w:szCs w:val="18"/>
              </w:rPr>
              <w:t>386.8%</w:t>
            </w:r>
          </w:p>
        </w:tc>
        <w:tc>
          <w:tcPr>
            <w:tcW w:w="900" w:type="dxa"/>
            <w:tcBorders>
              <w:left w:val="single" w:sz="4" w:space="0" w:color="auto"/>
              <w:bottom w:val="single" w:sz="12" w:space="0" w:color="auto"/>
            </w:tcBorders>
            <w:tcMar>
              <w:left w:w="43" w:type="dxa"/>
              <w:right w:w="43" w:type="dxa"/>
            </w:tcMar>
            <w:vAlign w:val="center"/>
          </w:tcPr>
          <w:p w14:paraId="7DA31307" w14:textId="079668D6" w:rsidR="006E6148" w:rsidRPr="00BB08BF" w:rsidRDefault="006E6148" w:rsidP="00186503">
            <w:pPr>
              <w:tabs>
                <w:tab w:val="decimal" w:pos="480"/>
                <w:tab w:val="decimal" w:pos="660"/>
              </w:tabs>
              <w:jc w:val="center"/>
              <w:rPr>
                <w:noProof/>
                <w:sz w:val="18"/>
                <w:szCs w:val="18"/>
              </w:rPr>
            </w:pPr>
            <w:r w:rsidRPr="00BB08BF">
              <w:rPr>
                <w:sz w:val="18"/>
                <w:szCs w:val="18"/>
              </w:rPr>
              <w:t>-61.6%</w:t>
            </w:r>
          </w:p>
        </w:tc>
      </w:tr>
      <w:tr w:rsidR="000B6A21" w:rsidRPr="00862DF8" w14:paraId="6F2ADE67" w14:textId="77777777" w:rsidTr="00926421">
        <w:trPr>
          <w:trHeight w:val="288"/>
        </w:trPr>
        <w:tc>
          <w:tcPr>
            <w:tcW w:w="2685" w:type="dxa"/>
            <w:tcBorders>
              <w:top w:val="single" w:sz="12" w:space="0" w:color="auto"/>
              <w:right w:val="single" w:sz="4" w:space="0" w:color="auto"/>
            </w:tcBorders>
            <w:tcMar>
              <w:left w:w="43" w:type="dxa"/>
              <w:right w:w="43" w:type="dxa"/>
            </w:tcMar>
            <w:vAlign w:val="center"/>
          </w:tcPr>
          <w:p w14:paraId="1DC56AD5" w14:textId="2E13F735" w:rsidR="006E6148" w:rsidRPr="00BB08BF" w:rsidRDefault="006E6148" w:rsidP="00926421">
            <w:pPr>
              <w:rPr>
                <w:b/>
                <w:bCs/>
                <w:noProof/>
                <w:sz w:val="18"/>
                <w:szCs w:val="18"/>
              </w:rPr>
            </w:pPr>
            <w:r w:rsidRPr="00BB08BF">
              <w:rPr>
                <w:b/>
                <w:bCs/>
                <w:noProof/>
                <w:sz w:val="18"/>
                <w:szCs w:val="18"/>
              </w:rPr>
              <w:t>ATEs for Unemployed Individual</w:t>
            </w:r>
          </w:p>
        </w:tc>
        <w:tc>
          <w:tcPr>
            <w:tcW w:w="1170" w:type="dxa"/>
            <w:tcBorders>
              <w:top w:val="single" w:sz="12" w:space="0" w:color="auto"/>
              <w:left w:val="single" w:sz="4" w:space="0" w:color="auto"/>
              <w:right w:val="single" w:sz="4" w:space="0" w:color="auto"/>
            </w:tcBorders>
            <w:tcMar>
              <w:left w:w="43" w:type="dxa"/>
              <w:right w:w="43" w:type="dxa"/>
            </w:tcMar>
            <w:vAlign w:val="center"/>
          </w:tcPr>
          <w:p w14:paraId="03FC957C" w14:textId="77777777" w:rsidR="006E6148" w:rsidRPr="00BB08BF" w:rsidRDefault="006E6148" w:rsidP="00862DF8">
            <w:pPr>
              <w:tabs>
                <w:tab w:val="decimal" w:pos="480"/>
                <w:tab w:val="decimal" w:pos="660"/>
              </w:tabs>
              <w:jc w:val="center"/>
              <w:rPr>
                <w:noProof/>
                <w:sz w:val="18"/>
                <w:szCs w:val="18"/>
              </w:rPr>
            </w:pPr>
          </w:p>
        </w:tc>
        <w:tc>
          <w:tcPr>
            <w:tcW w:w="990" w:type="dxa"/>
            <w:tcBorders>
              <w:top w:val="single" w:sz="12" w:space="0" w:color="auto"/>
              <w:left w:val="single" w:sz="4" w:space="0" w:color="auto"/>
              <w:right w:val="single" w:sz="12" w:space="0" w:color="auto"/>
            </w:tcBorders>
            <w:tcMar>
              <w:left w:w="43" w:type="dxa"/>
              <w:right w:w="43" w:type="dxa"/>
            </w:tcMar>
            <w:vAlign w:val="center"/>
          </w:tcPr>
          <w:p w14:paraId="13F66766" w14:textId="77777777" w:rsidR="006E6148" w:rsidRPr="00BB08BF" w:rsidRDefault="006E6148" w:rsidP="00862DF8">
            <w:pPr>
              <w:tabs>
                <w:tab w:val="decimal" w:pos="480"/>
                <w:tab w:val="decimal" w:pos="660"/>
              </w:tabs>
              <w:jc w:val="center"/>
              <w:rPr>
                <w:noProof/>
                <w:sz w:val="18"/>
                <w:szCs w:val="18"/>
              </w:rPr>
            </w:pPr>
          </w:p>
        </w:tc>
        <w:tc>
          <w:tcPr>
            <w:tcW w:w="1008" w:type="dxa"/>
            <w:tcBorders>
              <w:top w:val="single" w:sz="12" w:space="0" w:color="auto"/>
              <w:left w:val="single" w:sz="12" w:space="0" w:color="auto"/>
              <w:right w:val="single" w:sz="4" w:space="0" w:color="auto"/>
            </w:tcBorders>
            <w:tcMar>
              <w:left w:w="43" w:type="dxa"/>
              <w:right w:w="43" w:type="dxa"/>
            </w:tcMar>
            <w:vAlign w:val="center"/>
          </w:tcPr>
          <w:p w14:paraId="39A02534" w14:textId="1BF7FECB" w:rsidR="006E6148" w:rsidRPr="00BB08BF" w:rsidRDefault="006E6148" w:rsidP="00186503">
            <w:pPr>
              <w:tabs>
                <w:tab w:val="decimal" w:pos="480"/>
                <w:tab w:val="decimal" w:pos="660"/>
              </w:tabs>
              <w:jc w:val="center"/>
              <w:rPr>
                <w:noProof/>
                <w:sz w:val="18"/>
                <w:szCs w:val="18"/>
              </w:rPr>
            </w:pPr>
          </w:p>
        </w:tc>
        <w:tc>
          <w:tcPr>
            <w:tcW w:w="792" w:type="dxa"/>
            <w:tcBorders>
              <w:top w:val="single" w:sz="12" w:space="0" w:color="auto"/>
              <w:left w:val="single" w:sz="4" w:space="0" w:color="auto"/>
              <w:right w:val="single" w:sz="4" w:space="0" w:color="auto"/>
            </w:tcBorders>
            <w:tcMar>
              <w:left w:w="43" w:type="dxa"/>
              <w:right w:w="43" w:type="dxa"/>
            </w:tcMar>
            <w:vAlign w:val="center"/>
          </w:tcPr>
          <w:p w14:paraId="4FBFFBBB" w14:textId="77777777" w:rsidR="006E6148" w:rsidRPr="00BB08BF" w:rsidRDefault="006E6148" w:rsidP="00186503">
            <w:pPr>
              <w:tabs>
                <w:tab w:val="decimal" w:pos="406"/>
              </w:tabs>
              <w:jc w:val="center"/>
              <w:rPr>
                <w:noProof/>
                <w:sz w:val="18"/>
                <w:szCs w:val="18"/>
              </w:rPr>
            </w:pPr>
          </w:p>
        </w:tc>
        <w:tc>
          <w:tcPr>
            <w:tcW w:w="1008" w:type="dxa"/>
            <w:tcBorders>
              <w:top w:val="single" w:sz="12" w:space="0" w:color="auto"/>
              <w:left w:val="single" w:sz="4" w:space="0" w:color="auto"/>
              <w:right w:val="single" w:sz="4" w:space="0" w:color="auto"/>
            </w:tcBorders>
            <w:tcMar>
              <w:left w:w="43" w:type="dxa"/>
              <w:right w:w="43" w:type="dxa"/>
            </w:tcMar>
            <w:vAlign w:val="center"/>
          </w:tcPr>
          <w:p w14:paraId="1329057C" w14:textId="77777777" w:rsidR="006E6148" w:rsidRPr="00BB08BF" w:rsidRDefault="006E6148" w:rsidP="00186503">
            <w:pPr>
              <w:tabs>
                <w:tab w:val="decimal" w:pos="0"/>
                <w:tab w:val="decimal" w:pos="480"/>
                <w:tab w:val="decimal" w:pos="526"/>
                <w:tab w:val="decimal" w:pos="660"/>
              </w:tabs>
              <w:jc w:val="center"/>
              <w:rPr>
                <w:noProof/>
                <w:sz w:val="18"/>
                <w:szCs w:val="18"/>
              </w:rPr>
            </w:pPr>
          </w:p>
        </w:tc>
        <w:tc>
          <w:tcPr>
            <w:tcW w:w="972" w:type="dxa"/>
            <w:tcBorders>
              <w:top w:val="single" w:sz="12" w:space="0" w:color="auto"/>
              <w:left w:val="single" w:sz="4" w:space="0" w:color="auto"/>
              <w:right w:val="single" w:sz="4" w:space="0" w:color="auto"/>
            </w:tcBorders>
            <w:tcMar>
              <w:left w:w="43" w:type="dxa"/>
              <w:right w:w="43" w:type="dxa"/>
            </w:tcMar>
            <w:vAlign w:val="center"/>
          </w:tcPr>
          <w:p w14:paraId="27C423A4" w14:textId="77777777" w:rsidR="006E6148" w:rsidRPr="00BB08BF" w:rsidRDefault="006E6148" w:rsidP="00186503">
            <w:pPr>
              <w:tabs>
                <w:tab w:val="decimal" w:pos="293"/>
                <w:tab w:val="decimal" w:pos="480"/>
                <w:tab w:val="decimal" w:pos="570"/>
                <w:tab w:val="decimal" w:pos="660"/>
              </w:tabs>
              <w:jc w:val="center"/>
              <w:rPr>
                <w:noProof/>
                <w:sz w:val="18"/>
                <w:szCs w:val="18"/>
              </w:rPr>
            </w:pPr>
          </w:p>
        </w:tc>
        <w:tc>
          <w:tcPr>
            <w:tcW w:w="990" w:type="dxa"/>
            <w:tcBorders>
              <w:top w:val="single" w:sz="12" w:space="0" w:color="auto"/>
              <w:left w:val="single" w:sz="4" w:space="0" w:color="auto"/>
              <w:right w:val="single" w:sz="4" w:space="0" w:color="auto"/>
            </w:tcBorders>
            <w:tcMar>
              <w:left w:w="43" w:type="dxa"/>
              <w:right w:w="43" w:type="dxa"/>
            </w:tcMar>
            <w:vAlign w:val="center"/>
          </w:tcPr>
          <w:p w14:paraId="2A9809E5" w14:textId="77777777" w:rsidR="006E6148" w:rsidRPr="00BB08BF" w:rsidRDefault="006E6148" w:rsidP="00186503">
            <w:pPr>
              <w:tabs>
                <w:tab w:val="decimal" w:pos="480"/>
                <w:tab w:val="decimal" w:pos="570"/>
                <w:tab w:val="decimal" w:pos="660"/>
              </w:tabs>
              <w:jc w:val="center"/>
              <w:rPr>
                <w:noProof/>
                <w:sz w:val="18"/>
                <w:szCs w:val="18"/>
              </w:rPr>
            </w:pPr>
          </w:p>
        </w:tc>
        <w:tc>
          <w:tcPr>
            <w:tcW w:w="900" w:type="dxa"/>
            <w:tcBorders>
              <w:top w:val="single" w:sz="12" w:space="0" w:color="auto"/>
              <w:left w:val="single" w:sz="4" w:space="0" w:color="auto"/>
              <w:right w:val="single" w:sz="4" w:space="0" w:color="auto"/>
            </w:tcBorders>
            <w:tcMar>
              <w:left w:w="43" w:type="dxa"/>
              <w:right w:w="43" w:type="dxa"/>
            </w:tcMar>
            <w:vAlign w:val="center"/>
          </w:tcPr>
          <w:p w14:paraId="25C05C54" w14:textId="77777777" w:rsidR="006E6148" w:rsidRPr="00BB08BF" w:rsidRDefault="006E6148" w:rsidP="00186503">
            <w:pPr>
              <w:tabs>
                <w:tab w:val="decimal" w:pos="480"/>
                <w:tab w:val="decimal" w:pos="570"/>
                <w:tab w:val="decimal" w:pos="660"/>
              </w:tabs>
              <w:jc w:val="center"/>
              <w:rPr>
                <w:noProof/>
                <w:sz w:val="18"/>
                <w:szCs w:val="18"/>
              </w:rPr>
            </w:pPr>
          </w:p>
        </w:tc>
        <w:tc>
          <w:tcPr>
            <w:tcW w:w="900" w:type="dxa"/>
            <w:tcBorders>
              <w:top w:val="single" w:sz="12" w:space="0" w:color="auto"/>
              <w:left w:val="single" w:sz="4" w:space="0" w:color="auto"/>
              <w:right w:val="single" w:sz="4" w:space="0" w:color="auto"/>
            </w:tcBorders>
            <w:tcMar>
              <w:left w:w="43" w:type="dxa"/>
              <w:right w:w="43" w:type="dxa"/>
            </w:tcMar>
            <w:vAlign w:val="center"/>
          </w:tcPr>
          <w:p w14:paraId="5FA2B697" w14:textId="53E89BE8" w:rsidR="006E6148" w:rsidRPr="00BB08BF" w:rsidRDefault="006E6148" w:rsidP="00186503">
            <w:pPr>
              <w:tabs>
                <w:tab w:val="decimal" w:pos="480"/>
                <w:tab w:val="decimal" w:pos="570"/>
                <w:tab w:val="decimal" w:pos="660"/>
              </w:tabs>
              <w:jc w:val="center"/>
              <w:rPr>
                <w:noProof/>
                <w:sz w:val="18"/>
                <w:szCs w:val="18"/>
              </w:rPr>
            </w:pPr>
          </w:p>
        </w:tc>
        <w:tc>
          <w:tcPr>
            <w:tcW w:w="900" w:type="dxa"/>
            <w:tcBorders>
              <w:top w:val="single" w:sz="12" w:space="0" w:color="auto"/>
              <w:left w:val="single" w:sz="4" w:space="0" w:color="auto"/>
              <w:right w:val="single" w:sz="4" w:space="0" w:color="auto"/>
            </w:tcBorders>
            <w:tcMar>
              <w:left w:w="43" w:type="dxa"/>
              <w:right w:w="43" w:type="dxa"/>
            </w:tcMar>
            <w:vAlign w:val="center"/>
          </w:tcPr>
          <w:p w14:paraId="0043A1EA" w14:textId="4AD7CD37" w:rsidR="006E6148" w:rsidRPr="00BB08BF" w:rsidRDefault="006E6148" w:rsidP="00186503">
            <w:pPr>
              <w:tabs>
                <w:tab w:val="decimal" w:pos="365"/>
                <w:tab w:val="decimal" w:pos="480"/>
                <w:tab w:val="decimal" w:pos="570"/>
                <w:tab w:val="decimal" w:pos="660"/>
              </w:tabs>
              <w:jc w:val="center"/>
              <w:rPr>
                <w:noProof/>
                <w:sz w:val="18"/>
                <w:szCs w:val="18"/>
              </w:rPr>
            </w:pPr>
          </w:p>
        </w:tc>
        <w:tc>
          <w:tcPr>
            <w:tcW w:w="900" w:type="dxa"/>
            <w:tcBorders>
              <w:top w:val="single" w:sz="12" w:space="0" w:color="auto"/>
              <w:left w:val="single" w:sz="4" w:space="0" w:color="auto"/>
            </w:tcBorders>
            <w:tcMar>
              <w:left w:w="43" w:type="dxa"/>
              <w:right w:w="43" w:type="dxa"/>
            </w:tcMar>
            <w:vAlign w:val="center"/>
          </w:tcPr>
          <w:p w14:paraId="3DA7466E" w14:textId="7F7BC8EB" w:rsidR="006E6148" w:rsidRPr="00BB08BF" w:rsidRDefault="006E6148" w:rsidP="00186503">
            <w:pPr>
              <w:tabs>
                <w:tab w:val="decimal" w:pos="480"/>
                <w:tab w:val="decimal" w:pos="660"/>
              </w:tabs>
              <w:jc w:val="center"/>
              <w:rPr>
                <w:noProof/>
                <w:sz w:val="18"/>
                <w:szCs w:val="18"/>
              </w:rPr>
            </w:pPr>
          </w:p>
        </w:tc>
      </w:tr>
      <w:tr w:rsidR="000B6A21" w:rsidRPr="00862DF8" w14:paraId="3C31E21F" w14:textId="77777777" w:rsidTr="00926421">
        <w:trPr>
          <w:trHeight w:val="288"/>
        </w:trPr>
        <w:tc>
          <w:tcPr>
            <w:tcW w:w="2685" w:type="dxa"/>
            <w:tcBorders>
              <w:right w:val="single" w:sz="4" w:space="0" w:color="auto"/>
            </w:tcBorders>
            <w:tcMar>
              <w:left w:w="43" w:type="dxa"/>
              <w:right w:w="43" w:type="dxa"/>
            </w:tcMar>
            <w:vAlign w:val="center"/>
          </w:tcPr>
          <w:p w14:paraId="5AA2F793" w14:textId="4C9D441D" w:rsidR="00862DF8" w:rsidRPr="00BB08BF" w:rsidRDefault="00862DF8" w:rsidP="00926421">
            <w:pPr>
              <w:rPr>
                <w:b/>
                <w:bCs/>
                <w:noProof/>
                <w:sz w:val="18"/>
                <w:szCs w:val="18"/>
              </w:rPr>
            </w:pPr>
            <w:r w:rsidRPr="00BB08BF">
              <w:rPr>
                <w:b/>
                <w:bCs/>
                <w:noProof/>
                <w:sz w:val="18"/>
                <w:szCs w:val="18"/>
              </w:rPr>
              <w:t xml:space="preserve">       Housing Type</w:t>
            </w:r>
          </w:p>
        </w:tc>
        <w:tc>
          <w:tcPr>
            <w:tcW w:w="1170" w:type="dxa"/>
            <w:tcBorders>
              <w:left w:val="single" w:sz="4" w:space="0" w:color="auto"/>
              <w:right w:val="single" w:sz="4" w:space="0" w:color="auto"/>
            </w:tcBorders>
            <w:tcMar>
              <w:left w:w="43" w:type="dxa"/>
              <w:right w:w="43" w:type="dxa"/>
            </w:tcMar>
            <w:vAlign w:val="center"/>
          </w:tcPr>
          <w:p w14:paraId="0D79CDE0" w14:textId="27D2E947" w:rsidR="00862DF8" w:rsidRPr="00BB08BF" w:rsidRDefault="00862DF8" w:rsidP="00862DF8">
            <w:pPr>
              <w:tabs>
                <w:tab w:val="decimal" w:pos="480"/>
                <w:tab w:val="decimal" w:pos="660"/>
              </w:tabs>
              <w:jc w:val="center"/>
              <w:rPr>
                <w:noProof/>
                <w:sz w:val="18"/>
                <w:szCs w:val="18"/>
              </w:rPr>
            </w:pPr>
            <w:r w:rsidRPr="00BB08BF">
              <w:rPr>
                <w:noProof/>
                <w:sz w:val="18"/>
                <w:szCs w:val="18"/>
              </w:rPr>
              <w:t>Single-Family</w:t>
            </w:r>
          </w:p>
        </w:tc>
        <w:tc>
          <w:tcPr>
            <w:tcW w:w="990" w:type="dxa"/>
            <w:tcBorders>
              <w:left w:val="single" w:sz="4" w:space="0" w:color="auto"/>
              <w:right w:val="single" w:sz="12" w:space="0" w:color="auto"/>
            </w:tcBorders>
            <w:tcMar>
              <w:left w:w="43" w:type="dxa"/>
              <w:right w:w="43" w:type="dxa"/>
            </w:tcMar>
            <w:vAlign w:val="center"/>
          </w:tcPr>
          <w:p w14:paraId="6B1506AC" w14:textId="614C1CC9" w:rsidR="00862DF8" w:rsidRPr="00BB08BF" w:rsidRDefault="00862DF8" w:rsidP="00862DF8">
            <w:pPr>
              <w:tabs>
                <w:tab w:val="decimal" w:pos="480"/>
                <w:tab w:val="decimal" w:pos="660"/>
              </w:tabs>
              <w:jc w:val="center"/>
              <w:rPr>
                <w:noProof/>
                <w:sz w:val="18"/>
                <w:szCs w:val="18"/>
              </w:rPr>
            </w:pPr>
            <w:r w:rsidRPr="00BB08BF">
              <w:rPr>
                <w:noProof/>
                <w:sz w:val="18"/>
                <w:szCs w:val="18"/>
              </w:rPr>
              <w:t>Apartment</w:t>
            </w:r>
          </w:p>
        </w:tc>
        <w:tc>
          <w:tcPr>
            <w:tcW w:w="1008" w:type="dxa"/>
            <w:tcBorders>
              <w:left w:val="single" w:sz="12" w:space="0" w:color="auto"/>
              <w:right w:val="single" w:sz="4" w:space="0" w:color="auto"/>
            </w:tcBorders>
            <w:tcMar>
              <w:left w:w="43" w:type="dxa"/>
              <w:right w:w="43" w:type="dxa"/>
            </w:tcMar>
            <w:vAlign w:val="center"/>
          </w:tcPr>
          <w:p w14:paraId="39009A72" w14:textId="2C5164AF" w:rsidR="00862DF8" w:rsidRPr="00BB08BF" w:rsidRDefault="0066122B" w:rsidP="0066122B">
            <w:pPr>
              <w:tabs>
                <w:tab w:val="decimal" w:pos="480"/>
                <w:tab w:val="decimal" w:pos="660"/>
              </w:tabs>
              <w:jc w:val="center"/>
              <w:rPr>
                <w:noProof/>
                <w:sz w:val="18"/>
                <w:szCs w:val="18"/>
              </w:rPr>
            </w:pPr>
            <w:r>
              <w:rPr>
                <w:noProof/>
                <w:sz w:val="18"/>
                <w:szCs w:val="18"/>
              </w:rPr>
              <w:t>--</w:t>
            </w:r>
          </w:p>
        </w:tc>
        <w:tc>
          <w:tcPr>
            <w:tcW w:w="792" w:type="dxa"/>
            <w:tcBorders>
              <w:left w:val="single" w:sz="4" w:space="0" w:color="auto"/>
              <w:right w:val="single" w:sz="4" w:space="0" w:color="auto"/>
            </w:tcBorders>
            <w:tcMar>
              <w:left w:w="43" w:type="dxa"/>
              <w:right w:w="43" w:type="dxa"/>
            </w:tcMar>
            <w:vAlign w:val="center"/>
          </w:tcPr>
          <w:p w14:paraId="6731CB4C" w14:textId="7246989B" w:rsidR="00862DF8" w:rsidRPr="00BB08BF" w:rsidRDefault="00862DF8" w:rsidP="00862DF8">
            <w:pPr>
              <w:tabs>
                <w:tab w:val="decimal" w:pos="406"/>
              </w:tabs>
              <w:jc w:val="center"/>
              <w:rPr>
                <w:noProof/>
                <w:sz w:val="18"/>
                <w:szCs w:val="18"/>
              </w:rPr>
            </w:pPr>
            <w:r w:rsidRPr="00BB08BF">
              <w:rPr>
                <w:sz w:val="18"/>
                <w:szCs w:val="18"/>
              </w:rPr>
              <w:t>88.3%</w:t>
            </w:r>
          </w:p>
        </w:tc>
        <w:tc>
          <w:tcPr>
            <w:tcW w:w="1008" w:type="dxa"/>
            <w:tcBorders>
              <w:left w:val="single" w:sz="4" w:space="0" w:color="auto"/>
              <w:right w:val="single" w:sz="4" w:space="0" w:color="auto"/>
            </w:tcBorders>
            <w:tcMar>
              <w:left w:w="43" w:type="dxa"/>
              <w:right w:w="43" w:type="dxa"/>
            </w:tcMar>
            <w:vAlign w:val="center"/>
          </w:tcPr>
          <w:p w14:paraId="7C51122D" w14:textId="19595B23" w:rsidR="00862DF8" w:rsidRPr="00BB08BF" w:rsidRDefault="00862DF8" w:rsidP="00862DF8">
            <w:pPr>
              <w:tabs>
                <w:tab w:val="decimal" w:pos="0"/>
                <w:tab w:val="decimal" w:pos="480"/>
                <w:tab w:val="decimal" w:pos="526"/>
                <w:tab w:val="decimal" w:pos="660"/>
              </w:tabs>
              <w:jc w:val="center"/>
              <w:rPr>
                <w:noProof/>
                <w:sz w:val="18"/>
                <w:szCs w:val="18"/>
              </w:rPr>
            </w:pPr>
            <w:r w:rsidRPr="00BB08BF">
              <w:rPr>
                <w:sz w:val="18"/>
                <w:szCs w:val="18"/>
              </w:rPr>
              <w:t>-220.1%</w:t>
            </w:r>
          </w:p>
        </w:tc>
        <w:tc>
          <w:tcPr>
            <w:tcW w:w="972" w:type="dxa"/>
            <w:tcBorders>
              <w:left w:val="single" w:sz="4" w:space="0" w:color="auto"/>
              <w:right w:val="single" w:sz="4" w:space="0" w:color="auto"/>
            </w:tcBorders>
            <w:tcMar>
              <w:left w:w="43" w:type="dxa"/>
              <w:right w:w="43" w:type="dxa"/>
            </w:tcMar>
            <w:vAlign w:val="center"/>
          </w:tcPr>
          <w:p w14:paraId="4D3333F2" w14:textId="140A05B0" w:rsidR="00862DF8" w:rsidRPr="00BB08BF" w:rsidRDefault="00862DF8" w:rsidP="00862DF8">
            <w:pPr>
              <w:tabs>
                <w:tab w:val="decimal" w:pos="293"/>
                <w:tab w:val="decimal" w:pos="480"/>
                <w:tab w:val="decimal" w:pos="570"/>
                <w:tab w:val="decimal" w:pos="660"/>
              </w:tabs>
              <w:jc w:val="center"/>
              <w:rPr>
                <w:noProof/>
                <w:sz w:val="18"/>
                <w:szCs w:val="18"/>
              </w:rPr>
            </w:pPr>
            <w:r w:rsidRPr="00BB08BF">
              <w:rPr>
                <w:sz w:val="18"/>
                <w:szCs w:val="18"/>
              </w:rPr>
              <w:t>-99.9%</w:t>
            </w:r>
          </w:p>
        </w:tc>
        <w:tc>
          <w:tcPr>
            <w:tcW w:w="990" w:type="dxa"/>
            <w:tcBorders>
              <w:left w:val="single" w:sz="4" w:space="0" w:color="auto"/>
              <w:right w:val="single" w:sz="4" w:space="0" w:color="auto"/>
            </w:tcBorders>
            <w:tcMar>
              <w:left w:w="43" w:type="dxa"/>
              <w:right w:w="43" w:type="dxa"/>
            </w:tcMar>
            <w:vAlign w:val="center"/>
          </w:tcPr>
          <w:p w14:paraId="405C9E76" w14:textId="5F88FEB6" w:rsidR="00862DF8" w:rsidRPr="00BB08BF" w:rsidRDefault="00862DF8" w:rsidP="00862DF8">
            <w:pPr>
              <w:tabs>
                <w:tab w:val="decimal" w:pos="480"/>
                <w:tab w:val="decimal" w:pos="570"/>
                <w:tab w:val="decimal" w:pos="660"/>
              </w:tabs>
              <w:jc w:val="center"/>
              <w:rPr>
                <w:noProof/>
                <w:sz w:val="18"/>
                <w:szCs w:val="18"/>
              </w:rPr>
            </w:pPr>
            <w:r w:rsidRPr="00BB08BF">
              <w:rPr>
                <w:sz w:val="18"/>
                <w:szCs w:val="18"/>
              </w:rPr>
              <w:t>135.7%</w:t>
            </w:r>
          </w:p>
        </w:tc>
        <w:tc>
          <w:tcPr>
            <w:tcW w:w="900" w:type="dxa"/>
            <w:tcBorders>
              <w:left w:val="single" w:sz="4" w:space="0" w:color="auto"/>
              <w:right w:val="single" w:sz="4" w:space="0" w:color="auto"/>
            </w:tcBorders>
            <w:tcMar>
              <w:left w:w="43" w:type="dxa"/>
              <w:right w:w="43" w:type="dxa"/>
            </w:tcMar>
            <w:vAlign w:val="center"/>
          </w:tcPr>
          <w:p w14:paraId="3C37DCA6" w14:textId="25A07ACA" w:rsidR="00862DF8" w:rsidRPr="00BB08BF" w:rsidRDefault="00862DF8" w:rsidP="00862DF8">
            <w:pPr>
              <w:tabs>
                <w:tab w:val="decimal" w:pos="480"/>
                <w:tab w:val="decimal" w:pos="570"/>
                <w:tab w:val="decimal" w:pos="660"/>
              </w:tabs>
              <w:jc w:val="center"/>
              <w:rPr>
                <w:noProof/>
                <w:sz w:val="18"/>
                <w:szCs w:val="18"/>
              </w:rPr>
            </w:pPr>
            <w:r w:rsidRPr="00BB08BF">
              <w:rPr>
                <w:sz w:val="18"/>
                <w:szCs w:val="18"/>
              </w:rPr>
              <w:t>8.7%</w:t>
            </w:r>
          </w:p>
        </w:tc>
        <w:tc>
          <w:tcPr>
            <w:tcW w:w="900" w:type="dxa"/>
            <w:tcBorders>
              <w:left w:val="single" w:sz="4" w:space="0" w:color="auto"/>
              <w:right w:val="single" w:sz="4" w:space="0" w:color="auto"/>
            </w:tcBorders>
            <w:tcMar>
              <w:left w:w="43" w:type="dxa"/>
              <w:right w:w="43" w:type="dxa"/>
            </w:tcMar>
            <w:vAlign w:val="center"/>
          </w:tcPr>
          <w:p w14:paraId="4618A698" w14:textId="189355BA" w:rsidR="00862DF8" w:rsidRPr="00BB08BF" w:rsidRDefault="00862DF8" w:rsidP="00862DF8">
            <w:pPr>
              <w:tabs>
                <w:tab w:val="decimal" w:pos="480"/>
                <w:tab w:val="decimal" w:pos="570"/>
                <w:tab w:val="decimal" w:pos="660"/>
              </w:tabs>
              <w:jc w:val="center"/>
              <w:rPr>
                <w:noProof/>
                <w:sz w:val="18"/>
                <w:szCs w:val="18"/>
              </w:rPr>
            </w:pPr>
            <w:r w:rsidRPr="00BB08BF">
              <w:rPr>
                <w:sz w:val="18"/>
                <w:szCs w:val="18"/>
              </w:rPr>
              <w:t>13.8%</w:t>
            </w:r>
          </w:p>
        </w:tc>
        <w:tc>
          <w:tcPr>
            <w:tcW w:w="900" w:type="dxa"/>
            <w:tcBorders>
              <w:left w:val="single" w:sz="4" w:space="0" w:color="auto"/>
              <w:right w:val="single" w:sz="4" w:space="0" w:color="auto"/>
            </w:tcBorders>
            <w:tcMar>
              <w:left w:w="43" w:type="dxa"/>
              <w:right w:w="43" w:type="dxa"/>
            </w:tcMar>
            <w:vAlign w:val="center"/>
          </w:tcPr>
          <w:p w14:paraId="3ABBEA57" w14:textId="674C78D7" w:rsidR="00862DF8" w:rsidRPr="00BB08BF" w:rsidRDefault="00862DF8" w:rsidP="00862DF8">
            <w:pPr>
              <w:tabs>
                <w:tab w:val="decimal" w:pos="365"/>
                <w:tab w:val="decimal" w:pos="480"/>
                <w:tab w:val="decimal" w:pos="570"/>
                <w:tab w:val="decimal" w:pos="660"/>
              </w:tabs>
              <w:jc w:val="center"/>
              <w:rPr>
                <w:noProof/>
                <w:sz w:val="18"/>
                <w:szCs w:val="18"/>
              </w:rPr>
            </w:pPr>
            <w:r w:rsidRPr="00BB08BF">
              <w:rPr>
                <w:sz w:val="18"/>
                <w:szCs w:val="18"/>
              </w:rPr>
              <w:t>-29.3%</w:t>
            </w:r>
          </w:p>
        </w:tc>
        <w:tc>
          <w:tcPr>
            <w:tcW w:w="900" w:type="dxa"/>
            <w:tcBorders>
              <w:left w:val="single" w:sz="4" w:space="0" w:color="auto"/>
            </w:tcBorders>
            <w:tcMar>
              <w:left w:w="43" w:type="dxa"/>
              <w:right w:w="43" w:type="dxa"/>
            </w:tcMar>
            <w:vAlign w:val="center"/>
          </w:tcPr>
          <w:p w14:paraId="5619CC44" w14:textId="7BC4B9C0" w:rsidR="00862DF8" w:rsidRPr="00BB08BF" w:rsidRDefault="00862DF8" w:rsidP="00862DF8">
            <w:pPr>
              <w:tabs>
                <w:tab w:val="decimal" w:pos="480"/>
                <w:tab w:val="decimal" w:pos="660"/>
              </w:tabs>
              <w:jc w:val="center"/>
              <w:rPr>
                <w:noProof/>
                <w:sz w:val="18"/>
                <w:szCs w:val="18"/>
              </w:rPr>
            </w:pPr>
            <w:r w:rsidRPr="00BB08BF">
              <w:rPr>
                <w:sz w:val="18"/>
                <w:szCs w:val="18"/>
              </w:rPr>
              <w:t>218.3%</w:t>
            </w:r>
          </w:p>
        </w:tc>
      </w:tr>
      <w:tr w:rsidR="000B6A21" w:rsidRPr="00862DF8" w14:paraId="54E3353E" w14:textId="77777777" w:rsidTr="00926421">
        <w:trPr>
          <w:trHeight w:val="288"/>
        </w:trPr>
        <w:tc>
          <w:tcPr>
            <w:tcW w:w="2685" w:type="dxa"/>
            <w:tcBorders>
              <w:right w:val="single" w:sz="4" w:space="0" w:color="auto"/>
            </w:tcBorders>
            <w:tcMar>
              <w:left w:w="43" w:type="dxa"/>
              <w:right w:w="43" w:type="dxa"/>
            </w:tcMar>
            <w:vAlign w:val="center"/>
          </w:tcPr>
          <w:p w14:paraId="60BC82B2" w14:textId="7A070AC7" w:rsidR="00862DF8" w:rsidRPr="00BB08BF" w:rsidRDefault="00862DF8" w:rsidP="00926421">
            <w:pPr>
              <w:rPr>
                <w:b/>
                <w:bCs/>
                <w:noProof/>
                <w:sz w:val="18"/>
                <w:szCs w:val="18"/>
              </w:rPr>
            </w:pPr>
            <w:r w:rsidRPr="00BB08BF">
              <w:rPr>
                <w:b/>
                <w:bCs/>
                <w:noProof/>
                <w:sz w:val="18"/>
                <w:szCs w:val="18"/>
              </w:rPr>
              <w:t xml:space="preserve">       Population Density</w:t>
            </w:r>
          </w:p>
        </w:tc>
        <w:tc>
          <w:tcPr>
            <w:tcW w:w="1170" w:type="dxa"/>
            <w:tcBorders>
              <w:left w:val="single" w:sz="4" w:space="0" w:color="auto"/>
              <w:right w:val="single" w:sz="4" w:space="0" w:color="auto"/>
            </w:tcBorders>
            <w:tcMar>
              <w:left w:w="43" w:type="dxa"/>
              <w:right w:w="43" w:type="dxa"/>
            </w:tcMar>
            <w:vAlign w:val="center"/>
          </w:tcPr>
          <w:p w14:paraId="5A165452" w14:textId="3FF93C9C" w:rsidR="00862DF8" w:rsidRPr="00BB08BF" w:rsidRDefault="00862DF8" w:rsidP="00862DF8">
            <w:pPr>
              <w:tabs>
                <w:tab w:val="decimal" w:pos="480"/>
                <w:tab w:val="decimal" w:pos="660"/>
              </w:tabs>
              <w:jc w:val="center"/>
              <w:rPr>
                <w:noProof/>
                <w:sz w:val="18"/>
                <w:szCs w:val="18"/>
              </w:rPr>
            </w:pPr>
            <w:r w:rsidRPr="00BB08BF">
              <w:rPr>
                <w:noProof/>
                <w:sz w:val="18"/>
                <w:szCs w:val="18"/>
              </w:rPr>
              <w:t>Low</w:t>
            </w:r>
          </w:p>
        </w:tc>
        <w:tc>
          <w:tcPr>
            <w:tcW w:w="990" w:type="dxa"/>
            <w:tcBorders>
              <w:left w:val="single" w:sz="4" w:space="0" w:color="auto"/>
              <w:right w:val="single" w:sz="12" w:space="0" w:color="auto"/>
            </w:tcBorders>
            <w:tcMar>
              <w:left w:w="43" w:type="dxa"/>
              <w:right w:w="43" w:type="dxa"/>
            </w:tcMar>
            <w:vAlign w:val="center"/>
          </w:tcPr>
          <w:p w14:paraId="3AD27D1D" w14:textId="57971499" w:rsidR="00862DF8" w:rsidRPr="00BB08BF" w:rsidRDefault="00862DF8" w:rsidP="00862DF8">
            <w:pPr>
              <w:tabs>
                <w:tab w:val="decimal" w:pos="480"/>
                <w:tab w:val="decimal" w:pos="660"/>
              </w:tabs>
              <w:jc w:val="center"/>
              <w:rPr>
                <w:noProof/>
                <w:sz w:val="18"/>
                <w:szCs w:val="18"/>
              </w:rPr>
            </w:pPr>
            <w:r w:rsidRPr="00BB08BF">
              <w:rPr>
                <w:noProof/>
                <w:sz w:val="18"/>
                <w:szCs w:val="18"/>
              </w:rPr>
              <w:t>High</w:t>
            </w:r>
          </w:p>
        </w:tc>
        <w:tc>
          <w:tcPr>
            <w:tcW w:w="1008" w:type="dxa"/>
            <w:tcBorders>
              <w:left w:val="single" w:sz="12" w:space="0" w:color="auto"/>
              <w:right w:val="single" w:sz="4" w:space="0" w:color="auto"/>
            </w:tcBorders>
            <w:tcMar>
              <w:left w:w="43" w:type="dxa"/>
              <w:right w:w="43" w:type="dxa"/>
            </w:tcMar>
            <w:vAlign w:val="center"/>
          </w:tcPr>
          <w:p w14:paraId="3AEED2C9" w14:textId="446BD8B7" w:rsidR="00862DF8" w:rsidRPr="00BB08BF" w:rsidRDefault="0066122B" w:rsidP="00862DF8">
            <w:pPr>
              <w:tabs>
                <w:tab w:val="decimal" w:pos="480"/>
                <w:tab w:val="decimal" w:pos="660"/>
              </w:tabs>
              <w:jc w:val="center"/>
              <w:rPr>
                <w:noProof/>
                <w:sz w:val="18"/>
                <w:szCs w:val="18"/>
              </w:rPr>
            </w:pPr>
            <w:r>
              <w:rPr>
                <w:noProof/>
                <w:sz w:val="18"/>
                <w:szCs w:val="18"/>
              </w:rPr>
              <w:t>--</w:t>
            </w:r>
          </w:p>
        </w:tc>
        <w:tc>
          <w:tcPr>
            <w:tcW w:w="792" w:type="dxa"/>
            <w:tcBorders>
              <w:left w:val="single" w:sz="4" w:space="0" w:color="auto"/>
              <w:right w:val="single" w:sz="4" w:space="0" w:color="auto"/>
            </w:tcBorders>
            <w:tcMar>
              <w:left w:w="43" w:type="dxa"/>
              <w:right w:w="43" w:type="dxa"/>
            </w:tcMar>
            <w:vAlign w:val="center"/>
          </w:tcPr>
          <w:p w14:paraId="771946FA" w14:textId="3B4F8F0F" w:rsidR="00862DF8" w:rsidRPr="00BB08BF" w:rsidRDefault="0066122B" w:rsidP="00862DF8">
            <w:pPr>
              <w:tabs>
                <w:tab w:val="decimal" w:pos="406"/>
              </w:tabs>
              <w:jc w:val="center"/>
              <w:rPr>
                <w:noProof/>
                <w:sz w:val="18"/>
                <w:szCs w:val="18"/>
              </w:rPr>
            </w:pPr>
            <w:r>
              <w:rPr>
                <w:noProof/>
                <w:sz w:val="18"/>
                <w:szCs w:val="18"/>
              </w:rPr>
              <w:t>--</w:t>
            </w:r>
          </w:p>
        </w:tc>
        <w:tc>
          <w:tcPr>
            <w:tcW w:w="1008" w:type="dxa"/>
            <w:tcBorders>
              <w:left w:val="single" w:sz="4" w:space="0" w:color="auto"/>
              <w:right w:val="single" w:sz="4" w:space="0" w:color="auto"/>
            </w:tcBorders>
            <w:tcMar>
              <w:left w:w="43" w:type="dxa"/>
              <w:right w:w="43" w:type="dxa"/>
            </w:tcMar>
            <w:vAlign w:val="center"/>
          </w:tcPr>
          <w:p w14:paraId="1FC4DC7C" w14:textId="4C178978" w:rsidR="00862DF8" w:rsidRPr="00BB08BF" w:rsidRDefault="0066122B" w:rsidP="00862DF8">
            <w:pPr>
              <w:tabs>
                <w:tab w:val="decimal" w:pos="0"/>
                <w:tab w:val="decimal" w:pos="480"/>
                <w:tab w:val="decimal" w:pos="526"/>
                <w:tab w:val="decimal" w:pos="660"/>
              </w:tabs>
              <w:jc w:val="center"/>
              <w:rPr>
                <w:noProof/>
                <w:sz w:val="18"/>
                <w:szCs w:val="18"/>
              </w:rPr>
            </w:pPr>
            <w:r>
              <w:rPr>
                <w:noProof/>
                <w:sz w:val="18"/>
                <w:szCs w:val="18"/>
              </w:rPr>
              <w:t>--</w:t>
            </w:r>
          </w:p>
        </w:tc>
        <w:tc>
          <w:tcPr>
            <w:tcW w:w="972" w:type="dxa"/>
            <w:tcBorders>
              <w:left w:val="single" w:sz="4" w:space="0" w:color="auto"/>
              <w:right w:val="single" w:sz="4" w:space="0" w:color="auto"/>
            </w:tcBorders>
            <w:tcMar>
              <w:left w:w="43" w:type="dxa"/>
              <w:right w:w="43" w:type="dxa"/>
            </w:tcMar>
            <w:vAlign w:val="center"/>
          </w:tcPr>
          <w:p w14:paraId="5E4B37AB" w14:textId="4EBB564A" w:rsidR="00862DF8" w:rsidRPr="00BB08BF" w:rsidRDefault="0066122B" w:rsidP="00862DF8">
            <w:pPr>
              <w:tabs>
                <w:tab w:val="decimal" w:pos="293"/>
                <w:tab w:val="decimal" w:pos="480"/>
                <w:tab w:val="decimal" w:pos="570"/>
                <w:tab w:val="decimal" w:pos="660"/>
              </w:tabs>
              <w:jc w:val="center"/>
              <w:rPr>
                <w:noProof/>
                <w:sz w:val="18"/>
                <w:szCs w:val="18"/>
              </w:rPr>
            </w:pPr>
            <w:r>
              <w:rPr>
                <w:noProof/>
                <w:sz w:val="18"/>
                <w:szCs w:val="18"/>
              </w:rPr>
              <w:t>--</w:t>
            </w:r>
          </w:p>
        </w:tc>
        <w:tc>
          <w:tcPr>
            <w:tcW w:w="990" w:type="dxa"/>
            <w:tcBorders>
              <w:left w:val="single" w:sz="4" w:space="0" w:color="auto"/>
              <w:right w:val="single" w:sz="4" w:space="0" w:color="auto"/>
            </w:tcBorders>
            <w:tcMar>
              <w:left w:w="43" w:type="dxa"/>
              <w:right w:w="43" w:type="dxa"/>
            </w:tcMar>
            <w:vAlign w:val="center"/>
          </w:tcPr>
          <w:p w14:paraId="06A384EC" w14:textId="44309649" w:rsidR="00862DF8" w:rsidRPr="00BB08BF" w:rsidRDefault="0066122B" w:rsidP="00862DF8">
            <w:pPr>
              <w:tabs>
                <w:tab w:val="decimal" w:pos="480"/>
                <w:tab w:val="decimal" w:pos="570"/>
                <w:tab w:val="decimal" w:pos="660"/>
              </w:tabs>
              <w:jc w:val="center"/>
              <w:rPr>
                <w:noProof/>
                <w:sz w:val="18"/>
                <w:szCs w:val="18"/>
              </w:rPr>
            </w:pPr>
            <w:r>
              <w:rPr>
                <w:noProof/>
                <w:sz w:val="18"/>
                <w:szCs w:val="18"/>
              </w:rPr>
              <w:t>--</w:t>
            </w:r>
          </w:p>
        </w:tc>
        <w:tc>
          <w:tcPr>
            <w:tcW w:w="900" w:type="dxa"/>
            <w:tcBorders>
              <w:left w:val="single" w:sz="4" w:space="0" w:color="auto"/>
              <w:right w:val="single" w:sz="4" w:space="0" w:color="auto"/>
            </w:tcBorders>
            <w:tcMar>
              <w:left w:w="43" w:type="dxa"/>
              <w:right w:w="43" w:type="dxa"/>
            </w:tcMar>
            <w:vAlign w:val="center"/>
          </w:tcPr>
          <w:p w14:paraId="4A2F177E" w14:textId="5B2200BF" w:rsidR="00862DF8" w:rsidRPr="00BB08BF" w:rsidRDefault="0066122B" w:rsidP="00862DF8">
            <w:pPr>
              <w:tabs>
                <w:tab w:val="decimal" w:pos="480"/>
                <w:tab w:val="decimal" w:pos="570"/>
                <w:tab w:val="decimal" w:pos="660"/>
              </w:tabs>
              <w:jc w:val="center"/>
              <w:rPr>
                <w:noProof/>
                <w:sz w:val="18"/>
                <w:szCs w:val="18"/>
              </w:rPr>
            </w:pPr>
            <w:r>
              <w:rPr>
                <w:noProof/>
                <w:sz w:val="18"/>
                <w:szCs w:val="18"/>
              </w:rPr>
              <w:t>--</w:t>
            </w:r>
          </w:p>
        </w:tc>
        <w:tc>
          <w:tcPr>
            <w:tcW w:w="900" w:type="dxa"/>
            <w:tcBorders>
              <w:left w:val="single" w:sz="4" w:space="0" w:color="auto"/>
              <w:right w:val="single" w:sz="4" w:space="0" w:color="auto"/>
            </w:tcBorders>
            <w:tcMar>
              <w:left w:w="43" w:type="dxa"/>
              <w:right w:w="43" w:type="dxa"/>
            </w:tcMar>
            <w:vAlign w:val="center"/>
          </w:tcPr>
          <w:p w14:paraId="0BA51ABD" w14:textId="12D595F2" w:rsidR="00862DF8" w:rsidRPr="00BB08BF" w:rsidRDefault="00862DF8" w:rsidP="00862DF8">
            <w:pPr>
              <w:tabs>
                <w:tab w:val="decimal" w:pos="480"/>
                <w:tab w:val="decimal" w:pos="570"/>
                <w:tab w:val="decimal" w:pos="660"/>
              </w:tabs>
              <w:jc w:val="center"/>
              <w:rPr>
                <w:noProof/>
                <w:sz w:val="18"/>
                <w:szCs w:val="18"/>
              </w:rPr>
            </w:pPr>
            <w:r w:rsidRPr="00BB08BF">
              <w:rPr>
                <w:sz w:val="18"/>
                <w:szCs w:val="18"/>
              </w:rPr>
              <w:t>53.0%</w:t>
            </w:r>
          </w:p>
        </w:tc>
        <w:tc>
          <w:tcPr>
            <w:tcW w:w="900" w:type="dxa"/>
            <w:tcBorders>
              <w:left w:val="single" w:sz="4" w:space="0" w:color="auto"/>
              <w:right w:val="single" w:sz="4" w:space="0" w:color="auto"/>
            </w:tcBorders>
            <w:tcMar>
              <w:left w:w="43" w:type="dxa"/>
              <w:right w:w="43" w:type="dxa"/>
            </w:tcMar>
            <w:vAlign w:val="center"/>
          </w:tcPr>
          <w:p w14:paraId="57FF6F98" w14:textId="26E6141F" w:rsidR="00862DF8" w:rsidRPr="00BB08BF" w:rsidRDefault="00862DF8" w:rsidP="00862DF8">
            <w:pPr>
              <w:tabs>
                <w:tab w:val="decimal" w:pos="365"/>
                <w:tab w:val="decimal" w:pos="480"/>
                <w:tab w:val="decimal" w:pos="570"/>
                <w:tab w:val="decimal" w:pos="660"/>
              </w:tabs>
              <w:jc w:val="center"/>
              <w:rPr>
                <w:noProof/>
                <w:sz w:val="18"/>
                <w:szCs w:val="18"/>
              </w:rPr>
            </w:pPr>
            <w:r w:rsidRPr="00BB08BF">
              <w:rPr>
                <w:sz w:val="18"/>
                <w:szCs w:val="18"/>
              </w:rPr>
              <w:t>-43.7%</w:t>
            </w:r>
          </w:p>
        </w:tc>
        <w:tc>
          <w:tcPr>
            <w:tcW w:w="900" w:type="dxa"/>
            <w:tcBorders>
              <w:left w:val="single" w:sz="4" w:space="0" w:color="auto"/>
            </w:tcBorders>
            <w:tcMar>
              <w:left w:w="43" w:type="dxa"/>
              <w:right w:w="43" w:type="dxa"/>
            </w:tcMar>
            <w:vAlign w:val="center"/>
          </w:tcPr>
          <w:p w14:paraId="7D68F720" w14:textId="639EAD5F" w:rsidR="00862DF8" w:rsidRPr="00BB08BF" w:rsidRDefault="00862DF8" w:rsidP="00862DF8">
            <w:pPr>
              <w:tabs>
                <w:tab w:val="decimal" w:pos="480"/>
                <w:tab w:val="decimal" w:pos="660"/>
              </w:tabs>
              <w:jc w:val="center"/>
              <w:rPr>
                <w:noProof/>
                <w:sz w:val="18"/>
                <w:szCs w:val="18"/>
              </w:rPr>
            </w:pPr>
            <w:r w:rsidRPr="00BB08BF">
              <w:rPr>
                <w:sz w:val="18"/>
                <w:szCs w:val="18"/>
              </w:rPr>
              <w:t>531.2%</w:t>
            </w:r>
          </w:p>
        </w:tc>
      </w:tr>
      <w:tr w:rsidR="000B6A21" w:rsidRPr="00862DF8" w14:paraId="08EA90F2" w14:textId="77777777" w:rsidTr="00926421">
        <w:trPr>
          <w:trHeight w:val="288"/>
        </w:trPr>
        <w:tc>
          <w:tcPr>
            <w:tcW w:w="2685" w:type="dxa"/>
            <w:tcBorders>
              <w:bottom w:val="single" w:sz="12" w:space="0" w:color="auto"/>
              <w:right w:val="single" w:sz="4" w:space="0" w:color="auto"/>
            </w:tcBorders>
            <w:tcMar>
              <w:left w:w="43" w:type="dxa"/>
              <w:right w:w="43" w:type="dxa"/>
            </w:tcMar>
            <w:vAlign w:val="center"/>
          </w:tcPr>
          <w:p w14:paraId="2B7E7014" w14:textId="5FA0379F" w:rsidR="00862DF8" w:rsidRPr="00BB08BF" w:rsidRDefault="00862DF8" w:rsidP="00926421">
            <w:pPr>
              <w:rPr>
                <w:b/>
                <w:bCs/>
                <w:noProof/>
                <w:sz w:val="18"/>
                <w:szCs w:val="18"/>
              </w:rPr>
            </w:pPr>
            <w:r w:rsidRPr="00BB08BF">
              <w:rPr>
                <w:b/>
                <w:bCs/>
                <w:noProof/>
                <w:sz w:val="18"/>
                <w:szCs w:val="18"/>
              </w:rPr>
              <w:t xml:space="preserve">       Median Housing Cost</w:t>
            </w:r>
          </w:p>
        </w:tc>
        <w:tc>
          <w:tcPr>
            <w:tcW w:w="1170" w:type="dxa"/>
            <w:tcBorders>
              <w:left w:val="single" w:sz="4" w:space="0" w:color="auto"/>
              <w:bottom w:val="single" w:sz="12" w:space="0" w:color="auto"/>
              <w:right w:val="single" w:sz="4" w:space="0" w:color="auto"/>
            </w:tcBorders>
            <w:tcMar>
              <w:left w:w="43" w:type="dxa"/>
              <w:right w:w="43" w:type="dxa"/>
            </w:tcMar>
            <w:vAlign w:val="center"/>
          </w:tcPr>
          <w:p w14:paraId="5C6DDEE8" w14:textId="59FE08F2" w:rsidR="00862DF8" w:rsidRPr="00BB08BF" w:rsidRDefault="00862DF8" w:rsidP="00862DF8">
            <w:pPr>
              <w:tabs>
                <w:tab w:val="decimal" w:pos="480"/>
                <w:tab w:val="decimal" w:pos="660"/>
              </w:tabs>
              <w:jc w:val="center"/>
              <w:rPr>
                <w:noProof/>
                <w:sz w:val="18"/>
                <w:szCs w:val="18"/>
              </w:rPr>
            </w:pPr>
            <w:r w:rsidRPr="00BB08BF">
              <w:rPr>
                <w:noProof/>
                <w:sz w:val="18"/>
                <w:szCs w:val="18"/>
              </w:rPr>
              <w:t>Low</w:t>
            </w:r>
          </w:p>
        </w:tc>
        <w:tc>
          <w:tcPr>
            <w:tcW w:w="990" w:type="dxa"/>
            <w:tcBorders>
              <w:left w:val="single" w:sz="4" w:space="0" w:color="auto"/>
              <w:bottom w:val="single" w:sz="12" w:space="0" w:color="auto"/>
              <w:right w:val="single" w:sz="12" w:space="0" w:color="auto"/>
            </w:tcBorders>
            <w:tcMar>
              <w:left w:w="43" w:type="dxa"/>
              <w:right w:w="43" w:type="dxa"/>
            </w:tcMar>
            <w:vAlign w:val="center"/>
          </w:tcPr>
          <w:p w14:paraId="5B059FFF" w14:textId="01AA242E" w:rsidR="00862DF8" w:rsidRPr="00BB08BF" w:rsidRDefault="00862DF8" w:rsidP="00862DF8">
            <w:pPr>
              <w:tabs>
                <w:tab w:val="decimal" w:pos="480"/>
                <w:tab w:val="decimal" w:pos="660"/>
              </w:tabs>
              <w:jc w:val="center"/>
              <w:rPr>
                <w:noProof/>
                <w:sz w:val="18"/>
                <w:szCs w:val="18"/>
              </w:rPr>
            </w:pPr>
            <w:r w:rsidRPr="00BB08BF">
              <w:rPr>
                <w:noProof/>
                <w:sz w:val="18"/>
                <w:szCs w:val="18"/>
              </w:rPr>
              <w:t>High</w:t>
            </w:r>
          </w:p>
        </w:tc>
        <w:tc>
          <w:tcPr>
            <w:tcW w:w="1008" w:type="dxa"/>
            <w:tcBorders>
              <w:left w:val="single" w:sz="12" w:space="0" w:color="auto"/>
              <w:right w:val="single" w:sz="4" w:space="0" w:color="auto"/>
            </w:tcBorders>
            <w:tcMar>
              <w:left w:w="43" w:type="dxa"/>
              <w:right w:w="43" w:type="dxa"/>
            </w:tcMar>
            <w:vAlign w:val="center"/>
          </w:tcPr>
          <w:p w14:paraId="2C9E7FF7" w14:textId="700FBACE" w:rsidR="00862DF8" w:rsidRPr="00BB08BF" w:rsidRDefault="0066122B" w:rsidP="00862DF8">
            <w:pPr>
              <w:tabs>
                <w:tab w:val="decimal" w:pos="480"/>
                <w:tab w:val="decimal" w:pos="660"/>
              </w:tabs>
              <w:jc w:val="center"/>
              <w:rPr>
                <w:noProof/>
                <w:sz w:val="18"/>
                <w:szCs w:val="18"/>
              </w:rPr>
            </w:pPr>
            <w:r>
              <w:rPr>
                <w:noProof/>
                <w:sz w:val="18"/>
                <w:szCs w:val="18"/>
              </w:rPr>
              <w:t>--</w:t>
            </w:r>
          </w:p>
        </w:tc>
        <w:tc>
          <w:tcPr>
            <w:tcW w:w="792" w:type="dxa"/>
            <w:tcBorders>
              <w:left w:val="single" w:sz="4" w:space="0" w:color="auto"/>
              <w:right w:val="single" w:sz="4" w:space="0" w:color="auto"/>
            </w:tcBorders>
            <w:tcMar>
              <w:left w:w="43" w:type="dxa"/>
              <w:right w:w="43" w:type="dxa"/>
            </w:tcMar>
            <w:vAlign w:val="center"/>
          </w:tcPr>
          <w:p w14:paraId="579FF242" w14:textId="62846057" w:rsidR="00862DF8" w:rsidRPr="00BB08BF" w:rsidRDefault="0066122B" w:rsidP="00862DF8">
            <w:pPr>
              <w:tabs>
                <w:tab w:val="decimal" w:pos="406"/>
              </w:tabs>
              <w:jc w:val="center"/>
              <w:rPr>
                <w:noProof/>
                <w:sz w:val="18"/>
                <w:szCs w:val="18"/>
              </w:rPr>
            </w:pPr>
            <w:r>
              <w:rPr>
                <w:noProof/>
                <w:sz w:val="18"/>
                <w:szCs w:val="18"/>
              </w:rPr>
              <w:t>--</w:t>
            </w:r>
          </w:p>
        </w:tc>
        <w:tc>
          <w:tcPr>
            <w:tcW w:w="1008" w:type="dxa"/>
            <w:tcBorders>
              <w:left w:val="single" w:sz="4" w:space="0" w:color="auto"/>
              <w:right w:val="single" w:sz="4" w:space="0" w:color="auto"/>
            </w:tcBorders>
            <w:tcMar>
              <w:left w:w="43" w:type="dxa"/>
              <w:right w:w="43" w:type="dxa"/>
            </w:tcMar>
            <w:vAlign w:val="center"/>
          </w:tcPr>
          <w:p w14:paraId="2E1DAB6A" w14:textId="61B061EA" w:rsidR="00862DF8" w:rsidRPr="00BB08BF" w:rsidRDefault="0066122B" w:rsidP="00862DF8">
            <w:pPr>
              <w:tabs>
                <w:tab w:val="decimal" w:pos="0"/>
                <w:tab w:val="decimal" w:pos="480"/>
                <w:tab w:val="decimal" w:pos="526"/>
                <w:tab w:val="decimal" w:pos="660"/>
              </w:tabs>
              <w:jc w:val="center"/>
              <w:rPr>
                <w:noProof/>
                <w:sz w:val="18"/>
                <w:szCs w:val="18"/>
              </w:rPr>
            </w:pPr>
            <w:r>
              <w:rPr>
                <w:noProof/>
                <w:sz w:val="18"/>
                <w:szCs w:val="18"/>
              </w:rPr>
              <w:t>--</w:t>
            </w:r>
          </w:p>
        </w:tc>
        <w:tc>
          <w:tcPr>
            <w:tcW w:w="972" w:type="dxa"/>
            <w:tcBorders>
              <w:left w:val="single" w:sz="4" w:space="0" w:color="auto"/>
              <w:right w:val="single" w:sz="4" w:space="0" w:color="auto"/>
            </w:tcBorders>
            <w:tcMar>
              <w:left w:w="43" w:type="dxa"/>
              <w:right w:w="43" w:type="dxa"/>
            </w:tcMar>
            <w:vAlign w:val="center"/>
          </w:tcPr>
          <w:p w14:paraId="4345C864" w14:textId="337D13EB" w:rsidR="00862DF8" w:rsidRPr="00BB08BF" w:rsidRDefault="00862DF8" w:rsidP="00862DF8">
            <w:pPr>
              <w:tabs>
                <w:tab w:val="decimal" w:pos="293"/>
                <w:tab w:val="decimal" w:pos="480"/>
                <w:tab w:val="decimal" w:pos="570"/>
                <w:tab w:val="decimal" w:pos="660"/>
              </w:tabs>
              <w:jc w:val="center"/>
              <w:rPr>
                <w:noProof/>
                <w:sz w:val="18"/>
                <w:szCs w:val="18"/>
              </w:rPr>
            </w:pPr>
            <w:r w:rsidRPr="00BB08BF">
              <w:rPr>
                <w:sz w:val="18"/>
                <w:szCs w:val="18"/>
              </w:rPr>
              <w:t>113.9%</w:t>
            </w:r>
          </w:p>
        </w:tc>
        <w:tc>
          <w:tcPr>
            <w:tcW w:w="990" w:type="dxa"/>
            <w:tcBorders>
              <w:left w:val="single" w:sz="4" w:space="0" w:color="auto"/>
              <w:right w:val="single" w:sz="4" w:space="0" w:color="auto"/>
            </w:tcBorders>
            <w:tcMar>
              <w:left w:w="43" w:type="dxa"/>
              <w:right w:w="43" w:type="dxa"/>
            </w:tcMar>
            <w:vAlign w:val="center"/>
          </w:tcPr>
          <w:p w14:paraId="672577B9" w14:textId="6071E135" w:rsidR="00862DF8" w:rsidRPr="00BB08BF" w:rsidRDefault="00862DF8" w:rsidP="00862DF8">
            <w:pPr>
              <w:tabs>
                <w:tab w:val="decimal" w:pos="480"/>
                <w:tab w:val="decimal" w:pos="570"/>
                <w:tab w:val="decimal" w:pos="660"/>
              </w:tabs>
              <w:jc w:val="center"/>
              <w:rPr>
                <w:noProof/>
                <w:sz w:val="18"/>
                <w:szCs w:val="18"/>
              </w:rPr>
            </w:pPr>
            <w:r w:rsidRPr="00BB08BF">
              <w:rPr>
                <w:sz w:val="18"/>
                <w:szCs w:val="18"/>
              </w:rPr>
              <w:t>166.0%</w:t>
            </w:r>
          </w:p>
        </w:tc>
        <w:tc>
          <w:tcPr>
            <w:tcW w:w="900" w:type="dxa"/>
            <w:tcBorders>
              <w:left w:val="single" w:sz="4" w:space="0" w:color="auto"/>
              <w:right w:val="single" w:sz="4" w:space="0" w:color="auto"/>
            </w:tcBorders>
            <w:tcMar>
              <w:left w:w="43" w:type="dxa"/>
              <w:right w:w="43" w:type="dxa"/>
            </w:tcMar>
            <w:vAlign w:val="center"/>
          </w:tcPr>
          <w:p w14:paraId="236ED46B" w14:textId="489D99F1" w:rsidR="00862DF8" w:rsidRPr="00BB08BF" w:rsidRDefault="0066122B" w:rsidP="00862DF8">
            <w:pPr>
              <w:tabs>
                <w:tab w:val="decimal" w:pos="480"/>
                <w:tab w:val="decimal" w:pos="570"/>
                <w:tab w:val="decimal" w:pos="660"/>
              </w:tabs>
              <w:jc w:val="center"/>
              <w:rPr>
                <w:noProof/>
                <w:sz w:val="18"/>
                <w:szCs w:val="18"/>
              </w:rPr>
            </w:pPr>
            <w:r>
              <w:rPr>
                <w:noProof/>
                <w:sz w:val="18"/>
                <w:szCs w:val="18"/>
              </w:rPr>
              <w:t>--</w:t>
            </w:r>
          </w:p>
        </w:tc>
        <w:tc>
          <w:tcPr>
            <w:tcW w:w="900" w:type="dxa"/>
            <w:tcBorders>
              <w:left w:val="single" w:sz="4" w:space="0" w:color="auto"/>
              <w:right w:val="single" w:sz="4" w:space="0" w:color="auto"/>
            </w:tcBorders>
            <w:tcMar>
              <w:left w:w="43" w:type="dxa"/>
              <w:right w:w="43" w:type="dxa"/>
            </w:tcMar>
            <w:vAlign w:val="center"/>
          </w:tcPr>
          <w:p w14:paraId="6DD7C909" w14:textId="336950D7" w:rsidR="00862DF8" w:rsidRPr="00BB08BF" w:rsidRDefault="00862DF8" w:rsidP="00862DF8">
            <w:pPr>
              <w:tabs>
                <w:tab w:val="decimal" w:pos="480"/>
                <w:tab w:val="decimal" w:pos="570"/>
                <w:tab w:val="decimal" w:pos="660"/>
              </w:tabs>
              <w:jc w:val="center"/>
              <w:rPr>
                <w:noProof/>
                <w:sz w:val="18"/>
                <w:szCs w:val="18"/>
              </w:rPr>
            </w:pPr>
            <w:r w:rsidRPr="00BB08BF">
              <w:rPr>
                <w:sz w:val="18"/>
                <w:szCs w:val="18"/>
              </w:rPr>
              <w:t>15.4%</w:t>
            </w:r>
          </w:p>
        </w:tc>
        <w:tc>
          <w:tcPr>
            <w:tcW w:w="900" w:type="dxa"/>
            <w:tcBorders>
              <w:left w:val="single" w:sz="4" w:space="0" w:color="auto"/>
              <w:right w:val="single" w:sz="4" w:space="0" w:color="auto"/>
            </w:tcBorders>
            <w:tcMar>
              <w:left w:w="43" w:type="dxa"/>
              <w:right w:w="43" w:type="dxa"/>
            </w:tcMar>
            <w:vAlign w:val="center"/>
          </w:tcPr>
          <w:p w14:paraId="0A485901" w14:textId="6A4F1667" w:rsidR="00862DF8" w:rsidRPr="00BB08BF" w:rsidRDefault="00862DF8" w:rsidP="00862DF8">
            <w:pPr>
              <w:tabs>
                <w:tab w:val="decimal" w:pos="365"/>
                <w:tab w:val="decimal" w:pos="480"/>
                <w:tab w:val="decimal" w:pos="570"/>
                <w:tab w:val="decimal" w:pos="660"/>
              </w:tabs>
              <w:jc w:val="center"/>
              <w:rPr>
                <w:noProof/>
                <w:sz w:val="18"/>
                <w:szCs w:val="18"/>
              </w:rPr>
            </w:pPr>
            <w:r w:rsidRPr="00BB08BF">
              <w:rPr>
                <w:sz w:val="18"/>
                <w:szCs w:val="18"/>
              </w:rPr>
              <w:t>372.2%</w:t>
            </w:r>
          </w:p>
        </w:tc>
        <w:tc>
          <w:tcPr>
            <w:tcW w:w="900" w:type="dxa"/>
            <w:tcBorders>
              <w:left w:val="single" w:sz="4" w:space="0" w:color="auto"/>
            </w:tcBorders>
            <w:tcMar>
              <w:left w:w="43" w:type="dxa"/>
              <w:right w:w="43" w:type="dxa"/>
            </w:tcMar>
            <w:vAlign w:val="center"/>
          </w:tcPr>
          <w:p w14:paraId="148B4339" w14:textId="771B6680" w:rsidR="00862DF8" w:rsidRPr="00BB08BF" w:rsidRDefault="00862DF8" w:rsidP="00862DF8">
            <w:pPr>
              <w:tabs>
                <w:tab w:val="decimal" w:pos="480"/>
                <w:tab w:val="decimal" w:pos="660"/>
              </w:tabs>
              <w:jc w:val="center"/>
              <w:rPr>
                <w:noProof/>
                <w:sz w:val="18"/>
                <w:szCs w:val="18"/>
              </w:rPr>
            </w:pPr>
            <w:r w:rsidRPr="00BB08BF">
              <w:rPr>
                <w:sz w:val="18"/>
                <w:szCs w:val="18"/>
              </w:rPr>
              <w:t>-65.7%</w:t>
            </w:r>
          </w:p>
        </w:tc>
      </w:tr>
      <w:bookmarkEnd w:id="68"/>
    </w:tbl>
    <w:p w14:paraId="02008263" w14:textId="77777777" w:rsidR="00DD7DBF" w:rsidRPr="00DF518F" w:rsidRDefault="00DD7DBF" w:rsidP="000B6FD6">
      <w:pPr>
        <w:spacing w:line="240" w:lineRule="auto"/>
        <w:jc w:val="both"/>
        <w:rPr>
          <w:b/>
          <w:bCs/>
          <w:noProof/>
        </w:rPr>
      </w:pPr>
    </w:p>
    <w:p w14:paraId="2697DAEF" w14:textId="512E3717" w:rsidR="00375020" w:rsidRDefault="007C14D1" w:rsidP="000B6FD6">
      <w:pPr>
        <w:spacing w:line="240" w:lineRule="auto"/>
        <w:jc w:val="both"/>
        <w:rPr>
          <w:noProof/>
        </w:rPr>
        <w:sectPr w:rsidR="00375020" w:rsidSect="007D1DDE">
          <w:pgSz w:w="15840" w:h="12240" w:orient="landscape"/>
          <w:pgMar w:top="1440" w:right="1440" w:bottom="1440" w:left="1440" w:header="720" w:footer="720" w:gutter="0"/>
          <w:cols w:space="720"/>
          <w:docGrid w:linePitch="360"/>
        </w:sectPr>
      </w:pPr>
      <w:r w:rsidRPr="009B2F97">
        <w:rPr>
          <w:noProof/>
        </w:rPr>
        <w:br w:type="page"/>
      </w:r>
    </w:p>
    <w:p w14:paraId="20AE6E12" w14:textId="2A37F4E9" w:rsidR="00B62D1C" w:rsidRPr="009B2F97" w:rsidRDefault="00F4719E" w:rsidP="00F4719E">
      <w:pPr>
        <w:spacing w:after="0" w:line="240" w:lineRule="auto"/>
        <w:jc w:val="center"/>
        <w:rPr>
          <w:b/>
          <w:bCs/>
        </w:rPr>
      </w:pPr>
      <w:r w:rsidRPr="00F4719E">
        <w:rPr>
          <w:b/>
          <w:bCs/>
          <w:noProof/>
        </w:rPr>
        <w:lastRenderedPageBreak/>
        <w:t xml:space="preserve"> </w:t>
      </w:r>
      <w:r>
        <w:rPr>
          <w:b/>
          <w:bCs/>
          <w:noProof/>
        </w:rPr>
        <w:drawing>
          <wp:inline distT="0" distB="0" distL="0" distR="0" wp14:anchorId="4959B2D7" wp14:editId="112EAB2A">
            <wp:extent cx="5725864" cy="2987675"/>
            <wp:effectExtent l="0" t="0" r="8255" b="0"/>
            <wp:docPr id="1102791618" name="Picture 110279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766664" cy="3008964"/>
                    </a:xfrm>
                    <a:prstGeom prst="rect">
                      <a:avLst/>
                    </a:prstGeom>
                    <a:noFill/>
                  </pic:spPr>
                </pic:pic>
              </a:graphicData>
            </a:graphic>
          </wp:inline>
        </w:drawing>
      </w:r>
    </w:p>
    <w:p w14:paraId="27DD29F4" w14:textId="1238A582" w:rsidR="00890907" w:rsidRDefault="008345D5" w:rsidP="00926421">
      <w:pPr>
        <w:spacing w:line="240" w:lineRule="auto"/>
        <w:jc w:val="center"/>
        <w:rPr>
          <w:b/>
          <w:bCs/>
        </w:rPr>
      </w:pPr>
      <w:r w:rsidRPr="009434FD">
        <w:rPr>
          <w:b/>
          <w:bCs/>
        </w:rPr>
        <w:t xml:space="preserve">Figure 1: </w:t>
      </w:r>
      <w:bookmarkStart w:id="69" w:name="_Hlk148696944"/>
      <w:r w:rsidRPr="009434FD">
        <w:rPr>
          <w:b/>
          <w:bCs/>
        </w:rPr>
        <w:t>GHDM Analytic Framework</w:t>
      </w:r>
      <w:bookmarkEnd w:id="69"/>
    </w:p>
    <w:p w14:paraId="094D7C99" w14:textId="77777777" w:rsidR="00333AB8" w:rsidRDefault="00333AB8" w:rsidP="000B6FD6">
      <w:pPr>
        <w:spacing w:line="240" w:lineRule="auto"/>
        <w:jc w:val="both"/>
        <w:rPr>
          <w:noProof/>
        </w:rPr>
      </w:pPr>
    </w:p>
    <w:p w14:paraId="02030848" w14:textId="10D7DE2B" w:rsidR="00C572F2" w:rsidRPr="009B2F97" w:rsidRDefault="00C572F2" w:rsidP="004C7919">
      <w:pPr>
        <w:spacing w:line="240" w:lineRule="auto"/>
        <w:jc w:val="center"/>
        <w:rPr>
          <w:noProof/>
        </w:rPr>
      </w:pPr>
      <w:r>
        <w:rPr>
          <w:noProof/>
        </w:rPr>
        <w:drawing>
          <wp:inline distT="0" distB="0" distL="0" distR="0" wp14:anchorId="3D9A42E4" wp14:editId="23554E6C">
            <wp:extent cx="5797296" cy="4133088"/>
            <wp:effectExtent l="0" t="0" r="0" b="1270"/>
            <wp:docPr id="440118102" name="Chart 1">
              <a:extLst xmlns:a="http://schemas.openxmlformats.org/drawingml/2006/main">
                <a:ext uri="{FF2B5EF4-FFF2-40B4-BE49-F238E27FC236}">
                  <a16:creationId xmlns:a16="http://schemas.microsoft.com/office/drawing/2014/main" id="{EA04EC06-AD8E-70E4-054F-3CD00A468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5"/>
              </a:graphicData>
            </a:graphic>
          </wp:inline>
        </w:drawing>
      </w:r>
    </w:p>
    <w:p w14:paraId="680F6943" w14:textId="505FAEB9" w:rsidR="00CA4626" w:rsidRPr="000B6FD6" w:rsidRDefault="000743ED" w:rsidP="000B6FD6">
      <w:pPr>
        <w:spacing w:line="240" w:lineRule="auto"/>
        <w:jc w:val="both"/>
        <w:rPr>
          <w:noProof/>
        </w:rPr>
      </w:pPr>
      <w:r w:rsidRPr="000B6FD6">
        <w:rPr>
          <w:noProof/>
        </w:rPr>
        <w:t>*Indicates variable is a count rather than Likert Scale</w:t>
      </w:r>
      <w:r w:rsidR="00417A74">
        <w:rPr>
          <w:noProof/>
        </w:rPr>
        <w:t xml:space="preserve"> </w:t>
      </w:r>
    </w:p>
    <w:p w14:paraId="6F56D41E" w14:textId="468EB4DD" w:rsidR="000743ED" w:rsidRPr="009434FD" w:rsidRDefault="000743ED" w:rsidP="00926421">
      <w:pPr>
        <w:spacing w:line="240" w:lineRule="auto"/>
        <w:jc w:val="center"/>
        <w:rPr>
          <w:b/>
          <w:bCs/>
          <w:noProof/>
        </w:rPr>
      </w:pPr>
      <w:r w:rsidRPr="009B2F97">
        <w:rPr>
          <w:b/>
          <w:bCs/>
          <w:noProof/>
        </w:rPr>
        <w:t xml:space="preserve">Figure </w:t>
      </w:r>
      <w:r w:rsidR="008345D5" w:rsidRPr="00D21817">
        <w:rPr>
          <w:b/>
          <w:bCs/>
          <w:noProof/>
        </w:rPr>
        <w:t>2</w:t>
      </w:r>
      <w:r w:rsidRPr="00DD68D6">
        <w:rPr>
          <w:b/>
          <w:bCs/>
          <w:noProof/>
        </w:rPr>
        <w:t xml:space="preserve">: </w:t>
      </w:r>
      <w:bookmarkStart w:id="70" w:name="_Hlk148697101"/>
      <w:r w:rsidRPr="00DD68D6">
        <w:rPr>
          <w:b/>
          <w:bCs/>
          <w:noProof/>
        </w:rPr>
        <w:t>Distribution of Indicators of Latent Constructs</w:t>
      </w:r>
      <w:bookmarkEnd w:id="70"/>
    </w:p>
    <w:p w14:paraId="60909B23" w14:textId="77777777" w:rsidR="00CA4626" w:rsidRPr="009434FD" w:rsidRDefault="00CA4626" w:rsidP="000B6FD6">
      <w:pPr>
        <w:spacing w:line="240" w:lineRule="auto"/>
        <w:jc w:val="both"/>
        <w:rPr>
          <w:noProof/>
        </w:rPr>
      </w:pPr>
    </w:p>
    <w:p w14:paraId="5CF4F973" w14:textId="3D6A4222" w:rsidR="00CA4626" w:rsidRPr="009B2F97" w:rsidRDefault="00557E44" w:rsidP="000B6FD6">
      <w:pPr>
        <w:spacing w:line="240" w:lineRule="auto"/>
        <w:jc w:val="both"/>
        <w:rPr>
          <w:noProof/>
        </w:rPr>
      </w:pPr>
      <w:r w:rsidRPr="009B2F97">
        <w:rPr>
          <w:noProof/>
        </w:rPr>
        <w:drawing>
          <wp:inline distT="0" distB="0" distL="0" distR="0" wp14:anchorId="3077F7BB" wp14:editId="55AD99C6">
            <wp:extent cx="5943600" cy="2804160"/>
            <wp:effectExtent l="0" t="0" r="0" b="0"/>
            <wp:docPr id="612385955" name="Picture 2"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85955" name="Picture 2" descr="A picture containing text, diagram, line, plot&#10;&#10;Description automatically generated"/>
                    <pic:cNvPicPr/>
                  </pic:nvPicPr>
                  <pic:blipFill>
                    <a:blip r:embed="rId336" cstate="print">
                      <a:extLst>
                        <a:ext uri="{28A0092B-C50C-407E-A947-70E740481C1C}">
                          <a14:useLocalDpi xmlns:a14="http://schemas.microsoft.com/office/drawing/2010/main" val="0"/>
                        </a:ext>
                      </a:extLst>
                    </a:blip>
                    <a:stretch>
                      <a:fillRect/>
                    </a:stretch>
                  </pic:blipFill>
                  <pic:spPr>
                    <a:xfrm>
                      <a:off x="0" y="0"/>
                      <a:ext cx="5943600" cy="2804160"/>
                    </a:xfrm>
                    <a:prstGeom prst="rect">
                      <a:avLst/>
                    </a:prstGeom>
                  </pic:spPr>
                </pic:pic>
              </a:graphicData>
            </a:graphic>
          </wp:inline>
        </w:drawing>
      </w:r>
    </w:p>
    <w:p w14:paraId="0DD7E47E" w14:textId="614AD5DB" w:rsidR="00CA4626" w:rsidRPr="008253CB" w:rsidRDefault="00CA027F" w:rsidP="00926421">
      <w:pPr>
        <w:spacing w:line="240" w:lineRule="auto"/>
        <w:jc w:val="center"/>
        <w:rPr>
          <w:b/>
          <w:bCs/>
          <w:noProof/>
        </w:rPr>
      </w:pPr>
      <w:r w:rsidRPr="009434FD">
        <w:rPr>
          <w:b/>
          <w:bCs/>
          <w:noProof/>
        </w:rPr>
        <w:t xml:space="preserve">Figure </w:t>
      </w:r>
      <w:r w:rsidR="008345D5" w:rsidRPr="009434FD">
        <w:rPr>
          <w:b/>
          <w:bCs/>
          <w:noProof/>
        </w:rPr>
        <w:t>3</w:t>
      </w:r>
      <w:r w:rsidRPr="009434FD">
        <w:rPr>
          <w:b/>
          <w:bCs/>
          <w:noProof/>
        </w:rPr>
        <w:t xml:space="preserve">: </w:t>
      </w:r>
      <w:bookmarkStart w:id="71" w:name="_Hlk148697198"/>
      <w:r w:rsidR="00574AB3" w:rsidRPr="009C5F54">
        <w:rPr>
          <w:b/>
          <w:bCs/>
          <w:noProof/>
        </w:rPr>
        <w:t>Structure of Endogenous Effects</w:t>
      </w:r>
      <w:bookmarkEnd w:id="71"/>
    </w:p>
    <w:p w14:paraId="624B7B46" w14:textId="77777777" w:rsidR="00603CE3" w:rsidRPr="009179E5" w:rsidRDefault="00603CE3" w:rsidP="000B6FD6">
      <w:pPr>
        <w:spacing w:line="240" w:lineRule="auto"/>
        <w:jc w:val="both"/>
        <w:rPr>
          <w:b/>
          <w:bCs/>
          <w:noProof/>
        </w:rPr>
      </w:pPr>
    </w:p>
    <w:p w14:paraId="15970D5B" w14:textId="77777777" w:rsidR="00603CE3" w:rsidRPr="009B2F97" w:rsidRDefault="00603CE3" w:rsidP="000B6FD6">
      <w:pPr>
        <w:spacing w:line="240" w:lineRule="auto"/>
        <w:jc w:val="both"/>
        <w:rPr>
          <w:b/>
          <w:bCs/>
          <w:noProof/>
        </w:rPr>
      </w:pPr>
    </w:p>
    <w:p w14:paraId="0A212FFE" w14:textId="2533AC19" w:rsidR="00603CE3" w:rsidRPr="009B2F97" w:rsidRDefault="00603CE3" w:rsidP="000B6FD6">
      <w:pPr>
        <w:spacing w:line="240" w:lineRule="auto"/>
        <w:jc w:val="both"/>
        <w:rPr>
          <w:b/>
          <w:bCs/>
          <w:noProof/>
        </w:rPr>
      </w:pPr>
    </w:p>
    <w:sectPr w:rsidR="00603CE3" w:rsidRPr="009B2F97" w:rsidSect="007D1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2DAE" w14:textId="77777777" w:rsidR="00C16F0B" w:rsidRDefault="00C16F0B" w:rsidP="00AC4C35">
      <w:pPr>
        <w:spacing w:after="0" w:line="240" w:lineRule="auto"/>
      </w:pPr>
      <w:r>
        <w:separator/>
      </w:r>
    </w:p>
  </w:endnote>
  <w:endnote w:type="continuationSeparator" w:id="0">
    <w:p w14:paraId="3B4EE8E2" w14:textId="77777777" w:rsidR="00C16F0B" w:rsidRDefault="00C16F0B" w:rsidP="00AC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734787"/>
      <w:docPartObj>
        <w:docPartGallery w:val="Page Numbers (Bottom of Page)"/>
        <w:docPartUnique/>
      </w:docPartObj>
    </w:sdtPr>
    <w:sdtEndPr>
      <w:rPr>
        <w:noProof/>
      </w:rPr>
    </w:sdtEndPr>
    <w:sdtContent>
      <w:p w14:paraId="3DCA02E2" w14:textId="335DE02A" w:rsidR="00D73320" w:rsidRDefault="00D73320" w:rsidP="004B0C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3F66" w14:textId="77777777" w:rsidR="00C16F0B" w:rsidRDefault="00C16F0B" w:rsidP="00AC4C35">
      <w:pPr>
        <w:spacing w:after="0" w:line="240" w:lineRule="auto"/>
      </w:pPr>
      <w:r>
        <w:separator/>
      </w:r>
    </w:p>
  </w:footnote>
  <w:footnote w:type="continuationSeparator" w:id="0">
    <w:p w14:paraId="7D010046" w14:textId="77777777" w:rsidR="00C16F0B" w:rsidRDefault="00C16F0B" w:rsidP="00AC4C35">
      <w:pPr>
        <w:spacing w:after="0" w:line="240" w:lineRule="auto"/>
      </w:pPr>
      <w:r>
        <w:continuationSeparator/>
      </w:r>
    </w:p>
  </w:footnote>
  <w:footnote w:id="1">
    <w:p w14:paraId="59BD9143" w14:textId="7375E2D6" w:rsidR="00B82529" w:rsidRPr="00C43289" w:rsidRDefault="00B82529" w:rsidP="00C43289">
      <w:pPr>
        <w:pStyle w:val="NormalWeb"/>
        <w:shd w:val="clear" w:color="auto" w:fill="FFFFFF"/>
        <w:spacing w:before="0" w:beforeAutospacing="0" w:after="0" w:afterAutospacing="0"/>
        <w:jc w:val="both"/>
        <w:rPr>
          <w:sz w:val="20"/>
          <w:szCs w:val="20"/>
        </w:rPr>
      </w:pPr>
      <w:r w:rsidRPr="00A020ED">
        <w:rPr>
          <w:rStyle w:val="FootnoteReference"/>
          <w:sz w:val="20"/>
          <w:szCs w:val="20"/>
        </w:rPr>
        <w:footnoteRef/>
      </w:r>
      <w:bookmarkStart w:id="6" w:name="_Hlk165464401"/>
      <w:r w:rsidRPr="00A020ED">
        <w:rPr>
          <w:color w:val="222222"/>
          <w:sz w:val="20"/>
          <w:szCs w:val="20"/>
        </w:rPr>
        <w:t xml:space="preserve">Also, while not explicitly a justification for using an individual-level analysis of housing choices, we should point out that, similar to our study, there is a vast body of literature that examines household level </w:t>
      </w:r>
      <w:r>
        <w:rPr>
          <w:color w:val="222222"/>
          <w:sz w:val="20"/>
          <w:szCs w:val="20"/>
        </w:rPr>
        <w:t xml:space="preserve">residential choice </w:t>
      </w:r>
      <w:r w:rsidRPr="00A020ED">
        <w:rPr>
          <w:color w:val="222222"/>
          <w:sz w:val="20"/>
          <w:szCs w:val="20"/>
        </w:rPr>
        <w:t xml:space="preserve">decisions using individual-level data </w:t>
      </w:r>
      <w:bookmarkStart w:id="7" w:name="_Hlk151805365"/>
      <w:r w:rsidR="00B12076">
        <w:rPr>
          <w:color w:val="222222"/>
          <w:sz w:val="20"/>
          <w:szCs w:val="20"/>
        </w:rPr>
        <w:fldChar w:fldCharType="begin"/>
      </w:r>
      <w:r w:rsidR="000C4AE3">
        <w:rPr>
          <w:color w:val="222222"/>
          <w:sz w:val="20"/>
          <w:szCs w:val="20"/>
        </w:rPr>
        <w:instrText xml:space="preserve"> ADDIN ZOTERO_ITEM CSL_CITATION {"citationID":"Ikk8yz2q","properties":{"unsorted":true,"formattedCitation":"(Walker and Li, 2007; Pinjari et al., 2011; Frenkel and Kaplan, 2015; Lee et al., 2019; Kim et al., 2020; Zarrabi et al., 2021)","plainCitation":"(Walker and Li, 2007; Pinjari et al., 2011; Frenkel and Kaplan, 2015; Lee et al., 2019; Kim et al., 2020; Zarrabi et al., 2021)","dontUpdate":true,"noteIndex":1},"citationItems":[{"id":318,"uris":["http://zotero.org/users/12832277/items/HPAPYDJF"],"itemData":{"id":318,"type":"article-journal","abstract":"Lifestyle, indicating preferences towards a particular way of living, is a key driver of the decision of where to live. We employ latent class choice models to represent this behavior, where the latent classes are the lifestyles and the choice model is the choice of residential location. Thus, we simultaneously estimate lifestyle groups and how lifestyle impacts location decisions. Empirical results indicate three latent lifestyle segments: suburban dwellers, urban dwellers, and transit-riders. The suggested lifestyle segments have intriguing policy implications. Lifecycle characteristics are used to predict lifestyle preferences, although there remain significant aspects that cannot be explained by observable variables.","container-title":"Journal of Geographical Systems","DOI":"10.1007/s10109-006-0030-0","ISSN":"1435-5949","issue":"1","language":"en","page":"77-101","source":"Springer Link","title":"Latent Lifestyle Preferences and Household Location Decisions","volume":"9","author":[{"family":"Walker","given":"Joan L."},{"family":"Li","given":"Jieping"}],"issued":{"date-parts":[["2007",4,1]]}}},{"id":312,"uris":["http://zotero.org/users/local/1ztI2Oc6/items/BEJC5RSR","http://zotero.org/users/12832277/items/BEJC5RSR"],"itemData":{"id":312,"type":"article-journal","abstract":"The integrated modeling of land use and transportation choices involves analyzing a continuum of choices that characterize people’s lifestyles across temporal scales. This includes long-term choices such as residential and work location choices that affect land-use, medium-term choices such as vehicle ownership, and short-term choices such as travel mode choice that affect travel demand. Prior research in this area has been limited by the complexities associated with the development of integrated model systems that combine the long-, medium- and short-term choices into a unified analytical framework. This paper presents an integrated simultaneous multi-dimensional choice model of residential location, auto ownership, bicycle ownership, and commute tour mode choices using a mixed multidimensional choice modeling methodology. Model estimation results using the San Francisco Bay Area highlight a series of interdependencies among the multi-dimensional choice processes. The interdependencies include: (1) self-selection effects due to observed and unobserved factors, where households locate based on lifestyle and mobility preferences, (2) endogeneity effects, where any one choice dimension is not exogenous to another, but is endogenous to the system as a whole, (3) correlated error structures, where common unobserved factors significantly and simultaneously impact multiple choice dimensions, and (4) unobserved heterogeneity, where decision-makers show significant variation in sensitivity to explanatory variables due to unobserved factors. From a policy standpoint, to be able to forecast the “true” causal influence of activity-travel environment changes on residential location, auto/bicycle ownership, and commute mode choices, it is necessary to capture the above-identified interdependencies by jointly modeling the multiple choice dimensions in an integrated framework.","container-title":"Transportation","DOI":"10.1007/s11116-011-9360-y","ISSN":"1572-9435","issue":"6","language":"en","page":"933-958","source":"Springer Link","title":"Modeling the Choice Continuum: An Integrated Model of Residential Location, Auto Ownership, Bicycle Ownership, and Commute Tour Mode Choice Decisions","volume":"38","author":[{"family":"Pinjari","given":"Abdul Rawoof"},{"family":"Pendyala","given":"Ram M."},{"family":"Bhat","given":"Chandra R."},{"family":"Waddell","given":"Paul A."}],"issued":{"date-parts":[["2011",11,1]]}}},{"id":731,"uris":["http://zotero.org/users/local/1ztI2Oc6/items/F9A9J9DB","http://zotero.org/users/12832277/items/F9A9J9DB"],"itemData":{"id":731,"type":"article-journal","abstract":"This study investigates knowledge-workers’ housing preferences in terms of tenure, dwelling type, location and size. The analysis is conducted by applying a joint multinomial-logit ordered-response model to the housing choices of knowledgeworkers residing in the Tel-Aviv metropolitan region and working in the high-tech and finance sectors. The results confirm the following hypotheses: (i) controlling for socioeconomic characteristics and workplace, knowledge-workers’ housing choices relate to their lifestyle; (ii) knowledge-workers with a culture-oriented lifestyle prefer to rent small apartments in central locations; (iii) knowledge-workers with a home-oriented lifestyle prefer large dwelling units, mainly single-detached houses, in suburban locations.","container-title":"Letters in Spatial and Resource Sciences","DOI":"10.1007/s12076-014-0131-1","ISSN":"1864-404X","issue":"3","language":"en","page":"233-251","source":"Springer Link","title":"The Joint Choice of Tenure, Dwelling Type, Size and Location: The Effect of Home-Oriented Versus Culture-Oriented Lifestyle","volume":"8","author":[{"family":"Frenkel","given":"Amnon"},{"family":"Kaplan","given":"Sigal"}],"issued":{"date-parts":[["2015",11,1]]}}},{"id":1184,"uris":["http://zotero.org/users/12832277/items/4FD88KR5"],"itemData":{"id":1184,"type":"article-journal","abstract":"The millennial generation, the cohort born from 1981 to 1996, lives in large cities or denser parts of metropolitan areas more than preceding generations did at the same age. Studies have theorized that a combination of temporary economic hardship, long-term societal changes, and changing preferences and attitudes have been responsible for Millennials’ unique residential choices. This study examines a less-explored question about the presence and significance of heterogeneity in residential preferences across and within generations. In doing so, this study employs a latent-class choice model on a commuter subsample of Millennials and members of Generation X (n = 729) of the California Millennials Dataset, which collected a rich set of variables on various dimensions in Fall 2015. Using randomly-generated unlabeled choice sets at the US Census block group level, this study identifies three latent classes. The Younger, Pro-Urban Class (53% of our dataset; 66% of its millennial cases and 42% of its Gen Xers) behaves as the stereotypical Millennials in popular media, preferring urban amenities; the Affluent, Highly-Educated Class (32% of our dataset; 25% of its millennials and 38% of its Gen Xers) appears to pursue lifestyles and high socioeconomic status over homeownership or good school districts; and the Middle-Class Homeowner Class (15% of our dataset; 8% of its millennial cases and 21% of its Gen Xers) presents more traditional family-oriented suburban lifestyles. After the examination of shares of the three classes by age and neighborhood type, we provide suggestions for future research and effective planning responses.","container-title":"Transportation Research Part D: Transport and Environment","DOI":"10.1016/j.trd.2019.08.001","ISSN":"1361-9209","page":"289-304","source":"ScienceDirect","title":"Heterogeneous Residential Preferences Among Millennials and Members of Generation X in California: A Latent-Class Approach","volume":"76","author":[{"family":"Lee","given":"Yongsung"},{"family":"Circella","given":"Giovanni"},{"family":"Mokhtarian","given":"Patricia L."},{"family":"Guhathakurta","given":"Subhrajit"}],"issued":{"date-parts":[["2019",11,1]]}}},{"id":1190,"uris":["http://zotero.org/users/12832277/items/Z3USDHZ8"],"itemData":{"id":1190,"type":"article-journal","abstract":"Many studies have begun investigating possible transportation landscapes in the autonomous vehicle (AV) era, but empirical results on longer-term decisions are limited. We address this gap using data collected from a survey designed and implemented for Georgia residents in 2017–2018. Focusing on a hypothetical all-AV future, this section of the survey included questions regarding advantages/disadvantages of AVs, short-term mode choice impacts, medium-term impacts on activity patterns, and long-term behavioral changes – specifically, whether/how AVs will influence individuals to change residential location and the number of cars in the household. We hypothesize that AVs could act in concert with attitudinal preferences to stimulate changes in these long-term decisions, and that some medium-term activity changes triggered by AVs could motivate people to relocate their residence or shed household vehicles. We applied exploratory factor analysis to measure the perceived likelihood that AVs would prompt various medium-term changes. We then included some of those measures, among other variables, in a cross-nested logit (CNL) model of the choice of the residential location/vehicle ownership bundle. Although more than half of respondents expected “no change” in their bundle, we found that younger, lower income, pro-suburban, and pro-non-car-mode individuals were more likely to anticipate changing their selections. In addition, some expected medium-term impacts of AVs influenced changes in these longer-term choices. We further applied the CNL model to two population segments (Atlanta and non-Atlanta-region residents). We found notable improvement in goodness of fit and different effects of factors across segments, signifying the existence of geography-related taste heterogeneity.","container-title":"Transportation Research Part D: Transport and Environment","DOI":"10.1016/j.trd.2020.102291","ISSN":"1361-9209","source":"ScienceDirect","title":"Will Autonomous Vehicles Change Residential Location and Vehicle Ownership? Glimpses from Georgia","title-short":"Will Autonomous Vehicles Change Residential Location and Vehicle Ownership?","URL":"https://www.sciencedirect.com/science/article/pii/S1361920919312283","volume":"82","author":[{"family":"Kim","given":"Sung Hoo"},{"family":"Mokhtarian","given":"Patricia L."},{"family":"Circella","given":"Giovanni"}],"accessed":{"date-parts":[["2023",11,3]]},"issued":{"date-parts":[["2020",5,1]]}}},{"id":1187,"uris":["http://zotero.org/users/12832277/items/L6ITT8W6"],"itemData":{"id":1187,"type":"article-journal","abstract":"With the global spread of the COVID-19 pandemic in the world, domestic spaces have become dramatically important in terms of controlling pandemics and as an environment that must meet the needs of residents during the quarantine period. The purpose of this study is to evaluate the health parameters in the domestic space in the apartment type after COVID-19. The indicators related to physical health, mental health, and socio-economic lifestyle changes affecting the interior architecture of apartment houses have been evaluated with the use of a questionnaire with 632 respondents in Tehran. These indicators have been measured with regard to space, building structure, mental comfort, self-sufficiency, and workplace. The data were analysed using Friedman, Mean, and ANOVA tests to prioritize indicators in the SPSS software. The results indicated that variables related to mental health such as natural light, view, acoustic, and open or semi-open space are of particular importance. Therefore, attention to mental health parameters should be considered by planners, builders, and architects in apartment design.","container-title":"Journal of Building Engineering","DOI":"10.1016/j.jobe.2020.102021","ISSN":"2352-7102","source":"ScienceDirect","title":"COVID-19 and Healthy Home Preferences: The Case of Apartment Residents in Tehran","title-short":"Covid-19 and Healthy Home Preferences","URL":"https://www.sciencedirect.com/science/article/pii/S2352710220336536","volume":"35","author":[{"family":"Zarrabi","given":"Mahsa"},{"family":"Yazdanfar","given":"Seyed-Abbas"},{"family":"Hosseini","given":"Seyed-Bagher"}],"accessed":{"date-parts":[["2023",11,3]]},"issued":{"date-parts":[["2021",3,1]]}}}],"schema":"https://github.com/citation-style-language/schema/raw/master/csl-citation.json"} </w:instrText>
      </w:r>
      <w:r w:rsidR="00B12076">
        <w:rPr>
          <w:color w:val="222222"/>
          <w:sz w:val="20"/>
          <w:szCs w:val="20"/>
        </w:rPr>
        <w:fldChar w:fldCharType="separate"/>
      </w:r>
      <w:r w:rsidR="00B12076" w:rsidRPr="00B12076">
        <w:rPr>
          <w:sz w:val="20"/>
        </w:rPr>
        <w:t>(</w:t>
      </w:r>
      <w:r w:rsidR="00B12076">
        <w:rPr>
          <w:sz w:val="20"/>
        </w:rPr>
        <w:t xml:space="preserve">see, for example, </w:t>
      </w:r>
      <w:r w:rsidR="00B12076" w:rsidRPr="00B12076">
        <w:rPr>
          <w:sz w:val="20"/>
        </w:rPr>
        <w:t>Walker and Li, 2007; Pinjari et al., 2011; Frenkel and Kaplan, 2015; Lee et al., 2019; Kim et al., 2020; Zarrabi et al., 2021)</w:t>
      </w:r>
      <w:r w:rsidR="00B12076">
        <w:rPr>
          <w:color w:val="222222"/>
          <w:sz w:val="20"/>
          <w:szCs w:val="20"/>
        </w:rPr>
        <w:fldChar w:fldCharType="end"/>
      </w:r>
      <w:bookmarkEnd w:id="7"/>
      <w:r w:rsidRPr="00A020ED">
        <w:rPr>
          <w:color w:val="222222"/>
          <w:sz w:val="20"/>
          <w:szCs w:val="20"/>
        </w:rPr>
        <w:t xml:space="preserve">. Indeed, </w:t>
      </w:r>
      <w:r w:rsidR="00EE426D">
        <w:rPr>
          <w:color w:val="222222"/>
          <w:sz w:val="20"/>
          <w:szCs w:val="20"/>
        </w:rPr>
        <w:t xml:space="preserve">while there has been more extensive investigation of household-level interactions for other transportation decisions </w:t>
      </w:r>
      <w:r w:rsidR="00EE426D">
        <w:rPr>
          <w:color w:val="222222"/>
          <w:sz w:val="20"/>
          <w:szCs w:val="20"/>
        </w:rPr>
        <w:fldChar w:fldCharType="begin"/>
      </w:r>
      <w:r w:rsidR="00EE426D">
        <w:rPr>
          <w:color w:val="222222"/>
          <w:sz w:val="20"/>
          <w:szCs w:val="20"/>
        </w:rPr>
        <w:instrText xml:space="preserve"> ADDIN ZOTERO_ITEM CSL_CITATION {"citationID":"FAlbzDjq","properties":{"formattedCitation":"(Bhat and Pendyala, 2005; Timmermans and Zhang, 2009)","plainCitation":"(Bhat and Pendyala, 2005; Timmermans and Zhang, 2009)","dontUpdate":true,"noteIndex":1},"citationItems":[{"id":1616,"uris":["http://zotero.org/users/12832277/items/6FQKTSKE"],"itemData":{"id":1616,"type":"article-journal","container-title":"Transportation","DOI":"10.1007/s11116-005-6789-x","ISSN":"1572-9435","issue":"5","language":"en","page":"443-448","source":"Springer Link","title":"Modeling Intra-Household Interactions and Group Decision-Making","volume":"32","author":[{"family":"Bhat","given":"Chandra R."},{"family":"Pendyala","given":"Ram M."}],"issued":{"date-parts":[["2005",9,1]]}}},{"id":3077,"uris":["http://zotero.org/users/12832277/items/FE8WUHXM"],"itemData":{"id":3077,"type":"article-journal","abstract":"Even though the importance of representing group decision-making mechanisms of household behavior has been recognized since the 1980s in the context of the activity-based approach, studies about group behavior in transportation are relatively new and consequently limited, compared with the research about individual decisions. In line with the special issue “Modeling Intra-Household Interactions and Group Decision-Making” published in the Journal of Transportation in 2005, and motivated by the recent progress of group behavior research in transportation, this special issue presents examples of state-of-the-art modeling approaches to household activity travel decisions. We hope it will stimulate more intensive discussion about future research directions from both methodological and practical perspectives. Five papers are selected to cover diverse methodologies, including group decision theory, utility theory, latent class modeling, rule-based modeling, and micro-simulation approaches. The topics cover household task and time allocation, car ownership, vehicle transaction, mode choice, activity generation, and activity scheduling behavior.","collection-title":"Modeling Household Activity Travel Behavior","container-title":"Transportation Research Part B: Methodological","DOI":"10.1016/j.trb.2008.06.004","ISSN":"0191-2615","issue":"2","page":"187-190","source":"ScienceDirect","title":"Modeling Household Activity Travel Behavior: Examples of State of the Art Modeling Approaches and Research Agenda","volume":"43","author":[{"family":"Timmermans","given":"Harry J. P."},{"family":"Zhang","given":"Junyi"}],"issued":{"date-parts":[["2009",2,1]]}}}],"schema":"https://github.com/citation-style-language/schema/raw/master/csl-citation.json"} </w:instrText>
      </w:r>
      <w:r w:rsidR="00EE426D">
        <w:rPr>
          <w:color w:val="222222"/>
          <w:sz w:val="20"/>
          <w:szCs w:val="20"/>
        </w:rPr>
        <w:fldChar w:fldCharType="separate"/>
      </w:r>
      <w:r w:rsidR="00EE426D" w:rsidRPr="00F701A0">
        <w:rPr>
          <w:sz w:val="20"/>
        </w:rPr>
        <w:t>(</w:t>
      </w:r>
      <w:r w:rsidR="00EE426D">
        <w:rPr>
          <w:sz w:val="20"/>
        </w:rPr>
        <w:t xml:space="preserve">see </w:t>
      </w:r>
      <w:r w:rsidR="00EE426D" w:rsidRPr="00F701A0">
        <w:rPr>
          <w:sz w:val="20"/>
        </w:rPr>
        <w:t>Bhat and Pendyala, 2005; Timmermans and Zhang, 2009)</w:t>
      </w:r>
      <w:r w:rsidR="00EE426D">
        <w:rPr>
          <w:color w:val="222222"/>
          <w:sz w:val="20"/>
          <w:szCs w:val="20"/>
        </w:rPr>
        <w:fldChar w:fldCharType="end"/>
      </w:r>
      <w:r w:rsidR="00EE426D">
        <w:rPr>
          <w:color w:val="222222"/>
          <w:sz w:val="20"/>
          <w:szCs w:val="20"/>
        </w:rPr>
        <w:t xml:space="preserve">, </w:t>
      </w:r>
      <w:r w:rsidRPr="00A020ED">
        <w:rPr>
          <w:color w:val="222222"/>
          <w:sz w:val="20"/>
          <w:szCs w:val="20"/>
        </w:rPr>
        <w:t xml:space="preserve">only a handful of papers in the housing choice </w:t>
      </w:r>
      <w:r w:rsidRPr="00A020ED">
        <w:rPr>
          <w:sz w:val="20"/>
          <w:szCs w:val="20"/>
        </w:rPr>
        <w:t>literature ha</w:t>
      </w:r>
      <w:r w:rsidR="00B12076">
        <w:rPr>
          <w:sz w:val="20"/>
          <w:szCs w:val="20"/>
        </w:rPr>
        <w:t>ve</w:t>
      </w:r>
      <w:r w:rsidRPr="00A020ED">
        <w:rPr>
          <w:sz w:val="20"/>
          <w:szCs w:val="20"/>
        </w:rPr>
        <w:t xml:space="preserve"> considered </w:t>
      </w:r>
      <w:r>
        <w:rPr>
          <w:sz w:val="20"/>
          <w:szCs w:val="20"/>
        </w:rPr>
        <w:t>the household as the unit of analysis</w:t>
      </w:r>
      <w:r w:rsidR="00B12076">
        <w:rPr>
          <w:sz w:val="20"/>
          <w:szCs w:val="20"/>
        </w:rPr>
        <w:t xml:space="preserve"> </w:t>
      </w:r>
      <w:r w:rsidR="00B12076">
        <w:rPr>
          <w:sz w:val="20"/>
          <w:szCs w:val="20"/>
        </w:rPr>
        <w:fldChar w:fldCharType="begin"/>
      </w:r>
      <w:r w:rsidR="00EE426D">
        <w:rPr>
          <w:sz w:val="20"/>
          <w:szCs w:val="20"/>
        </w:rPr>
        <w:instrText xml:space="preserve"> ADDIN ZOTERO_ITEM CSL_CITATION {"citationID":"C5AhpdKZ","properties":{"unsorted":true,"formattedCitation":"(Borgers and Timmermans, 1993; Ho and Mulley, 2015; Picard et al., 2015; Huai et al., 2021; Janke, 2021)","plainCitation":"(Borgers and Timmermans, 1993; Ho and Mulley, 2015; Picard et al., 2015; Huai et al., 2021; Janke, 2021)","noteIndex":1},"citationItems":[{"id":1201,"uris":["http://zotero.org/users/12832277/items/VLQJVQEW"],"itemData":{"id":1201,"type":"article-journal","abstract":"The aim of this paper is to gain further insight into the way in which residential location choice behavior is related to the existence of public transport facilities and to distance to the workplace. More specifically, the objectives of this paper are twofold. The first objective is to gain more insight into the influence of the characteristics of residential locations on residential location choice behavior. The selected characteristics are related to three aspects: (a) the residence itself (dwelling type, costs, type of neighborhood); (b) the transportation facilities in the residential neighborhood (frequency of bus services, availability of railway station, accessibility to main road system); and (c) the travel time from the residential location to the workplace (car, public transportation, and bike). The second objective is to test a model of joint (multi-person) decision making behavior. The results of this research indicate that the preference for a particular residential location is highly dependent on the characteristics of the dwelling and its environment, and to a lesser extent on the travel time to the workplace. The characteristics pertaining to transportation facilities seem to be less important. These results imply that transportation policy is not necessarily an effective instrument to influence residential choice behavior and the associated mobility.","container-title":"Papers in Regional Science","DOI":"10.1007/BF01538349","ISSN":"1435-5957","issue":"1","language":"en","page":"45-61","source":"Springer Link","title":"Transport Facilities and Residential Choice Behavior: A Model of Multi-Person Choice Processes","title-short":"Transport Facilities and Residential Choice Behavior","volume":"72","author":[{"family":"Borgers","given":"Aloys"},{"family":"Timmermans","given":"Harry"}],"issued":{"date-parts":[["1993",1,1]]}}},{"id":1203,"uris":["http://zotero.org/users/12832277/items/K47ZHEHT"],"itemData":{"id":1203,"type":"article-journal","abstract":"Recognition that individuals do not make their travel decisions in isolation of the household context has produced a growing interest in intra-household interactions and group decision-making. The behavioural realism of travel demand models that explicitly accommodate intra-household interactions is expected to provide more insight into travel behaviour and a more credible analysis of travellers’ response to transport policy than models that deal with household interactions in a ‘black box’. This paper reviews the literature on group decisions and intra-household interactions. How intra-household interactions influence the way in which decisions are made is expounded and empirical findings are drawn upon to argue for why the study of intra-household interactions is important. Various analytical techniques and data requirements are discussed to show how intra-household interactions can be handled. Drawing on this review, the impact of intra-household interactions on travel behaviour and implications for transport policy are identified and directions for further study suggested.","container-title":"Transport Reviews","DOI":"10.1080/01441647.2014.993745","ISSN":"0144-1647","issue":"1","note":"publisher: Routledge\n_eprint: https://doi.org/10.1080/01441647.2014.993745","page":"33-55","source":"Taylor and Francis+NEJM","title":"Intra-Household Interactions in Transport Research: A Review","title-short":"Intra-Household Interactions in Transport Research","volume":"35","author":[{"family":"Ho","given":"Chinh"},{"family":"Mulley","given":"Corinne"}],"issued":{"date-parts":[["2015",1,2]]}}},{"id":3084,"uris":["http://zotero.org/users/12832277/items/FMTW2IMU"],"itemData":{"id":3084,"type":"chapter","abstract":"Residential location decision is often a household joint decision involving several decision-makers. These different decision-makers usually have diverging preferences, especially in dual-earner households, when spouses work at different locations. Since about half a century, literature on residential location has studied in great detail the influence of socio-demographic characteristics (and in particular the differences between females and males or between multiple-worker and single-worker households). However, there is no research devoted to the within-family joint decision process leading to residential location decision (and work-place decisions). In the context of Paris Area, we analyze differences between spouses’ values of commuting times and show that spouses’ disparities in commuting decisions is a key element in the intra-household decision process. The single-worker household approach leaves aside by construction important intra-household considerations that influence commuting time and accessibility to jobs. We review different models useful to study intra-household decisions in dual-earner households. To do that, we base our analysis on the framework introduced by Chiappori, de Palma, Picard, and Inoa (2013), which applies the collective approach of household behavior(Chiappori, 1988; Chiappori, 1992) to describe residential location choice of dual-earner households. This collective approach has been used in several economic fields, but not in urban and transport economics so far. Furthermore, we argue that the framework developed by Inoa, Picard, and de Palma (2013), can also be adapted to analyze the joint residential and job location decisions in a two-worker household. The analysis is based on two accessibility variables (one for each spouse) embedded in a three-level nested Logit model which is used to study the interdependence of residential and workplace locations, while accounting for variation of preferences for job types across individuals.","container-title":"Integrated Transport and Land Use Modeling for Sustainable Cities","language":"en","note":"number: 2014-05\npublisher: THEMA (THéorie Economique, Modélisation et Applications), Université de Cergy-Pontoise","publisher":"EPFL Press","source":"ideas.repec.org","title":"Intra-household Decision Models of Residential and Job Location","URL":"https://ideas.repec.org//p/ema/worpap/2014-05.html","author":[{"family":"Picard","given":"Nathalie"},{"family":"Palma","given":"André","non-dropping-particle":"de"},{"family":"Inoa","given":"Ignacio A."}],"editor":[{"family":"Bierlaire","given":"M."},{"family":"Palma","given":"André","non-dropping-particle":"de"},{"family":"Hurtubia","given":"Ricardo"},{"family":"Waddell","given":"Paul"}],"accessed":{"date-parts":[["2024",5,2]]},"issued":{"date-parts":[["2015"]]}}},{"id":1195,"uris":["http://zotero.org/users/12832277/items/BHH72B5Y"],"itemData":{"id":1195,"type":"article-journal","abstract":"Activity resource allocation or dispersion (e.g., employment, education), transport network improvement, and property development, affect the urban community in different ways. To illuminate their intricate relations, we study the perspectives of three groups of stakeholders: i) households with heterogeneous members seeking a common residence to optimize their proximity to activity resources; ii) transport planners aiming to relieve traffic congestion; and iii) property developers aiming to maximize their housing profit through the bid-rent process. To assess the impacts of different resource allocation patterns (centralized versus dispersed), a household bid-rent and residential location choice model with heterogeneous compositions is developed, including household members’ activity destination choices and travel choices under stochastic user equilibrium. We apply this model to a new redevelopment region in Kowloon, Hong Kong. The results show that centralized resource allocation increases the producer surplus but reduces the household disposable income. Compared with dispersion in school resource allocation or transport improvement, job reallocation is the most efficient in alleviating traffic congestion as employments are dispersed into multiple centers, and inter-zonal commute trips are converted into intra-zonal trips. We also investigate the outcomes as the urban structure varies from monocentric, dual-core into multiple self-contained communities (i.e. polycentric). The results show that any accessibility gain due to a change in the urban form will be capitalized by developers into higher housing prices in the new central business district (CBD) regions, hence shrinking the consumer surplus and disposable income. Therefore, it is unlikely to find an urban form that will achieve win–win–win situations for all three stakeholder groups in the case study example.","container-title":"Transportation Research Part A: Policy and Practice","DOI":"10.1016/j.tra.2021.05.004","ISSN":"0965-8564","page":"99-118","source":"ScienceDirect","title":"Monocentric Versus Polycentric Urban Structure: Case Study in Hong Kong","title-short":"Monocentric Versus Polycentric Urban Structure","volume":"151","author":[{"family":"Huai","given":"Yue"},{"family":"Lo","given":"Hong K."},{"family":"Ng","given":"Ka Fai"}],"issued":{"date-parts":[["2021",9,1]]}}},{"id":1197,"uris":["http://zotero.org/users/12832277/items/TM85E8HT"],"itemData":{"id":1197,"type":"article-journal","abstract":"A considerable amount of literature has discussed the relevance of travel attitudes for location choices and travel behavior. Numerous studies have reported evidence that individuals choose neighborhoods that allow them to travel with their preferred transport mode, a process referred to as residential self-selection. Most studies, however, assume homogeneous attitudes and preferences among household members and ignore negotiation processes between partners that influence travel and location choices. The goal of this study is to investigate the extent to which heterogeneity in attitudes between partners affect residential self-selection and residential dissonance. This study uses data from a travel survey conducted in the agglomeration area of Vienna (Austria), factor analyses and multinomial logit models to explore residential location and mode choices. Descriptive analysis reveals that depending on the neighborhood type travel attitudes have different effects on mode choice. Heterogeneity in travel attitudes between partners partly explains limited evidence of residential self-selection and dissonance. In general, effects of residential dissonance on location choice are most relevant if both partners are dissonant. Surprisingly, only women’s travel attitudes substantially influence neighborhood selection which may be explained by the fact that female partners are also more affected by neighborhood characteristics in their travel behavior than their male partners. One third of respondents does not live in neighborhoods that match their travel attitudes. More dissonant households live in suburban areas than in the urban core indicating potential pressures on the housing market. Policy implications of these results emphasize the relevance of gender and highlight the challenge of providing affordable housing with good mobility services.","container-title":"Transportation Research Part A: Policy and Practice","DOI":"10.1016/j.tra.2021.03.018","ISSN":"0965-8564","page":"379-401","source":"ScienceDirect","title":"Re-Visiting Residential Self-Selection and Dissonance: Does Intra-Household Decision-Making Change the Results?","title-short":"Re-Visiting Residential Self-Selection and Dissonance","volume":"148","author":[{"family":"Janke","given":"Julia"}],"issued":{"date-parts":[["2021",6,1]]}}}],"schema":"https://github.com/citation-style-language/schema/raw/master/csl-citation.json"} </w:instrText>
      </w:r>
      <w:r w:rsidR="00B12076">
        <w:rPr>
          <w:sz w:val="20"/>
          <w:szCs w:val="20"/>
        </w:rPr>
        <w:fldChar w:fldCharType="separate"/>
      </w:r>
      <w:r w:rsidR="00EE426D" w:rsidRPr="00EE426D">
        <w:rPr>
          <w:sz w:val="20"/>
        </w:rPr>
        <w:t>(</w:t>
      </w:r>
      <w:r w:rsidR="00EE426D">
        <w:rPr>
          <w:sz w:val="20"/>
        </w:rPr>
        <w:t xml:space="preserve">see </w:t>
      </w:r>
      <w:r w:rsidR="00EE426D" w:rsidRPr="00EE426D">
        <w:rPr>
          <w:sz w:val="20"/>
        </w:rPr>
        <w:t>Borgers and Timmermans, 1993; Ho and Mulley, 2015; Picard et al., 2015; Huai et al., 2021; Janke, 2021)</w:t>
      </w:r>
      <w:r w:rsidR="00B12076">
        <w:rPr>
          <w:sz w:val="20"/>
          <w:szCs w:val="20"/>
        </w:rPr>
        <w:fldChar w:fldCharType="end"/>
      </w:r>
      <w:r w:rsidR="00EE426D">
        <w:rPr>
          <w:sz w:val="20"/>
          <w:szCs w:val="20"/>
        </w:rPr>
        <w:t>. Additionally</w:t>
      </w:r>
      <w:r w:rsidRPr="00A020ED">
        <w:rPr>
          <w:sz w:val="20"/>
          <w:szCs w:val="20"/>
        </w:rPr>
        <w:t xml:space="preserve">, </w:t>
      </w:r>
      <w:r w:rsidR="00EE426D">
        <w:rPr>
          <w:sz w:val="20"/>
          <w:szCs w:val="20"/>
        </w:rPr>
        <w:t>while these papers provide important insights into the dynamics of household interactions in the residential location choice decision, they</w:t>
      </w:r>
      <w:r w:rsidRPr="00A020ED">
        <w:rPr>
          <w:sz w:val="20"/>
          <w:szCs w:val="20"/>
        </w:rPr>
        <w:t xml:space="preserve"> have almost exclusively focused on location </w:t>
      </w:r>
      <w:r w:rsidR="00EE426D">
        <w:rPr>
          <w:sz w:val="20"/>
          <w:szCs w:val="20"/>
        </w:rPr>
        <w:t>characteristics</w:t>
      </w:r>
      <w:r w:rsidR="00EE426D" w:rsidRPr="00A020ED">
        <w:rPr>
          <w:sz w:val="20"/>
          <w:szCs w:val="20"/>
        </w:rPr>
        <w:t xml:space="preserve"> </w:t>
      </w:r>
      <w:r w:rsidRPr="00A020ED">
        <w:rPr>
          <w:sz w:val="20"/>
          <w:szCs w:val="20"/>
        </w:rPr>
        <w:t>to the exclusion of other dwelling unit characteristics</w:t>
      </w:r>
      <w:r w:rsidR="00943E45">
        <w:rPr>
          <w:sz w:val="20"/>
          <w:szCs w:val="20"/>
        </w:rPr>
        <w:t xml:space="preserve"> </w:t>
      </w:r>
      <w:r w:rsidR="00943E45" w:rsidRPr="00943E45">
        <w:rPr>
          <w:sz w:val="20"/>
          <w:szCs w:val="20"/>
        </w:rPr>
        <w:t>(except for Borgers and Timmermans, 1993</w:t>
      </w:r>
      <w:r w:rsidR="003211B8">
        <w:rPr>
          <w:sz w:val="20"/>
          <w:szCs w:val="20"/>
        </w:rPr>
        <w:t>,</w:t>
      </w:r>
      <w:r w:rsidR="00943E45" w:rsidRPr="00943E45">
        <w:rPr>
          <w:sz w:val="20"/>
          <w:szCs w:val="20"/>
        </w:rPr>
        <w:t xml:space="preserve"> who, using stated preference data, examined dwelling unit type alongside </w:t>
      </w:r>
      <w:r w:rsidR="003211B8">
        <w:rPr>
          <w:sz w:val="20"/>
          <w:szCs w:val="20"/>
        </w:rPr>
        <w:t xml:space="preserve">residential </w:t>
      </w:r>
      <w:r w:rsidR="00943E45" w:rsidRPr="00943E45">
        <w:rPr>
          <w:sz w:val="20"/>
          <w:szCs w:val="20"/>
        </w:rPr>
        <w:t>location characteristics)</w:t>
      </w:r>
      <w:r w:rsidRPr="00A020ED">
        <w:rPr>
          <w:sz w:val="20"/>
          <w:szCs w:val="20"/>
        </w:rPr>
        <w:t xml:space="preserve">. Thus, </w:t>
      </w:r>
      <w:r w:rsidR="003A0ED3">
        <w:rPr>
          <w:sz w:val="20"/>
          <w:szCs w:val="20"/>
        </w:rPr>
        <w:t xml:space="preserve">almost all earlier </w:t>
      </w:r>
      <w:r w:rsidR="00FE3A98">
        <w:rPr>
          <w:sz w:val="20"/>
          <w:szCs w:val="20"/>
        </w:rPr>
        <w:t xml:space="preserve">household-level </w:t>
      </w:r>
      <w:r w:rsidRPr="00A020ED">
        <w:rPr>
          <w:sz w:val="20"/>
          <w:szCs w:val="20"/>
        </w:rPr>
        <w:t xml:space="preserve">studies </w:t>
      </w:r>
      <w:r w:rsidR="00FE3A98">
        <w:rPr>
          <w:sz w:val="20"/>
          <w:szCs w:val="20"/>
        </w:rPr>
        <w:t xml:space="preserve">of housing choice </w:t>
      </w:r>
      <w:r w:rsidRPr="00A020ED">
        <w:rPr>
          <w:sz w:val="20"/>
          <w:szCs w:val="20"/>
        </w:rPr>
        <w:t xml:space="preserve">ignore that location choice is intricately linked with dwelling unit attributes, a driving motivation for the current investigation. </w:t>
      </w:r>
      <w:r>
        <w:rPr>
          <w:sz w:val="20"/>
          <w:szCs w:val="20"/>
        </w:rPr>
        <w:t>Of course, a</w:t>
      </w:r>
      <w:r w:rsidRPr="00A020ED">
        <w:rPr>
          <w:sz w:val="20"/>
          <w:szCs w:val="20"/>
        </w:rPr>
        <w:t>n important direction for future research is to recognize the household-level nature of decision-making of housing choices, while also explicitly considering the multidimensionality of housing choices</w:t>
      </w:r>
      <w:r w:rsidR="00FE3A98">
        <w:rPr>
          <w:sz w:val="20"/>
          <w:szCs w:val="20"/>
        </w:rPr>
        <w:t xml:space="preserve"> including dwelling unit attributes</w:t>
      </w:r>
      <w:r w:rsidRPr="00A020ED">
        <w:rPr>
          <w:sz w:val="20"/>
          <w:szCs w:val="20"/>
        </w:rPr>
        <w:t xml:space="preserve">. </w:t>
      </w:r>
      <w:r>
        <w:rPr>
          <w:sz w:val="20"/>
          <w:szCs w:val="20"/>
        </w:rPr>
        <w:t>Of particular importance is to consider the commuting distances of all workers in a household, rather than of only one person as in the current paper (as already discussed, the individual-level survey effort provided information only on the commute of the respondent (if employed</w:t>
      </w:r>
      <w:r w:rsidR="00B12076">
        <w:rPr>
          <w:sz w:val="20"/>
          <w:szCs w:val="20"/>
        </w:rPr>
        <w:t>)</w:t>
      </w:r>
      <w:r>
        <w:rPr>
          <w:sz w:val="20"/>
          <w:szCs w:val="20"/>
        </w:rPr>
        <w:t>, not the commutes of all employed individuals in the respondent’s household</w:t>
      </w:r>
      <w:r w:rsidR="00B12076">
        <w:rPr>
          <w:sz w:val="20"/>
          <w:szCs w:val="20"/>
        </w:rPr>
        <w:t>)</w:t>
      </w:r>
      <w:r>
        <w:rPr>
          <w:sz w:val="20"/>
          <w:szCs w:val="20"/>
        </w:rPr>
        <w:t>.</w:t>
      </w:r>
      <w:bookmarkEnd w:id="6"/>
    </w:p>
  </w:footnote>
  <w:footnote w:id="2">
    <w:p w14:paraId="2BFEF6CA" w14:textId="4CBE1EEF" w:rsidR="00D73320" w:rsidRDefault="00D73320" w:rsidP="006F37E3">
      <w:pPr>
        <w:pStyle w:val="FootnoteText"/>
        <w:spacing w:after="60"/>
        <w:jc w:val="both"/>
      </w:pPr>
      <w:r w:rsidRPr="00C82547">
        <w:rPr>
          <w:rStyle w:val="FootnoteReference"/>
        </w:rPr>
        <w:footnoteRef/>
      </w:r>
      <w:bookmarkStart w:id="10" w:name="_Hlk148692293"/>
      <w:r>
        <w:t xml:space="preserve">The amenity ratings were obtained as such from the areavibes.com website. While the distribution is highly skewed toward the highest amenity level, we decided to retain the five-category classification in our modeling because the ordered-response framework efficiently accommodates multiple categories even with few observations in each category (only one additional threshold parameter needs to be computed for each ordinal category). Besides, there were 50 observations even in the lowest “few” amenities ordinal category. </w:t>
      </w:r>
      <w:bookmarkEnd w:id="10"/>
    </w:p>
  </w:footnote>
  <w:footnote w:id="3">
    <w:p w14:paraId="0C714885" w14:textId="7549C5D4" w:rsidR="00D73320" w:rsidRDefault="00D73320" w:rsidP="00183967">
      <w:pPr>
        <w:pStyle w:val="FootnoteText"/>
        <w:jc w:val="both"/>
      </w:pPr>
      <w:r w:rsidRPr="00C82547">
        <w:rPr>
          <w:rStyle w:val="FootnoteReference"/>
        </w:rPr>
        <w:footnoteRef/>
      </w:r>
      <w:bookmarkStart w:id="12" w:name="_Hlk148692455"/>
      <w:r>
        <w:t>The four US regions were defined according to the US Census definitions. These regions include the Northeast (Connecticut, Main, Massachusetts, New Hampshire, Rhode Island, Vermont, New Jersey, New York, and Pennsylvania), Midwest (Indiana, Illinois, Michigan, Ohio, Wisconsin, Iowa, Kansas, Minnesota, Missouri, Nebraska, North Dakota, and South Dakota), South (Delaware, District of Columbia, Florida, Georgia, Maryland, North Carolina, South Carolina, Virginia, West Virginia, Alabama, Kentucky, Mississippi, Tennessee, Arkansas, Louisiana, Oklahoma, and Texas), and West (Arizona, Colorado, Idaho, New Mexico, Montana, Utah, Nevada, Wyoming, Alaska, California, Hawaii, Oregon, and Washington).</w:t>
      </w:r>
      <w:bookmarkEnd w:id="12"/>
      <w:r>
        <w:t xml:space="preserve">  </w:t>
      </w:r>
    </w:p>
  </w:footnote>
  <w:footnote w:id="4">
    <w:p w14:paraId="38AAAC2D" w14:textId="7FC180EA" w:rsidR="00D73320" w:rsidRDefault="00D73320" w:rsidP="00183967">
      <w:pPr>
        <w:pStyle w:val="FootnoteText"/>
        <w:jc w:val="both"/>
      </w:pPr>
      <w:bookmarkStart w:id="14" w:name="_Hlk165907543"/>
      <w:r w:rsidRPr="00C82547">
        <w:rPr>
          <w:rStyle w:val="FootnoteReference"/>
        </w:rPr>
        <w:footnoteRef/>
      </w:r>
      <w:bookmarkStart w:id="15" w:name="_Hlk148692561"/>
      <w:r>
        <w:t>We acknowledge that telework decisions may be endogenous to housing choices. The direction of effects between telework and housing decisions has been an issue of debate for a long time in the literature. In this paper, we assume that telework decisions affe</w:t>
      </w:r>
      <w:r w:rsidRPr="00932815">
        <w:t xml:space="preserve">ct housing choices, in the strand of literature originating in the works of </w:t>
      </w:r>
      <w:r w:rsidRPr="00932815">
        <w:rPr>
          <w:szCs w:val="24"/>
        </w:rPr>
        <w:t xml:space="preserve">Nilles </w:t>
      </w:r>
      <w:r w:rsidRPr="00932815">
        <w:rPr>
          <w:szCs w:val="24"/>
        </w:rPr>
        <w:fldChar w:fldCharType="begin"/>
      </w:r>
      <w:r w:rsidR="000C4AE3">
        <w:rPr>
          <w:szCs w:val="24"/>
        </w:rPr>
        <w:instrText xml:space="preserve"> ADDIN ZOTERO_ITEM CSL_CITATION {"citationID":"z4CHOJVw","properties":{"formattedCitation":"(1991)","plainCitation":"(1991)","noteIndex":4},"citationItems":[{"id":838,"uris":["http://zotero.org/users/local/1ztI2Oc6/items/VN5VUN33","http://zotero.org/users/12832277/items/VN5VUN33"],"itemData":{"id":838,"type":"article-journal","abstract":"There is some evidence to the effect that as cities become increasingly congested new housing starts occur at greater distances from urban centers while jobs tend to remain center-concentrated or develop in other suburbs. In either case, mean commute distances tend to increase. Telecommuting is seen as a means of increasing the jobs-housing balance in urban and suburban areas by enhancing the ability to move work to, or closer to, the workers' residences rather than requiring workers to commute to work daily. This has the immediate side effect of decreasing automobile congestion and associated energy consumption and air pollution. There is a possible longer term adverse impact of telecommuting resulting from its ability to decrease constraints on household location, thereby enhancing the rate of spread of suburbia. This paper reviews evidence concerning the possible effects of telecommuting on urban sprawl, as derived from a two-year test of telecommuting in California, and describes two scenarios of urban form development made more feasible by telecommuting.","container-title":"Transportation","DOI":"10.1007/BF00186567","ISSN":"1572-9435","issue":"4","language":"en","page":"411-432","source":"Springer Link","title":"Telecommuting and Urban Sprawl: Mitigator or Inciter?","title-short":"Telecommuting and Urban Sprawl","volume":"18","author":[{"family":"Nilles","given":"Jack M."}],"issued":{"date-parts":[["1991",12,1]]}},"label":"page","suppress-author":true}],"schema":"https://github.com/citation-style-language/schema/raw/master/csl-citation.json"} </w:instrText>
      </w:r>
      <w:r w:rsidRPr="00932815">
        <w:rPr>
          <w:szCs w:val="24"/>
        </w:rPr>
        <w:fldChar w:fldCharType="separate"/>
      </w:r>
      <w:r w:rsidRPr="00932815">
        <w:t>(1991)</w:t>
      </w:r>
      <w:r w:rsidRPr="00932815">
        <w:rPr>
          <w:szCs w:val="24"/>
        </w:rPr>
        <w:fldChar w:fldCharType="end"/>
      </w:r>
      <w:r w:rsidRPr="00932815">
        <w:rPr>
          <w:szCs w:val="24"/>
        </w:rPr>
        <w:t xml:space="preserve">, Mokhtarian </w:t>
      </w:r>
      <w:r w:rsidRPr="00932815">
        <w:rPr>
          <w:szCs w:val="24"/>
        </w:rPr>
        <w:fldChar w:fldCharType="begin"/>
      </w:r>
      <w:r w:rsidR="000C4AE3">
        <w:rPr>
          <w:szCs w:val="24"/>
        </w:rPr>
        <w:instrText xml:space="preserve"> ADDIN ZOTERO_ITEM CSL_CITATION {"citationID":"OjTAkxVZ","properties":{"formattedCitation":"(1991)","plainCitation":"(1991)","noteIndex":4},"citationItems":[{"id":841,"uris":["http://zotero.org/users/local/1ztI2Oc6/items/AV5S3Q4H","http://zotero.org/users/12832277/items/AV5S3Q4H"],"itemData":{"id":841,"type":"article-journal","abstract":"This paper provides an overview of the status of telecommuting in the United States, especially as it relates to changes in travel behavior. Regarding the state of the practice, the paper discusses some refinements to the definition of telecommuting that have developed through increased operational experience. It reports several policy statements involving telecommuting, and explores the appeal of telecommuting as a public policy instrument. It highlights some trends in the implementation of home-based and work center-based telecommuting, and suggests that visible public-sector involvement has been crucial to the increased activity in this area.","container-title":"Transportation","DOI":"10.1007/BF00186563","ISSN":"1572-9435","issue":"4","language":"en","page":"319-342","source":"Springer Link","title":"Telecommuting and Travel: State of the Practice, State of the Art","title-short":"Telecommuting and Travel","volume":"18","author":[{"family":"Mokhtarian","given":"Patricia L."}],"issued":{"date-parts":[["1991",12,1]]}},"label":"page","suppress-author":true}],"schema":"https://github.com/citation-style-language/schema/raw/master/csl-citation.json"} </w:instrText>
      </w:r>
      <w:r w:rsidRPr="00932815">
        <w:rPr>
          <w:szCs w:val="24"/>
        </w:rPr>
        <w:fldChar w:fldCharType="separate"/>
      </w:r>
      <w:r w:rsidRPr="00932815">
        <w:t>(1991)</w:t>
      </w:r>
      <w:r w:rsidRPr="00932815">
        <w:rPr>
          <w:szCs w:val="24"/>
        </w:rPr>
        <w:fldChar w:fldCharType="end"/>
      </w:r>
      <w:r w:rsidRPr="00932815">
        <w:rPr>
          <w:szCs w:val="24"/>
        </w:rPr>
        <w:t xml:space="preserve">, Melo and de Abreu e Silva </w:t>
      </w:r>
      <w:r w:rsidRPr="00932815">
        <w:rPr>
          <w:szCs w:val="24"/>
        </w:rPr>
        <w:fldChar w:fldCharType="begin"/>
      </w:r>
      <w:r w:rsidR="000C4AE3">
        <w:rPr>
          <w:szCs w:val="24"/>
        </w:rPr>
        <w:instrText xml:space="preserve"> ADDIN ZOTERO_ITEM CSL_CITATION {"citationID":"DJK7pMsJ","properties":{"formattedCitation":"(2017)","plainCitation":"(2017)","noteIndex":4},"citationItems":[{"id":843,"uris":["http://zotero.org/users/local/1ztI2Oc6/items/I75AZE2H","http://zotero.org/users/12832277/items/I75AZE2H"],"itemData":{"id":843,"type":"article-journal","abstract":"This study provides new evidence on the relationship between household and intra-household commuting travel and home telework for Great Britain using data from the National Travel Survey for the period between 2005 and 2012. The results from the empirical models of individual and household commuting travel suggest there is some evidence of longer weekly commuting distances travelled, but shorter total travel times, for more frequent home teleworkers. The findings also suggest that there is no intra-household compensation effect between partners, that is, the home teleworking status of one of the household’s members does not appear to influence his/her partner’s commuting travel. We also find that some of the observed differences relate to the definition of home teleworker status, particularly with respect to the level of home telework frequency. Despite the increase in the share of workers using home telework at least once a week, from 4% in 2005 to 6% in 2012, the magnitude of the relationship between home teleworking and weekly commuting length and duration does not seem to have changed over the period studied. Although the findings suggest that home telework tends to increase weekly commuting distances travelled (but not travel times), data-related limitations did not allow us to address issues of selection and/or simultaneity bias; consequently we cannot make causal inference conclusions about the nature and size of the relationship between home telework and commuting patterns, and in turn its policy implications.","container-title":"Transportation Research Part A: Policy and Practice","DOI":"10.1016/j.tra.2017.05.011","ISSN":"0965-8564","language":"en","page":"1-24","source":"ScienceDirect","title":"Home Telework and Household Commuting Patterns in Great Britain","volume":"103","author":[{"family":"Melo","given":"Patrícia C."},{"family":"Abreu e Silva","given":"João","non-dropping-particle":"de"}],"issued":{"date-parts":[["2017",9,1]]}},"label":"page","suppress-author":true}],"schema":"https://github.com/citation-style-language/schema/raw/master/csl-citation.json"} </w:instrText>
      </w:r>
      <w:r w:rsidRPr="00932815">
        <w:rPr>
          <w:szCs w:val="24"/>
        </w:rPr>
        <w:fldChar w:fldCharType="separate"/>
      </w:r>
      <w:r w:rsidRPr="00932815">
        <w:t>(2017)</w:t>
      </w:r>
      <w:r w:rsidRPr="00932815">
        <w:rPr>
          <w:szCs w:val="24"/>
        </w:rPr>
        <w:fldChar w:fldCharType="end"/>
      </w:r>
      <w:r w:rsidRPr="00932815">
        <w:rPr>
          <w:szCs w:val="24"/>
        </w:rPr>
        <w:t xml:space="preserve">, </w:t>
      </w:r>
      <w:r>
        <w:rPr>
          <w:szCs w:val="24"/>
        </w:rPr>
        <w:t>d</w:t>
      </w:r>
      <w:r w:rsidRPr="00932815">
        <w:rPr>
          <w:szCs w:val="24"/>
        </w:rPr>
        <w:t>e</w:t>
      </w:r>
      <w:r>
        <w:rPr>
          <w:szCs w:val="24"/>
        </w:rPr>
        <w:t xml:space="preserve"> </w:t>
      </w:r>
      <w:r w:rsidRPr="00932815">
        <w:rPr>
          <w:szCs w:val="24"/>
        </w:rPr>
        <w:t xml:space="preserve">Vos et al. </w:t>
      </w:r>
      <w:r w:rsidRPr="00932815">
        <w:rPr>
          <w:szCs w:val="24"/>
        </w:rPr>
        <w:fldChar w:fldCharType="begin"/>
      </w:r>
      <w:r w:rsidR="000C4AE3">
        <w:rPr>
          <w:szCs w:val="24"/>
        </w:rPr>
        <w:instrText xml:space="preserve"> ADDIN ZOTERO_ITEM CSL_CITATION {"citationID":"OcBx5QuR","properties":{"formattedCitation":"(2018)","plainCitation":"(2018)","noteIndex":4},"citationItems":[{"id":847,"uris":["http://zotero.org/users/local/1ztI2Oc6/items/PTMP3A4J","http://zotero.org/users/12832277/items/PTMP3A4J"],"itemData":{"id":847,"type":"article-journal","abstract":"It is generally found that workers are more inclined to accept a job that is located farther away from home if they have the ability to work from home one day a week or more (telecommuting). Such findings inform us about the effectiveness of telecommuting policies that try to alleviate congestion and transport-related emissions, but they also stress that the geography of labour markets is changing due to information technology. We argue that estimates of the effect of working from home on commuting time may be biased because of sorting based on residential- and commuting preferences. In this paper we investigate the relationship between telecommuting and commuting time, controlling for preference-based sorting. We use 7 waves of data from the Dutch Labour Supply Panel and show that on average telecommuters have higher marginal cost of one-way commuting time, compared to non-telecommuters. We estimate the effect of telecommuting on commuting time using a fixed effects approach, and we show that preference-based sorting biases cross-sectional results upwards. This suggests that the bias due to sorting based on residential preferences is strongest. Working from home allows people to accept 5% longer commuting times on average, and every additional 8 h of working from home are associated with 3.5% longer commuting times.","container-title":"The Annals of Regional Science","DOI":"10.1007/s00168-018-0873-6","ISSN":"1432-0592","issue":"2","language":"en","page":"375-398","source":"Springer Link","title":"Working from Home and the Willingness to Accept a Longer Commute","volume":"61","author":[{"family":"Vos","given":"Duco","non-dropping-particle":"de"},{"family":"Meijers","given":"Evert"},{"family":"Ham","given":"Maarten","non-dropping-particle":"van"}],"issued":{"date-parts":[["2018",9,1]]}},"label":"page","suppress-author":true}],"schema":"https://github.com/citation-style-language/schema/raw/master/csl-citation.json"} </w:instrText>
      </w:r>
      <w:r w:rsidRPr="00932815">
        <w:rPr>
          <w:szCs w:val="24"/>
        </w:rPr>
        <w:fldChar w:fldCharType="separate"/>
      </w:r>
      <w:r w:rsidRPr="00932815">
        <w:t>(2018)</w:t>
      </w:r>
      <w:r w:rsidRPr="00932815">
        <w:rPr>
          <w:szCs w:val="24"/>
        </w:rPr>
        <w:fldChar w:fldCharType="end"/>
      </w:r>
      <w:r w:rsidRPr="00932815">
        <w:rPr>
          <w:szCs w:val="24"/>
        </w:rPr>
        <w:t xml:space="preserve">, Chakrabarti </w:t>
      </w:r>
      <w:r w:rsidRPr="00932815">
        <w:rPr>
          <w:szCs w:val="24"/>
        </w:rPr>
        <w:fldChar w:fldCharType="begin"/>
      </w:r>
      <w:r w:rsidR="000C4AE3">
        <w:rPr>
          <w:szCs w:val="24"/>
        </w:rPr>
        <w:instrText xml:space="preserve"> ADDIN ZOTERO_ITEM CSL_CITATION {"citationID":"T7JLYsAh","properties":{"formattedCitation":"(2018)","plainCitation":"(2018)","noteIndex":4},"citationItems":[{"id":829,"uris":["http://zotero.org/users/local/1ztI2Oc6/items/XHM3VCIQ","http://zotero.org/users/12832277/items/XHM3VCIQ"],"itemData":{"id":829,"type":"article-journal","abstract":"Researchers have explored the efficacy of telecommuting as a travel demand management strategy in the U.S. Conditions under which telecommuting can reduce VMT (vehicle miles traveled) and ease peak-period traffic congestion have been extensively investigated; empirical findings are well documented in the literature. Analysis of the impact of telecommuting on non-motorized travel, public transit use, and physical activity, however, has received relatively less attention in the past. In this paper, I use the 2009 U.S. National Household Travel Survey to explore how telecommuting is associated with usual travel behavior, i.e. walking/bicycling, transit use and driving, as well as with average time spent in daily physical activity. I also compare telecommuters’ travel behavior and physical activity on a typical workday in telecommuting vs. non-telecommuting scenarios. I find that frequent telecommuting (4+ times/month) is associated with 15% more walk trips per week, 56% higher odds of 1+ transit trip per month, 44% higher odds of 30+ minutes of physical activity per day, and 27% higher odds of driving 20,000+ miles per year compared to no-telecommuting scenario. On a typical workday, telecommuting is associated with 41% higher odds of walking/bicycling &gt; 1 mile, 71% higher odds of 30+ minutes of physical activity, 71% lower odds of riding transit, and 3.58 times greater odds of driving &lt; 10 miles. Findings suggest that telecommuting can increase non-motorized travel and physical activity in the presence of latent demand for active living. Increase in transit ridership and reduction in VMT are not automatic. Planning and policy implications are discussed.","container-title":"Journal of Transport &amp; Health","DOI":"10.1016/j.jth.2018.03.008","ISSN":"2214-1405","language":"en","page":"19-33","source":"ScienceDirect","title":"Does Telecommuting Promote Sustainable Travel and Physical Activity?","volume":"9","author":[{"family":"Chakrabarti","given":"Sandip"}],"issued":{"date-parts":[["2018",6,1]]}},"label":"page","suppress-author":true}],"schema":"https://github.com/citation-style-language/schema/raw/master/csl-citation.json"} </w:instrText>
      </w:r>
      <w:r w:rsidRPr="00932815">
        <w:rPr>
          <w:szCs w:val="24"/>
        </w:rPr>
        <w:fldChar w:fldCharType="separate"/>
      </w:r>
      <w:r w:rsidRPr="00932815">
        <w:t>(2018)</w:t>
      </w:r>
      <w:r w:rsidRPr="00932815">
        <w:rPr>
          <w:szCs w:val="24"/>
        </w:rPr>
        <w:fldChar w:fldCharType="end"/>
      </w:r>
      <w:r w:rsidRPr="00932815">
        <w:rPr>
          <w:szCs w:val="24"/>
        </w:rPr>
        <w:t xml:space="preserve">, </w:t>
      </w:r>
      <w:r>
        <w:rPr>
          <w:szCs w:val="24"/>
        </w:rPr>
        <w:t xml:space="preserve">de </w:t>
      </w:r>
      <w:r w:rsidRPr="00932815">
        <w:rPr>
          <w:szCs w:val="24"/>
        </w:rPr>
        <w:t xml:space="preserve">Vos et al. </w:t>
      </w:r>
      <w:r w:rsidRPr="00932815">
        <w:rPr>
          <w:szCs w:val="24"/>
        </w:rPr>
        <w:fldChar w:fldCharType="begin"/>
      </w:r>
      <w:r w:rsidR="000C4AE3">
        <w:rPr>
          <w:szCs w:val="24"/>
        </w:rPr>
        <w:instrText xml:space="preserve"> ADDIN ZOTERO_ITEM CSL_CITATION {"citationID":"CssavjpE","properties":{"formattedCitation":"(2019)","plainCitation":"(2019)","noteIndex":4},"citationItems":[{"id":849,"uris":["http://zotero.org/users/local/1ztI2Oc6/items/7DV9R55M","http://zotero.org/users/12832277/items/7DV9R55M"],"itemData":{"id":849,"type":"article","abstract":"Teleworking may increase the willingness to accept a longer commute. This paper presents new evidence of the effect of teleworking on the length of commutes. We use novel panel data from the Netherlands, for the years 2008-2018, and find stronger effects compared to studies that use older data. Between 2008 and 2018 however, the effect was remarkably stable: workers that started teleworking increased their commutes by 12 percent on average. We analyse heterogeneity in the effect of teleworking on commuting across different levels of urbanization and across occupations. This study stresses the effects of teleworking on the geographical scale of labour markets, and provides important inputs for policymakers that aim to promote teleworking.","DOI":"10.2139/ssrn.3449572","event-place":"Rochester, NY","genre":"SSRN Scholarly Paper","language":"en","number":"3449572","publisher-place":"Rochester, NY","source":"Social Science Research Network","title":"Working from Home and Commuting: Heterogeneity Over Time, Space, and Occupations","title-short":"Working from Home and Commuting","URL":"https://papers.ssrn.com/abstract=3449572","author":[{"family":"Vos","given":"Duco","non-dropping-particle":"de"},{"family":"Ham","given":"Maarten","non-dropping-particle":"van"},{"family":"Meijers","given":"E. J. (Evert)"}],"accessed":{"date-parts":[["2023",7,5]]},"issued":{"date-parts":[["2019",9,9]]}},"label":"page","suppress-author":true}],"schema":"https://github.com/citation-style-language/schema/raw/master/csl-citation.json"} </w:instrText>
      </w:r>
      <w:r w:rsidRPr="00932815">
        <w:rPr>
          <w:szCs w:val="24"/>
        </w:rPr>
        <w:fldChar w:fldCharType="separate"/>
      </w:r>
      <w:r w:rsidRPr="00932815">
        <w:t>(2019)</w:t>
      </w:r>
      <w:r w:rsidRPr="00932815">
        <w:rPr>
          <w:szCs w:val="24"/>
        </w:rPr>
        <w:fldChar w:fldCharType="end"/>
      </w:r>
      <w:r w:rsidRPr="00932815">
        <w:rPr>
          <w:szCs w:val="24"/>
        </w:rPr>
        <w:t xml:space="preserve">, and Lennox </w:t>
      </w:r>
      <w:r w:rsidRPr="00932815">
        <w:rPr>
          <w:szCs w:val="24"/>
        </w:rPr>
        <w:fldChar w:fldCharType="begin"/>
      </w:r>
      <w:r w:rsidR="000C4AE3">
        <w:rPr>
          <w:szCs w:val="24"/>
        </w:rPr>
        <w:instrText xml:space="preserve"> ADDIN ZOTERO_ITEM CSL_CITATION {"citationID":"e4o76Iqx","properties":{"formattedCitation":"(2020)","plainCitation":"(2020)","noteIndex":4},"citationItems":[{"id":851,"uris":["http://zotero.org/users/local/1ztI2Oc6/items/KBSA589T","http://zotero.org/users/12832277/items/KBSA589T"],"itemData":{"id":851,"type":"book","abstract":"Experiences of and investments in working from home (WFH) during the COVID-19 pandemic may permanently alter commuting behaviour and employment practices, ultimately changing the shape and size of cities. Using a spatial computable general equilibrium (SCGE) model, we study the effects of a shift to working-from home on labour supply, housing demands and the sectoral and spatial structure of the Australian economy. The model accounts for households' choices of occupations, residence and work locations, and for trade and input-output linkages between firms in different locations and industries. \n\nSimulating increased WFH in selected occupations causes labour supply to shift towards these occupations at the expense of others. This is particularly favourable for many business services industries, which use the WFH occupations most intensively. Within cities, workers choosing WFH occupations opt for longer, but less frequent commutes from residential locations that are more attractive or have cheaper housing. Although this depresses house prices in inner areas, attracting workers choosing non-WFH occupations and non-working households , the net effects are flatter residential density gradients and increased urban sprawl. Jobs, become more centralised within cities and increase overall in the largest and most productive cities. Smaller cities and towns close to large employment centres attract more residents who commute out, but the majority of Australian cities and towns shrink, relative to the baseline.","source":"ResearchGate","title":"More Working From Home Will Change the Shape and Size of Cities","author":[{"family":"Lennox","given":"James"}],"issued":{"date-parts":[["2020",8,10]]}},"label":"page","suppress-author":true}],"schema":"https://github.com/citation-style-language/schema/raw/master/csl-citation.json"} </w:instrText>
      </w:r>
      <w:r w:rsidRPr="00932815">
        <w:rPr>
          <w:szCs w:val="24"/>
        </w:rPr>
        <w:fldChar w:fldCharType="separate"/>
      </w:r>
      <w:r w:rsidRPr="00932815">
        <w:t>(2020)</w:t>
      </w:r>
      <w:r w:rsidRPr="00932815">
        <w:rPr>
          <w:szCs w:val="24"/>
        </w:rPr>
        <w:fldChar w:fldCharType="end"/>
      </w:r>
      <w:r w:rsidRPr="00932815">
        <w:rPr>
          <w:szCs w:val="24"/>
        </w:rPr>
        <w:t xml:space="preserve">. </w:t>
      </w:r>
      <w:r w:rsidR="002C53D3" w:rsidRPr="000B6FD6">
        <w:t xml:space="preserve">However,  workers’ teleworking propensity itself may </w:t>
      </w:r>
      <w:r w:rsidR="0006187F">
        <w:t xml:space="preserve">be </w:t>
      </w:r>
      <w:r w:rsidR="002C53D3" w:rsidRPr="000B6FD6">
        <w:t>impact</w:t>
      </w:r>
      <w:r w:rsidR="0006187F">
        <w:t>ed by</w:t>
      </w:r>
      <w:r w:rsidR="002C53D3" w:rsidRPr="000B6FD6">
        <w:t xml:space="preserve"> their housing location in the reverse direction, as has been assumed in several other studies </w:t>
      </w:r>
      <w:r w:rsidR="002C53D3" w:rsidRPr="000B6FD6">
        <w:fldChar w:fldCharType="begin"/>
      </w:r>
      <w:r w:rsidR="000C4AE3">
        <w:instrText xml:space="preserve"> ADDIN ZOTERO_ITEM CSL_CITATION {"citationID":"zoksCfTC","properties":{"formattedCitation":"(de Abreu e Silva, 2022; de Abreu e Silva and Melo, 2018; Fatmi et al., 2022; Liang et al., 2023)","plainCitation":"(de Abreu e Silva, 2022; de Abreu e Silva and Melo, 2018; Fatmi et al., 2022; Liang et al., 2023)","noteIndex":4},"citationItems":[{"id":512,"uris":["http://zotero.org/users/local/1ztI2Oc6/items/MBBXXYB5","http://zotero.org/users/12832277/items/MBBXXYB5"],"itemData":{"id":512,"type":"article-journal","abstract":"Confinement measures imposed during the COVID-19 pandemic forced many people to work from home. As telework reduces commuting costs, there is the possibility of contributing to urban sprawl as it allows people to move to the periphery. A web-based survey focusing on telework was conducted in the Lisbon Metropolitan Area. A structural equation model was built to study the influence of residential location preferences, perceptions about telework, and current residential location with the intention to engage in telework. People willing to telework more frequently have a higher probability of living in suburban locations, preferring this type of environment and having longer commutes. These results support the premise that telework acts as a mechanism to reduce commute burden.","container-title":"Regional Science Policy &amp; Practice","DOI":"10.1111/rsp3.12558","ISSN":"1757-7802","issue":"S1","language":"en","note":"_eprint: https://onlinelibrary.wiley.com/doi/pdf/10.1111/rsp3.12558","page":"142-161","source":"Wiley Online Library","title":"Residential Preferences, Telework Perceptions, and the Intention to Telework: Insights from the Lisbon Metropolitan Area During the COVID-19 Pandemic","title-short":"Residential Preferences, Telework Perceptions, and the Intention to Telework","volume":"14","author":[{"family":"Abreu e Silva","given":"João","non-dropping-particle":"de"}],"issued":{"date-parts":[["2022"]]}}},{"id":113,"uris":["http://zotero.org/users/local/1ztI2Oc6/items/ISAE2NIE","http://zotero.org/users/12832277/items/ISAE2NIE"],"itemData":{"id":113,"type":"article-journal","abstract":"COVID-19 caused unprecedented changes in the daily lives of many people worldwide, with many working from home for the first time. This shift in working arrangement has the potential to have a lasting impact in future. This paper investigates longer-term impacts of COVID-19 on work-arrangements, specifically, individuals’ preferences towards work-from-home post COVID-19. This study utilizes data from a stated preference component of a travel survey conducted in the Central Okanagan region of British Columbia. A random parameter ordered logit model is developed to accommodate the ordinal nature of the preference variable and capture unobserved heterogeneity. One of the key features of the study is to confirm the effects of residential choice in-terms of location characteristics and dwelling attributes on work-from-home preferences after the pandemic. For example, individuals’ dwelling attributes such as larger sized dwelling, larger sized apartments are likely to have positive effect on frequent work-from-home. The model confirms significant heterogeneity, in relation to location characteristics such as commute distance and distance to urban center. For instance, initially, females were less likely to work-from-home. However, they showed significant heterogeneity with large standard deviation, specifically their preference was found to vary by residential location. For instance, females residing farther from urban centers prefer a higher frequency of work-from-home. Elasticity analysis suggests that part-time female workers, mid-age individuals, full-time workers with children, and full-time workers with longer commutes have a significantly higher probability to work-from-home every day after the pandemic. The findings of the study provide important insights which will assist in developing effective work-from-home strategies post-the-pandemic.","container-title":"Transportation Research Interdisciplinary Perspectives","DOI":"10.1016/j.trip.2022.100685","ISSN":"2590-1982","language":"en","source":"ScienceDirect","title":"The Future of Telecommuting Post COVID-19 Pandemic","URL":"https://www.sciencedirect.com/science/article/pii/S2590198222001452","volume":"16","author":[{"family":"Fatmi","given":"Mahmudur Rahman"},{"family":"Orvin","given":"Muntahith Mehadil"},{"family":"Thirkell","given":"Corrie Elizabeth"}],"accessed":{"date-parts":[["2023",2,10]]},"issued":{"date-parts":[["2022",12,1]]}}},{"id":"3uDzk8p3/e4FxXU7e","uris":["http://zotero.org/users/local/1ztI2Oc6/items/IVLW2NW4","http://zotero.org/users/12832277/items/IVLW2NW4"],"itemData":{"id":428,"type":"article-journal","abstract":"In the past few years, telecommuting has diffused on a large scale across many developed countries; however, its popularity in Japan is low due to various factors and cultural differences. The outbreak of COVID-19 has made the adoption of telecommuting indispensable, reaching an unprecedented level in Japan, bringing dramatic changes in the lifestyles and behaviors of citizens. This study investigates how and to what extent this pandemic-induced telecommuting affected employees’ travel, activities, and residence locations and explores their expectations of post-pandemic life. The data were collected through the online questionnaire survey across three major metropolitan areas in Japan that incorporates a comprehensive set of questions regarding telecommuting implementation and feasibility, lifestyles before and during the pandemic, and expected way of life after the pandemic, and the total of 2045 respondents were collected. The analysis has been done based on revealed preference data considering two time periods i.e., before COVID-19, during COVID-19, and for the post-COVID 19 scenario where stated preferences are considered. In the first step, telecommuting behavior, telecommuting preferences and plans, and activity patterns are estimated based on aggregate sample data. Next, by using the stated preference survey conducted, ordered probit model and mixed logit model are applied to identify factors influencing post-pandemic telecommuting frequency and residential location preference, respectively. The analysis revealed two major findings: telecommuting brought significant changes in multiple aspects of people’s lifestyles and activities that might persist after the pandemic; although determinants that govern telecommuting frequency and residential location choice after COVID-19 may differ across metropolitan areas, commuting/telecommuting frequency is the prime factor influencing residential location decisions. The findings of this research can guide transportation and urban planners in establishing effective travel demand management tools and sustainable urban networks for the new-normal era.","container-title":"Asian Transport Studies","DOI":"10.1016/j.eastsj.2023.100105","ISSN":"2185-5560","journalAbbreviation":"Asian Transport Studies","language":"en","page":"100105","source":"ScienceDirect","title":"Impact of telecommuting on Japanese Citizen's travel, activities, and residential locations: Experiences and future expectations under COVID-19 pandemic","title-short":"Impact of telecommuting on Japanese Citizen's travel, activities, and residential locations","volume":"9","author":[{"family":"Liang","given":"Jinjia"},{"family":"Miwa","given":"Tomio"},{"family":"Wang","given":"Jianbiao"},{"family":"Morikawa","given":"Takayuki"}],"issued":{"date-parts":[["2023",1,1]]}}},{"id":532,"uris":["http://zotero.org/users/local/1ztI2Oc6/items/KJNIWH8U","http://zotero.org/users/12832277/items/KJNIWH8U"],"itemData":{"id":532,"type":"article-journal","abstract":"This work analyzes the effects of home-based teleworking on the number of trips and weekly miles travelled by mode and purpose for one-worker households in Great Britain using data from the National Travel Survey for the period between 2005 and 2012. Two path analysis models are developed, one considering weekly trips and travel distances by mode and the other weekly trips and travel distances by purpose. Both models consider teleworking frequency in the context of home and workplace land-use characteristics, commuting distance, car ownership levels and weekly trips and travel distances. This framework allows us to explicitly model endogenous relations in the chains of decisions relating these variables. The results suggest that home-based teleworking is a strategy used by people to cope with long and costly commutes. Workers living in less transit accessible areas and with longer commutes tend to work from home more frequently. The main conclusions relating to teleworking frequency point to the fact that it increases weekly miles travelled, particularly by car, while it does not reduce commuting distances travelled. These results suggest that home-based teleworking is not an effective travel demand management strategy, particularly because it seems to increase car use. The overall main result is that teleworkers travel more by more polluting transport modes.","container-title":"Journal of Transport and Land Use","DOI":"10.5198/jtlu.2018.1134","ISSN":"1938-7849","issue":"1","language":"en","license":"Copyright (c) 2018 João de Abreu e Silva, Patricia C. Melo","note":"number: 1","source":"www.jtlu.org","title":"Home Telework, Travel Behavior, and Land-Use Patterns: A Path Analysis of British Single-Worker Households","title-short":"Home Telework, Travel Behavior, and Land-Use Patterns","URL":"https://www.jtlu.org/index.php/jtlu/article/view/1134","volume":"11","author":[{"family":"Abreu e Silva","given":"João","non-dropping-particle":"de"},{"family":"Melo","given":"Patricia C."}],"accessed":{"date-parts":[["2023",4,18]]},"issued":{"date-parts":[["2018",7,2]]}}}],"schema":"https://github.com/citation-style-language/schema/raw/master/csl-citation.json"} </w:instrText>
      </w:r>
      <w:r w:rsidR="002C53D3" w:rsidRPr="000B6FD6">
        <w:fldChar w:fldCharType="separate"/>
      </w:r>
      <w:r w:rsidR="002C53D3" w:rsidRPr="006A1804">
        <w:t>(de Abreu e Silva, 2022; de Abreu e Silva and Melo, 2018; Fatmi et al., 2022; Liang et al., 2023)</w:t>
      </w:r>
      <w:r w:rsidR="002C53D3" w:rsidRPr="000B6FD6">
        <w:fldChar w:fldCharType="end"/>
      </w:r>
      <w:r w:rsidR="002C53D3">
        <w:t xml:space="preserve">. </w:t>
      </w:r>
      <w:r w:rsidRPr="00932815">
        <w:rPr>
          <w:szCs w:val="24"/>
        </w:rPr>
        <w:t>We</w:t>
      </w:r>
      <w:r>
        <w:rPr>
          <w:szCs w:val="24"/>
        </w:rPr>
        <w:t xml:space="preserve"> leave the joint modeling of telework arrangements along with housing choices to future efforts, though we will draw attention to a recent paper by Asmussen et al. </w:t>
      </w:r>
      <w:r>
        <w:rPr>
          <w:szCs w:val="24"/>
        </w:rPr>
        <w:fldChar w:fldCharType="begin"/>
      </w:r>
      <w:r w:rsidR="00943E45">
        <w:rPr>
          <w:szCs w:val="24"/>
        </w:rPr>
        <w:instrText xml:space="preserve"> ADDIN ZOTERO_ITEM CSL_CITATION {"citationID":"5Loeas64","properties":{"formattedCitation":"(2024)","plainCitation":"(2024)","noteIndex":4},"citationItems":[{"id":1620,"uris":["http://zotero.org/users/12832277/items/U7G522IF"],"itemData":{"id":1620,"type":"article-journal","abstract":"With work arrangements experiencing dramatic changes over the past three years due to the COVID-19 pandemic, and the possibility that altered work arrangements may persist well into the future, the implications of teleworking on activity-travel behavior are potentially profound. This paper aims to substantially add to the body of knowledge about the present and future of telework in the wake of the pandemic through a rigorous analysis of telework arrangements between two distinct time periods. The paper focuses on three key aspects of telework, including whether to telework or not, frequency of telework, and location of telework. Behavioral data for this study is derived from a workplace location choice survey conducted across Texas in February-March 2022, which included a recall component to obtain workplace location choice information in the pre-pandemic period. The evolution of telework arrangements between the pre-and after-pandemic periods is explored through a joint model system estimated using a joint multivariate methodology. Results show that, After COVID, the population of workers is generally inclined toward a hybrid work arrangement, with an overall tendency to engage in a higher frequency of teleworking than Before COVID. Finally, teleworkers have a higher propensity to work only from home as opposed to working only from a third workplace or from a combination of home and a third workplace. Overall, our results indicate that telework arrangements may remain at an elevated level into the future, with home serving as the dominant telework location. These findings suggest that transportation demand forecasting models need to be updated to reflect higher levels of teleworking, as well as the heterogeneity across individuals in teleworking adoption, frequency, and location.","container-title":"Transportation Research Part A: Policy and Practice","DOI":"10.1016/j.tra.2023.103888","ISSN":"0965-8564","source":"ScienceDirect","title":"An Investigation of Individual-Level Telework Arrangements in the COVID-Era","URL":"https://www.sciencedirect.com/science/article/pii/S0965856423003087","volume":"179","author":[{"family":"Asmussen","given":"Katherine E."},{"family":"Mondal","given":"Aupal"},{"family":"Batur","given":"Irfan"},{"family":"Dirks","given":"Abbie"},{"family":"Pendyala","given":"Ram M."},{"family":"Bhat","given":"Chandra R."}],"accessed":{"date-parts":[["2023",12,6]]},"issued":{"date-parts":[["2024",1,1]]}},"label":"page","suppress-author":true}],"schema":"https://github.com/citation-style-language/schema/raw/master/csl-citation.json"} </w:instrText>
      </w:r>
      <w:r>
        <w:rPr>
          <w:szCs w:val="24"/>
        </w:rPr>
        <w:fldChar w:fldCharType="separate"/>
      </w:r>
      <w:r w:rsidR="00943E45" w:rsidRPr="00943E45">
        <w:t>(2024)</w:t>
      </w:r>
      <w:r>
        <w:rPr>
          <w:szCs w:val="24"/>
        </w:rPr>
        <w:fldChar w:fldCharType="end"/>
      </w:r>
      <w:r>
        <w:rPr>
          <w:szCs w:val="24"/>
        </w:rPr>
        <w:t xml:space="preserve"> that starts to address this issue in the specific context of telework arrangements and commute distance (but this Asmussen et al. paper does not </w:t>
      </w:r>
      <w:r w:rsidR="00315DE3">
        <w:rPr>
          <w:szCs w:val="24"/>
        </w:rPr>
        <w:t xml:space="preserve">model </w:t>
      </w:r>
      <w:r>
        <w:rPr>
          <w:szCs w:val="24"/>
        </w:rPr>
        <w:t xml:space="preserve">the many other aspects of housing choices considered in the current paper). </w:t>
      </w:r>
      <w:bookmarkEnd w:id="14"/>
      <w:bookmarkEnd w:id="15"/>
    </w:p>
  </w:footnote>
  <w:footnote w:id="5">
    <w:p w14:paraId="047E7BAF" w14:textId="1F599B87" w:rsidR="003A7202" w:rsidRDefault="003A7202" w:rsidP="00C516A0">
      <w:pPr>
        <w:pStyle w:val="FootnoteText"/>
        <w:jc w:val="both"/>
      </w:pPr>
      <w:r>
        <w:rPr>
          <w:rStyle w:val="FootnoteReference"/>
        </w:rPr>
        <w:footnoteRef/>
      </w:r>
      <w:r w:rsidR="008B0A92">
        <w:t>T</w:t>
      </w:r>
      <w:r>
        <w:t xml:space="preserve">o </w:t>
      </w:r>
      <w:r w:rsidR="0031781C">
        <w:t xml:space="preserve">examine whether </w:t>
      </w:r>
      <w:r w:rsidR="00D51187">
        <w:t xml:space="preserve">ignoring the </w:t>
      </w:r>
      <w:r>
        <w:t xml:space="preserve">endogeneity </w:t>
      </w:r>
      <w:r w:rsidR="00D51187">
        <w:t xml:space="preserve">of </w:t>
      </w:r>
      <w:r>
        <w:t xml:space="preserve">vehicle ownership </w:t>
      </w:r>
      <w:r w:rsidR="008B0A92">
        <w:t xml:space="preserve">may have </w:t>
      </w:r>
      <w:r>
        <w:t xml:space="preserve">significantly impacted the results or the causal direction of the endogenous effects between outcomes, the model was re-estimated without the effects of vehicle ownership. The elimination of vehicle ownership </w:t>
      </w:r>
      <w:r w:rsidR="00C516A0">
        <w:t>led to</w:t>
      </w:r>
      <w:r w:rsidR="008B0A92">
        <w:t xml:space="preserve"> </w:t>
      </w:r>
      <w:r>
        <w:t xml:space="preserve">a very similar set of results, with </w:t>
      </w:r>
      <w:r w:rsidR="008B0A92">
        <w:t xml:space="preserve">the vehicle ownership effects being transferred as </w:t>
      </w:r>
      <w:r w:rsidR="006E23DE">
        <w:t xml:space="preserve">(a) </w:t>
      </w:r>
      <w:r>
        <w:t xml:space="preserve">income effects </w:t>
      </w:r>
      <w:r w:rsidR="00F361ED">
        <w:t xml:space="preserve">in the housing type and commute distance outcomes, </w:t>
      </w:r>
      <w:r w:rsidR="006E23DE">
        <w:t xml:space="preserve">(b) </w:t>
      </w:r>
      <w:r w:rsidR="00F361ED">
        <w:t xml:space="preserve">a slightly reduced income effect in the median housing cost outcome, and </w:t>
      </w:r>
      <w:r w:rsidR="006E23DE">
        <w:t xml:space="preserve">(c) </w:t>
      </w:r>
      <w:r w:rsidR="00F361ED">
        <w:t>a slightly greater coefficient on LLP for the housing type outcome.</w:t>
      </w:r>
      <w:r w:rsidR="006E23DE">
        <w:t xml:space="preserve"> But</w:t>
      </w:r>
      <w:r w:rsidR="00F361ED">
        <w:t xml:space="preserve"> the removal of the vehicle ownership variable </w:t>
      </w:r>
      <w:r w:rsidR="006E23DE" w:rsidRPr="002467D9">
        <w:t>d</w:t>
      </w:r>
      <w:r w:rsidR="006E23DE">
        <w:t>id</w:t>
      </w:r>
      <w:r w:rsidR="006E23DE" w:rsidRPr="002467D9">
        <w:t xml:space="preserve"> not change the proposed causal structure and ha</w:t>
      </w:r>
      <w:r w:rsidR="006E23DE">
        <w:t xml:space="preserve">d little </w:t>
      </w:r>
      <w:r w:rsidR="006E23DE" w:rsidRPr="002467D9">
        <w:t>impact on the magnitude of endogenous effects between outcomes</w:t>
      </w:r>
      <w:r w:rsidR="00C516A0">
        <w:t>.</w:t>
      </w:r>
      <w:r w:rsidR="006E23DE">
        <w:t xml:space="preserve"> </w:t>
      </w:r>
    </w:p>
  </w:footnote>
  <w:footnote w:id="6">
    <w:p w14:paraId="511EC49B" w14:textId="2638D76C" w:rsidR="00417A74" w:rsidRDefault="00417A74" w:rsidP="0083793A">
      <w:pPr>
        <w:pStyle w:val="FootnoteText"/>
        <w:jc w:val="both"/>
      </w:pPr>
      <w:r>
        <w:rPr>
          <w:rStyle w:val="FootnoteReference"/>
        </w:rPr>
        <w:footnoteRef/>
      </w:r>
      <w:r>
        <w:t xml:space="preserve"> </w:t>
      </w:r>
      <w:bookmarkStart w:id="42" w:name="_Hlk148696376"/>
      <w:r>
        <w:t xml:space="preserve">The </w:t>
      </w:r>
      <w:r w:rsidR="00D13A32">
        <w:t xml:space="preserve">reader will also note that, in Section 3.1.1, the level </w:t>
      </w:r>
      <w:r w:rsidR="00D13A32" w:rsidRPr="0082409F">
        <w:rPr>
          <w:position w:val="-12"/>
        </w:rPr>
        <w:object w:dxaOrig="260" w:dyaOrig="360" w14:anchorId="7EF8A59E">
          <v:shape id="_x0000_i1194" type="#_x0000_t75" style="width:10.7pt;height:15.85pt" o:ole="">
            <v:imagedata r:id="rId1" o:title=""/>
          </v:shape>
          <o:OLEObject Type="Embed" ProgID="Equation.DSMT4" ShapeID="_x0000_i1194" DrawAspect="Content" ObjectID="_1776695189" r:id="rId2"/>
        </w:object>
      </w:r>
      <w:r w:rsidR="00D13A32">
        <w:t xml:space="preserve"> took the specific value of </w:t>
      </w:r>
      <w:r w:rsidR="00D13A32" w:rsidRPr="0082409F">
        <w:rPr>
          <w:position w:val="-12"/>
        </w:rPr>
        <w:object w:dxaOrig="279" w:dyaOrig="360" w14:anchorId="23F6A1E6">
          <v:shape id="_x0000_i1196" type="#_x0000_t75" style="width:11.15pt;height:15pt" o:ole="">
            <v:imagedata r:id="rId3" o:title=""/>
          </v:shape>
          <o:OLEObject Type="Embed" ProgID="Equation.DSMT4" ShapeID="_x0000_i1196" DrawAspect="Content" ObjectID="_1776695190" r:id="rId4"/>
        </w:object>
      </w:r>
      <w:r w:rsidR="00D13A32">
        <w:t xml:space="preserve">, where </w:t>
      </w:r>
      <w:r w:rsidR="00D13A32" w:rsidRPr="0082409F">
        <w:rPr>
          <w:position w:val="-12"/>
        </w:rPr>
        <w:object w:dxaOrig="279" w:dyaOrig="360" w14:anchorId="47ADC600">
          <v:shape id="_x0000_i1198" type="#_x0000_t75" style="width:11.15pt;height:15pt" o:ole="">
            <v:imagedata r:id="rId3" o:title=""/>
          </v:shape>
          <o:OLEObject Type="Embed" ProgID="Equation.DSMT4" ShapeID="_x0000_i1198" DrawAspect="Content" ObjectID="_1776695191" r:id="rId5"/>
        </w:object>
      </w:r>
      <w:r w:rsidR="00D13A32">
        <w:t xml:space="preserve"> represented the observed ordered outcome for </w:t>
      </w:r>
      <w:r w:rsidR="00D13A32" w:rsidRPr="00471D4A">
        <w:rPr>
          <w:position w:val="-12"/>
        </w:rPr>
        <w:object w:dxaOrig="279" w:dyaOrig="380" w14:anchorId="7091D8D8">
          <v:shape id="_x0000_i1200" type="#_x0000_t75" style="width:12.85pt;height:16.3pt" o:ole="">
            <v:imagedata r:id="rId6" o:title=""/>
          </v:shape>
          <o:OLEObject Type="Embed" ProgID="Equation.DSMT4" ShapeID="_x0000_i1200" DrawAspect="Content" ObjectID="_1776695192" r:id="rId7"/>
        </w:object>
      </w:r>
      <w:r w:rsidR="00D13A32">
        <w:t xml:space="preserve"> of the individual. This was because the focus in Section 3.1.1 was on model estimation</w:t>
      </w:r>
      <w:r>
        <w:t>.</w:t>
      </w:r>
      <w:bookmarkEnd w:id="4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tle: Z subscript l superscript asterisk times - Description: {&quot;mathml&quot;:&quot;&lt;math style=\&quot;font-family:Times New Roman;font-size:14px;\&quot; xmlns=\&quot;http://www.w3.org/1998/Math/MathML\&quot;&gt;&lt;mstyle mathsize=\&quot;14px\&quot;&gt;&lt;msubsup&gt;&lt;mi&gt;Z&lt;/mi&gt;&lt;mi&gt;l&lt;/mi&gt;&lt;mo&gt;*&lt;/mo&gt;&lt;/msubsup&gt;&lt;/mstyle&gt;&lt;/math&gt;&quot;}" style="width:10.7pt;height:13.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" o:bullet="t">
        <v:imagedata r:id="rId1" o:title=""/>
      </v:shape>
    </w:pict>
  </w:numPicBullet>
  <w:abstractNum w:abstractNumId="0" w15:restartNumberingAfterBreak="0">
    <w:nsid w:val="05BB07CF"/>
    <w:multiLevelType w:val="hybridMultilevel"/>
    <w:tmpl w:val="8C10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0D05"/>
    <w:multiLevelType w:val="hybridMultilevel"/>
    <w:tmpl w:val="707CA752"/>
    <w:lvl w:ilvl="0" w:tplc="7756822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D6D8D"/>
    <w:multiLevelType w:val="hybridMultilevel"/>
    <w:tmpl w:val="1CBEEFC2"/>
    <w:lvl w:ilvl="0" w:tplc="A3C674BC">
      <w:start w:val="1"/>
      <w:numFmt w:val="bullet"/>
      <w:lvlText w:val="•"/>
      <w:lvlJc w:val="left"/>
      <w:pPr>
        <w:tabs>
          <w:tab w:val="num" w:pos="720"/>
        </w:tabs>
        <w:ind w:left="720" w:hanging="360"/>
      </w:pPr>
      <w:rPr>
        <w:rFonts w:ascii="Arial" w:hAnsi="Arial" w:hint="default"/>
      </w:rPr>
    </w:lvl>
    <w:lvl w:ilvl="1" w:tplc="CB609780" w:tentative="1">
      <w:start w:val="1"/>
      <w:numFmt w:val="bullet"/>
      <w:lvlText w:val="•"/>
      <w:lvlJc w:val="left"/>
      <w:pPr>
        <w:tabs>
          <w:tab w:val="num" w:pos="1440"/>
        </w:tabs>
        <w:ind w:left="1440" w:hanging="360"/>
      </w:pPr>
      <w:rPr>
        <w:rFonts w:ascii="Arial" w:hAnsi="Arial" w:hint="default"/>
      </w:rPr>
    </w:lvl>
    <w:lvl w:ilvl="2" w:tplc="B260A008" w:tentative="1">
      <w:start w:val="1"/>
      <w:numFmt w:val="bullet"/>
      <w:lvlText w:val="•"/>
      <w:lvlJc w:val="left"/>
      <w:pPr>
        <w:tabs>
          <w:tab w:val="num" w:pos="2160"/>
        </w:tabs>
        <w:ind w:left="2160" w:hanging="360"/>
      </w:pPr>
      <w:rPr>
        <w:rFonts w:ascii="Arial" w:hAnsi="Arial" w:hint="default"/>
      </w:rPr>
    </w:lvl>
    <w:lvl w:ilvl="3" w:tplc="C62C01A4" w:tentative="1">
      <w:start w:val="1"/>
      <w:numFmt w:val="bullet"/>
      <w:lvlText w:val="•"/>
      <w:lvlJc w:val="left"/>
      <w:pPr>
        <w:tabs>
          <w:tab w:val="num" w:pos="2880"/>
        </w:tabs>
        <w:ind w:left="2880" w:hanging="360"/>
      </w:pPr>
      <w:rPr>
        <w:rFonts w:ascii="Arial" w:hAnsi="Arial" w:hint="default"/>
      </w:rPr>
    </w:lvl>
    <w:lvl w:ilvl="4" w:tplc="6854FC28" w:tentative="1">
      <w:start w:val="1"/>
      <w:numFmt w:val="bullet"/>
      <w:lvlText w:val="•"/>
      <w:lvlJc w:val="left"/>
      <w:pPr>
        <w:tabs>
          <w:tab w:val="num" w:pos="3600"/>
        </w:tabs>
        <w:ind w:left="3600" w:hanging="360"/>
      </w:pPr>
      <w:rPr>
        <w:rFonts w:ascii="Arial" w:hAnsi="Arial" w:hint="default"/>
      </w:rPr>
    </w:lvl>
    <w:lvl w:ilvl="5" w:tplc="168EAA66" w:tentative="1">
      <w:start w:val="1"/>
      <w:numFmt w:val="bullet"/>
      <w:lvlText w:val="•"/>
      <w:lvlJc w:val="left"/>
      <w:pPr>
        <w:tabs>
          <w:tab w:val="num" w:pos="4320"/>
        </w:tabs>
        <w:ind w:left="4320" w:hanging="360"/>
      </w:pPr>
      <w:rPr>
        <w:rFonts w:ascii="Arial" w:hAnsi="Arial" w:hint="default"/>
      </w:rPr>
    </w:lvl>
    <w:lvl w:ilvl="6" w:tplc="B478E5B0" w:tentative="1">
      <w:start w:val="1"/>
      <w:numFmt w:val="bullet"/>
      <w:lvlText w:val="•"/>
      <w:lvlJc w:val="left"/>
      <w:pPr>
        <w:tabs>
          <w:tab w:val="num" w:pos="5040"/>
        </w:tabs>
        <w:ind w:left="5040" w:hanging="360"/>
      </w:pPr>
      <w:rPr>
        <w:rFonts w:ascii="Arial" w:hAnsi="Arial" w:hint="default"/>
      </w:rPr>
    </w:lvl>
    <w:lvl w:ilvl="7" w:tplc="39EA4DA0" w:tentative="1">
      <w:start w:val="1"/>
      <w:numFmt w:val="bullet"/>
      <w:lvlText w:val="•"/>
      <w:lvlJc w:val="left"/>
      <w:pPr>
        <w:tabs>
          <w:tab w:val="num" w:pos="5760"/>
        </w:tabs>
        <w:ind w:left="5760" w:hanging="360"/>
      </w:pPr>
      <w:rPr>
        <w:rFonts w:ascii="Arial" w:hAnsi="Arial" w:hint="default"/>
      </w:rPr>
    </w:lvl>
    <w:lvl w:ilvl="8" w:tplc="6BEE12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817C95"/>
    <w:multiLevelType w:val="hybridMultilevel"/>
    <w:tmpl w:val="8A16098C"/>
    <w:lvl w:ilvl="0" w:tplc="7E74B632">
      <w:start w:val="1"/>
      <w:numFmt w:val="bullet"/>
      <w:lvlText w:val="•"/>
      <w:lvlJc w:val="left"/>
      <w:pPr>
        <w:tabs>
          <w:tab w:val="num" w:pos="720"/>
        </w:tabs>
        <w:ind w:left="720" w:hanging="360"/>
      </w:pPr>
      <w:rPr>
        <w:rFonts w:ascii="Arial" w:hAnsi="Arial" w:hint="default"/>
      </w:rPr>
    </w:lvl>
    <w:lvl w:ilvl="1" w:tplc="4D30A128" w:tentative="1">
      <w:start w:val="1"/>
      <w:numFmt w:val="bullet"/>
      <w:lvlText w:val="•"/>
      <w:lvlJc w:val="left"/>
      <w:pPr>
        <w:tabs>
          <w:tab w:val="num" w:pos="1440"/>
        </w:tabs>
        <w:ind w:left="1440" w:hanging="360"/>
      </w:pPr>
      <w:rPr>
        <w:rFonts w:ascii="Arial" w:hAnsi="Arial" w:hint="default"/>
      </w:rPr>
    </w:lvl>
    <w:lvl w:ilvl="2" w:tplc="0F86FAA4" w:tentative="1">
      <w:start w:val="1"/>
      <w:numFmt w:val="bullet"/>
      <w:lvlText w:val="•"/>
      <w:lvlJc w:val="left"/>
      <w:pPr>
        <w:tabs>
          <w:tab w:val="num" w:pos="2160"/>
        </w:tabs>
        <w:ind w:left="2160" w:hanging="360"/>
      </w:pPr>
      <w:rPr>
        <w:rFonts w:ascii="Arial" w:hAnsi="Arial" w:hint="default"/>
      </w:rPr>
    </w:lvl>
    <w:lvl w:ilvl="3" w:tplc="2A240F66" w:tentative="1">
      <w:start w:val="1"/>
      <w:numFmt w:val="bullet"/>
      <w:lvlText w:val="•"/>
      <w:lvlJc w:val="left"/>
      <w:pPr>
        <w:tabs>
          <w:tab w:val="num" w:pos="2880"/>
        </w:tabs>
        <w:ind w:left="2880" w:hanging="360"/>
      </w:pPr>
      <w:rPr>
        <w:rFonts w:ascii="Arial" w:hAnsi="Arial" w:hint="default"/>
      </w:rPr>
    </w:lvl>
    <w:lvl w:ilvl="4" w:tplc="0BBEEE82" w:tentative="1">
      <w:start w:val="1"/>
      <w:numFmt w:val="bullet"/>
      <w:lvlText w:val="•"/>
      <w:lvlJc w:val="left"/>
      <w:pPr>
        <w:tabs>
          <w:tab w:val="num" w:pos="3600"/>
        </w:tabs>
        <w:ind w:left="3600" w:hanging="360"/>
      </w:pPr>
      <w:rPr>
        <w:rFonts w:ascii="Arial" w:hAnsi="Arial" w:hint="default"/>
      </w:rPr>
    </w:lvl>
    <w:lvl w:ilvl="5" w:tplc="A646545C" w:tentative="1">
      <w:start w:val="1"/>
      <w:numFmt w:val="bullet"/>
      <w:lvlText w:val="•"/>
      <w:lvlJc w:val="left"/>
      <w:pPr>
        <w:tabs>
          <w:tab w:val="num" w:pos="4320"/>
        </w:tabs>
        <w:ind w:left="4320" w:hanging="360"/>
      </w:pPr>
      <w:rPr>
        <w:rFonts w:ascii="Arial" w:hAnsi="Arial" w:hint="default"/>
      </w:rPr>
    </w:lvl>
    <w:lvl w:ilvl="6" w:tplc="CA9C465C" w:tentative="1">
      <w:start w:val="1"/>
      <w:numFmt w:val="bullet"/>
      <w:lvlText w:val="•"/>
      <w:lvlJc w:val="left"/>
      <w:pPr>
        <w:tabs>
          <w:tab w:val="num" w:pos="5040"/>
        </w:tabs>
        <w:ind w:left="5040" w:hanging="360"/>
      </w:pPr>
      <w:rPr>
        <w:rFonts w:ascii="Arial" w:hAnsi="Arial" w:hint="default"/>
      </w:rPr>
    </w:lvl>
    <w:lvl w:ilvl="7" w:tplc="A03CBC6C" w:tentative="1">
      <w:start w:val="1"/>
      <w:numFmt w:val="bullet"/>
      <w:lvlText w:val="•"/>
      <w:lvlJc w:val="left"/>
      <w:pPr>
        <w:tabs>
          <w:tab w:val="num" w:pos="5760"/>
        </w:tabs>
        <w:ind w:left="5760" w:hanging="360"/>
      </w:pPr>
      <w:rPr>
        <w:rFonts w:ascii="Arial" w:hAnsi="Arial" w:hint="default"/>
      </w:rPr>
    </w:lvl>
    <w:lvl w:ilvl="8" w:tplc="0D76E6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8D1510"/>
    <w:multiLevelType w:val="hybridMultilevel"/>
    <w:tmpl w:val="98EC0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402669"/>
    <w:multiLevelType w:val="hybridMultilevel"/>
    <w:tmpl w:val="494089A8"/>
    <w:lvl w:ilvl="0" w:tplc="B6F68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63F45"/>
    <w:multiLevelType w:val="multilevel"/>
    <w:tmpl w:val="1026F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10750C"/>
    <w:multiLevelType w:val="hybridMultilevel"/>
    <w:tmpl w:val="788872DE"/>
    <w:lvl w:ilvl="0" w:tplc="81CE5F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273F7"/>
    <w:multiLevelType w:val="hybridMultilevel"/>
    <w:tmpl w:val="51626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5812D7"/>
    <w:multiLevelType w:val="hybridMultilevel"/>
    <w:tmpl w:val="7654F638"/>
    <w:lvl w:ilvl="0" w:tplc="67CC719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64B6C"/>
    <w:multiLevelType w:val="hybridMultilevel"/>
    <w:tmpl w:val="9B7699AE"/>
    <w:lvl w:ilvl="0" w:tplc="25C44D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C5D43"/>
    <w:multiLevelType w:val="hybridMultilevel"/>
    <w:tmpl w:val="5896E6F2"/>
    <w:lvl w:ilvl="0" w:tplc="70887E98">
      <w:start w:val="1"/>
      <w:numFmt w:val="bullet"/>
      <w:lvlText w:val="•"/>
      <w:lvlJc w:val="left"/>
      <w:pPr>
        <w:tabs>
          <w:tab w:val="num" w:pos="720"/>
        </w:tabs>
        <w:ind w:left="720" w:hanging="360"/>
      </w:pPr>
      <w:rPr>
        <w:rFonts w:ascii="Arial" w:hAnsi="Arial" w:hint="default"/>
      </w:rPr>
    </w:lvl>
    <w:lvl w:ilvl="1" w:tplc="FD821212" w:tentative="1">
      <w:start w:val="1"/>
      <w:numFmt w:val="bullet"/>
      <w:lvlText w:val="•"/>
      <w:lvlJc w:val="left"/>
      <w:pPr>
        <w:tabs>
          <w:tab w:val="num" w:pos="1440"/>
        </w:tabs>
        <w:ind w:left="1440" w:hanging="360"/>
      </w:pPr>
      <w:rPr>
        <w:rFonts w:ascii="Arial" w:hAnsi="Arial" w:hint="default"/>
      </w:rPr>
    </w:lvl>
    <w:lvl w:ilvl="2" w:tplc="9F3672EE" w:tentative="1">
      <w:start w:val="1"/>
      <w:numFmt w:val="bullet"/>
      <w:lvlText w:val="•"/>
      <w:lvlJc w:val="left"/>
      <w:pPr>
        <w:tabs>
          <w:tab w:val="num" w:pos="2160"/>
        </w:tabs>
        <w:ind w:left="2160" w:hanging="360"/>
      </w:pPr>
      <w:rPr>
        <w:rFonts w:ascii="Arial" w:hAnsi="Arial" w:hint="default"/>
      </w:rPr>
    </w:lvl>
    <w:lvl w:ilvl="3" w:tplc="9EF6E130" w:tentative="1">
      <w:start w:val="1"/>
      <w:numFmt w:val="bullet"/>
      <w:lvlText w:val="•"/>
      <w:lvlJc w:val="left"/>
      <w:pPr>
        <w:tabs>
          <w:tab w:val="num" w:pos="2880"/>
        </w:tabs>
        <w:ind w:left="2880" w:hanging="360"/>
      </w:pPr>
      <w:rPr>
        <w:rFonts w:ascii="Arial" w:hAnsi="Arial" w:hint="default"/>
      </w:rPr>
    </w:lvl>
    <w:lvl w:ilvl="4" w:tplc="9F727A9E" w:tentative="1">
      <w:start w:val="1"/>
      <w:numFmt w:val="bullet"/>
      <w:lvlText w:val="•"/>
      <w:lvlJc w:val="left"/>
      <w:pPr>
        <w:tabs>
          <w:tab w:val="num" w:pos="3600"/>
        </w:tabs>
        <w:ind w:left="3600" w:hanging="360"/>
      </w:pPr>
      <w:rPr>
        <w:rFonts w:ascii="Arial" w:hAnsi="Arial" w:hint="default"/>
      </w:rPr>
    </w:lvl>
    <w:lvl w:ilvl="5" w:tplc="74A2F4FC" w:tentative="1">
      <w:start w:val="1"/>
      <w:numFmt w:val="bullet"/>
      <w:lvlText w:val="•"/>
      <w:lvlJc w:val="left"/>
      <w:pPr>
        <w:tabs>
          <w:tab w:val="num" w:pos="4320"/>
        </w:tabs>
        <w:ind w:left="4320" w:hanging="360"/>
      </w:pPr>
      <w:rPr>
        <w:rFonts w:ascii="Arial" w:hAnsi="Arial" w:hint="default"/>
      </w:rPr>
    </w:lvl>
    <w:lvl w:ilvl="6" w:tplc="F072D728" w:tentative="1">
      <w:start w:val="1"/>
      <w:numFmt w:val="bullet"/>
      <w:lvlText w:val="•"/>
      <w:lvlJc w:val="left"/>
      <w:pPr>
        <w:tabs>
          <w:tab w:val="num" w:pos="5040"/>
        </w:tabs>
        <w:ind w:left="5040" w:hanging="360"/>
      </w:pPr>
      <w:rPr>
        <w:rFonts w:ascii="Arial" w:hAnsi="Arial" w:hint="default"/>
      </w:rPr>
    </w:lvl>
    <w:lvl w:ilvl="7" w:tplc="B58090BA" w:tentative="1">
      <w:start w:val="1"/>
      <w:numFmt w:val="bullet"/>
      <w:lvlText w:val="•"/>
      <w:lvlJc w:val="left"/>
      <w:pPr>
        <w:tabs>
          <w:tab w:val="num" w:pos="5760"/>
        </w:tabs>
        <w:ind w:left="5760" w:hanging="360"/>
      </w:pPr>
      <w:rPr>
        <w:rFonts w:ascii="Arial" w:hAnsi="Arial" w:hint="default"/>
      </w:rPr>
    </w:lvl>
    <w:lvl w:ilvl="8" w:tplc="D4EE45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4579B1"/>
    <w:multiLevelType w:val="hybridMultilevel"/>
    <w:tmpl w:val="A384680A"/>
    <w:lvl w:ilvl="0" w:tplc="B986D9B8">
      <w:start w:val="1"/>
      <w:numFmt w:val="bullet"/>
      <w:lvlText w:val="•"/>
      <w:lvlJc w:val="left"/>
      <w:pPr>
        <w:tabs>
          <w:tab w:val="num" w:pos="720"/>
        </w:tabs>
        <w:ind w:left="720" w:hanging="360"/>
      </w:pPr>
      <w:rPr>
        <w:rFonts w:ascii="Arial" w:hAnsi="Arial" w:hint="default"/>
      </w:rPr>
    </w:lvl>
    <w:lvl w:ilvl="1" w:tplc="E4B49268" w:tentative="1">
      <w:start w:val="1"/>
      <w:numFmt w:val="bullet"/>
      <w:lvlText w:val="•"/>
      <w:lvlJc w:val="left"/>
      <w:pPr>
        <w:tabs>
          <w:tab w:val="num" w:pos="1440"/>
        </w:tabs>
        <w:ind w:left="1440" w:hanging="360"/>
      </w:pPr>
      <w:rPr>
        <w:rFonts w:ascii="Arial" w:hAnsi="Arial" w:hint="default"/>
      </w:rPr>
    </w:lvl>
    <w:lvl w:ilvl="2" w:tplc="30B4E76C" w:tentative="1">
      <w:start w:val="1"/>
      <w:numFmt w:val="bullet"/>
      <w:lvlText w:val="•"/>
      <w:lvlJc w:val="left"/>
      <w:pPr>
        <w:tabs>
          <w:tab w:val="num" w:pos="2160"/>
        </w:tabs>
        <w:ind w:left="2160" w:hanging="360"/>
      </w:pPr>
      <w:rPr>
        <w:rFonts w:ascii="Arial" w:hAnsi="Arial" w:hint="default"/>
      </w:rPr>
    </w:lvl>
    <w:lvl w:ilvl="3" w:tplc="DA5A4FC0" w:tentative="1">
      <w:start w:val="1"/>
      <w:numFmt w:val="bullet"/>
      <w:lvlText w:val="•"/>
      <w:lvlJc w:val="left"/>
      <w:pPr>
        <w:tabs>
          <w:tab w:val="num" w:pos="2880"/>
        </w:tabs>
        <w:ind w:left="2880" w:hanging="360"/>
      </w:pPr>
      <w:rPr>
        <w:rFonts w:ascii="Arial" w:hAnsi="Arial" w:hint="default"/>
      </w:rPr>
    </w:lvl>
    <w:lvl w:ilvl="4" w:tplc="FD649F68" w:tentative="1">
      <w:start w:val="1"/>
      <w:numFmt w:val="bullet"/>
      <w:lvlText w:val="•"/>
      <w:lvlJc w:val="left"/>
      <w:pPr>
        <w:tabs>
          <w:tab w:val="num" w:pos="3600"/>
        </w:tabs>
        <w:ind w:left="3600" w:hanging="360"/>
      </w:pPr>
      <w:rPr>
        <w:rFonts w:ascii="Arial" w:hAnsi="Arial" w:hint="default"/>
      </w:rPr>
    </w:lvl>
    <w:lvl w:ilvl="5" w:tplc="FF1C8F8E" w:tentative="1">
      <w:start w:val="1"/>
      <w:numFmt w:val="bullet"/>
      <w:lvlText w:val="•"/>
      <w:lvlJc w:val="left"/>
      <w:pPr>
        <w:tabs>
          <w:tab w:val="num" w:pos="4320"/>
        </w:tabs>
        <w:ind w:left="4320" w:hanging="360"/>
      </w:pPr>
      <w:rPr>
        <w:rFonts w:ascii="Arial" w:hAnsi="Arial" w:hint="default"/>
      </w:rPr>
    </w:lvl>
    <w:lvl w:ilvl="6" w:tplc="A77CE59C" w:tentative="1">
      <w:start w:val="1"/>
      <w:numFmt w:val="bullet"/>
      <w:lvlText w:val="•"/>
      <w:lvlJc w:val="left"/>
      <w:pPr>
        <w:tabs>
          <w:tab w:val="num" w:pos="5040"/>
        </w:tabs>
        <w:ind w:left="5040" w:hanging="360"/>
      </w:pPr>
      <w:rPr>
        <w:rFonts w:ascii="Arial" w:hAnsi="Arial" w:hint="default"/>
      </w:rPr>
    </w:lvl>
    <w:lvl w:ilvl="7" w:tplc="38E03F92" w:tentative="1">
      <w:start w:val="1"/>
      <w:numFmt w:val="bullet"/>
      <w:lvlText w:val="•"/>
      <w:lvlJc w:val="left"/>
      <w:pPr>
        <w:tabs>
          <w:tab w:val="num" w:pos="5760"/>
        </w:tabs>
        <w:ind w:left="5760" w:hanging="360"/>
      </w:pPr>
      <w:rPr>
        <w:rFonts w:ascii="Arial" w:hAnsi="Arial" w:hint="default"/>
      </w:rPr>
    </w:lvl>
    <w:lvl w:ilvl="8" w:tplc="3FB8CB4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9"/>
  </w:num>
  <w:num w:numId="3">
    <w:abstractNumId w:val="7"/>
  </w:num>
  <w:num w:numId="4">
    <w:abstractNumId w:val="4"/>
  </w:num>
  <w:num w:numId="5">
    <w:abstractNumId w:val="8"/>
  </w:num>
  <w:num w:numId="6">
    <w:abstractNumId w:val="0"/>
  </w:num>
  <w:num w:numId="7">
    <w:abstractNumId w:val="10"/>
  </w:num>
  <w:num w:numId="8">
    <w:abstractNumId w:val="6"/>
  </w:num>
  <w:num w:numId="9">
    <w:abstractNumId w:val="5"/>
  </w:num>
  <w:num w:numId="10">
    <w:abstractNumId w:val="2"/>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B2"/>
    <w:rsid w:val="00000412"/>
    <w:rsid w:val="00000E56"/>
    <w:rsid w:val="00001DBC"/>
    <w:rsid w:val="00001E7C"/>
    <w:rsid w:val="00001F9F"/>
    <w:rsid w:val="000027E0"/>
    <w:rsid w:val="00002D09"/>
    <w:rsid w:val="00003943"/>
    <w:rsid w:val="00004B89"/>
    <w:rsid w:val="00004CA6"/>
    <w:rsid w:val="00004FAD"/>
    <w:rsid w:val="00005944"/>
    <w:rsid w:val="00005A85"/>
    <w:rsid w:val="00005B41"/>
    <w:rsid w:val="00006DBD"/>
    <w:rsid w:val="00007945"/>
    <w:rsid w:val="000102F2"/>
    <w:rsid w:val="00010FED"/>
    <w:rsid w:val="00011C0E"/>
    <w:rsid w:val="00011E12"/>
    <w:rsid w:val="00012662"/>
    <w:rsid w:val="000126B1"/>
    <w:rsid w:val="00012A67"/>
    <w:rsid w:val="000142A3"/>
    <w:rsid w:val="000142E1"/>
    <w:rsid w:val="0001529C"/>
    <w:rsid w:val="00015D01"/>
    <w:rsid w:val="000161A4"/>
    <w:rsid w:val="000165D4"/>
    <w:rsid w:val="00016C15"/>
    <w:rsid w:val="00017730"/>
    <w:rsid w:val="00020D0E"/>
    <w:rsid w:val="0002141E"/>
    <w:rsid w:val="00021784"/>
    <w:rsid w:val="000219C6"/>
    <w:rsid w:val="00022138"/>
    <w:rsid w:val="000224C0"/>
    <w:rsid w:val="000224DC"/>
    <w:rsid w:val="00022A58"/>
    <w:rsid w:val="000238F6"/>
    <w:rsid w:val="00023914"/>
    <w:rsid w:val="00023D71"/>
    <w:rsid w:val="00024457"/>
    <w:rsid w:val="0002447D"/>
    <w:rsid w:val="00025596"/>
    <w:rsid w:val="000258D6"/>
    <w:rsid w:val="000264CF"/>
    <w:rsid w:val="000269D7"/>
    <w:rsid w:val="00026BB5"/>
    <w:rsid w:val="000274D8"/>
    <w:rsid w:val="00027A37"/>
    <w:rsid w:val="00027ABF"/>
    <w:rsid w:val="000303B9"/>
    <w:rsid w:val="00030F37"/>
    <w:rsid w:val="00031025"/>
    <w:rsid w:val="00031040"/>
    <w:rsid w:val="00031524"/>
    <w:rsid w:val="00031907"/>
    <w:rsid w:val="00031EFA"/>
    <w:rsid w:val="0003265D"/>
    <w:rsid w:val="00032A32"/>
    <w:rsid w:val="00032CA1"/>
    <w:rsid w:val="000332B1"/>
    <w:rsid w:val="00034208"/>
    <w:rsid w:val="0003421C"/>
    <w:rsid w:val="00034A96"/>
    <w:rsid w:val="0003509D"/>
    <w:rsid w:val="000351C1"/>
    <w:rsid w:val="0003535F"/>
    <w:rsid w:val="000359E6"/>
    <w:rsid w:val="000364EB"/>
    <w:rsid w:val="000367EA"/>
    <w:rsid w:val="00036851"/>
    <w:rsid w:val="00037579"/>
    <w:rsid w:val="000378B4"/>
    <w:rsid w:val="00040667"/>
    <w:rsid w:val="0004127A"/>
    <w:rsid w:val="00041563"/>
    <w:rsid w:val="00041F6F"/>
    <w:rsid w:val="00042353"/>
    <w:rsid w:val="0004264D"/>
    <w:rsid w:val="000433AC"/>
    <w:rsid w:val="00043ACF"/>
    <w:rsid w:val="0004448B"/>
    <w:rsid w:val="00044880"/>
    <w:rsid w:val="000449B4"/>
    <w:rsid w:val="00045724"/>
    <w:rsid w:val="00046B59"/>
    <w:rsid w:val="00046E5C"/>
    <w:rsid w:val="00046E67"/>
    <w:rsid w:val="000472FC"/>
    <w:rsid w:val="0004787E"/>
    <w:rsid w:val="0005037C"/>
    <w:rsid w:val="000507DD"/>
    <w:rsid w:val="00051F16"/>
    <w:rsid w:val="00053BCB"/>
    <w:rsid w:val="0005432F"/>
    <w:rsid w:val="0005509D"/>
    <w:rsid w:val="00055562"/>
    <w:rsid w:val="000558D7"/>
    <w:rsid w:val="000559E2"/>
    <w:rsid w:val="00055DCA"/>
    <w:rsid w:val="00056115"/>
    <w:rsid w:val="00056B0F"/>
    <w:rsid w:val="000572DC"/>
    <w:rsid w:val="00057333"/>
    <w:rsid w:val="0005750E"/>
    <w:rsid w:val="00057DAC"/>
    <w:rsid w:val="000601DA"/>
    <w:rsid w:val="0006172D"/>
    <w:rsid w:val="0006187F"/>
    <w:rsid w:val="00061DE6"/>
    <w:rsid w:val="00062102"/>
    <w:rsid w:val="000624E4"/>
    <w:rsid w:val="000627C0"/>
    <w:rsid w:val="00062D76"/>
    <w:rsid w:val="00062EA9"/>
    <w:rsid w:val="000634BA"/>
    <w:rsid w:val="00063A7C"/>
    <w:rsid w:val="00063BEA"/>
    <w:rsid w:val="00064648"/>
    <w:rsid w:val="000646B4"/>
    <w:rsid w:val="00065345"/>
    <w:rsid w:val="00065440"/>
    <w:rsid w:val="000659C2"/>
    <w:rsid w:val="00066016"/>
    <w:rsid w:val="000662A8"/>
    <w:rsid w:val="000665DB"/>
    <w:rsid w:val="000674BF"/>
    <w:rsid w:val="00067502"/>
    <w:rsid w:val="0006794B"/>
    <w:rsid w:val="0007011F"/>
    <w:rsid w:val="0007126A"/>
    <w:rsid w:val="000713A9"/>
    <w:rsid w:val="000723BC"/>
    <w:rsid w:val="00072417"/>
    <w:rsid w:val="000724EE"/>
    <w:rsid w:val="00072940"/>
    <w:rsid w:val="00072B58"/>
    <w:rsid w:val="0007305C"/>
    <w:rsid w:val="000737AE"/>
    <w:rsid w:val="00073CBF"/>
    <w:rsid w:val="00073E6F"/>
    <w:rsid w:val="00073FEA"/>
    <w:rsid w:val="00074067"/>
    <w:rsid w:val="000743ED"/>
    <w:rsid w:val="0007472C"/>
    <w:rsid w:val="00074AB9"/>
    <w:rsid w:val="0007593E"/>
    <w:rsid w:val="00075AF1"/>
    <w:rsid w:val="00075DA8"/>
    <w:rsid w:val="00076817"/>
    <w:rsid w:val="00076E26"/>
    <w:rsid w:val="00076E92"/>
    <w:rsid w:val="00077B9F"/>
    <w:rsid w:val="00077ED2"/>
    <w:rsid w:val="0008004F"/>
    <w:rsid w:val="000802FA"/>
    <w:rsid w:val="00080598"/>
    <w:rsid w:val="000806BE"/>
    <w:rsid w:val="00080A59"/>
    <w:rsid w:val="00081359"/>
    <w:rsid w:val="000813A3"/>
    <w:rsid w:val="00081D45"/>
    <w:rsid w:val="00081E16"/>
    <w:rsid w:val="00081FDA"/>
    <w:rsid w:val="0008288C"/>
    <w:rsid w:val="00083ED5"/>
    <w:rsid w:val="0008462B"/>
    <w:rsid w:val="000849B0"/>
    <w:rsid w:val="0008501C"/>
    <w:rsid w:val="00085538"/>
    <w:rsid w:val="00085C63"/>
    <w:rsid w:val="00085F01"/>
    <w:rsid w:val="000860B3"/>
    <w:rsid w:val="0008676B"/>
    <w:rsid w:val="000874AA"/>
    <w:rsid w:val="00090BC0"/>
    <w:rsid w:val="00090F58"/>
    <w:rsid w:val="00091655"/>
    <w:rsid w:val="00091779"/>
    <w:rsid w:val="00091FBF"/>
    <w:rsid w:val="00092C12"/>
    <w:rsid w:val="00092EFE"/>
    <w:rsid w:val="00093458"/>
    <w:rsid w:val="000943F3"/>
    <w:rsid w:val="00094AFB"/>
    <w:rsid w:val="00094CBA"/>
    <w:rsid w:val="00094E49"/>
    <w:rsid w:val="000957DA"/>
    <w:rsid w:val="00095AC5"/>
    <w:rsid w:val="000961E0"/>
    <w:rsid w:val="0009778E"/>
    <w:rsid w:val="00097BC4"/>
    <w:rsid w:val="000A04AF"/>
    <w:rsid w:val="000A0598"/>
    <w:rsid w:val="000A0945"/>
    <w:rsid w:val="000A1310"/>
    <w:rsid w:val="000A1CB7"/>
    <w:rsid w:val="000A239F"/>
    <w:rsid w:val="000A258B"/>
    <w:rsid w:val="000A38A0"/>
    <w:rsid w:val="000A3B9C"/>
    <w:rsid w:val="000A3C89"/>
    <w:rsid w:val="000A422F"/>
    <w:rsid w:val="000A43AE"/>
    <w:rsid w:val="000A4B35"/>
    <w:rsid w:val="000A6141"/>
    <w:rsid w:val="000A667D"/>
    <w:rsid w:val="000A68DB"/>
    <w:rsid w:val="000A7B41"/>
    <w:rsid w:val="000B1364"/>
    <w:rsid w:val="000B1CD7"/>
    <w:rsid w:val="000B20F5"/>
    <w:rsid w:val="000B2D42"/>
    <w:rsid w:val="000B2E20"/>
    <w:rsid w:val="000B31FA"/>
    <w:rsid w:val="000B3705"/>
    <w:rsid w:val="000B3CF3"/>
    <w:rsid w:val="000B40C0"/>
    <w:rsid w:val="000B68F3"/>
    <w:rsid w:val="000B6A21"/>
    <w:rsid w:val="000B6FD6"/>
    <w:rsid w:val="000B7F70"/>
    <w:rsid w:val="000B7F94"/>
    <w:rsid w:val="000C0708"/>
    <w:rsid w:val="000C1657"/>
    <w:rsid w:val="000C4AE3"/>
    <w:rsid w:val="000C4B35"/>
    <w:rsid w:val="000C5BCB"/>
    <w:rsid w:val="000C5C0A"/>
    <w:rsid w:val="000C5E69"/>
    <w:rsid w:val="000C6200"/>
    <w:rsid w:val="000C7B00"/>
    <w:rsid w:val="000C7B9F"/>
    <w:rsid w:val="000D0E4B"/>
    <w:rsid w:val="000D0FDA"/>
    <w:rsid w:val="000D1457"/>
    <w:rsid w:val="000D14D4"/>
    <w:rsid w:val="000D26CB"/>
    <w:rsid w:val="000D2C54"/>
    <w:rsid w:val="000D2C80"/>
    <w:rsid w:val="000D378F"/>
    <w:rsid w:val="000D39B5"/>
    <w:rsid w:val="000D3ACB"/>
    <w:rsid w:val="000D407B"/>
    <w:rsid w:val="000D4185"/>
    <w:rsid w:val="000D41EC"/>
    <w:rsid w:val="000D431C"/>
    <w:rsid w:val="000D578A"/>
    <w:rsid w:val="000D59C3"/>
    <w:rsid w:val="000D59D9"/>
    <w:rsid w:val="000D5AA9"/>
    <w:rsid w:val="000D5EB4"/>
    <w:rsid w:val="000D6421"/>
    <w:rsid w:val="000D6E38"/>
    <w:rsid w:val="000D7FE1"/>
    <w:rsid w:val="000E04C5"/>
    <w:rsid w:val="000E0513"/>
    <w:rsid w:val="000E136C"/>
    <w:rsid w:val="000E162D"/>
    <w:rsid w:val="000E17D5"/>
    <w:rsid w:val="000E1958"/>
    <w:rsid w:val="000E1B7E"/>
    <w:rsid w:val="000E1DDD"/>
    <w:rsid w:val="000E2093"/>
    <w:rsid w:val="000E2A59"/>
    <w:rsid w:val="000E2C12"/>
    <w:rsid w:val="000E2EF2"/>
    <w:rsid w:val="000E3DEF"/>
    <w:rsid w:val="000E41DF"/>
    <w:rsid w:val="000E57F6"/>
    <w:rsid w:val="000E5A41"/>
    <w:rsid w:val="000E5FB0"/>
    <w:rsid w:val="000E6910"/>
    <w:rsid w:val="000E6A10"/>
    <w:rsid w:val="000E7554"/>
    <w:rsid w:val="000E7BD0"/>
    <w:rsid w:val="000F0050"/>
    <w:rsid w:val="000F15B6"/>
    <w:rsid w:val="000F17EC"/>
    <w:rsid w:val="000F1CA8"/>
    <w:rsid w:val="000F2913"/>
    <w:rsid w:val="000F338C"/>
    <w:rsid w:val="000F33C4"/>
    <w:rsid w:val="000F3A9E"/>
    <w:rsid w:val="000F3AF3"/>
    <w:rsid w:val="000F3FDB"/>
    <w:rsid w:val="000F441E"/>
    <w:rsid w:val="000F4730"/>
    <w:rsid w:val="000F4A68"/>
    <w:rsid w:val="000F4F9D"/>
    <w:rsid w:val="000F5155"/>
    <w:rsid w:val="000F5588"/>
    <w:rsid w:val="000F6128"/>
    <w:rsid w:val="000F612D"/>
    <w:rsid w:val="000F6F9F"/>
    <w:rsid w:val="000F79FF"/>
    <w:rsid w:val="000F7F66"/>
    <w:rsid w:val="001003AB"/>
    <w:rsid w:val="001003E1"/>
    <w:rsid w:val="001013E3"/>
    <w:rsid w:val="00102073"/>
    <w:rsid w:val="001027FD"/>
    <w:rsid w:val="001031EB"/>
    <w:rsid w:val="0010443D"/>
    <w:rsid w:val="00104CDA"/>
    <w:rsid w:val="00104D4A"/>
    <w:rsid w:val="00105508"/>
    <w:rsid w:val="001055BB"/>
    <w:rsid w:val="0010571D"/>
    <w:rsid w:val="00105CB2"/>
    <w:rsid w:val="00106939"/>
    <w:rsid w:val="00106DBA"/>
    <w:rsid w:val="0010725F"/>
    <w:rsid w:val="00107725"/>
    <w:rsid w:val="00107F8F"/>
    <w:rsid w:val="0011023C"/>
    <w:rsid w:val="00111327"/>
    <w:rsid w:val="001115B9"/>
    <w:rsid w:val="001116DF"/>
    <w:rsid w:val="00111F3B"/>
    <w:rsid w:val="001126E7"/>
    <w:rsid w:val="00112B1B"/>
    <w:rsid w:val="00112D56"/>
    <w:rsid w:val="001139B1"/>
    <w:rsid w:val="00113BFC"/>
    <w:rsid w:val="00113C36"/>
    <w:rsid w:val="00113C87"/>
    <w:rsid w:val="00114219"/>
    <w:rsid w:val="00114690"/>
    <w:rsid w:val="00114774"/>
    <w:rsid w:val="00114BFC"/>
    <w:rsid w:val="001156C2"/>
    <w:rsid w:val="00116C55"/>
    <w:rsid w:val="00120B9E"/>
    <w:rsid w:val="00120F17"/>
    <w:rsid w:val="00121024"/>
    <w:rsid w:val="0012113E"/>
    <w:rsid w:val="00121EBD"/>
    <w:rsid w:val="00122C4F"/>
    <w:rsid w:val="0012346B"/>
    <w:rsid w:val="00123754"/>
    <w:rsid w:val="00124106"/>
    <w:rsid w:val="0012454F"/>
    <w:rsid w:val="001246EE"/>
    <w:rsid w:val="00124A8D"/>
    <w:rsid w:val="00125EFD"/>
    <w:rsid w:val="00126075"/>
    <w:rsid w:val="0012627E"/>
    <w:rsid w:val="0012713A"/>
    <w:rsid w:val="00127245"/>
    <w:rsid w:val="001276B1"/>
    <w:rsid w:val="001278AA"/>
    <w:rsid w:val="001303FF"/>
    <w:rsid w:val="001304BD"/>
    <w:rsid w:val="00130CA1"/>
    <w:rsid w:val="001312BE"/>
    <w:rsid w:val="001313DE"/>
    <w:rsid w:val="001319CE"/>
    <w:rsid w:val="00131D5D"/>
    <w:rsid w:val="00132171"/>
    <w:rsid w:val="00132687"/>
    <w:rsid w:val="00132F47"/>
    <w:rsid w:val="00133B8E"/>
    <w:rsid w:val="0013422F"/>
    <w:rsid w:val="001349B0"/>
    <w:rsid w:val="00134C40"/>
    <w:rsid w:val="00135B5C"/>
    <w:rsid w:val="00135BD2"/>
    <w:rsid w:val="00135F21"/>
    <w:rsid w:val="0013713C"/>
    <w:rsid w:val="0013721A"/>
    <w:rsid w:val="00137490"/>
    <w:rsid w:val="0013783D"/>
    <w:rsid w:val="001407DD"/>
    <w:rsid w:val="00140A28"/>
    <w:rsid w:val="00140A4C"/>
    <w:rsid w:val="00140FF8"/>
    <w:rsid w:val="00141A0C"/>
    <w:rsid w:val="00141C30"/>
    <w:rsid w:val="00142E14"/>
    <w:rsid w:val="001431DF"/>
    <w:rsid w:val="00143ABE"/>
    <w:rsid w:val="00143BC7"/>
    <w:rsid w:val="00143BF5"/>
    <w:rsid w:val="001442A1"/>
    <w:rsid w:val="001445A2"/>
    <w:rsid w:val="00144E1A"/>
    <w:rsid w:val="00144EEE"/>
    <w:rsid w:val="001452A1"/>
    <w:rsid w:val="001452E2"/>
    <w:rsid w:val="00145916"/>
    <w:rsid w:val="00145B00"/>
    <w:rsid w:val="0014628D"/>
    <w:rsid w:val="00146301"/>
    <w:rsid w:val="00146810"/>
    <w:rsid w:val="00146B5F"/>
    <w:rsid w:val="00146CA7"/>
    <w:rsid w:val="00147124"/>
    <w:rsid w:val="00147434"/>
    <w:rsid w:val="0015009B"/>
    <w:rsid w:val="001504E0"/>
    <w:rsid w:val="00150D03"/>
    <w:rsid w:val="00150EC3"/>
    <w:rsid w:val="00150FD1"/>
    <w:rsid w:val="00151BC7"/>
    <w:rsid w:val="00151DED"/>
    <w:rsid w:val="00152731"/>
    <w:rsid w:val="00152B48"/>
    <w:rsid w:val="0015432D"/>
    <w:rsid w:val="001544B9"/>
    <w:rsid w:val="00154EED"/>
    <w:rsid w:val="00154F0B"/>
    <w:rsid w:val="001550B5"/>
    <w:rsid w:val="0015523C"/>
    <w:rsid w:val="001555F7"/>
    <w:rsid w:val="00155A6C"/>
    <w:rsid w:val="00155F1E"/>
    <w:rsid w:val="001569A4"/>
    <w:rsid w:val="0015755E"/>
    <w:rsid w:val="00160DAC"/>
    <w:rsid w:val="00160F7E"/>
    <w:rsid w:val="001613B2"/>
    <w:rsid w:val="0016164B"/>
    <w:rsid w:val="001637EF"/>
    <w:rsid w:val="00163B02"/>
    <w:rsid w:val="00163B79"/>
    <w:rsid w:val="001644AB"/>
    <w:rsid w:val="001647B1"/>
    <w:rsid w:val="001656DE"/>
    <w:rsid w:val="001658FB"/>
    <w:rsid w:val="00165947"/>
    <w:rsid w:val="001664F0"/>
    <w:rsid w:val="00166A78"/>
    <w:rsid w:val="00167B64"/>
    <w:rsid w:val="00170022"/>
    <w:rsid w:val="00170E4E"/>
    <w:rsid w:val="001712AB"/>
    <w:rsid w:val="00171F96"/>
    <w:rsid w:val="00172AAC"/>
    <w:rsid w:val="0017384F"/>
    <w:rsid w:val="00173C74"/>
    <w:rsid w:val="001741D5"/>
    <w:rsid w:val="001750C4"/>
    <w:rsid w:val="00175FD9"/>
    <w:rsid w:val="00176044"/>
    <w:rsid w:val="001763DB"/>
    <w:rsid w:val="00177529"/>
    <w:rsid w:val="0017764D"/>
    <w:rsid w:val="00177B9E"/>
    <w:rsid w:val="0018051D"/>
    <w:rsid w:val="001819F3"/>
    <w:rsid w:val="00181B4B"/>
    <w:rsid w:val="00182147"/>
    <w:rsid w:val="00182306"/>
    <w:rsid w:val="00182EF7"/>
    <w:rsid w:val="00183588"/>
    <w:rsid w:val="00183967"/>
    <w:rsid w:val="00183AD8"/>
    <w:rsid w:val="00183E21"/>
    <w:rsid w:val="0018467A"/>
    <w:rsid w:val="00184727"/>
    <w:rsid w:val="00184E11"/>
    <w:rsid w:val="00184ECC"/>
    <w:rsid w:val="00185744"/>
    <w:rsid w:val="00186279"/>
    <w:rsid w:val="00186503"/>
    <w:rsid w:val="001867AE"/>
    <w:rsid w:val="00186BB7"/>
    <w:rsid w:val="00187B4A"/>
    <w:rsid w:val="00190B2B"/>
    <w:rsid w:val="00190D60"/>
    <w:rsid w:val="00192690"/>
    <w:rsid w:val="00192BA3"/>
    <w:rsid w:val="00193042"/>
    <w:rsid w:val="0019339F"/>
    <w:rsid w:val="00193BDC"/>
    <w:rsid w:val="00193DE3"/>
    <w:rsid w:val="00194951"/>
    <w:rsid w:val="001949D8"/>
    <w:rsid w:val="00195404"/>
    <w:rsid w:val="00195A26"/>
    <w:rsid w:val="00195A35"/>
    <w:rsid w:val="00195FB8"/>
    <w:rsid w:val="00196CCE"/>
    <w:rsid w:val="00196D60"/>
    <w:rsid w:val="00197583"/>
    <w:rsid w:val="001A0880"/>
    <w:rsid w:val="001A1392"/>
    <w:rsid w:val="001A17A0"/>
    <w:rsid w:val="001A18A6"/>
    <w:rsid w:val="001A20E9"/>
    <w:rsid w:val="001A254F"/>
    <w:rsid w:val="001A28A1"/>
    <w:rsid w:val="001A2DB9"/>
    <w:rsid w:val="001A2E8B"/>
    <w:rsid w:val="001A4071"/>
    <w:rsid w:val="001A4228"/>
    <w:rsid w:val="001A5C61"/>
    <w:rsid w:val="001A5DBF"/>
    <w:rsid w:val="001A6FAA"/>
    <w:rsid w:val="001A757B"/>
    <w:rsid w:val="001A78FD"/>
    <w:rsid w:val="001B0428"/>
    <w:rsid w:val="001B0ABB"/>
    <w:rsid w:val="001B0CDA"/>
    <w:rsid w:val="001B0E8F"/>
    <w:rsid w:val="001B1881"/>
    <w:rsid w:val="001B1A23"/>
    <w:rsid w:val="001B1D77"/>
    <w:rsid w:val="001B2470"/>
    <w:rsid w:val="001B2787"/>
    <w:rsid w:val="001B2800"/>
    <w:rsid w:val="001B2D7C"/>
    <w:rsid w:val="001B369F"/>
    <w:rsid w:val="001B3B1C"/>
    <w:rsid w:val="001B3D0E"/>
    <w:rsid w:val="001B4729"/>
    <w:rsid w:val="001B492D"/>
    <w:rsid w:val="001B4ABC"/>
    <w:rsid w:val="001B52E7"/>
    <w:rsid w:val="001B549F"/>
    <w:rsid w:val="001B5B9C"/>
    <w:rsid w:val="001B5D4B"/>
    <w:rsid w:val="001B5F57"/>
    <w:rsid w:val="001B6031"/>
    <w:rsid w:val="001B6A0C"/>
    <w:rsid w:val="001B70D7"/>
    <w:rsid w:val="001B7690"/>
    <w:rsid w:val="001C01D6"/>
    <w:rsid w:val="001C05DC"/>
    <w:rsid w:val="001C098C"/>
    <w:rsid w:val="001C0CCD"/>
    <w:rsid w:val="001C0D67"/>
    <w:rsid w:val="001C108C"/>
    <w:rsid w:val="001C1748"/>
    <w:rsid w:val="001C20F0"/>
    <w:rsid w:val="001C246C"/>
    <w:rsid w:val="001C29A5"/>
    <w:rsid w:val="001C2DC6"/>
    <w:rsid w:val="001C2EFE"/>
    <w:rsid w:val="001C348C"/>
    <w:rsid w:val="001C39D1"/>
    <w:rsid w:val="001C401E"/>
    <w:rsid w:val="001C4809"/>
    <w:rsid w:val="001C4952"/>
    <w:rsid w:val="001C4BDA"/>
    <w:rsid w:val="001C4BDC"/>
    <w:rsid w:val="001C740B"/>
    <w:rsid w:val="001C7A8D"/>
    <w:rsid w:val="001D0444"/>
    <w:rsid w:val="001D0A18"/>
    <w:rsid w:val="001D1219"/>
    <w:rsid w:val="001D16DC"/>
    <w:rsid w:val="001D181E"/>
    <w:rsid w:val="001D1BC1"/>
    <w:rsid w:val="001D1F81"/>
    <w:rsid w:val="001D2252"/>
    <w:rsid w:val="001D2575"/>
    <w:rsid w:val="001D412D"/>
    <w:rsid w:val="001D4C04"/>
    <w:rsid w:val="001D4D33"/>
    <w:rsid w:val="001D5A28"/>
    <w:rsid w:val="001D5FAF"/>
    <w:rsid w:val="001D7214"/>
    <w:rsid w:val="001D7615"/>
    <w:rsid w:val="001D77AC"/>
    <w:rsid w:val="001D7A48"/>
    <w:rsid w:val="001E00AD"/>
    <w:rsid w:val="001E0B97"/>
    <w:rsid w:val="001E1039"/>
    <w:rsid w:val="001E1301"/>
    <w:rsid w:val="001E13A4"/>
    <w:rsid w:val="001E15D5"/>
    <w:rsid w:val="001E4116"/>
    <w:rsid w:val="001E4703"/>
    <w:rsid w:val="001E55AD"/>
    <w:rsid w:val="001E78C1"/>
    <w:rsid w:val="001E790C"/>
    <w:rsid w:val="001E7DF6"/>
    <w:rsid w:val="001E7E07"/>
    <w:rsid w:val="001E7FDB"/>
    <w:rsid w:val="001F00A8"/>
    <w:rsid w:val="001F0C9E"/>
    <w:rsid w:val="001F1159"/>
    <w:rsid w:val="001F1911"/>
    <w:rsid w:val="001F199D"/>
    <w:rsid w:val="001F1CE9"/>
    <w:rsid w:val="001F2987"/>
    <w:rsid w:val="001F3BB5"/>
    <w:rsid w:val="001F44BD"/>
    <w:rsid w:val="001F4772"/>
    <w:rsid w:val="001F5159"/>
    <w:rsid w:val="001F6C5F"/>
    <w:rsid w:val="001F786F"/>
    <w:rsid w:val="001F7FF4"/>
    <w:rsid w:val="00200F95"/>
    <w:rsid w:val="0020122F"/>
    <w:rsid w:val="002014E3"/>
    <w:rsid w:val="002019CD"/>
    <w:rsid w:val="002022CC"/>
    <w:rsid w:val="00202E7C"/>
    <w:rsid w:val="00202EB3"/>
    <w:rsid w:val="00203E8E"/>
    <w:rsid w:val="0020412A"/>
    <w:rsid w:val="002044EB"/>
    <w:rsid w:val="00204BC5"/>
    <w:rsid w:val="0020591C"/>
    <w:rsid w:val="00205DF3"/>
    <w:rsid w:val="00206CCC"/>
    <w:rsid w:val="00207E6F"/>
    <w:rsid w:val="00207F48"/>
    <w:rsid w:val="00210EB1"/>
    <w:rsid w:val="002114E1"/>
    <w:rsid w:val="002121FD"/>
    <w:rsid w:val="002122C0"/>
    <w:rsid w:val="00213453"/>
    <w:rsid w:val="002134FA"/>
    <w:rsid w:val="0021429C"/>
    <w:rsid w:val="00214A9F"/>
    <w:rsid w:val="00215932"/>
    <w:rsid w:val="00215CD8"/>
    <w:rsid w:val="0021633B"/>
    <w:rsid w:val="00216505"/>
    <w:rsid w:val="0021756B"/>
    <w:rsid w:val="002200E8"/>
    <w:rsid w:val="002207DE"/>
    <w:rsid w:val="00220CCB"/>
    <w:rsid w:val="00221108"/>
    <w:rsid w:val="002211D2"/>
    <w:rsid w:val="0022123A"/>
    <w:rsid w:val="0022171E"/>
    <w:rsid w:val="002219F6"/>
    <w:rsid w:val="002221F0"/>
    <w:rsid w:val="002223F6"/>
    <w:rsid w:val="002227B4"/>
    <w:rsid w:val="00222BD2"/>
    <w:rsid w:val="00222C02"/>
    <w:rsid w:val="00222EA6"/>
    <w:rsid w:val="00223599"/>
    <w:rsid w:val="00223CCD"/>
    <w:rsid w:val="002246EF"/>
    <w:rsid w:val="00225768"/>
    <w:rsid w:val="00226393"/>
    <w:rsid w:val="002275B9"/>
    <w:rsid w:val="00230194"/>
    <w:rsid w:val="0023044B"/>
    <w:rsid w:val="00230C16"/>
    <w:rsid w:val="0023107F"/>
    <w:rsid w:val="00231A88"/>
    <w:rsid w:val="00231FF6"/>
    <w:rsid w:val="00232EFA"/>
    <w:rsid w:val="00233E77"/>
    <w:rsid w:val="00234234"/>
    <w:rsid w:val="00234CB5"/>
    <w:rsid w:val="002357D7"/>
    <w:rsid w:val="00235FC6"/>
    <w:rsid w:val="00236C1F"/>
    <w:rsid w:val="00236D8F"/>
    <w:rsid w:val="00236E38"/>
    <w:rsid w:val="00236ED6"/>
    <w:rsid w:val="0023723B"/>
    <w:rsid w:val="002406A4"/>
    <w:rsid w:val="00240873"/>
    <w:rsid w:val="002408FA"/>
    <w:rsid w:val="00240A57"/>
    <w:rsid w:val="00240D31"/>
    <w:rsid w:val="00240E93"/>
    <w:rsid w:val="00241132"/>
    <w:rsid w:val="00241268"/>
    <w:rsid w:val="002413A3"/>
    <w:rsid w:val="002414D2"/>
    <w:rsid w:val="0024198D"/>
    <w:rsid w:val="00241C9F"/>
    <w:rsid w:val="00242D77"/>
    <w:rsid w:val="002431DB"/>
    <w:rsid w:val="0024332B"/>
    <w:rsid w:val="00243806"/>
    <w:rsid w:val="00243BD5"/>
    <w:rsid w:val="0024578A"/>
    <w:rsid w:val="00245D75"/>
    <w:rsid w:val="00245F2C"/>
    <w:rsid w:val="00246739"/>
    <w:rsid w:val="00246ABC"/>
    <w:rsid w:val="00246D7C"/>
    <w:rsid w:val="00250840"/>
    <w:rsid w:val="00251134"/>
    <w:rsid w:val="0025180C"/>
    <w:rsid w:val="002523BF"/>
    <w:rsid w:val="00252A03"/>
    <w:rsid w:val="00252BEE"/>
    <w:rsid w:val="0025362E"/>
    <w:rsid w:val="00253B8F"/>
    <w:rsid w:val="0025409E"/>
    <w:rsid w:val="00254163"/>
    <w:rsid w:val="0025491D"/>
    <w:rsid w:val="00254B2B"/>
    <w:rsid w:val="002561D2"/>
    <w:rsid w:val="00256D42"/>
    <w:rsid w:val="002570C3"/>
    <w:rsid w:val="002571FE"/>
    <w:rsid w:val="002572D4"/>
    <w:rsid w:val="002573CB"/>
    <w:rsid w:val="0025770C"/>
    <w:rsid w:val="00257A9F"/>
    <w:rsid w:val="0026181C"/>
    <w:rsid w:val="0026253B"/>
    <w:rsid w:val="00263E70"/>
    <w:rsid w:val="00264333"/>
    <w:rsid w:val="00264649"/>
    <w:rsid w:val="0026468B"/>
    <w:rsid w:val="00264B9D"/>
    <w:rsid w:val="00264DA1"/>
    <w:rsid w:val="00265D69"/>
    <w:rsid w:val="00266821"/>
    <w:rsid w:val="00266A92"/>
    <w:rsid w:val="00266F19"/>
    <w:rsid w:val="00267585"/>
    <w:rsid w:val="00267938"/>
    <w:rsid w:val="00267969"/>
    <w:rsid w:val="0027052F"/>
    <w:rsid w:val="00270574"/>
    <w:rsid w:val="00271449"/>
    <w:rsid w:val="00271699"/>
    <w:rsid w:val="0027297D"/>
    <w:rsid w:val="002729A5"/>
    <w:rsid w:val="00272D7D"/>
    <w:rsid w:val="002735C1"/>
    <w:rsid w:val="0027381C"/>
    <w:rsid w:val="0027402E"/>
    <w:rsid w:val="00274178"/>
    <w:rsid w:val="002755DB"/>
    <w:rsid w:val="0027572A"/>
    <w:rsid w:val="00275825"/>
    <w:rsid w:val="00275C84"/>
    <w:rsid w:val="0027680A"/>
    <w:rsid w:val="002778A1"/>
    <w:rsid w:val="002778D1"/>
    <w:rsid w:val="00277DC6"/>
    <w:rsid w:val="00277E2B"/>
    <w:rsid w:val="00280178"/>
    <w:rsid w:val="002807AC"/>
    <w:rsid w:val="00280B49"/>
    <w:rsid w:val="00280E93"/>
    <w:rsid w:val="00280F50"/>
    <w:rsid w:val="00281945"/>
    <w:rsid w:val="00282447"/>
    <w:rsid w:val="0028253B"/>
    <w:rsid w:val="0028257A"/>
    <w:rsid w:val="00282987"/>
    <w:rsid w:val="00282A04"/>
    <w:rsid w:val="0028316E"/>
    <w:rsid w:val="0028321E"/>
    <w:rsid w:val="00283548"/>
    <w:rsid w:val="00283694"/>
    <w:rsid w:val="002842F7"/>
    <w:rsid w:val="00284719"/>
    <w:rsid w:val="002849CB"/>
    <w:rsid w:val="002857EE"/>
    <w:rsid w:val="00285AC9"/>
    <w:rsid w:val="00285CF4"/>
    <w:rsid w:val="0028605E"/>
    <w:rsid w:val="00286800"/>
    <w:rsid w:val="00286EE0"/>
    <w:rsid w:val="002871F1"/>
    <w:rsid w:val="00287D39"/>
    <w:rsid w:val="0029026E"/>
    <w:rsid w:val="00290FD1"/>
    <w:rsid w:val="00291306"/>
    <w:rsid w:val="00291BCC"/>
    <w:rsid w:val="00291FA7"/>
    <w:rsid w:val="00292073"/>
    <w:rsid w:val="0029257C"/>
    <w:rsid w:val="00292809"/>
    <w:rsid w:val="00292DDE"/>
    <w:rsid w:val="0029327A"/>
    <w:rsid w:val="0029408D"/>
    <w:rsid w:val="0029457A"/>
    <w:rsid w:val="002947B9"/>
    <w:rsid w:val="002949CE"/>
    <w:rsid w:val="00294C24"/>
    <w:rsid w:val="002951F9"/>
    <w:rsid w:val="00295338"/>
    <w:rsid w:val="00295847"/>
    <w:rsid w:val="002962B3"/>
    <w:rsid w:val="0029640B"/>
    <w:rsid w:val="0029663E"/>
    <w:rsid w:val="00296736"/>
    <w:rsid w:val="00296B03"/>
    <w:rsid w:val="00296E0D"/>
    <w:rsid w:val="00297041"/>
    <w:rsid w:val="00297814"/>
    <w:rsid w:val="00297F84"/>
    <w:rsid w:val="002A0542"/>
    <w:rsid w:val="002A06E4"/>
    <w:rsid w:val="002A081F"/>
    <w:rsid w:val="002A0A73"/>
    <w:rsid w:val="002A0AA4"/>
    <w:rsid w:val="002A2C41"/>
    <w:rsid w:val="002A3CBE"/>
    <w:rsid w:val="002A3FC4"/>
    <w:rsid w:val="002A4562"/>
    <w:rsid w:val="002A45B0"/>
    <w:rsid w:val="002A6690"/>
    <w:rsid w:val="002A69C6"/>
    <w:rsid w:val="002A738D"/>
    <w:rsid w:val="002A769A"/>
    <w:rsid w:val="002B006D"/>
    <w:rsid w:val="002B203A"/>
    <w:rsid w:val="002B39CA"/>
    <w:rsid w:val="002B46BF"/>
    <w:rsid w:val="002B4847"/>
    <w:rsid w:val="002B4D9C"/>
    <w:rsid w:val="002B52B5"/>
    <w:rsid w:val="002B5E00"/>
    <w:rsid w:val="002B637E"/>
    <w:rsid w:val="002B66DB"/>
    <w:rsid w:val="002B6823"/>
    <w:rsid w:val="002B6F9A"/>
    <w:rsid w:val="002B7592"/>
    <w:rsid w:val="002B7A80"/>
    <w:rsid w:val="002B7C2A"/>
    <w:rsid w:val="002C00F6"/>
    <w:rsid w:val="002C027C"/>
    <w:rsid w:val="002C03AC"/>
    <w:rsid w:val="002C0903"/>
    <w:rsid w:val="002C0B8D"/>
    <w:rsid w:val="002C0EE4"/>
    <w:rsid w:val="002C0EFE"/>
    <w:rsid w:val="002C10A4"/>
    <w:rsid w:val="002C11AA"/>
    <w:rsid w:val="002C1287"/>
    <w:rsid w:val="002C1612"/>
    <w:rsid w:val="002C185F"/>
    <w:rsid w:val="002C1A58"/>
    <w:rsid w:val="002C1E7A"/>
    <w:rsid w:val="002C22F4"/>
    <w:rsid w:val="002C28FE"/>
    <w:rsid w:val="002C2D78"/>
    <w:rsid w:val="002C49F2"/>
    <w:rsid w:val="002C4AAF"/>
    <w:rsid w:val="002C53D3"/>
    <w:rsid w:val="002C56FF"/>
    <w:rsid w:val="002C65C7"/>
    <w:rsid w:val="002C6617"/>
    <w:rsid w:val="002C6CD0"/>
    <w:rsid w:val="002D0B64"/>
    <w:rsid w:val="002D1488"/>
    <w:rsid w:val="002D14C6"/>
    <w:rsid w:val="002D1AEA"/>
    <w:rsid w:val="002D27B1"/>
    <w:rsid w:val="002D2948"/>
    <w:rsid w:val="002D2BE0"/>
    <w:rsid w:val="002D322E"/>
    <w:rsid w:val="002D3367"/>
    <w:rsid w:val="002D341F"/>
    <w:rsid w:val="002D34E2"/>
    <w:rsid w:val="002D36AA"/>
    <w:rsid w:val="002D3E41"/>
    <w:rsid w:val="002D3EC6"/>
    <w:rsid w:val="002D4F91"/>
    <w:rsid w:val="002D57E5"/>
    <w:rsid w:val="002D5D6C"/>
    <w:rsid w:val="002D62DF"/>
    <w:rsid w:val="002D6440"/>
    <w:rsid w:val="002D74AC"/>
    <w:rsid w:val="002D7FF8"/>
    <w:rsid w:val="002E0DFA"/>
    <w:rsid w:val="002E1503"/>
    <w:rsid w:val="002E1DE4"/>
    <w:rsid w:val="002E2129"/>
    <w:rsid w:val="002E27D1"/>
    <w:rsid w:val="002E2A42"/>
    <w:rsid w:val="002E3577"/>
    <w:rsid w:val="002E39A2"/>
    <w:rsid w:val="002E3C0B"/>
    <w:rsid w:val="002E3C6C"/>
    <w:rsid w:val="002E3E48"/>
    <w:rsid w:val="002E4229"/>
    <w:rsid w:val="002E42AA"/>
    <w:rsid w:val="002E4357"/>
    <w:rsid w:val="002E44BD"/>
    <w:rsid w:val="002E4D5D"/>
    <w:rsid w:val="002E4DEE"/>
    <w:rsid w:val="002E5CBD"/>
    <w:rsid w:val="002E6214"/>
    <w:rsid w:val="002E7C88"/>
    <w:rsid w:val="002F252E"/>
    <w:rsid w:val="002F2782"/>
    <w:rsid w:val="002F2BD7"/>
    <w:rsid w:val="002F2E1D"/>
    <w:rsid w:val="002F459D"/>
    <w:rsid w:val="002F47B7"/>
    <w:rsid w:val="002F4944"/>
    <w:rsid w:val="002F590C"/>
    <w:rsid w:val="002F7964"/>
    <w:rsid w:val="002F7A75"/>
    <w:rsid w:val="00300417"/>
    <w:rsid w:val="003004FD"/>
    <w:rsid w:val="00300A1A"/>
    <w:rsid w:val="003010F1"/>
    <w:rsid w:val="00302402"/>
    <w:rsid w:val="003032D0"/>
    <w:rsid w:val="003038EC"/>
    <w:rsid w:val="0030411E"/>
    <w:rsid w:val="003044BC"/>
    <w:rsid w:val="00304A34"/>
    <w:rsid w:val="00304E10"/>
    <w:rsid w:val="00304E19"/>
    <w:rsid w:val="00305ABF"/>
    <w:rsid w:val="00305F2D"/>
    <w:rsid w:val="0030651A"/>
    <w:rsid w:val="0030697F"/>
    <w:rsid w:val="00306F2F"/>
    <w:rsid w:val="00307131"/>
    <w:rsid w:val="003076E5"/>
    <w:rsid w:val="003077AD"/>
    <w:rsid w:val="00307912"/>
    <w:rsid w:val="00307E18"/>
    <w:rsid w:val="0031010C"/>
    <w:rsid w:val="0031079A"/>
    <w:rsid w:val="003109D5"/>
    <w:rsid w:val="0031134E"/>
    <w:rsid w:val="003119D0"/>
    <w:rsid w:val="00311E99"/>
    <w:rsid w:val="00311FBB"/>
    <w:rsid w:val="003122B3"/>
    <w:rsid w:val="00312502"/>
    <w:rsid w:val="003125E9"/>
    <w:rsid w:val="00313910"/>
    <w:rsid w:val="003139CE"/>
    <w:rsid w:val="003144EB"/>
    <w:rsid w:val="003146B7"/>
    <w:rsid w:val="00314E19"/>
    <w:rsid w:val="003155F8"/>
    <w:rsid w:val="00315DC8"/>
    <w:rsid w:val="00315DE3"/>
    <w:rsid w:val="00315E2F"/>
    <w:rsid w:val="003162D2"/>
    <w:rsid w:val="00316D62"/>
    <w:rsid w:val="0031781C"/>
    <w:rsid w:val="0031798D"/>
    <w:rsid w:val="003203CE"/>
    <w:rsid w:val="00320F4C"/>
    <w:rsid w:val="003211B8"/>
    <w:rsid w:val="0032127D"/>
    <w:rsid w:val="0032144D"/>
    <w:rsid w:val="00321473"/>
    <w:rsid w:val="00321FA3"/>
    <w:rsid w:val="00322561"/>
    <w:rsid w:val="00322B75"/>
    <w:rsid w:val="00322EE4"/>
    <w:rsid w:val="0032377C"/>
    <w:rsid w:val="0032379B"/>
    <w:rsid w:val="00323893"/>
    <w:rsid w:val="003239E7"/>
    <w:rsid w:val="00323B29"/>
    <w:rsid w:val="00325379"/>
    <w:rsid w:val="00325ACB"/>
    <w:rsid w:val="0032656D"/>
    <w:rsid w:val="00326C88"/>
    <w:rsid w:val="00326DA7"/>
    <w:rsid w:val="00326E35"/>
    <w:rsid w:val="00330446"/>
    <w:rsid w:val="00330B1F"/>
    <w:rsid w:val="00330E83"/>
    <w:rsid w:val="00331593"/>
    <w:rsid w:val="00331655"/>
    <w:rsid w:val="003325B5"/>
    <w:rsid w:val="003327F2"/>
    <w:rsid w:val="00332BFD"/>
    <w:rsid w:val="00333AB8"/>
    <w:rsid w:val="00333B37"/>
    <w:rsid w:val="00333D70"/>
    <w:rsid w:val="00334339"/>
    <w:rsid w:val="00334786"/>
    <w:rsid w:val="00334EEC"/>
    <w:rsid w:val="00335249"/>
    <w:rsid w:val="00336468"/>
    <w:rsid w:val="003372A6"/>
    <w:rsid w:val="00337D9E"/>
    <w:rsid w:val="003400BA"/>
    <w:rsid w:val="00340A8D"/>
    <w:rsid w:val="00340C48"/>
    <w:rsid w:val="00341AF1"/>
    <w:rsid w:val="00342592"/>
    <w:rsid w:val="003442E2"/>
    <w:rsid w:val="0034430E"/>
    <w:rsid w:val="003445C9"/>
    <w:rsid w:val="0034479C"/>
    <w:rsid w:val="003458F2"/>
    <w:rsid w:val="00346A4E"/>
    <w:rsid w:val="0034757B"/>
    <w:rsid w:val="00347B8D"/>
    <w:rsid w:val="003500E6"/>
    <w:rsid w:val="0035093C"/>
    <w:rsid w:val="00350F0F"/>
    <w:rsid w:val="003524ED"/>
    <w:rsid w:val="0035266E"/>
    <w:rsid w:val="00354158"/>
    <w:rsid w:val="0035675D"/>
    <w:rsid w:val="003568BA"/>
    <w:rsid w:val="00356D9D"/>
    <w:rsid w:val="00357149"/>
    <w:rsid w:val="003571E4"/>
    <w:rsid w:val="00357A24"/>
    <w:rsid w:val="00357C7C"/>
    <w:rsid w:val="003603AF"/>
    <w:rsid w:val="003604CE"/>
    <w:rsid w:val="00360889"/>
    <w:rsid w:val="00360D2C"/>
    <w:rsid w:val="00361763"/>
    <w:rsid w:val="003619A4"/>
    <w:rsid w:val="00361A07"/>
    <w:rsid w:val="003620C0"/>
    <w:rsid w:val="00362A0D"/>
    <w:rsid w:val="00362B4C"/>
    <w:rsid w:val="00362BF1"/>
    <w:rsid w:val="00362DAC"/>
    <w:rsid w:val="00363205"/>
    <w:rsid w:val="00363DC7"/>
    <w:rsid w:val="00364006"/>
    <w:rsid w:val="00364185"/>
    <w:rsid w:val="003642E9"/>
    <w:rsid w:val="00364327"/>
    <w:rsid w:val="00365048"/>
    <w:rsid w:val="003660DE"/>
    <w:rsid w:val="00366403"/>
    <w:rsid w:val="00366908"/>
    <w:rsid w:val="00366A6C"/>
    <w:rsid w:val="00366EEB"/>
    <w:rsid w:val="003676A1"/>
    <w:rsid w:val="00367823"/>
    <w:rsid w:val="00370735"/>
    <w:rsid w:val="003707CB"/>
    <w:rsid w:val="0037141E"/>
    <w:rsid w:val="00371884"/>
    <w:rsid w:val="0037236C"/>
    <w:rsid w:val="003728E1"/>
    <w:rsid w:val="00373A38"/>
    <w:rsid w:val="003742DF"/>
    <w:rsid w:val="00374307"/>
    <w:rsid w:val="00375020"/>
    <w:rsid w:val="00375443"/>
    <w:rsid w:val="003757DC"/>
    <w:rsid w:val="00376A1C"/>
    <w:rsid w:val="0038081B"/>
    <w:rsid w:val="00380F71"/>
    <w:rsid w:val="00381119"/>
    <w:rsid w:val="00381495"/>
    <w:rsid w:val="003814EA"/>
    <w:rsid w:val="00381921"/>
    <w:rsid w:val="003820CF"/>
    <w:rsid w:val="00382742"/>
    <w:rsid w:val="00382827"/>
    <w:rsid w:val="00382ECA"/>
    <w:rsid w:val="00384180"/>
    <w:rsid w:val="003847D3"/>
    <w:rsid w:val="0038498F"/>
    <w:rsid w:val="003849A2"/>
    <w:rsid w:val="00384F98"/>
    <w:rsid w:val="0038532D"/>
    <w:rsid w:val="00386279"/>
    <w:rsid w:val="003878D7"/>
    <w:rsid w:val="00387E05"/>
    <w:rsid w:val="00387EA0"/>
    <w:rsid w:val="00390675"/>
    <w:rsid w:val="003906BC"/>
    <w:rsid w:val="00391144"/>
    <w:rsid w:val="00391C50"/>
    <w:rsid w:val="0039243B"/>
    <w:rsid w:val="00392652"/>
    <w:rsid w:val="00393693"/>
    <w:rsid w:val="00393AC3"/>
    <w:rsid w:val="00394170"/>
    <w:rsid w:val="003949C8"/>
    <w:rsid w:val="00394B93"/>
    <w:rsid w:val="00394EB7"/>
    <w:rsid w:val="00396AD8"/>
    <w:rsid w:val="00396E16"/>
    <w:rsid w:val="00397008"/>
    <w:rsid w:val="00397916"/>
    <w:rsid w:val="00397D6C"/>
    <w:rsid w:val="003A0084"/>
    <w:rsid w:val="003A01EA"/>
    <w:rsid w:val="003A0ED3"/>
    <w:rsid w:val="003A1A0B"/>
    <w:rsid w:val="003A1F53"/>
    <w:rsid w:val="003A265F"/>
    <w:rsid w:val="003A2673"/>
    <w:rsid w:val="003A2C0E"/>
    <w:rsid w:val="003A33F3"/>
    <w:rsid w:val="003A3531"/>
    <w:rsid w:val="003A3F09"/>
    <w:rsid w:val="003A4915"/>
    <w:rsid w:val="003A4DAA"/>
    <w:rsid w:val="003A51AF"/>
    <w:rsid w:val="003A5806"/>
    <w:rsid w:val="003A5852"/>
    <w:rsid w:val="003A594D"/>
    <w:rsid w:val="003A59AE"/>
    <w:rsid w:val="003A667E"/>
    <w:rsid w:val="003A6CEB"/>
    <w:rsid w:val="003A7202"/>
    <w:rsid w:val="003A72AD"/>
    <w:rsid w:val="003A75BE"/>
    <w:rsid w:val="003B00B5"/>
    <w:rsid w:val="003B0292"/>
    <w:rsid w:val="003B03FB"/>
    <w:rsid w:val="003B09BA"/>
    <w:rsid w:val="003B0A23"/>
    <w:rsid w:val="003B0B95"/>
    <w:rsid w:val="003B112E"/>
    <w:rsid w:val="003B2E11"/>
    <w:rsid w:val="003B3381"/>
    <w:rsid w:val="003B3E56"/>
    <w:rsid w:val="003B4161"/>
    <w:rsid w:val="003B46F0"/>
    <w:rsid w:val="003B4C24"/>
    <w:rsid w:val="003B50FB"/>
    <w:rsid w:val="003B5671"/>
    <w:rsid w:val="003B59AA"/>
    <w:rsid w:val="003B5F76"/>
    <w:rsid w:val="003B60A6"/>
    <w:rsid w:val="003B61D4"/>
    <w:rsid w:val="003B6456"/>
    <w:rsid w:val="003B6DBA"/>
    <w:rsid w:val="003B70F6"/>
    <w:rsid w:val="003B75CC"/>
    <w:rsid w:val="003B7BA7"/>
    <w:rsid w:val="003C00A1"/>
    <w:rsid w:val="003C06EE"/>
    <w:rsid w:val="003C207D"/>
    <w:rsid w:val="003C27AB"/>
    <w:rsid w:val="003C2C60"/>
    <w:rsid w:val="003C3246"/>
    <w:rsid w:val="003C3D18"/>
    <w:rsid w:val="003C403E"/>
    <w:rsid w:val="003C49A3"/>
    <w:rsid w:val="003C54EF"/>
    <w:rsid w:val="003C5A59"/>
    <w:rsid w:val="003C5B34"/>
    <w:rsid w:val="003C6391"/>
    <w:rsid w:val="003C69C5"/>
    <w:rsid w:val="003C7889"/>
    <w:rsid w:val="003C7E1C"/>
    <w:rsid w:val="003D0289"/>
    <w:rsid w:val="003D0847"/>
    <w:rsid w:val="003D09A5"/>
    <w:rsid w:val="003D0AAA"/>
    <w:rsid w:val="003D112F"/>
    <w:rsid w:val="003D39B6"/>
    <w:rsid w:val="003D3D12"/>
    <w:rsid w:val="003D3D6C"/>
    <w:rsid w:val="003D4419"/>
    <w:rsid w:val="003D632C"/>
    <w:rsid w:val="003D6570"/>
    <w:rsid w:val="003D7662"/>
    <w:rsid w:val="003D7668"/>
    <w:rsid w:val="003D7D92"/>
    <w:rsid w:val="003E0270"/>
    <w:rsid w:val="003E0584"/>
    <w:rsid w:val="003E0AE7"/>
    <w:rsid w:val="003E16DD"/>
    <w:rsid w:val="003E18A3"/>
    <w:rsid w:val="003E1AB7"/>
    <w:rsid w:val="003E21C7"/>
    <w:rsid w:val="003E224D"/>
    <w:rsid w:val="003E3521"/>
    <w:rsid w:val="003E39A7"/>
    <w:rsid w:val="003E413F"/>
    <w:rsid w:val="003E4A1A"/>
    <w:rsid w:val="003E4D4A"/>
    <w:rsid w:val="003E4F14"/>
    <w:rsid w:val="003E51BC"/>
    <w:rsid w:val="003E5226"/>
    <w:rsid w:val="003E5633"/>
    <w:rsid w:val="003E609F"/>
    <w:rsid w:val="003E6274"/>
    <w:rsid w:val="003E6422"/>
    <w:rsid w:val="003E671F"/>
    <w:rsid w:val="003E67D2"/>
    <w:rsid w:val="003E67F4"/>
    <w:rsid w:val="003E6ACC"/>
    <w:rsid w:val="003E702C"/>
    <w:rsid w:val="003F000A"/>
    <w:rsid w:val="003F09BB"/>
    <w:rsid w:val="003F0B33"/>
    <w:rsid w:val="003F0C4C"/>
    <w:rsid w:val="003F0DAF"/>
    <w:rsid w:val="003F13E3"/>
    <w:rsid w:val="003F13FC"/>
    <w:rsid w:val="003F226B"/>
    <w:rsid w:val="003F27DF"/>
    <w:rsid w:val="003F2F4B"/>
    <w:rsid w:val="003F33D1"/>
    <w:rsid w:val="003F3D86"/>
    <w:rsid w:val="003F3E04"/>
    <w:rsid w:val="003F3E1F"/>
    <w:rsid w:val="003F466A"/>
    <w:rsid w:val="003F480D"/>
    <w:rsid w:val="003F53C3"/>
    <w:rsid w:val="003F5822"/>
    <w:rsid w:val="003F5909"/>
    <w:rsid w:val="003F6BCC"/>
    <w:rsid w:val="003F7115"/>
    <w:rsid w:val="003F73F5"/>
    <w:rsid w:val="0040117A"/>
    <w:rsid w:val="004012B7"/>
    <w:rsid w:val="00401E1F"/>
    <w:rsid w:val="0040225C"/>
    <w:rsid w:val="00402D45"/>
    <w:rsid w:val="00402D47"/>
    <w:rsid w:val="004030B2"/>
    <w:rsid w:val="0040328E"/>
    <w:rsid w:val="004039FF"/>
    <w:rsid w:val="00404211"/>
    <w:rsid w:val="0040423A"/>
    <w:rsid w:val="00404B38"/>
    <w:rsid w:val="00404CAB"/>
    <w:rsid w:val="00404F55"/>
    <w:rsid w:val="00405AE6"/>
    <w:rsid w:val="004061CC"/>
    <w:rsid w:val="004062A1"/>
    <w:rsid w:val="00406344"/>
    <w:rsid w:val="0040719B"/>
    <w:rsid w:val="00407D33"/>
    <w:rsid w:val="00407E95"/>
    <w:rsid w:val="00410233"/>
    <w:rsid w:val="00410664"/>
    <w:rsid w:val="0041066F"/>
    <w:rsid w:val="0041089E"/>
    <w:rsid w:val="0041100F"/>
    <w:rsid w:val="0041107E"/>
    <w:rsid w:val="00411CA9"/>
    <w:rsid w:val="00411E96"/>
    <w:rsid w:val="004120FF"/>
    <w:rsid w:val="0041270E"/>
    <w:rsid w:val="004127F9"/>
    <w:rsid w:val="00412B72"/>
    <w:rsid w:val="004142EA"/>
    <w:rsid w:val="00414B45"/>
    <w:rsid w:val="00414EBE"/>
    <w:rsid w:val="00414F8B"/>
    <w:rsid w:val="00415960"/>
    <w:rsid w:val="00415A85"/>
    <w:rsid w:val="00415CE3"/>
    <w:rsid w:val="00416A22"/>
    <w:rsid w:val="00416C2B"/>
    <w:rsid w:val="00416CB6"/>
    <w:rsid w:val="0041727D"/>
    <w:rsid w:val="0041758B"/>
    <w:rsid w:val="00417A74"/>
    <w:rsid w:val="00417BE4"/>
    <w:rsid w:val="00417D8E"/>
    <w:rsid w:val="004202DF"/>
    <w:rsid w:val="00421045"/>
    <w:rsid w:val="004212DF"/>
    <w:rsid w:val="00421369"/>
    <w:rsid w:val="00421718"/>
    <w:rsid w:val="004217BF"/>
    <w:rsid w:val="00421B94"/>
    <w:rsid w:val="00421BC6"/>
    <w:rsid w:val="0042230A"/>
    <w:rsid w:val="004223B4"/>
    <w:rsid w:val="00422A9B"/>
    <w:rsid w:val="004246F8"/>
    <w:rsid w:val="0042490A"/>
    <w:rsid w:val="00424991"/>
    <w:rsid w:val="00424E59"/>
    <w:rsid w:val="00425147"/>
    <w:rsid w:val="00425751"/>
    <w:rsid w:val="00425BB9"/>
    <w:rsid w:val="00425CD7"/>
    <w:rsid w:val="00425EC1"/>
    <w:rsid w:val="00426404"/>
    <w:rsid w:val="00426536"/>
    <w:rsid w:val="004269FB"/>
    <w:rsid w:val="00426E32"/>
    <w:rsid w:val="004276EC"/>
    <w:rsid w:val="004307F5"/>
    <w:rsid w:val="00430B41"/>
    <w:rsid w:val="00430C96"/>
    <w:rsid w:val="00430FA0"/>
    <w:rsid w:val="004315C3"/>
    <w:rsid w:val="00431BEF"/>
    <w:rsid w:val="00431C50"/>
    <w:rsid w:val="00432890"/>
    <w:rsid w:val="00432C10"/>
    <w:rsid w:val="00432E69"/>
    <w:rsid w:val="0043311E"/>
    <w:rsid w:val="004333B6"/>
    <w:rsid w:val="00433A97"/>
    <w:rsid w:val="00433C2E"/>
    <w:rsid w:val="00433FD5"/>
    <w:rsid w:val="00434CCE"/>
    <w:rsid w:val="00434F79"/>
    <w:rsid w:val="00435054"/>
    <w:rsid w:val="004354D8"/>
    <w:rsid w:val="00436A7B"/>
    <w:rsid w:val="0043720F"/>
    <w:rsid w:val="00437257"/>
    <w:rsid w:val="00437988"/>
    <w:rsid w:val="00437CE4"/>
    <w:rsid w:val="00437D8B"/>
    <w:rsid w:val="004430FC"/>
    <w:rsid w:val="00444242"/>
    <w:rsid w:val="00444FAC"/>
    <w:rsid w:val="00445169"/>
    <w:rsid w:val="004453A0"/>
    <w:rsid w:val="00445633"/>
    <w:rsid w:val="00445FDD"/>
    <w:rsid w:val="004460B2"/>
    <w:rsid w:val="00446632"/>
    <w:rsid w:val="00446684"/>
    <w:rsid w:val="00446724"/>
    <w:rsid w:val="004469DF"/>
    <w:rsid w:val="00447932"/>
    <w:rsid w:val="004502A1"/>
    <w:rsid w:val="0045039D"/>
    <w:rsid w:val="00450985"/>
    <w:rsid w:val="004517F3"/>
    <w:rsid w:val="004534F1"/>
    <w:rsid w:val="00453942"/>
    <w:rsid w:val="00454252"/>
    <w:rsid w:val="00454DF0"/>
    <w:rsid w:val="00455384"/>
    <w:rsid w:val="0045577D"/>
    <w:rsid w:val="00455993"/>
    <w:rsid w:val="004566D4"/>
    <w:rsid w:val="00456EE2"/>
    <w:rsid w:val="00460E51"/>
    <w:rsid w:val="00461428"/>
    <w:rsid w:val="00461A3A"/>
    <w:rsid w:val="004626B4"/>
    <w:rsid w:val="00462C2C"/>
    <w:rsid w:val="00464D39"/>
    <w:rsid w:val="00465191"/>
    <w:rsid w:val="00465D93"/>
    <w:rsid w:val="00465DFD"/>
    <w:rsid w:val="00466036"/>
    <w:rsid w:val="0046633D"/>
    <w:rsid w:val="0046659D"/>
    <w:rsid w:val="0046682F"/>
    <w:rsid w:val="004672F3"/>
    <w:rsid w:val="00467822"/>
    <w:rsid w:val="004679F0"/>
    <w:rsid w:val="004708BE"/>
    <w:rsid w:val="0047224F"/>
    <w:rsid w:val="0047267B"/>
    <w:rsid w:val="00472E29"/>
    <w:rsid w:val="00473231"/>
    <w:rsid w:val="0047336F"/>
    <w:rsid w:val="004736A5"/>
    <w:rsid w:val="00473E8D"/>
    <w:rsid w:val="00474236"/>
    <w:rsid w:val="004748D9"/>
    <w:rsid w:val="00474DCD"/>
    <w:rsid w:val="00475F3E"/>
    <w:rsid w:val="00480797"/>
    <w:rsid w:val="00480931"/>
    <w:rsid w:val="00480951"/>
    <w:rsid w:val="00481192"/>
    <w:rsid w:val="00481911"/>
    <w:rsid w:val="00481F28"/>
    <w:rsid w:val="00482451"/>
    <w:rsid w:val="004831DD"/>
    <w:rsid w:val="004838F5"/>
    <w:rsid w:val="00483E99"/>
    <w:rsid w:val="00484735"/>
    <w:rsid w:val="00485EB1"/>
    <w:rsid w:val="00486D7D"/>
    <w:rsid w:val="00487354"/>
    <w:rsid w:val="0048780F"/>
    <w:rsid w:val="00487C52"/>
    <w:rsid w:val="004901D8"/>
    <w:rsid w:val="00491A66"/>
    <w:rsid w:val="00491E82"/>
    <w:rsid w:val="00492045"/>
    <w:rsid w:val="0049206F"/>
    <w:rsid w:val="004949E0"/>
    <w:rsid w:val="0049624C"/>
    <w:rsid w:val="004962B8"/>
    <w:rsid w:val="004963B9"/>
    <w:rsid w:val="004972A7"/>
    <w:rsid w:val="00497DF3"/>
    <w:rsid w:val="004A04FC"/>
    <w:rsid w:val="004A0BBB"/>
    <w:rsid w:val="004A1C5E"/>
    <w:rsid w:val="004A3EAC"/>
    <w:rsid w:val="004A41BE"/>
    <w:rsid w:val="004A4274"/>
    <w:rsid w:val="004A43CF"/>
    <w:rsid w:val="004A443A"/>
    <w:rsid w:val="004A47D7"/>
    <w:rsid w:val="004A4EC6"/>
    <w:rsid w:val="004A542E"/>
    <w:rsid w:val="004A58B6"/>
    <w:rsid w:val="004A60C2"/>
    <w:rsid w:val="004A6A9D"/>
    <w:rsid w:val="004A6F98"/>
    <w:rsid w:val="004A78E5"/>
    <w:rsid w:val="004A7A7F"/>
    <w:rsid w:val="004A7D64"/>
    <w:rsid w:val="004B06B3"/>
    <w:rsid w:val="004B0C12"/>
    <w:rsid w:val="004B0E53"/>
    <w:rsid w:val="004B12A3"/>
    <w:rsid w:val="004B1B50"/>
    <w:rsid w:val="004B1F1D"/>
    <w:rsid w:val="004B20E6"/>
    <w:rsid w:val="004B2573"/>
    <w:rsid w:val="004B2A11"/>
    <w:rsid w:val="004B40F5"/>
    <w:rsid w:val="004B44B7"/>
    <w:rsid w:val="004B4502"/>
    <w:rsid w:val="004B4EF1"/>
    <w:rsid w:val="004B4EFB"/>
    <w:rsid w:val="004B5005"/>
    <w:rsid w:val="004B51F3"/>
    <w:rsid w:val="004B59BB"/>
    <w:rsid w:val="004B5E01"/>
    <w:rsid w:val="004B632B"/>
    <w:rsid w:val="004B6A31"/>
    <w:rsid w:val="004B7E92"/>
    <w:rsid w:val="004C1FA2"/>
    <w:rsid w:val="004C2BE8"/>
    <w:rsid w:val="004C3531"/>
    <w:rsid w:val="004C37E0"/>
    <w:rsid w:val="004C3B26"/>
    <w:rsid w:val="004C3DC8"/>
    <w:rsid w:val="004C4598"/>
    <w:rsid w:val="004C47EE"/>
    <w:rsid w:val="004C4A3F"/>
    <w:rsid w:val="004C4E61"/>
    <w:rsid w:val="004C4FB5"/>
    <w:rsid w:val="004C53B5"/>
    <w:rsid w:val="004C579E"/>
    <w:rsid w:val="004C590D"/>
    <w:rsid w:val="004C593A"/>
    <w:rsid w:val="004C5C77"/>
    <w:rsid w:val="004C6867"/>
    <w:rsid w:val="004C6A02"/>
    <w:rsid w:val="004C74E3"/>
    <w:rsid w:val="004C7919"/>
    <w:rsid w:val="004C7E8D"/>
    <w:rsid w:val="004D032B"/>
    <w:rsid w:val="004D0491"/>
    <w:rsid w:val="004D04CC"/>
    <w:rsid w:val="004D1F78"/>
    <w:rsid w:val="004D2581"/>
    <w:rsid w:val="004D26B3"/>
    <w:rsid w:val="004D3B13"/>
    <w:rsid w:val="004D3CD0"/>
    <w:rsid w:val="004D454C"/>
    <w:rsid w:val="004D5541"/>
    <w:rsid w:val="004D7629"/>
    <w:rsid w:val="004D7666"/>
    <w:rsid w:val="004D778B"/>
    <w:rsid w:val="004D7DFE"/>
    <w:rsid w:val="004E0005"/>
    <w:rsid w:val="004E01B5"/>
    <w:rsid w:val="004E0A84"/>
    <w:rsid w:val="004E10E3"/>
    <w:rsid w:val="004E1485"/>
    <w:rsid w:val="004E239D"/>
    <w:rsid w:val="004E2E44"/>
    <w:rsid w:val="004E2EA5"/>
    <w:rsid w:val="004E35DF"/>
    <w:rsid w:val="004E37F0"/>
    <w:rsid w:val="004E3B21"/>
    <w:rsid w:val="004E414C"/>
    <w:rsid w:val="004E4B78"/>
    <w:rsid w:val="004E553A"/>
    <w:rsid w:val="004E5F5A"/>
    <w:rsid w:val="004E6143"/>
    <w:rsid w:val="004E73C9"/>
    <w:rsid w:val="004E7CF9"/>
    <w:rsid w:val="004F030E"/>
    <w:rsid w:val="004F0382"/>
    <w:rsid w:val="004F0690"/>
    <w:rsid w:val="004F1258"/>
    <w:rsid w:val="004F20D1"/>
    <w:rsid w:val="004F25B8"/>
    <w:rsid w:val="004F3518"/>
    <w:rsid w:val="004F45F7"/>
    <w:rsid w:val="004F4CF2"/>
    <w:rsid w:val="004F51C9"/>
    <w:rsid w:val="004F62AD"/>
    <w:rsid w:val="004F64C0"/>
    <w:rsid w:val="004F6742"/>
    <w:rsid w:val="004F7102"/>
    <w:rsid w:val="004F7869"/>
    <w:rsid w:val="004F7FAD"/>
    <w:rsid w:val="0050080F"/>
    <w:rsid w:val="00500CDB"/>
    <w:rsid w:val="005017B9"/>
    <w:rsid w:val="00502752"/>
    <w:rsid w:val="00502886"/>
    <w:rsid w:val="00502EEE"/>
    <w:rsid w:val="005036BB"/>
    <w:rsid w:val="0050372E"/>
    <w:rsid w:val="00503F60"/>
    <w:rsid w:val="0050410C"/>
    <w:rsid w:val="00504493"/>
    <w:rsid w:val="0050495F"/>
    <w:rsid w:val="005050C3"/>
    <w:rsid w:val="005053DF"/>
    <w:rsid w:val="0050572D"/>
    <w:rsid w:val="00505AA8"/>
    <w:rsid w:val="00505FC0"/>
    <w:rsid w:val="005068C8"/>
    <w:rsid w:val="00507271"/>
    <w:rsid w:val="00507966"/>
    <w:rsid w:val="00507994"/>
    <w:rsid w:val="00510BB1"/>
    <w:rsid w:val="00510F65"/>
    <w:rsid w:val="00511155"/>
    <w:rsid w:val="00511B9C"/>
    <w:rsid w:val="00511D6B"/>
    <w:rsid w:val="00512061"/>
    <w:rsid w:val="005124A7"/>
    <w:rsid w:val="00512AD4"/>
    <w:rsid w:val="00512CA1"/>
    <w:rsid w:val="00513363"/>
    <w:rsid w:val="00513728"/>
    <w:rsid w:val="0051394B"/>
    <w:rsid w:val="00513B9B"/>
    <w:rsid w:val="00513C16"/>
    <w:rsid w:val="00513C9D"/>
    <w:rsid w:val="00514215"/>
    <w:rsid w:val="00514613"/>
    <w:rsid w:val="005147BF"/>
    <w:rsid w:val="00514BB6"/>
    <w:rsid w:val="005152B5"/>
    <w:rsid w:val="0051546D"/>
    <w:rsid w:val="0051554D"/>
    <w:rsid w:val="0051623A"/>
    <w:rsid w:val="005163B9"/>
    <w:rsid w:val="005164E1"/>
    <w:rsid w:val="00516D25"/>
    <w:rsid w:val="00516F7E"/>
    <w:rsid w:val="005201F9"/>
    <w:rsid w:val="00520266"/>
    <w:rsid w:val="0052114C"/>
    <w:rsid w:val="0052118C"/>
    <w:rsid w:val="00521853"/>
    <w:rsid w:val="00521970"/>
    <w:rsid w:val="00521E42"/>
    <w:rsid w:val="0052243F"/>
    <w:rsid w:val="00522DEB"/>
    <w:rsid w:val="00522EBC"/>
    <w:rsid w:val="005238B1"/>
    <w:rsid w:val="00523AFE"/>
    <w:rsid w:val="00524532"/>
    <w:rsid w:val="0052594F"/>
    <w:rsid w:val="00525978"/>
    <w:rsid w:val="005273BC"/>
    <w:rsid w:val="0052764C"/>
    <w:rsid w:val="00527B0A"/>
    <w:rsid w:val="005309AF"/>
    <w:rsid w:val="00530AF0"/>
    <w:rsid w:val="00530BDC"/>
    <w:rsid w:val="00531391"/>
    <w:rsid w:val="00531C46"/>
    <w:rsid w:val="00532263"/>
    <w:rsid w:val="00532DB9"/>
    <w:rsid w:val="00532F9F"/>
    <w:rsid w:val="00532FFD"/>
    <w:rsid w:val="005335B6"/>
    <w:rsid w:val="005347B5"/>
    <w:rsid w:val="00535C9D"/>
    <w:rsid w:val="005360FA"/>
    <w:rsid w:val="00537DA5"/>
    <w:rsid w:val="0054003A"/>
    <w:rsid w:val="00540291"/>
    <w:rsid w:val="00541426"/>
    <w:rsid w:val="00542E3D"/>
    <w:rsid w:val="0054348C"/>
    <w:rsid w:val="0054376E"/>
    <w:rsid w:val="00544320"/>
    <w:rsid w:val="0054496C"/>
    <w:rsid w:val="00544E85"/>
    <w:rsid w:val="00545378"/>
    <w:rsid w:val="00545634"/>
    <w:rsid w:val="005458C7"/>
    <w:rsid w:val="00546073"/>
    <w:rsid w:val="00546EB1"/>
    <w:rsid w:val="0054754C"/>
    <w:rsid w:val="005479BC"/>
    <w:rsid w:val="00547C20"/>
    <w:rsid w:val="00550828"/>
    <w:rsid w:val="00550971"/>
    <w:rsid w:val="00550A4A"/>
    <w:rsid w:val="0055178C"/>
    <w:rsid w:val="00551E19"/>
    <w:rsid w:val="00552363"/>
    <w:rsid w:val="00552995"/>
    <w:rsid w:val="005545C0"/>
    <w:rsid w:val="00554634"/>
    <w:rsid w:val="005546D7"/>
    <w:rsid w:val="00554BB8"/>
    <w:rsid w:val="00555052"/>
    <w:rsid w:val="005551A0"/>
    <w:rsid w:val="00556C84"/>
    <w:rsid w:val="005570CE"/>
    <w:rsid w:val="005577E5"/>
    <w:rsid w:val="00557E44"/>
    <w:rsid w:val="00560401"/>
    <w:rsid w:val="00560C4E"/>
    <w:rsid w:val="00562541"/>
    <w:rsid w:val="0056287D"/>
    <w:rsid w:val="005629D3"/>
    <w:rsid w:val="0056353D"/>
    <w:rsid w:val="005637D3"/>
    <w:rsid w:val="005641A5"/>
    <w:rsid w:val="005646B8"/>
    <w:rsid w:val="00565460"/>
    <w:rsid w:val="00565EEB"/>
    <w:rsid w:val="005670A5"/>
    <w:rsid w:val="0056722D"/>
    <w:rsid w:val="005673AA"/>
    <w:rsid w:val="005676DA"/>
    <w:rsid w:val="00570BE1"/>
    <w:rsid w:val="00570FBB"/>
    <w:rsid w:val="0057288D"/>
    <w:rsid w:val="00573A68"/>
    <w:rsid w:val="0057407E"/>
    <w:rsid w:val="00574AB3"/>
    <w:rsid w:val="00574E9D"/>
    <w:rsid w:val="00575254"/>
    <w:rsid w:val="005768E1"/>
    <w:rsid w:val="00577681"/>
    <w:rsid w:val="00577AA7"/>
    <w:rsid w:val="00581198"/>
    <w:rsid w:val="005812CD"/>
    <w:rsid w:val="00581D5D"/>
    <w:rsid w:val="00581E10"/>
    <w:rsid w:val="00581FCA"/>
    <w:rsid w:val="00582103"/>
    <w:rsid w:val="0058240A"/>
    <w:rsid w:val="00582567"/>
    <w:rsid w:val="005831FF"/>
    <w:rsid w:val="0058392E"/>
    <w:rsid w:val="00584169"/>
    <w:rsid w:val="0058434F"/>
    <w:rsid w:val="00584BC4"/>
    <w:rsid w:val="005850E1"/>
    <w:rsid w:val="00585C8F"/>
    <w:rsid w:val="005861BC"/>
    <w:rsid w:val="0058654D"/>
    <w:rsid w:val="0058675B"/>
    <w:rsid w:val="00586C88"/>
    <w:rsid w:val="00587487"/>
    <w:rsid w:val="00587EF5"/>
    <w:rsid w:val="005900AE"/>
    <w:rsid w:val="005903A5"/>
    <w:rsid w:val="005904FF"/>
    <w:rsid w:val="00590A96"/>
    <w:rsid w:val="00590EB5"/>
    <w:rsid w:val="005911A3"/>
    <w:rsid w:val="00591EE9"/>
    <w:rsid w:val="00592FC8"/>
    <w:rsid w:val="005930B7"/>
    <w:rsid w:val="00593FC0"/>
    <w:rsid w:val="00594341"/>
    <w:rsid w:val="00594D34"/>
    <w:rsid w:val="00595DAC"/>
    <w:rsid w:val="00595F21"/>
    <w:rsid w:val="00595FA1"/>
    <w:rsid w:val="00596BBA"/>
    <w:rsid w:val="00596EF7"/>
    <w:rsid w:val="005972C8"/>
    <w:rsid w:val="005A0257"/>
    <w:rsid w:val="005A177E"/>
    <w:rsid w:val="005A18F4"/>
    <w:rsid w:val="005A1C7F"/>
    <w:rsid w:val="005A1DAE"/>
    <w:rsid w:val="005A31DA"/>
    <w:rsid w:val="005A32B6"/>
    <w:rsid w:val="005A3A5A"/>
    <w:rsid w:val="005A43B6"/>
    <w:rsid w:val="005A454B"/>
    <w:rsid w:val="005A4614"/>
    <w:rsid w:val="005A4D0C"/>
    <w:rsid w:val="005A519F"/>
    <w:rsid w:val="005A585A"/>
    <w:rsid w:val="005A59F2"/>
    <w:rsid w:val="005A63FE"/>
    <w:rsid w:val="005A6B7D"/>
    <w:rsid w:val="005A70ED"/>
    <w:rsid w:val="005B0152"/>
    <w:rsid w:val="005B01A4"/>
    <w:rsid w:val="005B01B1"/>
    <w:rsid w:val="005B047A"/>
    <w:rsid w:val="005B05C9"/>
    <w:rsid w:val="005B0CF4"/>
    <w:rsid w:val="005B1357"/>
    <w:rsid w:val="005B1558"/>
    <w:rsid w:val="005B17EB"/>
    <w:rsid w:val="005B18E9"/>
    <w:rsid w:val="005B1C02"/>
    <w:rsid w:val="005B2E76"/>
    <w:rsid w:val="005B3021"/>
    <w:rsid w:val="005B32F9"/>
    <w:rsid w:val="005B33CD"/>
    <w:rsid w:val="005B34F4"/>
    <w:rsid w:val="005B3D21"/>
    <w:rsid w:val="005B45E7"/>
    <w:rsid w:val="005B4C19"/>
    <w:rsid w:val="005B5162"/>
    <w:rsid w:val="005B572E"/>
    <w:rsid w:val="005B644E"/>
    <w:rsid w:val="005B675C"/>
    <w:rsid w:val="005B6911"/>
    <w:rsid w:val="005B6E6A"/>
    <w:rsid w:val="005B7A18"/>
    <w:rsid w:val="005C0373"/>
    <w:rsid w:val="005C03A1"/>
    <w:rsid w:val="005C046A"/>
    <w:rsid w:val="005C068E"/>
    <w:rsid w:val="005C10C7"/>
    <w:rsid w:val="005C15FF"/>
    <w:rsid w:val="005C18CC"/>
    <w:rsid w:val="005C1EF8"/>
    <w:rsid w:val="005C2427"/>
    <w:rsid w:val="005C24C7"/>
    <w:rsid w:val="005C2C84"/>
    <w:rsid w:val="005C3B72"/>
    <w:rsid w:val="005C3EF6"/>
    <w:rsid w:val="005C41AF"/>
    <w:rsid w:val="005C50E3"/>
    <w:rsid w:val="005C561D"/>
    <w:rsid w:val="005C677E"/>
    <w:rsid w:val="005C742A"/>
    <w:rsid w:val="005C7AA6"/>
    <w:rsid w:val="005C7DD6"/>
    <w:rsid w:val="005D008E"/>
    <w:rsid w:val="005D0594"/>
    <w:rsid w:val="005D0683"/>
    <w:rsid w:val="005D12F5"/>
    <w:rsid w:val="005D14A4"/>
    <w:rsid w:val="005D16B9"/>
    <w:rsid w:val="005D1827"/>
    <w:rsid w:val="005D2567"/>
    <w:rsid w:val="005D2890"/>
    <w:rsid w:val="005D2D9E"/>
    <w:rsid w:val="005D3505"/>
    <w:rsid w:val="005D3B60"/>
    <w:rsid w:val="005D4C9E"/>
    <w:rsid w:val="005D5252"/>
    <w:rsid w:val="005D6172"/>
    <w:rsid w:val="005D61F8"/>
    <w:rsid w:val="005D6CFD"/>
    <w:rsid w:val="005D7C30"/>
    <w:rsid w:val="005D7EAD"/>
    <w:rsid w:val="005E0019"/>
    <w:rsid w:val="005E0AB7"/>
    <w:rsid w:val="005E0B73"/>
    <w:rsid w:val="005E0DB5"/>
    <w:rsid w:val="005E1519"/>
    <w:rsid w:val="005E1C5E"/>
    <w:rsid w:val="005E2E80"/>
    <w:rsid w:val="005E3084"/>
    <w:rsid w:val="005E3B51"/>
    <w:rsid w:val="005E3EF0"/>
    <w:rsid w:val="005E4235"/>
    <w:rsid w:val="005E42F2"/>
    <w:rsid w:val="005E4B63"/>
    <w:rsid w:val="005E5228"/>
    <w:rsid w:val="005E52CE"/>
    <w:rsid w:val="005E58C3"/>
    <w:rsid w:val="005E5FA6"/>
    <w:rsid w:val="005E7699"/>
    <w:rsid w:val="005F01DD"/>
    <w:rsid w:val="005F030F"/>
    <w:rsid w:val="005F0AB3"/>
    <w:rsid w:val="005F0D5A"/>
    <w:rsid w:val="005F128F"/>
    <w:rsid w:val="005F189E"/>
    <w:rsid w:val="005F22E1"/>
    <w:rsid w:val="005F27AF"/>
    <w:rsid w:val="005F3ECE"/>
    <w:rsid w:val="005F4236"/>
    <w:rsid w:val="005F5577"/>
    <w:rsid w:val="005F604A"/>
    <w:rsid w:val="005F7723"/>
    <w:rsid w:val="005F7969"/>
    <w:rsid w:val="0060036F"/>
    <w:rsid w:val="006006E0"/>
    <w:rsid w:val="006007C0"/>
    <w:rsid w:val="006017DF"/>
    <w:rsid w:val="0060268C"/>
    <w:rsid w:val="006029DF"/>
    <w:rsid w:val="00602B8E"/>
    <w:rsid w:val="006033BB"/>
    <w:rsid w:val="006033FF"/>
    <w:rsid w:val="00603CE3"/>
    <w:rsid w:val="00603DCE"/>
    <w:rsid w:val="006040F8"/>
    <w:rsid w:val="006046F0"/>
    <w:rsid w:val="00605701"/>
    <w:rsid w:val="0060620F"/>
    <w:rsid w:val="00606501"/>
    <w:rsid w:val="006067F3"/>
    <w:rsid w:val="00606A0F"/>
    <w:rsid w:val="00607DB3"/>
    <w:rsid w:val="00610FA3"/>
    <w:rsid w:val="006114B6"/>
    <w:rsid w:val="0061156D"/>
    <w:rsid w:val="00611597"/>
    <w:rsid w:val="0061163F"/>
    <w:rsid w:val="00612E8C"/>
    <w:rsid w:val="00612F4F"/>
    <w:rsid w:val="00613DF1"/>
    <w:rsid w:val="00615455"/>
    <w:rsid w:val="006159D4"/>
    <w:rsid w:val="00616049"/>
    <w:rsid w:val="00616461"/>
    <w:rsid w:val="00616865"/>
    <w:rsid w:val="00616B91"/>
    <w:rsid w:val="00617837"/>
    <w:rsid w:val="00617A71"/>
    <w:rsid w:val="006201A6"/>
    <w:rsid w:val="00620774"/>
    <w:rsid w:val="006208EE"/>
    <w:rsid w:val="00620979"/>
    <w:rsid w:val="00620EDB"/>
    <w:rsid w:val="00621066"/>
    <w:rsid w:val="00621B57"/>
    <w:rsid w:val="00622090"/>
    <w:rsid w:val="0062278E"/>
    <w:rsid w:val="00622946"/>
    <w:rsid w:val="00622C25"/>
    <w:rsid w:val="006233D4"/>
    <w:rsid w:val="006233ED"/>
    <w:rsid w:val="00623407"/>
    <w:rsid w:val="0062384A"/>
    <w:rsid w:val="00623E06"/>
    <w:rsid w:val="00624439"/>
    <w:rsid w:val="00624B5F"/>
    <w:rsid w:val="006260EC"/>
    <w:rsid w:val="0062709E"/>
    <w:rsid w:val="00627F54"/>
    <w:rsid w:val="00630012"/>
    <w:rsid w:val="00630141"/>
    <w:rsid w:val="006304EB"/>
    <w:rsid w:val="0063092D"/>
    <w:rsid w:val="0063093E"/>
    <w:rsid w:val="00630B86"/>
    <w:rsid w:val="00631368"/>
    <w:rsid w:val="006326B7"/>
    <w:rsid w:val="00633134"/>
    <w:rsid w:val="00634D90"/>
    <w:rsid w:val="00635359"/>
    <w:rsid w:val="00636CAD"/>
    <w:rsid w:val="006377FE"/>
    <w:rsid w:val="00641CC2"/>
    <w:rsid w:val="00642107"/>
    <w:rsid w:val="0064292D"/>
    <w:rsid w:val="00643423"/>
    <w:rsid w:val="006435C1"/>
    <w:rsid w:val="00643A5F"/>
    <w:rsid w:val="006446C3"/>
    <w:rsid w:val="00644700"/>
    <w:rsid w:val="006449DF"/>
    <w:rsid w:val="00644C37"/>
    <w:rsid w:val="00644C50"/>
    <w:rsid w:val="00645507"/>
    <w:rsid w:val="00645F18"/>
    <w:rsid w:val="006466AD"/>
    <w:rsid w:val="0064689F"/>
    <w:rsid w:val="006471FE"/>
    <w:rsid w:val="006472DB"/>
    <w:rsid w:val="0064754E"/>
    <w:rsid w:val="00650351"/>
    <w:rsid w:val="0065081D"/>
    <w:rsid w:val="00650AFF"/>
    <w:rsid w:val="00650D2C"/>
    <w:rsid w:val="006511BF"/>
    <w:rsid w:val="00651BFD"/>
    <w:rsid w:val="00652182"/>
    <w:rsid w:val="006523EA"/>
    <w:rsid w:val="00652561"/>
    <w:rsid w:val="006527D0"/>
    <w:rsid w:val="006541ED"/>
    <w:rsid w:val="00655296"/>
    <w:rsid w:val="006554A9"/>
    <w:rsid w:val="00655EAE"/>
    <w:rsid w:val="00656D4A"/>
    <w:rsid w:val="00657248"/>
    <w:rsid w:val="0066122B"/>
    <w:rsid w:val="0066163C"/>
    <w:rsid w:val="006630BD"/>
    <w:rsid w:val="00663861"/>
    <w:rsid w:val="00663AF1"/>
    <w:rsid w:val="00663F20"/>
    <w:rsid w:val="00664006"/>
    <w:rsid w:val="006640E6"/>
    <w:rsid w:val="006649DA"/>
    <w:rsid w:val="00664E56"/>
    <w:rsid w:val="0066548F"/>
    <w:rsid w:val="006654E1"/>
    <w:rsid w:val="00665821"/>
    <w:rsid w:val="006664CC"/>
    <w:rsid w:val="0066653F"/>
    <w:rsid w:val="00666CED"/>
    <w:rsid w:val="00667EF3"/>
    <w:rsid w:val="0067008E"/>
    <w:rsid w:val="00670540"/>
    <w:rsid w:val="00671A13"/>
    <w:rsid w:val="00671ABE"/>
    <w:rsid w:val="00671D31"/>
    <w:rsid w:val="00671E7B"/>
    <w:rsid w:val="0067362B"/>
    <w:rsid w:val="00673973"/>
    <w:rsid w:val="00674228"/>
    <w:rsid w:val="00674D58"/>
    <w:rsid w:val="00675190"/>
    <w:rsid w:val="00675771"/>
    <w:rsid w:val="006758CD"/>
    <w:rsid w:val="00675BD0"/>
    <w:rsid w:val="00675D06"/>
    <w:rsid w:val="00675FDE"/>
    <w:rsid w:val="006772F5"/>
    <w:rsid w:val="0067755F"/>
    <w:rsid w:val="006803B1"/>
    <w:rsid w:val="00680928"/>
    <w:rsid w:val="0068146F"/>
    <w:rsid w:val="00681473"/>
    <w:rsid w:val="00681A42"/>
    <w:rsid w:val="00682F5A"/>
    <w:rsid w:val="006842E9"/>
    <w:rsid w:val="00684ED9"/>
    <w:rsid w:val="00684F50"/>
    <w:rsid w:val="00684FF5"/>
    <w:rsid w:val="006851C3"/>
    <w:rsid w:val="00685E48"/>
    <w:rsid w:val="00686337"/>
    <w:rsid w:val="006864CC"/>
    <w:rsid w:val="0068660F"/>
    <w:rsid w:val="00686C8C"/>
    <w:rsid w:val="00686DDF"/>
    <w:rsid w:val="00687942"/>
    <w:rsid w:val="00687CE2"/>
    <w:rsid w:val="006900E4"/>
    <w:rsid w:val="00690136"/>
    <w:rsid w:val="0069171B"/>
    <w:rsid w:val="00691895"/>
    <w:rsid w:val="00691B56"/>
    <w:rsid w:val="00691BFC"/>
    <w:rsid w:val="00692463"/>
    <w:rsid w:val="00693321"/>
    <w:rsid w:val="00693592"/>
    <w:rsid w:val="006936AD"/>
    <w:rsid w:val="00693CE1"/>
    <w:rsid w:val="00693D89"/>
    <w:rsid w:val="00693EB1"/>
    <w:rsid w:val="00694242"/>
    <w:rsid w:val="00694717"/>
    <w:rsid w:val="00694A97"/>
    <w:rsid w:val="00694A9F"/>
    <w:rsid w:val="006962DE"/>
    <w:rsid w:val="00696B4E"/>
    <w:rsid w:val="006970B9"/>
    <w:rsid w:val="006976AE"/>
    <w:rsid w:val="006A01AE"/>
    <w:rsid w:val="006A0677"/>
    <w:rsid w:val="006A07DE"/>
    <w:rsid w:val="006A0E34"/>
    <w:rsid w:val="006A1584"/>
    <w:rsid w:val="006A1708"/>
    <w:rsid w:val="006A1718"/>
    <w:rsid w:val="006A1804"/>
    <w:rsid w:val="006A42FC"/>
    <w:rsid w:val="006A443F"/>
    <w:rsid w:val="006A55AE"/>
    <w:rsid w:val="006A6578"/>
    <w:rsid w:val="006A6786"/>
    <w:rsid w:val="006A67B5"/>
    <w:rsid w:val="006A6E92"/>
    <w:rsid w:val="006A7DD3"/>
    <w:rsid w:val="006B0F6E"/>
    <w:rsid w:val="006B0FC2"/>
    <w:rsid w:val="006B0FDB"/>
    <w:rsid w:val="006B1200"/>
    <w:rsid w:val="006B142C"/>
    <w:rsid w:val="006B2C9B"/>
    <w:rsid w:val="006B2FE1"/>
    <w:rsid w:val="006B437C"/>
    <w:rsid w:val="006B4DFA"/>
    <w:rsid w:val="006B4FD0"/>
    <w:rsid w:val="006B60B4"/>
    <w:rsid w:val="006B6453"/>
    <w:rsid w:val="006B6568"/>
    <w:rsid w:val="006B6D83"/>
    <w:rsid w:val="006B6E0B"/>
    <w:rsid w:val="006B715E"/>
    <w:rsid w:val="006B7472"/>
    <w:rsid w:val="006B7E85"/>
    <w:rsid w:val="006B7F02"/>
    <w:rsid w:val="006C0764"/>
    <w:rsid w:val="006C125C"/>
    <w:rsid w:val="006C2823"/>
    <w:rsid w:val="006C2975"/>
    <w:rsid w:val="006C326E"/>
    <w:rsid w:val="006C3CDE"/>
    <w:rsid w:val="006C3D0A"/>
    <w:rsid w:val="006C53C9"/>
    <w:rsid w:val="006C5731"/>
    <w:rsid w:val="006C5AB2"/>
    <w:rsid w:val="006C7278"/>
    <w:rsid w:val="006C7AAB"/>
    <w:rsid w:val="006C7BAC"/>
    <w:rsid w:val="006D0476"/>
    <w:rsid w:val="006D0512"/>
    <w:rsid w:val="006D0526"/>
    <w:rsid w:val="006D0568"/>
    <w:rsid w:val="006D0A30"/>
    <w:rsid w:val="006D1614"/>
    <w:rsid w:val="006D175F"/>
    <w:rsid w:val="006D1BC5"/>
    <w:rsid w:val="006D2249"/>
    <w:rsid w:val="006D290D"/>
    <w:rsid w:val="006D30D8"/>
    <w:rsid w:val="006D5453"/>
    <w:rsid w:val="006D6553"/>
    <w:rsid w:val="006D6A66"/>
    <w:rsid w:val="006D6BBF"/>
    <w:rsid w:val="006D7BB9"/>
    <w:rsid w:val="006D7C8F"/>
    <w:rsid w:val="006D7EAD"/>
    <w:rsid w:val="006E041B"/>
    <w:rsid w:val="006E12B1"/>
    <w:rsid w:val="006E1401"/>
    <w:rsid w:val="006E2275"/>
    <w:rsid w:val="006E2312"/>
    <w:rsid w:val="006E23DE"/>
    <w:rsid w:val="006E2FE4"/>
    <w:rsid w:val="006E51FD"/>
    <w:rsid w:val="006E5E33"/>
    <w:rsid w:val="006E6148"/>
    <w:rsid w:val="006E6755"/>
    <w:rsid w:val="006E6B8F"/>
    <w:rsid w:val="006E6C49"/>
    <w:rsid w:val="006E6D66"/>
    <w:rsid w:val="006E71A3"/>
    <w:rsid w:val="006E793B"/>
    <w:rsid w:val="006F0515"/>
    <w:rsid w:val="006F0618"/>
    <w:rsid w:val="006F07A2"/>
    <w:rsid w:val="006F1711"/>
    <w:rsid w:val="006F2B48"/>
    <w:rsid w:val="006F3461"/>
    <w:rsid w:val="006F37E3"/>
    <w:rsid w:val="006F3808"/>
    <w:rsid w:val="006F396A"/>
    <w:rsid w:val="006F410B"/>
    <w:rsid w:val="006F44DE"/>
    <w:rsid w:val="006F4592"/>
    <w:rsid w:val="006F4996"/>
    <w:rsid w:val="006F4D72"/>
    <w:rsid w:val="006F4F03"/>
    <w:rsid w:val="006F55D8"/>
    <w:rsid w:val="006F56C0"/>
    <w:rsid w:val="006F5703"/>
    <w:rsid w:val="006F5866"/>
    <w:rsid w:val="006F69C7"/>
    <w:rsid w:val="006F7564"/>
    <w:rsid w:val="006F78BF"/>
    <w:rsid w:val="00700363"/>
    <w:rsid w:val="00700980"/>
    <w:rsid w:val="0070121F"/>
    <w:rsid w:val="0070188F"/>
    <w:rsid w:val="007022D8"/>
    <w:rsid w:val="00702603"/>
    <w:rsid w:val="00702FD6"/>
    <w:rsid w:val="007031A7"/>
    <w:rsid w:val="007035BA"/>
    <w:rsid w:val="0070444C"/>
    <w:rsid w:val="00705642"/>
    <w:rsid w:val="00705D37"/>
    <w:rsid w:val="00705D57"/>
    <w:rsid w:val="00705D83"/>
    <w:rsid w:val="00705F4E"/>
    <w:rsid w:val="00705FD0"/>
    <w:rsid w:val="00706965"/>
    <w:rsid w:val="00707273"/>
    <w:rsid w:val="00707C83"/>
    <w:rsid w:val="00707DCE"/>
    <w:rsid w:val="00707F72"/>
    <w:rsid w:val="00710975"/>
    <w:rsid w:val="00710A8A"/>
    <w:rsid w:val="00711BBA"/>
    <w:rsid w:val="00712C6A"/>
    <w:rsid w:val="00712D7C"/>
    <w:rsid w:val="007133E2"/>
    <w:rsid w:val="00714241"/>
    <w:rsid w:val="0071444B"/>
    <w:rsid w:val="00714529"/>
    <w:rsid w:val="0071511B"/>
    <w:rsid w:val="00715581"/>
    <w:rsid w:val="00715CDF"/>
    <w:rsid w:val="00715CF8"/>
    <w:rsid w:val="00715FE0"/>
    <w:rsid w:val="00716C53"/>
    <w:rsid w:val="00717CA1"/>
    <w:rsid w:val="00721109"/>
    <w:rsid w:val="00721611"/>
    <w:rsid w:val="0072194F"/>
    <w:rsid w:val="00722518"/>
    <w:rsid w:val="0072273A"/>
    <w:rsid w:val="00723E48"/>
    <w:rsid w:val="0072434D"/>
    <w:rsid w:val="007246B0"/>
    <w:rsid w:val="00724B6A"/>
    <w:rsid w:val="00727DC4"/>
    <w:rsid w:val="007300BE"/>
    <w:rsid w:val="007304D7"/>
    <w:rsid w:val="00730509"/>
    <w:rsid w:val="007305D0"/>
    <w:rsid w:val="00730AA0"/>
    <w:rsid w:val="00730D16"/>
    <w:rsid w:val="00730EE1"/>
    <w:rsid w:val="007311DB"/>
    <w:rsid w:val="007312EA"/>
    <w:rsid w:val="00732E27"/>
    <w:rsid w:val="00733AA8"/>
    <w:rsid w:val="00733BDC"/>
    <w:rsid w:val="00734353"/>
    <w:rsid w:val="007348CA"/>
    <w:rsid w:val="0073528A"/>
    <w:rsid w:val="00735C82"/>
    <w:rsid w:val="00735F65"/>
    <w:rsid w:val="007362A6"/>
    <w:rsid w:val="0073649F"/>
    <w:rsid w:val="00736C04"/>
    <w:rsid w:val="00736C0F"/>
    <w:rsid w:val="00737209"/>
    <w:rsid w:val="00737222"/>
    <w:rsid w:val="00740933"/>
    <w:rsid w:val="00740E38"/>
    <w:rsid w:val="00742301"/>
    <w:rsid w:val="00742432"/>
    <w:rsid w:val="007445B1"/>
    <w:rsid w:val="00744CDF"/>
    <w:rsid w:val="0074545B"/>
    <w:rsid w:val="00745B82"/>
    <w:rsid w:val="00747B7D"/>
    <w:rsid w:val="007505A3"/>
    <w:rsid w:val="0075216D"/>
    <w:rsid w:val="0075255A"/>
    <w:rsid w:val="00752786"/>
    <w:rsid w:val="00752D0F"/>
    <w:rsid w:val="0075374A"/>
    <w:rsid w:val="0075397B"/>
    <w:rsid w:val="00753A6D"/>
    <w:rsid w:val="00753C0E"/>
    <w:rsid w:val="00753E6A"/>
    <w:rsid w:val="007543B2"/>
    <w:rsid w:val="00754649"/>
    <w:rsid w:val="0075476C"/>
    <w:rsid w:val="00755AAA"/>
    <w:rsid w:val="00755ABA"/>
    <w:rsid w:val="00755B37"/>
    <w:rsid w:val="007567BC"/>
    <w:rsid w:val="00756842"/>
    <w:rsid w:val="00756876"/>
    <w:rsid w:val="00756AD7"/>
    <w:rsid w:val="00756BD1"/>
    <w:rsid w:val="00756DB4"/>
    <w:rsid w:val="00757807"/>
    <w:rsid w:val="00757ECF"/>
    <w:rsid w:val="007600CA"/>
    <w:rsid w:val="007604CB"/>
    <w:rsid w:val="00760ED6"/>
    <w:rsid w:val="007610A5"/>
    <w:rsid w:val="007616E4"/>
    <w:rsid w:val="00761977"/>
    <w:rsid w:val="00762041"/>
    <w:rsid w:val="00762121"/>
    <w:rsid w:val="00762402"/>
    <w:rsid w:val="007625E2"/>
    <w:rsid w:val="007635AF"/>
    <w:rsid w:val="0076392A"/>
    <w:rsid w:val="007639F7"/>
    <w:rsid w:val="00763DF9"/>
    <w:rsid w:val="00763EE0"/>
    <w:rsid w:val="0076404D"/>
    <w:rsid w:val="007642D3"/>
    <w:rsid w:val="00764BB2"/>
    <w:rsid w:val="00764F5D"/>
    <w:rsid w:val="00765176"/>
    <w:rsid w:val="007654BD"/>
    <w:rsid w:val="007665FE"/>
    <w:rsid w:val="00766C5A"/>
    <w:rsid w:val="00767C8F"/>
    <w:rsid w:val="007702DE"/>
    <w:rsid w:val="00770E6F"/>
    <w:rsid w:val="007715AE"/>
    <w:rsid w:val="007719C4"/>
    <w:rsid w:val="0077256E"/>
    <w:rsid w:val="007740CF"/>
    <w:rsid w:val="007743FE"/>
    <w:rsid w:val="00774816"/>
    <w:rsid w:val="00775000"/>
    <w:rsid w:val="0077513C"/>
    <w:rsid w:val="007759C6"/>
    <w:rsid w:val="00775CDC"/>
    <w:rsid w:val="00775D36"/>
    <w:rsid w:val="00775E42"/>
    <w:rsid w:val="00775FE6"/>
    <w:rsid w:val="00777171"/>
    <w:rsid w:val="007775B9"/>
    <w:rsid w:val="00777B02"/>
    <w:rsid w:val="00780006"/>
    <w:rsid w:val="00780222"/>
    <w:rsid w:val="00780442"/>
    <w:rsid w:val="00780CF5"/>
    <w:rsid w:val="00781661"/>
    <w:rsid w:val="007816C3"/>
    <w:rsid w:val="00782523"/>
    <w:rsid w:val="0078292B"/>
    <w:rsid w:val="00782935"/>
    <w:rsid w:val="00782978"/>
    <w:rsid w:val="00784170"/>
    <w:rsid w:val="007843D5"/>
    <w:rsid w:val="007843F5"/>
    <w:rsid w:val="007852DA"/>
    <w:rsid w:val="007861AD"/>
    <w:rsid w:val="00786936"/>
    <w:rsid w:val="0078741D"/>
    <w:rsid w:val="00787462"/>
    <w:rsid w:val="007876CF"/>
    <w:rsid w:val="00787CAC"/>
    <w:rsid w:val="007909CB"/>
    <w:rsid w:val="00790E51"/>
    <w:rsid w:val="00790EC6"/>
    <w:rsid w:val="00791281"/>
    <w:rsid w:val="00791355"/>
    <w:rsid w:val="00791D3B"/>
    <w:rsid w:val="007920DF"/>
    <w:rsid w:val="00792666"/>
    <w:rsid w:val="00793548"/>
    <w:rsid w:val="00794D23"/>
    <w:rsid w:val="00794F9D"/>
    <w:rsid w:val="00795075"/>
    <w:rsid w:val="00795512"/>
    <w:rsid w:val="00795C60"/>
    <w:rsid w:val="00795F74"/>
    <w:rsid w:val="00796046"/>
    <w:rsid w:val="0079697B"/>
    <w:rsid w:val="007969F3"/>
    <w:rsid w:val="00797167"/>
    <w:rsid w:val="00797811"/>
    <w:rsid w:val="007A03A3"/>
    <w:rsid w:val="007A06D3"/>
    <w:rsid w:val="007A1602"/>
    <w:rsid w:val="007A16D2"/>
    <w:rsid w:val="007A1A08"/>
    <w:rsid w:val="007A22F3"/>
    <w:rsid w:val="007A256D"/>
    <w:rsid w:val="007A3E88"/>
    <w:rsid w:val="007A48C1"/>
    <w:rsid w:val="007A4EBA"/>
    <w:rsid w:val="007A4F85"/>
    <w:rsid w:val="007A5885"/>
    <w:rsid w:val="007A5E5A"/>
    <w:rsid w:val="007A6789"/>
    <w:rsid w:val="007A6F71"/>
    <w:rsid w:val="007A768E"/>
    <w:rsid w:val="007A7746"/>
    <w:rsid w:val="007A7F2E"/>
    <w:rsid w:val="007B1461"/>
    <w:rsid w:val="007B2032"/>
    <w:rsid w:val="007B23D6"/>
    <w:rsid w:val="007B2694"/>
    <w:rsid w:val="007B2C1A"/>
    <w:rsid w:val="007B2D6A"/>
    <w:rsid w:val="007B34A0"/>
    <w:rsid w:val="007B3DDF"/>
    <w:rsid w:val="007B3E42"/>
    <w:rsid w:val="007B4044"/>
    <w:rsid w:val="007B4271"/>
    <w:rsid w:val="007B4DAF"/>
    <w:rsid w:val="007B5CC0"/>
    <w:rsid w:val="007B5CD8"/>
    <w:rsid w:val="007B5CF0"/>
    <w:rsid w:val="007B6058"/>
    <w:rsid w:val="007B6A9E"/>
    <w:rsid w:val="007B7364"/>
    <w:rsid w:val="007B79B2"/>
    <w:rsid w:val="007B7CB2"/>
    <w:rsid w:val="007C035B"/>
    <w:rsid w:val="007C052D"/>
    <w:rsid w:val="007C0612"/>
    <w:rsid w:val="007C07E0"/>
    <w:rsid w:val="007C0F0F"/>
    <w:rsid w:val="007C1145"/>
    <w:rsid w:val="007C14D1"/>
    <w:rsid w:val="007C17F4"/>
    <w:rsid w:val="007C1B00"/>
    <w:rsid w:val="007C1D35"/>
    <w:rsid w:val="007C2F8B"/>
    <w:rsid w:val="007C34CD"/>
    <w:rsid w:val="007C36F6"/>
    <w:rsid w:val="007C375C"/>
    <w:rsid w:val="007C3C87"/>
    <w:rsid w:val="007C516D"/>
    <w:rsid w:val="007C5569"/>
    <w:rsid w:val="007C5F69"/>
    <w:rsid w:val="007C6242"/>
    <w:rsid w:val="007C6B5B"/>
    <w:rsid w:val="007C6BD9"/>
    <w:rsid w:val="007C7158"/>
    <w:rsid w:val="007C7255"/>
    <w:rsid w:val="007C77EC"/>
    <w:rsid w:val="007D00DD"/>
    <w:rsid w:val="007D02F7"/>
    <w:rsid w:val="007D1DDE"/>
    <w:rsid w:val="007D2CD3"/>
    <w:rsid w:val="007D2E60"/>
    <w:rsid w:val="007D368A"/>
    <w:rsid w:val="007D3EB3"/>
    <w:rsid w:val="007D46A4"/>
    <w:rsid w:val="007D46CC"/>
    <w:rsid w:val="007D4A81"/>
    <w:rsid w:val="007D5FBD"/>
    <w:rsid w:val="007D66DE"/>
    <w:rsid w:val="007D6B22"/>
    <w:rsid w:val="007D71EE"/>
    <w:rsid w:val="007D7416"/>
    <w:rsid w:val="007E0389"/>
    <w:rsid w:val="007E0569"/>
    <w:rsid w:val="007E08A9"/>
    <w:rsid w:val="007E0EF0"/>
    <w:rsid w:val="007E1383"/>
    <w:rsid w:val="007E16B1"/>
    <w:rsid w:val="007E2602"/>
    <w:rsid w:val="007E29E3"/>
    <w:rsid w:val="007E2A52"/>
    <w:rsid w:val="007E2FB9"/>
    <w:rsid w:val="007E3F46"/>
    <w:rsid w:val="007E3FA7"/>
    <w:rsid w:val="007E51D5"/>
    <w:rsid w:val="007E548F"/>
    <w:rsid w:val="007E59B4"/>
    <w:rsid w:val="007E641D"/>
    <w:rsid w:val="007E652F"/>
    <w:rsid w:val="007E6C64"/>
    <w:rsid w:val="007E6E84"/>
    <w:rsid w:val="007E7793"/>
    <w:rsid w:val="007E7B4C"/>
    <w:rsid w:val="007E7F6A"/>
    <w:rsid w:val="007F07B6"/>
    <w:rsid w:val="007F1198"/>
    <w:rsid w:val="007F1251"/>
    <w:rsid w:val="007F1A2E"/>
    <w:rsid w:val="007F1BAA"/>
    <w:rsid w:val="007F31B2"/>
    <w:rsid w:val="007F4419"/>
    <w:rsid w:val="007F46F1"/>
    <w:rsid w:val="007F48C7"/>
    <w:rsid w:val="007F5AEF"/>
    <w:rsid w:val="007F5B27"/>
    <w:rsid w:val="007F63C4"/>
    <w:rsid w:val="007F79D3"/>
    <w:rsid w:val="007F7AC7"/>
    <w:rsid w:val="007F7CC7"/>
    <w:rsid w:val="008006E0"/>
    <w:rsid w:val="008007AE"/>
    <w:rsid w:val="00801040"/>
    <w:rsid w:val="00802211"/>
    <w:rsid w:val="008028E9"/>
    <w:rsid w:val="00802D8C"/>
    <w:rsid w:val="00803923"/>
    <w:rsid w:val="00803BCA"/>
    <w:rsid w:val="00803D52"/>
    <w:rsid w:val="008053FD"/>
    <w:rsid w:val="008059A9"/>
    <w:rsid w:val="00805C56"/>
    <w:rsid w:val="00805CD6"/>
    <w:rsid w:val="008061D7"/>
    <w:rsid w:val="00806582"/>
    <w:rsid w:val="00806914"/>
    <w:rsid w:val="0080744F"/>
    <w:rsid w:val="008074F6"/>
    <w:rsid w:val="00807ACB"/>
    <w:rsid w:val="008103DE"/>
    <w:rsid w:val="00810A9E"/>
    <w:rsid w:val="00810B48"/>
    <w:rsid w:val="0081135C"/>
    <w:rsid w:val="00811455"/>
    <w:rsid w:val="0081151B"/>
    <w:rsid w:val="00811DA5"/>
    <w:rsid w:val="0081293A"/>
    <w:rsid w:val="008131C9"/>
    <w:rsid w:val="00813275"/>
    <w:rsid w:val="008140A4"/>
    <w:rsid w:val="00815C03"/>
    <w:rsid w:val="00815DA7"/>
    <w:rsid w:val="00816CFD"/>
    <w:rsid w:val="0081736E"/>
    <w:rsid w:val="00817B70"/>
    <w:rsid w:val="00817D62"/>
    <w:rsid w:val="00820064"/>
    <w:rsid w:val="0082066A"/>
    <w:rsid w:val="0082071B"/>
    <w:rsid w:val="008207B6"/>
    <w:rsid w:val="0082177E"/>
    <w:rsid w:val="00821D6C"/>
    <w:rsid w:val="00822C25"/>
    <w:rsid w:val="00823C95"/>
    <w:rsid w:val="00824B7F"/>
    <w:rsid w:val="00824F3C"/>
    <w:rsid w:val="00824FB0"/>
    <w:rsid w:val="008253CB"/>
    <w:rsid w:val="0082588B"/>
    <w:rsid w:val="008258E4"/>
    <w:rsid w:val="00826068"/>
    <w:rsid w:val="00826D40"/>
    <w:rsid w:val="0082725B"/>
    <w:rsid w:val="00827532"/>
    <w:rsid w:val="008277D0"/>
    <w:rsid w:val="00827B0B"/>
    <w:rsid w:val="00827FD1"/>
    <w:rsid w:val="00830D7B"/>
    <w:rsid w:val="008310F5"/>
    <w:rsid w:val="008317C4"/>
    <w:rsid w:val="008318D1"/>
    <w:rsid w:val="00833906"/>
    <w:rsid w:val="008345D5"/>
    <w:rsid w:val="008347E5"/>
    <w:rsid w:val="00834881"/>
    <w:rsid w:val="008352DF"/>
    <w:rsid w:val="008353D6"/>
    <w:rsid w:val="00835EBF"/>
    <w:rsid w:val="0083610E"/>
    <w:rsid w:val="00836286"/>
    <w:rsid w:val="008363DF"/>
    <w:rsid w:val="008364F5"/>
    <w:rsid w:val="00836E1E"/>
    <w:rsid w:val="008374C2"/>
    <w:rsid w:val="0083793A"/>
    <w:rsid w:val="008379C6"/>
    <w:rsid w:val="00837AC3"/>
    <w:rsid w:val="00840309"/>
    <w:rsid w:val="008406A3"/>
    <w:rsid w:val="008415C1"/>
    <w:rsid w:val="008416BA"/>
    <w:rsid w:val="00842937"/>
    <w:rsid w:val="00842E32"/>
    <w:rsid w:val="0084317B"/>
    <w:rsid w:val="00843A7F"/>
    <w:rsid w:val="00844059"/>
    <w:rsid w:val="0084422D"/>
    <w:rsid w:val="00844B6E"/>
    <w:rsid w:val="008451C3"/>
    <w:rsid w:val="008451EC"/>
    <w:rsid w:val="008457C2"/>
    <w:rsid w:val="008460BE"/>
    <w:rsid w:val="00846306"/>
    <w:rsid w:val="00846448"/>
    <w:rsid w:val="008469FA"/>
    <w:rsid w:val="00847CCA"/>
    <w:rsid w:val="00847D30"/>
    <w:rsid w:val="00847ED4"/>
    <w:rsid w:val="00850186"/>
    <w:rsid w:val="00850CD9"/>
    <w:rsid w:val="00851097"/>
    <w:rsid w:val="0085120B"/>
    <w:rsid w:val="008512B7"/>
    <w:rsid w:val="0085160A"/>
    <w:rsid w:val="00851747"/>
    <w:rsid w:val="00851D22"/>
    <w:rsid w:val="00852261"/>
    <w:rsid w:val="008526E2"/>
    <w:rsid w:val="008527AE"/>
    <w:rsid w:val="00852B96"/>
    <w:rsid w:val="0085344F"/>
    <w:rsid w:val="00853A4B"/>
    <w:rsid w:val="008558B6"/>
    <w:rsid w:val="008569C7"/>
    <w:rsid w:val="00856D03"/>
    <w:rsid w:val="00856D3D"/>
    <w:rsid w:val="0085730D"/>
    <w:rsid w:val="00857E05"/>
    <w:rsid w:val="0086158D"/>
    <w:rsid w:val="00862DF8"/>
    <w:rsid w:val="0086334B"/>
    <w:rsid w:val="00863418"/>
    <w:rsid w:val="00864528"/>
    <w:rsid w:val="00866A17"/>
    <w:rsid w:val="00866CE9"/>
    <w:rsid w:val="00866FED"/>
    <w:rsid w:val="00867690"/>
    <w:rsid w:val="00867F61"/>
    <w:rsid w:val="00870E17"/>
    <w:rsid w:val="00871580"/>
    <w:rsid w:val="00871674"/>
    <w:rsid w:val="008718F9"/>
    <w:rsid w:val="00871C07"/>
    <w:rsid w:val="00871FCC"/>
    <w:rsid w:val="00872AAB"/>
    <w:rsid w:val="00872CC5"/>
    <w:rsid w:val="008735C7"/>
    <w:rsid w:val="00873BF3"/>
    <w:rsid w:val="00873F70"/>
    <w:rsid w:val="0087428F"/>
    <w:rsid w:val="008756F9"/>
    <w:rsid w:val="008757FC"/>
    <w:rsid w:val="00876232"/>
    <w:rsid w:val="008763BD"/>
    <w:rsid w:val="00876A6E"/>
    <w:rsid w:val="00876BE7"/>
    <w:rsid w:val="00876F77"/>
    <w:rsid w:val="00877B96"/>
    <w:rsid w:val="00877FD7"/>
    <w:rsid w:val="008800B2"/>
    <w:rsid w:val="00880CCB"/>
    <w:rsid w:val="00881680"/>
    <w:rsid w:val="00882377"/>
    <w:rsid w:val="00882EB0"/>
    <w:rsid w:val="00884792"/>
    <w:rsid w:val="00884EBA"/>
    <w:rsid w:val="0088521E"/>
    <w:rsid w:val="00885E14"/>
    <w:rsid w:val="0088631F"/>
    <w:rsid w:val="0088726D"/>
    <w:rsid w:val="0089057C"/>
    <w:rsid w:val="0089073D"/>
    <w:rsid w:val="00890907"/>
    <w:rsid w:val="00890BC4"/>
    <w:rsid w:val="00890D3B"/>
    <w:rsid w:val="00890EEE"/>
    <w:rsid w:val="008910FC"/>
    <w:rsid w:val="008912F0"/>
    <w:rsid w:val="008924AA"/>
    <w:rsid w:val="00892A2B"/>
    <w:rsid w:val="008935AB"/>
    <w:rsid w:val="0089378E"/>
    <w:rsid w:val="00893F32"/>
    <w:rsid w:val="00895368"/>
    <w:rsid w:val="00895C85"/>
    <w:rsid w:val="00895E43"/>
    <w:rsid w:val="00896393"/>
    <w:rsid w:val="00896D54"/>
    <w:rsid w:val="00896FB6"/>
    <w:rsid w:val="00897104"/>
    <w:rsid w:val="00897963"/>
    <w:rsid w:val="00897C21"/>
    <w:rsid w:val="00897C7D"/>
    <w:rsid w:val="008A0A3A"/>
    <w:rsid w:val="008A0C7A"/>
    <w:rsid w:val="008A1395"/>
    <w:rsid w:val="008A1543"/>
    <w:rsid w:val="008A1C8F"/>
    <w:rsid w:val="008A2A16"/>
    <w:rsid w:val="008A2BC7"/>
    <w:rsid w:val="008A2DC9"/>
    <w:rsid w:val="008A3204"/>
    <w:rsid w:val="008A381A"/>
    <w:rsid w:val="008A4514"/>
    <w:rsid w:val="008A4D76"/>
    <w:rsid w:val="008A4FF0"/>
    <w:rsid w:val="008A504D"/>
    <w:rsid w:val="008A53E0"/>
    <w:rsid w:val="008A6430"/>
    <w:rsid w:val="008A66CC"/>
    <w:rsid w:val="008A6771"/>
    <w:rsid w:val="008A6A44"/>
    <w:rsid w:val="008A6A5C"/>
    <w:rsid w:val="008A6DB0"/>
    <w:rsid w:val="008A6FED"/>
    <w:rsid w:val="008A72C2"/>
    <w:rsid w:val="008A779C"/>
    <w:rsid w:val="008A78F6"/>
    <w:rsid w:val="008B065B"/>
    <w:rsid w:val="008B06A0"/>
    <w:rsid w:val="008B0A92"/>
    <w:rsid w:val="008B0FB5"/>
    <w:rsid w:val="008B19E6"/>
    <w:rsid w:val="008B27FB"/>
    <w:rsid w:val="008B309A"/>
    <w:rsid w:val="008B39D1"/>
    <w:rsid w:val="008B3DB6"/>
    <w:rsid w:val="008B3E16"/>
    <w:rsid w:val="008B4CB5"/>
    <w:rsid w:val="008B4E18"/>
    <w:rsid w:val="008B5306"/>
    <w:rsid w:val="008B5B2F"/>
    <w:rsid w:val="008B6125"/>
    <w:rsid w:val="008B62CF"/>
    <w:rsid w:val="008B63D0"/>
    <w:rsid w:val="008B6CBC"/>
    <w:rsid w:val="008B7421"/>
    <w:rsid w:val="008B7AAF"/>
    <w:rsid w:val="008B7EE9"/>
    <w:rsid w:val="008C00BC"/>
    <w:rsid w:val="008C05CD"/>
    <w:rsid w:val="008C082F"/>
    <w:rsid w:val="008C0BD1"/>
    <w:rsid w:val="008C0D12"/>
    <w:rsid w:val="008C1657"/>
    <w:rsid w:val="008C1AA5"/>
    <w:rsid w:val="008C30A1"/>
    <w:rsid w:val="008C366E"/>
    <w:rsid w:val="008C3A4C"/>
    <w:rsid w:val="008C3C0D"/>
    <w:rsid w:val="008C4A9E"/>
    <w:rsid w:val="008C4F9D"/>
    <w:rsid w:val="008C4F9E"/>
    <w:rsid w:val="008C5599"/>
    <w:rsid w:val="008C5A14"/>
    <w:rsid w:val="008C6988"/>
    <w:rsid w:val="008C69B2"/>
    <w:rsid w:val="008C6A74"/>
    <w:rsid w:val="008C6ADB"/>
    <w:rsid w:val="008C6B4B"/>
    <w:rsid w:val="008C71BE"/>
    <w:rsid w:val="008C775A"/>
    <w:rsid w:val="008C778E"/>
    <w:rsid w:val="008C786F"/>
    <w:rsid w:val="008D07A4"/>
    <w:rsid w:val="008D0D0A"/>
    <w:rsid w:val="008D1480"/>
    <w:rsid w:val="008D21C5"/>
    <w:rsid w:val="008D2367"/>
    <w:rsid w:val="008D26ED"/>
    <w:rsid w:val="008D335C"/>
    <w:rsid w:val="008D34D7"/>
    <w:rsid w:val="008D3F7F"/>
    <w:rsid w:val="008D461D"/>
    <w:rsid w:val="008D49EA"/>
    <w:rsid w:val="008D52E5"/>
    <w:rsid w:val="008D596B"/>
    <w:rsid w:val="008D5AAD"/>
    <w:rsid w:val="008D5EB3"/>
    <w:rsid w:val="008D61A8"/>
    <w:rsid w:val="008D6481"/>
    <w:rsid w:val="008D65C6"/>
    <w:rsid w:val="008D6BFA"/>
    <w:rsid w:val="008D7520"/>
    <w:rsid w:val="008D7851"/>
    <w:rsid w:val="008D7E72"/>
    <w:rsid w:val="008E1AE5"/>
    <w:rsid w:val="008E1D08"/>
    <w:rsid w:val="008E24EA"/>
    <w:rsid w:val="008E2CFD"/>
    <w:rsid w:val="008E3768"/>
    <w:rsid w:val="008E384D"/>
    <w:rsid w:val="008E3EBA"/>
    <w:rsid w:val="008E6D05"/>
    <w:rsid w:val="008E70B5"/>
    <w:rsid w:val="008E7860"/>
    <w:rsid w:val="008E7C31"/>
    <w:rsid w:val="008F01DB"/>
    <w:rsid w:val="008F122D"/>
    <w:rsid w:val="008F1B6A"/>
    <w:rsid w:val="008F23E2"/>
    <w:rsid w:val="008F29A9"/>
    <w:rsid w:val="008F2A78"/>
    <w:rsid w:val="008F2E3D"/>
    <w:rsid w:val="008F309C"/>
    <w:rsid w:val="008F3BA2"/>
    <w:rsid w:val="008F5220"/>
    <w:rsid w:val="008F546C"/>
    <w:rsid w:val="008F54FD"/>
    <w:rsid w:val="008F6756"/>
    <w:rsid w:val="008F7DAC"/>
    <w:rsid w:val="009010F5"/>
    <w:rsid w:val="00901601"/>
    <w:rsid w:val="00901D64"/>
    <w:rsid w:val="00902510"/>
    <w:rsid w:val="00903016"/>
    <w:rsid w:val="009050A4"/>
    <w:rsid w:val="009051F7"/>
    <w:rsid w:val="00905954"/>
    <w:rsid w:val="00905AA6"/>
    <w:rsid w:val="00906855"/>
    <w:rsid w:val="009073F0"/>
    <w:rsid w:val="00907645"/>
    <w:rsid w:val="00907D8F"/>
    <w:rsid w:val="00907F45"/>
    <w:rsid w:val="00910454"/>
    <w:rsid w:val="009104DB"/>
    <w:rsid w:val="0091185C"/>
    <w:rsid w:val="00911F43"/>
    <w:rsid w:val="00912723"/>
    <w:rsid w:val="009129F4"/>
    <w:rsid w:val="00913733"/>
    <w:rsid w:val="009140F4"/>
    <w:rsid w:val="009145E7"/>
    <w:rsid w:val="009146F0"/>
    <w:rsid w:val="00914B8A"/>
    <w:rsid w:val="009150E1"/>
    <w:rsid w:val="00915413"/>
    <w:rsid w:val="00915C17"/>
    <w:rsid w:val="00915D07"/>
    <w:rsid w:val="00915FAB"/>
    <w:rsid w:val="009163E5"/>
    <w:rsid w:val="0091690C"/>
    <w:rsid w:val="00916C02"/>
    <w:rsid w:val="00916F65"/>
    <w:rsid w:val="00917169"/>
    <w:rsid w:val="0091720C"/>
    <w:rsid w:val="009175B5"/>
    <w:rsid w:val="009179E5"/>
    <w:rsid w:val="00917B95"/>
    <w:rsid w:val="0092109C"/>
    <w:rsid w:val="00921CF6"/>
    <w:rsid w:val="00921FEC"/>
    <w:rsid w:val="0092231F"/>
    <w:rsid w:val="00922D7F"/>
    <w:rsid w:val="0092357C"/>
    <w:rsid w:val="00923655"/>
    <w:rsid w:val="009238AE"/>
    <w:rsid w:val="009246C0"/>
    <w:rsid w:val="00924EE5"/>
    <w:rsid w:val="0092516A"/>
    <w:rsid w:val="009251E8"/>
    <w:rsid w:val="00925450"/>
    <w:rsid w:val="0092587E"/>
    <w:rsid w:val="009258CB"/>
    <w:rsid w:val="0092591D"/>
    <w:rsid w:val="0092594C"/>
    <w:rsid w:val="00926421"/>
    <w:rsid w:val="009264A5"/>
    <w:rsid w:val="009267DF"/>
    <w:rsid w:val="0092695E"/>
    <w:rsid w:val="00927ADB"/>
    <w:rsid w:val="009307E8"/>
    <w:rsid w:val="00930BBC"/>
    <w:rsid w:val="00931102"/>
    <w:rsid w:val="0093167D"/>
    <w:rsid w:val="00931957"/>
    <w:rsid w:val="00931FBA"/>
    <w:rsid w:val="00932462"/>
    <w:rsid w:val="00932815"/>
    <w:rsid w:val="00933320"/>
    <w:rsid w:val="009333B6"/>
    <w:rsid w:val="00933723"/>
    <w:rsid w:val="00933952"/>
    <w:rsid w:val="00934F42"/>
    <w:rsid w:val="00934F8C"/>
    <w:rsid w:val="00935212"/>
    <w:rsid w:val="0093674E"/>
    <w:rsid w:val="00936F0F"/>
    <w:rsid w:val="00937097"/>
    <w:rsid w:val="0093743D"/>
    <w:rsid w:val="009376C8"/>
    <w:rsid w:val="0093784B"/>
    <w:rsid w:val="00937F2B"/>
    <w:rsid w:val="009403C7"/>
    <w:rsid w:val="00940EFF"/>
    <w:rsid w:val="00941085"/>
    <w:rsid w:val="00941D9B"/>
    <w:rsid w:val="0094241F"/>
    <w:rsid w:val="00942487"/>
    <w:rsid w:val="00942756"/>
    <w:rsid w:val="00942803"/>
    <w:rsid w:val="009434FD"/>
    <w:rsid w:val="00943A9B"/>
    <w:rsid w:val="00943B63"/>
    <w:rsid w:val="00943E45"/>
    <w:rsid w:val="009441F2"/>
    <w:rsid w:val="00944645"/>
    <w:rsid w:val="00944B5A"/>
    <w:rsid w:val="00945257"/>
    <w:rsid w:val="009454CA"/>
    <w:rsid w:val="00946200"/>
    <w:rsid w:val="009464F2"/>
    <w:rsid w:val="0094675D"/>
    <w:rsid w:val="0094683D"/>
    <w:rsid w:val="00946962"/>
    <w:rsid w:val="00946B00"/>
    <w:rsid w:val="00946D5A"/>
    <w:rsid w:val="00946EE1"/>
    <w:rsid w:val="009473E5"/>
    <w:rsid w:val="009475EC"/>
    <w:rsid w:val="00950A3F"/>
    <w:rsid w:val="00950CB8"/>
    <w:rsid w:val="0095109A"/>
    <w:rsid w:val="00951604"/>
    <w:rsid w:val="009517BD"/>
    <w:rsid w:val="00951B23"/>
    <w:rsid w:val="0095265B"/>
    <w:rsid w:val="00952AEF"/>
    <w:rsid w:val="00952CFF"/>
    <w:rsid w:val="009544F9"/>
    <w:rsid w:val="00954C88"/>
    <w:rsid w:val="0095564B"/>
    <w:rsid w:val="00955C6D"/>
    <w:rsid w:val="0095650F"/>
    <w:rsid w:val="0095666E"/>
    <w:rsid w:val="009567B8"/>
    <w:rsid w:val="009572B6"/>
    <w:rsid w:val="00957650"/>
    <w:rsid w:val="00957931"/>
    <w:rsid w:val="009603A9"/>
    <w:rsid w:val="009607FE"/>
    <w:rsid w:val="0096080E"/>
    <w:rsid w:val="00960ABD"/>
    <w:rsid w:val="00961367"/>
    <w:rsid w:val="00961D5D"/>
    <w:rsid w:val="00962A8D"/>
    <w:rsid w:val="009630DA"/>
    <w:rsid w:val="00963FDD"/>
    <w:rsid w:val="009640B5"/>
    <w:rsid w:val="009646B8"/>
    <w:rsid w:val="00964812"/>
    <w:rsid w:val="009654DB"/>
    <w:rsid w:val="00965621"/>
    <w:rsid w:val="00965708"/>
    <w:rsid w:val="00965738"/>
    <w:rsid w:val="00965A5A"/>
    <w:rsid w:val="009661E6"/>
    <w:rsid w:val="0096664A"/>
    <w:rsid w:val="00966857"/>
    <w:rsid w:val="009668EE"/>
    <w:rsid w:val="00966E04"/>
    <w:rsid w:val="0096700F"/>
    <w:rsid w:val="0096767F"/>
    <w:rsid w:val="00967729"/>
    <w:rsid w:val="00971612"/>
    <w:rsid w:val="00972068"/>
    <w:rsid w:val="0097276B"/>
    <w:rsid w:val="009733F6"/>
    <w:rsid w:val="00973A1D"/>
    <w:rsid w:val="00973BFE"/>
    <w:rsid w:val="00973DC7"/>
    <w:rsid w:val="00973F35"/>
    <w:rsid w:val="0097439A"/>
    <w:rsid w:val="00974698"/>
    <w:rsid w:val="0097473D"/>
    <w:rsid w:val="00974FA7"/>
    <w:rsid w:val="00975A78"/>
    <w:rsid w:val="00977E84"/>
    <w:rsid w:val="00977E9B"/>
    <w:rsid w:val="00980160"/>
    <w:rsid w:val="00980E09"/>
    <w:rsid w:val="00981E1B"/>
    <w:rsid w:val="00982416"/>
    <w:rsid w:val="009828CC"/>
    <w:rsid w:val="009835CC"/>
    <w:rsid w:val="00983692"/>
    <w:rsid w:val="00983BBC"/>
    <w:rsid w:val="0098423D"/>
    <w:rsid w:val="00984A1F"/>
    <w:rsid w:val="00984CD6"/>
    <w:rsid w:val="00985250"/>
    <w:rsid w:val="00985603"/>
    <w:rsid w:val="00985DD6"/>
    <w:rsid w:val="00985F57"/>
    <w:rsid w:val="009860ED"/>
    <w:rsid w:val="00986784"/>
    <w:rsid w:val="00986A19"/>
    <w:rsid w:val="00987203"/>
    <w:rsid w:val="009874A4"/>
    <w:rsid w:val="0098788B"/>
    <w:rsid w:val="00987B97"/>
    <w:rsid w:val="00990336"/>
    <w:rsid w:val="00990666"/>
    <w:rsid w:val="00990B88"/>
    <w:rsid w:val="00990CC3"/>
    <w:rsid w:val="00990EF0"/>
    <w:rsid w:val="0099161F"/>
    <w:rsid w:val="009916D3"/>
    <w:rsid w:val="00991AEC"/>
    <w:rsid w:val="0099214C"/>
    <w:rsid w:val="0099218A"/>
    <w:rsid w:val="009921EB"/>
    <w:rsid w:val="00992D6F"/>
    <w:rsid w:val="00993C7B"/>
    <w:rsid w:val="00993F32"/>
    <w:rsid w:val="00994B24"/>
    <w:rsid w:val="00995CF7"/>
    <w:rsid w:val="009960A4"/>
    <w:rsid w:val="0099675B"/>
    <w:rsid w:val="00997475"/>
    <w:rsid w:val="0099755E"/>
    <w:rsid w:val="009977DA"/>
    <w:rsid w:val="00997D57"/>
    <w:rsid w:val="009A03AF"/>
    <w:rsid w:val="009A0429"/>
    <w:rsid w:val="009A0A9C"/>
    <w:rsid w:val="009A112A"/>
    <w:rsid w:val="009A156B"/>
    <w:rsid w:val="009A16CD"/>
    <w:rsid w:val="009A2445"/>
    <w:rsid w:val="009A257D"/>
    <w:rsid w:val="009A2DF2"/>
    <w:rsid w:val="009A2ECE"/>
    <w:rsid w:val="009A32BF"/>
    <w:rsid w:val="009A3478"/>
    <w:rsid w:val="009A3716"/>
    <w:rsid w:val="009A3E4D"/>
    <w:rsid w:val="009A3EA8"/>
    <w:rsid w:val="009A4585"/>
    <w:rsid w:val="009A4859"/>
    <w:rsid w:val="009A48EC"/>
    <w:rsid w:val="009A6237"/>
    <w:rsid w:val="009B013C"/>
    <w:rsid w:val="009B0217"/>
    <w:rsid w:val="009B136F"/>
    <w:rsid w:val="009B144F"/>
    <w:rsid w:val="009B158A"/>
    <w:rsid w:val="009B15F8"/>
    <w:rsid w:val="009B16EC"/>
    <w:rsid w:val="009B19B0"/>
    <w:rsid w:val="009B2519"/>
    <w:rsid w:val="009B274B"/>
    <w:rsid w:val="009B2E55"/>
    <w:rsid w:val="009B2F97"/>
    <w:rsid w:val="009B35A9"/>
    <w:rsid w:val="009B45E9"/>
    <w:rsid w:val="009B486B"/>
    <w:rsid w:val="009B4D8E"/>
    <w:rsid w:val="009B54DB"/>
    <w:rsid w:val="009B57DD"/>
    <w:rsid w:val="009B6126"/>
    <w:rsid w:val="009B6320"/>
    <w:rsid w:val="009B63DA"/>
    <w:rsid w:val="009B7DEC"/>
    <w:rsid w:val="009C0559"/>
    <w:rsid w:val="009C07BD"/>
    <w:rsid w:val="009C08C6"/>
    <w:rsid w:val="009C0A60"/>
    <w:rsid w:val="009C0D23"/>
    <w:rsid w:val="009C105F"/>
    <w:rsid w:val="009C151D"/>
    <w:rsid w:val="009C1712"/>
    <w:rsid w:val="009C1A7A"/>
    <w:rsid w:val="009C24FE"/>
    <w:rsid w:val="009C2604"/>
    <w:rsid w:val="009C2AAE"/>
    <w:rsid w:val="009C33B4"/>
    <w:rsid w:val="009C47EC"/>
    <w:rsid w:val="009C48BF"/>
    <w:rsid w:val="009C5859"/>
    <w:rsid w:val="009C5F54"/>
    <w:rsid w:val="009C60A8"/>
    <w:rsid w:val="009C6299"/>
    <w:rsid w:val="009C681F"/>
    <w:rsid w:val="009C68DC"/>
    <w:rsid w:val="009C69CF"/>
    <w:rsid w:val="009C71C1"/>
    <w:rsid w:val="009C77C9"/>
    <w:rsid w:val="009C7B87"/>
    <w:rsid w:val="009D0196"/>
    <w:rsid w:val="009D0BEA"/>
    <w:rsid w:val="009D0F54"/>
    <w:rsid w:val="009D23EC"/>
    <w:rsid w:val="009D2725"/>
    <w:rsid w:val="009D2A4A"/>
    <w:rsid w:val="009D300D"/>
    <w:rsid w:val="009D3EB4"/>
    <w:rsid w:val="009D4203"/>
    <w:rsid w:val="009D43B4"/>
    <w:rsid w:val="009D4E45"/>
    <w:rsid w:val="009D5C42"/>
    <w:rsid w:val="009D6095"/>
    <w:rsid w:val="009D68DA"/>
    <w:rsid w:val="009E04FF"/>
    <w:rsid w:val="009E1CD3"/>
    <w:rsid w:val="009E24B5"/>
    <w:rsid w:val="009E269D"/>
    <w:rsid w:val="009E28B2"/>
    <w:rsid w:val="009E3A19"/>
    <w:rsid w:val="009E49A8"/>
    <w:rsid w:val="009E49C4"/>
    <w:rsid w:val="009E585A"/>
    <w:rsid w:val="009E5A3D"/>
    <w:rsid w:val="009E6078"/>
    <w:rsid w:val="009E6761"/>
    <w:rsid w:val="009E69F5"/>
    <w:rsid w:val="009E7687"/>
    <w:rsid w:val="009E76DF"/>
    <w:rsid w:val="009E7F4B"/>
    <w:rsid w:val="009E7FB5"/>
    <w:rsid w:val="009F0792"/>
    <w:rsid w:val="009F0B2D"/>
    <w:rsid w:val="009F1F7A"/>
    <w:rsid w:val="009F21AC"/>
    <w:rsid w:val="009F28EE"/>
    <w:rsid w:val="009F2B83"/>
    <w:rsid w:val="009F388A"/>
    <w:rsid w:val="009F3AA5"/>
    <w:rsid w:val="009F4714"/>
    <w:rsid w:val="009F4C7D"/>
    <w:rsid w:val="009F5E95"/>
    <w:rsid w:val="009F5F20"/>
    <w:rsid w:val="009F613E"/>
    <w:rsid w:val="009F61C4"/>
    <w:rsid w:val="009F7856"/>
    <w:rsid w:val="009F7D07"/>
    <w:rsid w:val="00A0067D"/>
    <w:rsid w:val="00A00C60"/>
    <w:rsid w:val="00A01822"/>
    <w:rsid w:val="00A02F3F"/>
    <w:rsid w:val="00A03778"/>
    <w:rsid w:val="00A03E8E"/>
    <w:rsid w:val="00A04325"/>
    <w:rsid w:val="00A05251"/>
    <w:rsid w:val="00A055F9"/>
    <w:rsid w:val="00A0682A"/>
    <w:rsid w:val="00A0687D"/>
    <w:rsid w:val="00A07D24"/>
    <w:rsid w:val="00A07F57"/>
    <w:rsid w:val="00A106A7"/>
    <w:rsid w:val="00A114C7"/>
    <w:rsid w:val="00A11547"/>
    <w:rsid w:val="00A11606"/>
    <w:rsid w:val="00A11693"/>
    <w:rsid w:val="00A1202F"/>
    <w:rsid w:val="00A123C7"/>
    <w:rsid w:val="00A124CB"/>
    <w:rsid w:val="00A124D1"/>
    <w:rsid w:val="00A1291F"/>
    <w:rsid w:val="00A148CF"/>
    <w:rsid w:val="00A153A3"/>
    <w:rsid w:val="00A155A4"/>
    <w:rsid w:val="00A15761"/>
    <w:rsid w:val="00A1585A"/>
    <w:rsid w:val="00A16CF7"/>
    <w:rsid w:val="00A16D84"/>
    <w:rsid w:val="00A17726"/>
    <w:rsid w:val="00A17FB1"/>
    <w:rsid w:val="00A202EA"/>
    <w:rsid w:val="00A20BD4"/>
    <w:rsid w:val="00A2115B"/>
    <w:rsid w:val="00A22C53"/>
    <w:rsid w:val="00A23983"/>
    <w:rsid w:val="00A249EC"/>
    <w:rsid w:val="00A255EF"/>
    <w:rsid w:val="00A26290"/>
    <w:rsid w:val="00A2646E"/>
    <w:rsid w:val="00A26A98"/>
    <w:rsid w:val="00A27849"/>
    <w:rsid w:val="00A27957"/>
    <w:rsid w:val="00A27D53"/>
    <w:rsid w:val="00A27FDD"/>
    <w:rsid w:val="00A303A9"/>
    <w:rsid w:val="00A304C4"/>
    <w:rsid w:val="00A30DD4"/>
    <w:rsid w:val="00A30E3C"/>
    <w:rsid w:val="00A3207A"/>
    <w:rsid w:val="00A323D5"/>
    <w:rsid w:val="00A32419"/>
    <w:rsid w:val="00A32A26"/>
    <w:rsid w:val="00A33AF8"/>
    <w:rsid w:val="00A34326"/>
    <w:rsid w:val="00A35491"/>
    <w:rsid w:val="00A363AF"/>
    <w:rsid w:val="00A36563"/>
    <w:rsid w:val="00A3666B"/>
    <w:rsid w:val="00A36ABC"/>
    <w:rsid w:val="00A36FF1"/>
    <w:rsid w:val="00A403B4"/>
    <w:rsid w:val="00A40D82"/>
    <w:rsid w:val="00A42B13"/>
    <w:rsid w:val="00A42E80"/>
    <w:rsid w:val="00A43161"/>
    <w:rsid w:val="00A437B0"/>
    <w:rsid w:val="00A437BC"/>
    <w:rsid w:val="00A43CB1"/>
    <w:rsid w:val="00A43ED4"/>
    <w:rsid w:val="00A44670"/>
    <w:rsid w:val="00A44A66"/>
    <w:rsid w:val="00A44ACA"/>
    <w:rsid w:val="00A44E6A"/>
    <w:rsid w:val="00A4604E"/>
    <w:rsid w:val="00A46699"/>
    <w:rsid w:val="00A47181"/>
    <w:rsid w:val="00A4778A"/>
    <w:rsid w:val="00A4785C"/>
    <w:rsid w:val="00A47EA1"/>
    <w:rsid w:val="00A503D7"/>
    <w:rsid w:val="00A503EA"/>
    <w:rsid w:val="00A50607"/>
    <w:rsid w:val="00A51294"/>
    <w:rsid w:val="00A51B56"/>
    <w:rsid w:val="00A52493"/>
    <w:rsid w:val="00A52644"/>
    <w:rsid w:val="00A527C3"/>
    <w:rsid w:val="00A52915"/>
    <w:rsid w:val="00A5358E"/>
    <w:rsid w:val="00A53A55"/>
    <w:rsid w:val="00A540C0"/>
    <w:rsid w:val="00A5420C"/>
    <w:rsid w:val="00A5424F"/>
    <w:rsid w:val="00A54498"/>
    <w:rsid w:val="00A5608C"/>
    <w:rsid w:val="00A5617C"/>
    <w:rsid w:val="00A5641B"/>
    <w:rsid w:val="00A564C9"/>
    <w:rsid w:val="00A56612"/>
    <w:rsid w:val="00A56718"/>
    <w:rsid w:val="00A567B7"/>
    <w:rsid w:val="00A569C0"/>
    <w:rsid w:val="00A56FFE"/>
    <w:rsid w:val="00A57C74"/>
    <w:rsid w:val="00A6042D"/>
    <w:rsid w:val="00A604F6"/>
    <w:rsid w:val="00A606B6"/>
    <w:rsid w:val="00A60815"/>
    <w:rsid w:val="00A60EFD"/>
    <w:rsid w:val="00A612AD"/>
    <w:rsid w:val="00A6197A"/>
    <w:rsid w:val="00A61D15"/>
    <w:rsid w:val="00A628A4"/>
    <w:rsid w:val="00A62D0F"/>
    <w:rsid w:val="00A63038"/>
    <w:rsid w:val="00A631A5"/>
    <w:rsid w:val="00A6349C"/>
    <w:rsid w:val="00A63A9E"/>
    <w:rsid w:val="00A63DC9"/>
    <w:rsid w:val="00A6401B"/>
    <w:rsid w:val="00A64098"/>
    <w:rsid w:val="00A646C5"/>
    <w:rsid w:val="00A649E8"/>
    <w:rsid w:val="00A656CE"/>
    <w:rsid w:val="00A6694F"/>
    <w:rsid w:val="00A66C4B"/>
    <w:rsid w:val="00A703F7"/>
    <w:rsid w:val="00A70BAC"/>
    <w:rsid w:val="00A72D09"/>
    <w:rsid w:val="00A73431"/>
    <w:rsid w:val="00A73C8A"/>
    <w:rsid w:val="00A743A3"/>
    <w:rsid w:val="00A74902"/>
    <w:rsid w:val="00A75187"/>
    <w:rsid w:val="00A75336"/>
    <w:rsid w:val="00A76370"/>
    <w:rsid w:val="00A768E3"/>
    <w:rsid w:val="00A76C9D"/>
    <w:rsid w:val="00A76D0C"/>
    <w:rsid w:val="00A8019C"/>
    <w:rsid w:val="00A806A0"/>
    <w:rsid w:val="00A808D1"/>
    <w:rsid w:val="00A80A48"/>
    <w:rsid w:val="00A80B9D"/>
    <w:rsid w:val="00A80C5D"/>
    <w:rsid w:val="00A80EF2"/>
    <w:rsid w:val="00A8101E"/>
    <w:rsid w:val="00A8143A"/>
    <w:rsid w:val="00A8193D"/>
    <w:rsid w:val="00A81A32"/>
    <w:rsid w:val="00A81AE8"/>
    <w:rsid w:val="00A823AB"/>
    <w:rsid w:val="00A82708"/>
    <w:rsid w:val="00A82FB2"/>
    <w:rsid w:val="00A8346F"/>
    <w:rsid w:val="00A83532"/>
    <w:rsid w:val="00A83708"/>
    <w:rsid w:val="00A839DD"/>
    <w:rsid w:val="00A83ADC"/>
    <w:rsid w:val="00A84A8E"/>
    <w:rsid w:val="00A8507D"/>
    <w:rsid w:val="00A851E6"/>
    <w:rsid w:val="00A856F3"/>
    <w:rsid w:val="00A85934"/>
    <w:rsid w:val="00A85AE7"/>
    <w:rsid w:val="00A85EA8"/>
    <w:rsid w:val="00A85F6A"/>
    <w:rsid w:val="00A86B48"/>
    <w:rsid w:val="00A86F52"/>
    <w:rsid w:val="00A87402"/>
    <w:rsid w:val="00A87693"/>
    <w:rsid w:val="00A911B9"/>
    <w:rsid w:val="00A91422"/>
    <w:rsid w:val="00A914A1"/>
    <w:rsid w:val="00A91C66"/>
    <w:rsid w:val="00A9204D"/>
    <w:rsid w:val="00A92547"/>
    <w:rsid w:val="00A9273B"/>
    <w:rsid w:val="00A933AB"/>
    <w:rsid w:val="00A933D6"/>
    <w:rsid w:val="00A937B4"/>
    <w:rsid w:val="00A93992"/>
    <w:rsid w:val="00A9402A"/>
    <w:rsid w:val="00A94B7D"/>
    <w:rsid w:val="00A94CC7"/>
    <w:rsid w:val="00A953D2"/>
    <w:rsid w:val="00A95798"/>
    <w:rsid w:val="00A961A8"/>
    <w:rsid w:val="00A97720"/>
    <w:rsid w:val="00AA00E7"/>
    <w:rsid w:val="00AA0720"/>
    <w:rsid w:val="00AA0FC5"/>
    <w:rsid w:val="00AA1D22"/>
    <w:rsid w:val="00AA206B"/>
    <w:rsid w:val="00AA2868"/>
    <w:rsid w:val="00AA28D3"/>
    <w:rsid w:val="00AA28FD"/>
    <w:rsid w:val="00AA299D"/>
    <w:rsid w:val="00AA3065"/>
    <w:rsid w:val="00AA384C"/>
    <w:rsid w:val="00AA40AF"/>
    <w:rsid w:val="00AA4195"/>
    <w:rsid w:val="00AA4C7C"/>
    <w:rsid w:val="00AA57A4"/>
    <w:rsid w:val="00AA5C08"/>
    <w:rsid w:val="00AA6C27"/>
    <w:rsid w:val="00AA71C1"/>
    <w:rsid w:val="00AB0254"/>
    <w:rsid w:val="00AB0F87"/>
    <w:rsid w:val="00AB1A56"/>
    <w:rsid w:val="00AB1E6E"/>
    <w:rsid w:val="00AB268E"/>
    <w:rsid w:val="00AB28A5"/>
    <w:rsid w:val="00AB29FD"/>
    <w:rsid w:val="00AB38F1"/>
    <w:rsid w:val="00AB3F39"/>
    <w:rsid w:val="00AB42D2"/>
    <w:rsid w:val="00AB4828"/>
    <w:rsid w:val="00AB4C07"/>
    <w:rsid w:val="00AB6B0A"/>
    <w:rsid w:val="00AB7423"/>
    <w:rsid w:val="00AB7672"/>
    <w:rsid w:val="00AB7855"/>
    <w:rsid w:val="00AB7C0B"/>
    <w:rsid w:val="00AB7CFD"/>
    <w:rsid w:val="00AB7D3A"/>
    <w:rsid w:val="00AB7F85"/>
    <w:rsid w:val="00AC077A"/>
    <w:rsid w:val="00AC0D62"/>
    <w:rsid w:val="00AC1669"/>
    <w:rsid w:val="00AC1C22"/>
    <w:rsid w:val="00AC209E"/>
    <w:rsid w:val="00AC2F4E"/>
    <w:rsid w:val="00AC388A"/>
    <w:rsid w:val="00AC410E"/>
    <w:rsid w:val="00AC419E"/>
    <w:rsid w:val="00AC45C2"/>
    <w:rsid w:val="00AC4C35"/>
    <w:rsid w:val="00AC525D"/>
    <w:rsid w:val="00AC5283"/>
    <w:rsid w:val="00AC5E87"/>
    <w:rsid w:val="00AC6004"/>
    <w:rsid w:val="00AC6D8C"/>
    <w:rsid w:val="00AC70B0"/>
    <w:rsid w:val="00AC7B46"/>
    <w:rsid w:val="00AC7EE1"/>
    <w:rsid w:val="00AD02E0"/>
    <w:rsid w:val="00AD0703"/>
    <w:rsid w:val="00AD070A"/>
    <w:rsid w:val="00AD0F87"/>
    <w:rsid w:val="00AD1F8E"/>
    <w:rsid w:val="00AD2D59"/>
    <w:rsid w:val="00AD3B35"/>
    <w:rsid w:val="00AD3F0B"/>
    <w:rsid w:val="00AD46F5"/>
    <w:rsid w:val="00AD4EBC"/>
    <w:rsid w:val="00AD5609"/>
    <w:rsid w:val="00AD5AA6"/>
    <w:rsid w:val="00AD60DE"/>
    <w:rsid w:val="00AD639F"/>
    <w:rsid w:val="00AD7085"/>
    <w:rsid w:val="00AD754F"/>
    <w:rsid w:val="00AD7F12"/>
    <w:rsid w:val="00AE029F"/>
    <w:rsid w:val="00AE1C15"/>
    <w:rsid w:val="00AE2413"/>
    <w:rsid w:val="00AE2796"/>
    <w:rsid w:val="00AE3114"/>
    <w:rsid w:val="00AE3BA5"/>
    <w:rsid w:val="00AE415C"/>
    <w:rsid w:val="00AE4581"/>
    <w:rsid w:val="00AE4CB5"/>
    <w:rsid w:val="00AE5152"/>
    <w:rsid w:val="00AE5C7B"/>
    <w:rsid w:val="00AE685C"/>
    <w:rsid w:val="00AE771B"/>
    <w:rsid w:val="00AE7EDD"/>
    <w:rsid w:val="00AF061F"/>
    <w:rsid w:val="00AF0E9B"/>
    <w:rsid w:val="00AF2A91"/>
    <w:rsid w:val="00AF35EC"/>
    <w:rsid w:val="00AF3802"/>
    <w:rsid w:val="00AF3C82"/>
    <w:rsid w:val="00AF46BA"/>
    <w:rsid w:val="00AF50C2"/>
    <w:rsid w:val="00AF5685"/>
    <w:rsid w:val="00AF6078"/>
    <w:rsid w:val="00AF6476"/>
    <w:rsid w:val="00AF6D33"/>
    <w:rsid w:val="00AF6FD6"/>
    <w:rsid w:val="00AF7729"/>
    <w:rsid w:val="00B002C6"/>
    <w:rsid w:val="00B01040"/>
    <w:rsid w:val="00B01593"/>
    <w:rsid w:val="00B015A0"/>
    <w:rsid w:val="00B022F9"/>
    <w:rsid w:val="00B0253B"/>
    <w:rsid w:val="00B027E2"/>
    <w:rsid w:val="00B0334D"/>
    <w:rsid w:val="00B0447C"/>
    <w:rsid w:val="00B04EB1"/>
    <w:rsid w:val="00B05605"/>
    <w:rsid w:val="00B05D8E"/>
    <w:rsid w:val="00B0688F"/>
    <w:rsid w:val="00B07521"/>
    <w:rsid w:val="00B07700"/>
    <w:rsid w:val="00B07979"/>
    <w:rsid w:val="00B07F94"/>
    <w:rsid w:val="00B100AB"/>
    <w:rsid w:val="00B1021B"/>
    <w:rsid w:val="00B10554"/>
    <w:rsid w:val="00B10EB6"/>
    <w:rsid w:val="00B110A8"/>
    <w:rsid w:val="00B1141D"/>
    <w:rsid w:val="00B11520"/>
    <w:rsid w:val="00B117DD"/>
    <w:rsid w:val="00B11D81"/>
    <w:rsid w:val="00B12076"/>
    <w:rsid w:val="00B122BA"/>
    <w:rsid w:val="00B12389"/>
    <w:rsid w:val="00B13F53"/>
    <w:rsid w:val="00B14EE2"/>
    <w:rsid w:val="00B15062"/>
    <w:rsid w:val="00B15185"/>
    <w:rsid w:val="00B154E5"/>
    <w:rsid w:val="00B157AE"/>
    <w:rsid w:val="00B15FE7"/>
    <w:rsid w:val="00B165D0"/>
    <w:rsid w:val="00B16D0E"/>
    <w:rsid w:val="00B16E71"/>
    <w:rsid w:val="00B16FFF"/>
    <w:rsid w:val="00B1718D"/>
    <w:rsid w:val="00B17510"/>
    <w:rsid w:val="00B20C2A"/>
    <w:rsid w:val="00B21396"/>
    <w:rsid w:val="00B2168C"/>
    <w:rsid w:val="00B2176D"/>
    <w:rsid w:val="00B21A43"/>
    <w:rsid w:val="00B22A01"/>
    <w:rsid w:val="00B22BBB"/>
    <w:rsid w:val="00B22F90"/>
    <w:rsid w:val="00B23B5A"/>
    <w:rsid w:val="00B23FA0"/>
    <w:rsid w:val="00B24236"/>
    <w:rsid w:val="00B24371"/>
    <w:rsid w:val="00B24853"/>
    <w:rsid w:val="00B24946"/>
    <w:rsid w:val="00B24EAE"/>
    <w:rsid w:val="00B24F46"/>
    <w:rsid w:val="00B2514E"/>
    <w:rsid w:val="00B25667"/>
    <w:rsid w:val="00B2573F"/>
    <w:rsid w:val="00B261C4"/>
    <w:rsid w:val="00B266F1"/>
    <w:rsid w:val="00B2715A"/>
    <w:rsid w:val="00B2796A"/>
    <w:rsid w:val="00B30093"/>
    <w:rsid w:val="00B31633"/>
    <w:rsid w:val="00B31DB1"/>
    <w:rsid w:val="00B328CA"/>
    <w:rsid w:val="00B33AB6"/>
    <w:rsid w:val="00B33D7A"/>
    <w:rsid w:val="00B34411"/>
    <w:rsid w:val="00B34A98"/>
    <w:rsid w:val="00B34E49"/>
    <w:rsid w:val="00B3534C"/>
    <w:rsid w:val="00B353A0"/>
    <w:rsid w:val="00B3553F"/>
    <w:rsid w:val="00B36D3E"/>
    <w:rsid w:val="00B371CB"/>
    <w:rsid w:val="00B37315"/>
    <w:rsid w:val="00B37375"/>
    <w:rsid w:val="00B375A4"/>
    <w:rsid w:val="00B37B81"/>
    <w:rsid w:val="00B4022D"/>
    <w:rsid w:val="00B40A81"/>
    <w:rsid w:val="00B41790"/>
    <w:rsid w:val="00B4246E"/>
    <w:rsid w:val="00B426FA"/>
    <w:rsid w:val="00B43ACC"/>
    <w:rsid w:val="00B44104"/>
    <w:rsid w:val="00B441AC"/>
    <w:rsid w:val="00B44E08"/>
    <w:rsid w:val="00B450F6"/>
    <w:rsid w:val="00B45FD8"/>
    <w:rsid w:val="00B46FF8"/>
    <w:rsid w:val="00B472E3"/>
    <w:rsid w:val="00B476EA"/>
    <w:rsid w:val="00B47BF8"/>
    <w:rsid w:val="00B47E18"/>
    <w:rsid w:val="00B50319"/>
    <w:rsid w:val="00B5048C"/>
    <w:rsid w:val="00B514E1"/>
    <w:rsid w:val="00B51C46"/>
    <w:rsid w:val="00B529A0"/>
    <w:rsid w:val="00B52E60"/>
    <w:rsid w:val="00B5300C"/>
    <w:rsid w:val="00B53509"/>
    <w:rsid w:val="00B539A2"/>
    <w:rsid w:val="00B53AD0"/>
    <w:rsid w:val="00B547DE"/>
    <w:rsid w:val="00B54F6D"/>
    <w:rsid w:val="00B55039"/>
    <w:rsid w:val="00B5525A"/>
    <w:rsid w:val="00B5563F"/>
    <w:rsid w:val="00B55980"/>
    <w:rsid w:val="00B55B6B"/>
    <w:rsid w:val="00B55EDE"/>
    <w:rsid w:val="00B5655A"/>
    <w:rsid w:val="00B56AC7"/>
    <w:rsid w:val="00B57161"/>
    <w:rsid w:val="00B57176"/>
    <w:rsid w:val="00B5724C"/>
    <w:rsid w:val="00B575CA"/>
    <w:rsid w:val="00B57655"/>
    <w:rsid w:val="00B579EB"/>
    <w:rsid w:val="00B6046B"/>
    <w:rsid w:val="00B60AED"/>
    <w:rsid w:val="00B61509"/>
    <w:rsid w:val="00B61A36"/>
    <w:rsid w:val="00B61C91"/>
    <w:rsid w:val="00B620A4"/>
    <w:rsid w:val="00B623CA"/>
    <w:rsid w:val="00B624B1"/>
    <w:rsid w:val="00B626C8"/>
    <w:rsid w:val="00B62D1C"/>
    <w:rsid w:val="00B63DB1"/>
    <w:rsid w:val="00B63EC8"/>
    <w:rsid w:val="00B647E9"/>
    <w:rsid w:val="00B64B80"/>
    <w:rsid w:val="00B64CF8"/>
    <w:rsid w:val="00B65994"/>
    <w:rsid w:val="00B664D2"/>
    <w:rsid w:val="00B66588"/>
    <w:rsid w:val="00B66706"/>
    <w:rsid w:val="00B668E9"/>
    <w:rsid w:val="00B67235"/>
    <w:rsid w:val="00B67968"/>
    <w:rsid w:val="00B67D13"/>
    <w:rsid w:val="00B67D70"/>
    <w:rsid w:val="00B706E8"/>
    <w:rsid w:val="00B709D3"/>
    <w:rsid w:val="00B70A08"/>
    <w:rsid w:val="00B70BBF"/>
    <w:rsid w:val="00B70D57"/>
    <w:rsid w:val="00B71110"/>
    <w:rsid w:val="00B7122B"/>
    <w:rsid w:val="00B71392"/>
    <w:rsid w:val="00B7493D"/>
    <w:rsid w:val="00B753C2"/>
    <w:rsid w:val="00B75D11"/>
    <w:rsid w:val="00B75EE8"/>
    <w:rsid w:val="00B761DE"/>
    <w:rsid w:val="00B76399"/>
    <w:rsid w:val="00B763C5"/>
    <w:rsid w:val="00B7696D"/>
    <w:rsid w:val="00B770F2"/>
    <w:rsid w:val="00B7727A"/>
    <w:rsid w:val="00B773B1"/>
    <w:rsid w:val="00B77980"/>
    <w:rsid w:val="00B77D15"/>
    <w:rsid w:val="00B77F46"/>
    <w:rsid w:val="00B80D01"/>
    <w:rsid w:val="00B82208"/>
    <w:rsid w:val="00B82529"/>
    <w:rsid w:val="00B82A69"/>
    <w:rsid w:val="00B82DD3"/>
    <w:rsid w:val="00B83134"/>
    <w:rsid w:val="00B8455C"/>
    <w:rsid w:val="00B8483A"/>
    <w:rsid w:val="00B84EF4"/>
    <w:rsid w:val="00B85016"/>
    <w:rsid w:val="00B8509D"/>
    <w:rsid w:val="00B851B2"/>
    <w:rsid w:val="00B85ACC"/>
    <w:rsid w:val="00B85D5A"/>
    <w:rsid w:val="00B862F9"/>
    <w:rsid w:val="00B8646C"/>
    <w:rsid w:val="00B87039"/>
    <w:rsid w:val="00B872B7"/>
    <w:rsid w:val="00B8783A"/>
    <w:rsid w:val="00B907C0"/>
    <w:rsid w:val="00B90EBE"/>
    <w:rsid w:val="00B91006"/>
    <w:rsid w:val="00B91387"/>
    <w:rsid w:val="00B9230A"/>
    <w:rsid w:val="00B9239D"/>
    <w:rsid w:val="00B923A5"/>
    <w:rsid w:val="00B92BFF"/>
    <w:rsid w:val="00B92ED6"/>
    <w:rsid w:val="00B93414"/>
    <w:rsid w:val="00B94DBE"/>
    <w:rsid w:val="00B955F5"/>
    <w:rsid w:val="00B9571D"/>
    <w:rsid w:val="00B95E7D"/>
    <w:rsid w:val="00B972B0"/>
    <w:rsid w:val="00B978AD"/>
    <w:rsid w:val="00BA0046"/>
    <w:rsid w:val="00BA027D"/>
    <w:rsid w:val="00BA05F1"/>
    <w:rsid w:val="00BA097B"/>
    <w:rsid w:val="00BA0FCE"/>
    <w:rsid w:val="00BA12C7"/>
    <w:rsid w:val="00BA168F"/>
    <w:rsid w:val="00BA32E9"/>
    <w:rsid w:val="00BA3CA3"/>
    <w:rsid w:val="00BA4656"/>
    <w:rsid w:val="00BA486E"/>
    <w:rsid w:val="00BA5A64"/>
    <w:rsid w:val="00BA5CBC"/>
    <w:rsid w:val="00BA698B"/>
    <w:rsid w:val="00BA69EE"/>
    <w:rsid w:val="00BA6B4A"/>
    <w:rsid w:val="00BA6C6C"/>
    <w:rsid w:val="00BA7619"/>
    <w:rsid w:val="00BB08BF"/>
    <w:rsid w:val="00BB0C57"/>
    <w:rsid w:val="00BB0E2B"/>
    <w:rsid w:val="00BB1A06"/>
    <w:rsid w:val="00BB1E8C"/>
    <w:rsid w:val="00BB2169"/>
    <w:rsid w:val="00BB445B"/>
    <w:rsid w:val="00BB484A"/>
    <w:rsid w:val="00BB5137"/>
    <w:rsid w:val="00BB5E93"/>
    <w:rsid w:val="00BB6BD2"/>
    <w:rsid w:val="00BB7612"/>
    <w:rsid w:val="00BB7971"/>
    <w:rsid w:val="00BB7D10"/>
    <w:rsid w:val="00BC04DF"/>
    <w:rsid w:val="00BC0E3C"/>
    <w:rsid w:val="00BC25D7"/>
    <w:rsid w:val="00BC2A08"/>
    <w:rsid w:val="00BC2B1D"/>
    <w:rsid w:val="00BC2B9E"/>
    <w:rsid w:val="00BC423E"/>
    <w:rsid w:val="00BC4797"/>
    <w:rsid w:val="00BC4ABB"/>
    <w:rsid w:val="00BC4C46"/>
    <w:rsid w:val="00BC5994"/>
    <w:rsid w:val="00BC64B9"/>
    <w:rsid w:val="00BC6553"/>
    <w:rsid w:val="00BC7050"/>
    <w:rsid w:val="00BC7514"/>
    <w:rsid w:val="00BC7793"/>
    <w:rsid w:val="00BD0011"/>
    <w:rsid w:val="00BD035D"/>
    <w:rsid w:val="00BD06EE"/>
    <w:rsid w:val="00BD084D"/>
    <w:rsid w:val="00BD17EC"/>
    <w:rsid w:val="00BD1A11"/>
    <w:rsid w:val="00BD2701"/>
    <w:rsid w:val="00BD284E"/>
    <w:rsid w:val="00BD2A5F"/>
    <w:rsid w:val="00BD2F4C"/>
    <w:rsid w:val="00BD34A4"/>
    <w:rsid w:val="00BD4A23"/>
    <w:rsid w:val="00BD727E"/>
    <w:rsid w:val="00BD739C"/>
    <w:rsid w:val="00BD7674"/>
    <w:rsid w:val="00BE0C43"/>
    <w:rsid w:val="00BE1DC5"/>
    <w:rsid w:val="00BE3104"/>
    <w:rsid w:val="00BE35B3"/>
    <w:rsid w:val="00BE37DD"/>
    <w:rsid w:val="00BE4206"/>
    <w:rsid w:val="00BE447C"/>
    <w:rsid w:val="00BE458F"/>
    <w:rsid w:val="00BE468D"/>
    <w:rsid w:val="00BE4B12"/>
    <w:rsid w:val="00BE4CFE"/>
    <w:rsid w:val="00BE5D29"/>
    <w:rsid w:val="00BE5E5C"/>
    <w:rsid w:val="00BE6434"/>
    <w:rsid w:val="00BE7596"/>
    <w:rsid w:val="00BE7B46"/>
    <w:rsid w:val="00BF0F0C"/>
    <w:rsid w:val="00BF2484"/>
    <w:rsid w:val="00BF2EB9"/>
    <w:rsid w:val="00BF3062"/>
    <w:rsid w:val="00BF3970"/>
    <w:rsid w:val="00BF3DE3"/>
    <w:rsid w:val="00BF4289"/>
    <w:rsid w:val="00BF44DD"/>
    <w:rsid w:val="00BF451D"/>
    <w:rsid w:val="00BF4B56"/>
    <w:rsid w:val="00BF4B9C"/>
    <w:rsid w:val="00BF4D1D"/>
    <w:rsid w:val="00BF51E5"/>
    <w:rsid w:val="00BF5417"/>
    <w:rsid w:val="00BF552F"/>
    <w:rsid w:val="00BF563C"/>
    <w:rsid w:val="00BF58EA"/>
    <w:rsid w:val="00BF5BEE"/>
    <w:rsid w:val="00BF5C9B"/>
    <w:rsid w:val="00BF5FF7"/>
    <w:rsid w:val="00BF663B"/>
    <w:rsid w:val="00BF68F8"/>
    <w:rsid w:val="00BF6B2F"/>
    <w:rsid w:val="00BF6DC8"/>
    <w:rsid w:val="00BF7537"/>
    <w:rsid w:val="00BF75CC"/>
    <w:rsid w:val="00C011FC"/>
    <w:rsid w:val="00C012D7"/>
    <w:rsid w:val="00C01F84"/>
    <w:rsid w:val="00C01FE5"/>
    <w:rsid w:val="00C021C2"/>
    <w:rsid w:val="00C02A83"/>
    <w:rsid w:val="00C02B05"/>
    <w:rsid w:val="00C02FFC"/>
    <w:rsid w:val="00C03646"/>
    <w:rsid w:val="00C0430C"/>
    <w:rsid w:val="00C044EB"/>
    <w:rsid w:val="00C04BAC"/>
    <w:rsid w:val="00C052DE"/>
    <w:rsid w:val="00C07587"/>
    <w:rsid w:val="00C077EC"/>
    <w:rsid w:val="00C1160E"/>
    <w:rsid w:val="00C12262"/>
    <w:rsid w:val="00C12936"/>
    <w:rsid w:val="00C12DF4"/>
    <w:rsid w:val="00C12FE8"/>
    <w:rsid w:val="00C1308C"/>
    <w:rsid w:val="00C134E6"/>
    <w:rsid w:val="00C13AFB"/>
    <w:rsid w:val="00C14B13"/>
    <w:rsid w:val="00C14BAE"/>
    <w:rsid w:val="00C14E25"/>
    <w:rsid w:val="00C15E1F"/>
    <w:rsid w:val="00C163C4"/>
    <w:rsid w:val="00C163EA"/>
    <w:rsid w:val="00C16F0B"/>
    <w:rsid w:val="00C17E30"/>
    <w:rsid w:val="00C17E6E"/>
    <w:rsid w:val="00C20C2F"/>
    <w:rsid w:val="00C2180E"/>
    <w:rsid w:val="00C22A63"/>
    <w:rsid w:val="00C2307A"/>
    <w:rsid w:val="00C237E5"/>
    <w:rsid w:val="00C23847"/>
    <w:rsid w:val="00C239FA"/>
    <w:rsid w:val="00C2416B"/>
    <w:rsid w:val="00C243E3"/>
    <w:rsid w:val="00C26120"/>
    <w:rsid w:val="00C26454"/>
    <w:rsid w:val="00C2652E"/>
    <w:rsid w:val="00C26728"/>
    <w:rsid w:val="00C26C9E"/>
    <w:rsid w:val="00C30356"/>
    <w:rsid w:val="00C307D2"/>
    <w:rsid w:val="00C318F8"/>
    <w:rsid w:val="00C3243B"/>
    <w:rsid w:val="00C326E7"/>
    <w:rsid w:val="00C3297E"/>
    <w:rsid w:val="00C3348F"/>
    <w:rsid w:val="00C337D9"/>
    <w:rsid w:val="00C33922"/>
    <w:rsid w:val="00C3471F"/>
    <w:rsid w:val="00C36241"/>
    <w:rsid w:val="00C37F33"/>
    <w:rsid w:val="00C403BC"/>
    <w:rsid w:val="00C404B0"/>
    <w:rsid w:val="00C426DE"/>
    <w:rsid w:val="00C428F6"/>
    <w:rsid w:val="00C42949"/>
    <w:rsid w:val="00C43289"/>
    <w:rsid w:val="00C43A48"/>
    <w:rsid w:val="00C445D5"/>
    <w:rsid w:val="00C44916"/>
    <w:rsid w:val="00C44D2E"/>
    <w:rsid w:val="00C4639A"/>
    <w:rsid w:val="00C466C8"/>
    <w:rsid w:val="00C4718B"/>
    <w:rsid w:val="00C474B3"/>
    <w:rsid w:val="00C51477"/>
    <w:rsid w:val="00C514AB"/>
    <w:rsid w:val="00C516A0"/>
    <w:rsid w:val="00C519A6"/>
    <w:rsid w:val="00C51B49"/>
    <w:rsid w:val="00C5229D"/>
    <w:rsid w:val="00C52678"/>
    <w:rsid w:val="00C52BCF"/>
    <w:rsid w:val="00C5389A"/>
    <w:rsid w:val="00C53C20"/>
    <w:rsid w:val="00C54152"/>
    <w:rsid w:val="00C541E5"/>
    <w:rsid w:val="00C549C1"/>
    <w:rsid w:val="00C54D98"/>
    <w:rsid w:val="00C560AC"/>
    <w:rsid w:val="00C56280"/>
    <w:rsid w:val="00C56BFB"/>
    <w:rsid w:val="00C572F2"/>
    <w:rsid w:val="00C576F9"/>
    <w:rsid w:val="00C60338"/>
    <w:rsid w:val="00C60C70"/>
    <w:rsid w:val="00C6119B"/>
    <w:rsid w:val="00C625A6"/>
    <w:rsid w:val="00C64317"/>
    <w:rsid w:val="00C65527"/>
    <w:rsid w:val="00C65B5C"/>
    <w:rsid w:val="00C65B94"/>
    <w:rsid w:val="00C660F8"/>
    <w:rsid w:val="00C67A51"/>
    <w:rsid w:val="00C67BAC"/>
    <w:rsid w:val="00C67E7C"/>
    <w:rsid w:val="00C70A5B"/>
    <w:rsid w:val="00C70BF2"/>
    <w:rsid w:val="00C70E39"/>
    <w:rsid w:val="00C712FB"/>
    <w:rsid w:val="00C71307"/>
    <w:rsid w:val="00C71475"/>
    <w:rsid w:val="00C71E44"/>
    <w:rsid w:val="00C72B6B"/>
    <w:rsid w:val="00C7417E"/>
    <w:rsid w:val="00C7582C"/>
    <w:rsid w:val="00C75E71"/>
    <w:rsid w:val="00C75F60"/>
    <w:rsid w:val="00C76577"/>
    <w:rsid w:val="00C773EA"/>
    <w:rsid w:val="00C77AA6"/>
    <w:rsid w:val="00C803EC"/>
    <w:rsid w:val="00C804A3"/>
    <w:rsid w:val="00C805D1"/>
    <w:rsid w:val="00C80938"/>
    <w:rsid w:val="00C81879"/>
    <w:rsid w:val="00C819E4"/>
    <w:rsid w:val="00C82067"/>
    <w:rsid w:val="00C82547"/>
    <w:rsid w:val="00C82A28"/>
    <w:rsid w:val="00C83141"/>
    <w:rsid w:val="00C83532"/>
    <w:rsid w:val="00C835E3"/>
    <w:rsid w:val="00C83B42"/>
    <w:rsid w:val="00C83C49"/>
    <w:rsid w:val="00C83FF9"/>
    <w:rsid w:val="00C846EE"/>
    <w:rsid w:val="00C84E3F"/>
    <w:rsid w:val="00C84F5E"/>
    <w:rsid w:val="00C8514B"/>
    <w:rsid w:val="00C8578B"/>
    <w:rsid w:val="00C859E4"/>
    <w:rsid w:val="00C861A7"/>
    <w:rsid w:val="00C86409"/>
    <w:rsid w:val="00C8645D"/>
    <w:rsid w:val="00C8672D"/>
    <w:rsid w:val="00C86CE1"/>
    <w:rsid w:val="00C870EC"/>
    <w:rsid w:val="00C8793A"/>
    <w:rsid w:val="00C87FD3"/>
    <w:rsid w:val="00C9008C"/>
    <w:rsid w:val="00C900B6"/>
    <w:rsid w:val="00C90150"/>
    <w:rsid w:val="00C904F9"/>
    <w:rsid w:val="00C90DA9"/>
    <w:rsid w:val="00C917C3"/>
    <w:rsid w:val="00C9256E"/>
    <w:rsid w:val="00C92D14"/>
    <w:rsid w:val="00C949D2"/>
    <w:rsid w:val="00C94DA7"/>
    <w:rsid w:val="00C9508F"/>
    <w:rsid w:val="00C954BE"/>
    <w:rsid w:val="00C958BC"/>
    <w:rsid w:val="00C95B0A"/>
    <w:rsid w:val="00C95F42"/>
    <w:rsid w:val="00C97374"/>
    <w:rsid w:val="00CA027F"/>
    <w:rsid w:val="00CA0734"/>
    <w:rsid w:val="00CA0CC9"/>
    <w:rsid w:val="00CA166E"/>
    <w:rsid w:val="00CA18E2"/>
    <w:rsid w:val="00CA1964"/>
    <w:rsid w:val="00CA1BDF"/>
    <w:rsid w:val="00CA1D23"/>
    <w:rsid w:val="00CA1DBF"/>
    <w:rsid w:val="00CA2E09"/>
    <w:rsid w:val="00CA33A1"/>
    <w:rsid w:val="00CA34B0"/>
    <w:rsid w:val="00CA38C0"/>
    <w:rsid w:val="00CA4381"/>
    <w:rsid w:val="00CA4626"/>
    <w:rsid w:val="00CA4B6F"/>
    <w:rsid w:val="00CA4D63"/>
    <w:rsid w:val="00CA519C"/>
    <w:rsid w:val="00CA5CA4"/>
    <w:rsid w:val="00CA765B"/>
    <w:rsid w:val="00CA7E19"/>
    <w:rsid w:val="00CB0152"/>
    <w:rsid w:val="00CB043B"/>
    <w:rsid w:val="00CB04FC"/>
    <w:rsid w:val="00CB0AAD"/>
    <w:rsid w:val="00CB17DC"/>
    <w:rsid w:val="00CB1FEE"/>
    <w:rsid w:val="00CB2231"/>
    <w:rsid w:val="00CB2824"/>
    <w:rsid w:val="00CB28DD"/>
    <w:rsid w:val="00CB3EDA"/>
    <w:rsid w:val="00CB5154"/>
    <w:rsid w:val="00CB5334"/>
    <w:rsid w:val="00CB66D2"/>
    <w:rsid w:val="00CB6FFC"/>
    <w:rsid w:val="00CB79F4"/>
    <w:rsid w:val="00CB7BD5"/>
    <w:rsid w:val="00CB7DC5"/>
    <w:rsid w:val="00CC0192"/>
    <w:rsid w:val="00CC0677"/>
    <w:rsid w:val="00CC0735"/>
    <w:rsid w:val="00CC1E5E"/>
    <w:rsid w:val="00CC236A"/>
    <w:rsid w:val="00CC2BF2"/>
    <w:rsid w:val="00CC3028"/>
    <w:rsid w:val="00CC3918"/>
    <w:rsid w:val="00CC431B"/>
    <w:rsid w:val="00CC4706"/>
    <w:rsid w:val="00CC4B25"/>
    <w:rsid w:val="00CC4B9A"/>
    <w:rsid w:val="00CC5AD9"/>
    <w:rsid w:val="00CC5D8B"/>
    <w:rsid w:val="00CC5E11"/>
    <w:rsid w:val="00CC6020"/>
    <w:rsid w:val="00CC63FE"/>
    <w:rsid w:val="00CC6B5D"/>
    <w:rsid w:val="00CC6E0A"/>
    <w:rsid w:val="00CC7166"/>
    <w:rsid w:val="00CC7285"/>
    <w:rsid w:val="00CD014D"/>
    <w:rsid w:val="00CD0371"/>
    <w:rsid w:val="00CD13B6"/>
    <w:rsid w:val="00CD1D71"/>
    <w:rsid w:val="00CD3241"/>
    <w:rsid w:val="00CD3606"/>
    <w:rsid w:val="00CD3BDF"/>
    <w:rsid w:val="00CD4410"/>
    <w:rsid w:val="00CD4810"/>
    <w:rsid w:val="00CD556B"/>
    <w:rsid w:val="00CD56CA"/>
    <w:rsid w:val="00CD65D6"/>
    <w:rsid w:val="00CD717E"/>
    <w:rsid w:val="00CD79B6"/>
    <w:rsid w:val="00CE0002"/>
    <w:rsid w:val="00CE0826"/>
    <w:rsid w:val="00CE08D8"/>
    <w:rsid w:val="00CE1382"/>
    <w:rsid w:val="00CE13E8"/>
    <w:rsid w:val="00CE261E"/>
    <w:rsid w:val="00CE274A"/>
    <w:rsid w:val="00CE2AB1"/>
    <w:rsid w:val="00CE37CA"/>
    <w:rsid w:val="00CE44C9"/>
    <w:rsid w:val="00CE457D"/>
    <w:rsid w:val="00CE47CD"/>
    <w:rsid w:val="00CE47FB"/>
    <w:rsid w:val="00CE507A"/>
    <w:rsid w:val="00CE553F"/>
    <w:rsid w:val="00CE580E"/>
    <w:rsid w:val="00CE5E5F"/>
    <w:rsid w:val="00CE611E"/>
    <w:rsid w:val="00CE6579"/>
    <w:rsid w:val="00CE6CFF"/>
    <w:rsid w:val="00CE704A"/>
    <w:rsid w:val="00CE715E"/>
    <w:rsid w:val="00CE78DA"/>
    <w:rsid w:val="00CE7923"/>
    <w:rsid w:val="00CF06C0"/>
    <w:rsid w:val="00CF0C14"/>
    <w:rsid w:val="00CF0D48"/>
    <w:rsid w:val="00CF2C9C"/>
    <w:rsid w:val="00CF2CA9"/>
    <w:rsid w:val="00CF2CE9"/>
    <w:rsid w:val="00CF2EDF"/>
    <w:rsid w:val="00CF3290"/>
    <w:rsid w:val="00CF3A5C"/>
    <w:rsid w:val="00CF3C48"/>
    <w:rsid w:val="00CF3ECC"/>
    <w:rsid w:val="00CF40F7"/>
    <w:rsid w:val="00CF5565"/>
    <w:rsid w:val="00CF6E59"/>
    <w:rsid w:val="00CF7197"/>
    <w:rsid w:val="00CF7314"/>
    <w:rsid w:val="00CF7797"/>
    <w:rsid w:val="00CF7A70"/>
    <w:rsid w:val="00D00746"/>
    <w:rsid w:val="00D00DD0"/>
    <w:rsid w:val="00D013A2"/>
    <w:rsid w:val="00D01ACC"/>
    <w:rsid w:val="00D01C7E"/>
    <w:rsid w:val="00D01EC8"/>
    <w:rsid w:val="00D021FF"/>
    <w:rsid w:val="00D02303"/>
    <w:rsid w:val="00D032E6"/>
    <w:rsid w:val="00D035D0"/>
    <w:rsid w:val="00D036DA"/>
    <w:rsid w:val="00D03E0C"/>
    <w:rsid w:val="00D0442A"/>
    <w:rsid w:val="00D05D05"/>
    <w:rsid w:val="00D05DB2"/>
    <w:rsid w:val="00D05F03"/>
    <w:rsid w:val="00D062D5"/>
    <w:rsid w:val="00D0682E"/>
    <w:rsid w:val="00D10A8B"/>
    <w:rsid w:val="00D10F51"/>
    <w:rsid w:val="00D114DC"/>
    <w:rsid w:val="00D12364"/>
    <w:rsid w:val="00D127D6"/>
    <w:rsid w:val="00D12A0C"/>
    <w:rsid w:val="00D12EEF"/>
    <w:rsid w:val="00D130E0"/>
    <w:rsid w:val="00D13A32"/>
    <w:rsid w:val="00D14323"/>
    <w:rsid w:val="00D14663"/>
    <w:rsid w:val="00D14667"/>
    <w:rsid w:val="00D1489A"/>
    <w:rsid w:val="00D14A2C"/>
    <w:rsid w:val="00D14C44"/>
    <w:rsid w:val="00D154E2"/>
    <w:rsid w:val="00D157DB"/>
    <w:rsid w:val="00D15D15"/>
    <w:rsid w:val="00D163E7"/>
    <w:rsid w:val="00D16543"/>
    <w:rsid w:val="00D16659"/>
    <w:rsid w:val="00D16A82"/>
    <w:rsid w:val="00D20E8C"/>
    <w:rsid w:val="00D20F17"/>
    <w:rsid w:val="00D21516"/>
    <w:rsid w:val="00D21642"/>
    <w:rsid w:val="00D21817"/>
    <w:rsid w:val="00D21ACC"/>
    <w:rsid w:val="00D2346C"/>
    <w:rsid w:val="00D234A6"/>
    <w:rsid w:val="00D2384B"/>
    <w:rsid w:val="00D23F3C"/>
    <w:rsid w:val="00D24865"/>
    <w:rsid w:val="00D24B1C"/>
    <w:rsid w:val="00D26501"/>
    <w:rsid w:val="00D26838"/>
    <w:rsid w:val="00D26B4F"/>
    <w:rsid w:val="00D26B66"/>
    <w:rsid w:val="00D26C8F"/>
    <w:rsid w:val="00D26EC8"/>
    <w:rsid w:val="00D270A9"/>
    <w:rsid w:val="00D270E4"/>
    <w:rsid w:val="00D275B3"/>
    <w:rsid w:val="00D278C1"/>
    <w:rsid w:val="00D27970"/>
    <w:rsid w:val="00D27EFC"/>
    <w:rsid w:val="00D27F05"/>
    <w:rsid w:val="00D30C7D"/>
    <w:rsid w:val="00D31371"/>
    <w:rsid w:val="00D315D8"/>
    <w:rsid w:val="00D315E6"/>
    <w:rsid w:val="00D31A20"/>
    <w:rsid w:val="00D31D89"/>
    <w:rsid w:val="00D32196"/>
    <w:rsid w:val="00D322C2"/>
    <w:rsid w:val="00D328EF"/>
    <w:rsid w:val="00D32F00"/>
    <w:rsid w:val="00D32F75"/>
    <w:rsid w:val="00D32FB6"/>
    <w:rsid w:val="00D33979"/>
    <w:rsid w:val="00D3410F"/>
    <w:rsid w:val="00D3435C"/>
    <w:rsid w:val="00D34607"/>
    <w:rsid w:val="00D34A69"/>
    <w:rsid w:val="00D34D75"/>
    <w:rsid w:val="00D3578C"/>
    <w:rsid w:val="00D35FB0"/>
    <w:rsid w:val="00D36309"/>
    <w:rsid w:val="00D36334"/>
    <w:rsid w:val="00D369CB"/>
    <w:rsid w:val="00D37B31"/>
    <w:rsid w:val="00D40031"/>
    <w:rsid w:val="00D40877"/>
    <w:rsid w:val="00D40985"/>
    <w:rsid w:val="00D40C36"/>
    <w:rsid w:val="00D40F66"/>
    <w:rsid w:val="00D41344"/>
    <w:rsid w:val="00D414B5"/>
    <w:rsid w:val="00D42031"/>
    <w:rsid w:val="00D427D7"/>
    <w:rsid w:val="00D42AD6"/>
    <w:rsid w:val="00D42E0A"/>
    <w:rsid w:val="00D42F03"/>
    <w:rsid w:val="00D43059"/>
    <w:rsid w:val="00D4615A"/>
    <w:rsid w:val="00D4697E"/>
    <w:rsid w:val="00D46A9B"/>
    <w:rsid w:val="00D47283"/>
    <w:rsid w:val="00D475DE"/>
    <w:rsid w:val="00D479A5"/>
    <w:rsid w:val="00D47B4B"/>
    <w:rsid w:val="00D47B73"/>
    <w:rsid w:val="00D47FB9"/>
    <w:rsid w:val="00D5008C"/>
    <w:rsid w:val="00D50797"/>
    <w:rsid w:val="00D50C4A"/>
    <w:rsid w:val="00D50F3C"/>
    <w:rsid w:val="00D51187"/>
    <w:rsid w:val="00D51251"/>
    <w:rsid w:val="00D515BA"/>
    <w:rsid w:val="00D5209E"/>
    <w:rsid w:val="00D52569"/>
    <w:rsid w:val="00D53628"/>
    <w:rsid w:val="00D54124"/>
    <w:rsid w:val="00D55348"/>
    <w:rsid w:val="00D56188"/>
    <w:rsid w:val="00D564F4"/>
    <w:rsid w:val="00D569EF"/>
    <w:rsid w:val="00D56FE5"/>
    <w:rsid w:val="00D57D11"/>
    <w:rsid w:val="00D57E3C"/>
    <w:rsid w:val="00D60368"/>
    <w:rsid w:val="00D60584"/>
    <w:rsid w:val="00D608B0"/>
    <w:rsid w:val="00D61786"/>
    <w:rsid w:val="00D622FC"/>
    <w:rsid w:val="00D623E0"/>
    <w:rsid w:val="00D62E8B"/>
    <w:rsid w:val="00D6375E"/>
    <w:rsid w:val="00D640C6"/>
    <w:rsid w:val="00D6427A"/>
    <w:rsid w:val="00D64363"/>
    <w:rsid w:val="00D6462C"/>
    <w:rsid w:val="00D64A10"/>
    <w:rsid w:val="00D65A8F"/>
    <w:rsid w:val="00D66EE9"/>
    <w:rsid w:val="00D6757C"/>
    <w:rsid w:val="00D70225"/>
    <w:rsid w:val="00D70290"/>
    <w:rsid w:val="00D70429"/>
    <w:rsid w:val="00D70813"/>
    <w:rsid w:val="00D70C9C"/>
    <w:rsid w:val="00D71084"/>
    <w:rsid w:val="00D710D0"/>
    <w:rsid w:val="00D7158E"/>
    <w:rsid w:val="00D716C2"/>
    <w:rsid w:val="00D71D4F"/>
    <w:rsid w:val="00D71EBC"/>
    <w:rsid w:val="00D730EB"/>
    <w:rsid w:val="00D73320"/>
    <w:rsid w:val="00D73BF5"/>
    <w:rsid w:val="00D73C17"/>
    <w:rsid w:val="00D73EB1"/>
    <w:rsid w:val="00D74089"/>
    <w:rsid w:val="00D74FCF"/>
    <w:rsid w:val="00D75548"/>
    <w:rsid w:val="00D75984"/>
    <w:rsid w:val="00D75A5D"/>
    <w:rsid w:val="00D768A8"/>
    <w:rsid w:val="00D76B30"/>
    <w:rsid w:val="00D7756B"/>
    <w:rsid w:val="00D77576"/>
    <w:rsid w:val="00D77EBF"/>
    <w:rsid w:val="00D8073F"/>
    <w:rsid w:val="00D808D3"/>
    <w:rsid w:val="00D80DE2"/>
    <w:rsid w:val="00D80F3B"/>
    <w:rsid w:val="00D81552"/>
    <w:rsid w:val="00D8176C"/>
    <w:rsid w:val="00D819CD"/>
    <w:rsid w:val="00D81D49"/>
    <w:rsid w:val="00D8249C"/>
    <w:rsid w:val="00D826A9"/>
    <w:rsid w:val="00D8278F"/>
    <w:rsid w:val="00D8298C"/>
    <w:rsid w:val="00D82AE8"/>
    <w:rsid w:val="00D82FBA"/>
    <w:rsid w:val="00D84213"/>
    <w:rsid w:val="00D843B4"/>
    <w:rsid w:val="00D8466B"/>
    <w:rsid w:val="00D84CD4"/>
    <w:rsid w:val="00D855CF"/>
    <w:rsid w:val="00D8573E"/>
    <w:rsid w:val="00D87465"/>
    <w:rsid w:val="00D876C7"/>
    <w:rsid w:val="00D9010A"/>
    <w:rsid w:val="00D901CB"/>
    <w:rsid w:val="00D90636"/>
    <w:rsid w:val="00D90801"/>
    <w:rsid w:val="00D9098E"/>
    <w:rsid w:val="00D91964"/>
    <w:rsid w:val="00D91997"/>
    <w:rsid w:val="00D91A0B"/>
    <w:rsid w:val="00D921A3"/>
    <w:rsid w:val="00D93464"/>
    <w:rsid w:val="00D947E0"/>
    <w:rsid w:val="00D95986"/>
    <w:rsid w:val="00D95B58"/>
    <w:rsid w:val="00D96B64"/>
    <w:rsid w:val="00D974AA"/>
    <w:rsid w:val="00D97A66"/>
    <w:rsid w:val="00DA044F"/>
    <w:rsid w:val="00DA093C"/>
    <w:rsid w:val="00DA0D58"/>
    <w:rsid w:val="00DA0E84"/>
    <w:rsid w:val="00DA13D9"/>
    <w:rsid w:val="00DA15CC"/>
    <w:rsid w:val="00DA1AD2"/>
    <w:rsid w:val="00DA20DA"/>
    <w:rsid w:val="00DA3147"/>
    <w:rsid w:val="00DA48D3"/>
    <w:rsid w:val="00DA4EEB"/>
    <w:rsid w:val="00DA5405"/>
    <w:rsid w:val="00DA5EDB"/>
    <w:rsid w:val="00DA5EDE"/>
    <w:rsid w:val="00DA7A33"/>
    <w:rsid w:val="00DA7F81"/>
    <w:rsid w:val="00DB0199"/>
    <w:rsid w:val="00DB05AB"/>
    <w:rsid w:val="00DB0EC2"/>
    <w:rsid w:val="00DB0F02"/>
    <w:rsid w:val="00DB10EC"/>
    <w:rsid w:val="00DB1392"/>
    <w:rsid w:val="00DB1AA1"/>
    <w:rsid w:val="00DB1F48"/>
    <w:rsid w:val="00DB2198"/>
    <w:rsid w:val="00DB37FA"/>
    <w:rsid w:val="00DB3A47"/>
    <w:rsid w:val="00DB43C0"/>
    <w:rsid w:val="00DB46E0"/>
    <w:rsid w:val="00DB4AD6"/>
    <w:rsid w:val="00DB63A1"/>
    <w:rsid w:val="00DB69AE"/>
    <w:rsid w:val="00DB6D6B"/>
    <w:rsid w:val="00DB71BA"/>
    <w:rsid w:val="00DB71DF"/>
    <w:rsid w:val="00DB7400"/>
    <w:rsid w:val="00DC0724"/>
    <w:rsid w:val="00DC279D"/>
    <w:rsid w:val="00DC3013"/>
    <w:rsid w:val="00DC32F2"/>
    <w:rsid w:val="00DC3B5D"/>
    <w:rsid w:val="00DC3DA9"/>
    <w:rsid w:val="00DC4824"/>
    <w:rsid w:val="00DC5300"/>
    <w:rsid w:val="00DC5539"/>
    <w:rsid w:val="00DC55DE"/>
    <w:rsid w:val="00DC5FED"/>
    <w:rsid w:val="00DC6161"/>
    <w:rsid w:val="00DC6A4A"/>
    <w:rsid w:val="00DC7046"/>
    <w:rsid w:val="00DD0282"/>
    <w:rsid w:val="00DD0387"/>
    <w:rsid w:val="00DD1494"/>
    <w:rsid w:val="00DD1756"/>
    <w:rsid w:val="00DD2BA9"/>
    <w:rsid w:val="00DD35A3"/>
    <w:rsid w:val="00DD3D7E"/>
    <w:rsid w:val="00DD3EC6"/>
    <w:rsid w:val="00DD4862"/>
    <w:rsid w:val="00DD5FB6"/>
    <w:rsid w:val="00DD60A8"/>
    <w:rsid w:val="00DD65DF"/>
    <w:rsid w:val="00DD68D6"/>
    <w:rsid w:val="00DD7DBF"/>
    <w:rsid w:val="00DD7F38"/>
    <w:rsid w:val="00DE0500"/>
    <w:rsid w:val="00DE1126"/>
    <w:rsid w:val="00DE14EC"/>
    <w:rsid w:val="00DE15B3"/>
    <w:rsid w:val="00DE1AF8"/>
    <w:rsid w:val="00DE1FBA"/>
    <w:rsid w:val="00DE23FB"/>
    <w:rsid w:val="00DE2AAC"/>
    <w:rsid w:val="00DE41CC"/>
    <w:rsid w:val="00DE4367"/>
    <w:rsid w:val="00DE4D30"/>
    <w:rsid w:val="00DE5093"/>
    <w:rsid w:val="00DE58B0"/>
    <w:rsid w:val="00DE5969"/>
    <w:rsid w:val="00DE5B61"/>
    <w:rsid w:val="00DE7697"/>
    <w:rsid w:val="00DE789C"/>
    <w:rsid w:val="00DF0125"/>
    <w:rsid w:val="00DF1087"/>
    <w:rsid w:val="00DF12AF"/>
    <w:rsid w:val="00DF135E"/>
    <w:rsid w:val="00DF1781"/>
    <w:rsid w:val="00DF1DDA"/>
    <w:rsid w:val="00DF1E1E"/>
    <w:rsid w:val="00DF2421"/>
    <w:rsid w:val="00DF243C"/>
    <w:rsid w:val="00DF249F"/>
    <w:rsid w:val="00DF2B92"/>
    <w:rsid w:val="00DF397E"/>
    <w:rsid w:val="00DF3BB5"/>
    <w:rsid w:val="00DF3EE3"/>
    <w:rsid w:val="00DF4B99"/>
    <w:rsid w:val="00DF518F"/>
    <w:rsid w:val="00DF6880"/>
    <w:rsid w:val="00DF760B"/>
    <w:rsid w:val="00E0000D"/>
    <w:rsid w:val="00E00C5B"/>
    <w:rsid w:val="00E01714"/>
    <w:rsid w:val="00E02816"/>
    <w:rsid w:val="00E02F74"/>
    <w:rsid w:val="00E03305"/>
    <w:rsid w:val="00E035C1"/>
    <w:rsid w:val="00E03670"/>
    <w:rsid w:val="00E038DA"/>
    <w:rsid w:val="00E04158"/>
    <w:rsid w:val="00E04A1D"/>
    <w:rsid w:val="00E04B2F"/>
    <w:rsid w:val="00E04F0F"/>
    <w:rsid w:val="00E0525D"/>
    <w:rsid w:val="00E05F90"/>
    <w:rsid w:val="00E071C2"/>
    <w:rsid w:val="00E0720F"/>
    <w:rsid w:val="00E07300"/>
    <w:rsid w:val="00E07550"/>
    <w:rsid w:val="00E0767A"/>
    <w:rsid w:val="00E07807"/>
    <w:rsid w:val="00E0795A"/>
    <w:rsid w:val="00E07D3F"/>
    <w:rsid w:val="00E07D86"/>
    <w:rsid w:val="00E12153"/>
    <w:rsid w:val="00E12368"/>
    <w:rsid w:val="00E1278A"/>
    <w:rsid w:val="00E13474"/>
    <w:rsid w:val="00E13BDA"/>
    <w:rsid w:val="00E14025"/>
    <w:rsid w:val="00E14812"/>
    <w:rsid w:val="00E14C73"/>
    <w:rsid w:val="00E1518A"/>
    <w:rsid w:val="00E1518B"/>
    <w:rsid w:val="00E15818"/>
    <w:rsid w:val="00E161F6"/>
    <w:rsid w:val="00E16233"/>
    <w:rsid w:val="00E16735"/>
    <w:rsid w:val="00E16AA3"/>
    <w:rsid w:val="00E17AB0"/>
    <w:rsid w:val="00E17B37"/>
    <w:rsid w:val="00E17C23"/>
    <w:rsid w:val="00E2053A"/>
    <w:rsid w:val="00E20C3B"/>
    <w:rsid w:val="00E21817"/>
    <w:rsid w:val="00E21C29"/>
    <w:rsid w:val="00E225EC"/>
    <w:rsid w:val="00E228F0"/>
    <w:rsid w:val="00E241F7"/>
    <w:rsid w:val="00E246E9"/>
    <w:rsid w:val="00E2510B"/>
    <w:rsid w:val="00E25B6D"/>
    <w:rsid w:val="00E2776E"/>
    <w:rsid w:val="00E27A88"/>
    <w:rsid w:val="00E30264"/>
    <w:rsid w:val="00E30684"/>
    <w:rsid w:val="00E30803"/>
    <w:rsid w:val="00E30EA8"/>
    <w:rsid w:val="00E319A5"/>
    <w:rsid w:val="00E32157"/>
    <w:rsid w:val="00E32E61"/>
    <w:rsid w:val="00E33CDF"/>
    <w:rsid w:val="00E3407C"/>
    <w:rsid w:val="00E343DB"/>
    <w:rsid w:val="00E34815"/>
    <w:rsid w:val="00E34B27"/>
    <w:rsid w:val="00E34DC1"/>
    <w:rsid w:val="00E3507E"/>
    <w:rsid w:val="00E3596F"/>
    <w:rsid w:val="00E36BD6"/>
    <w:rsid w:val="00E374A0"/>
    <w:rsid w:val="00E37789"/>
    <w:rsid w:val="00E3794E"/>
    <w:rsid w:val="00E4027F"/>
    <w:rsid w:val="00E4028D"/>
    <w:rsid w:val="00E4084C"/>
    <w:rsid w:val="00E40C3D"/>
    <w:rsid w:val="00E41E95"/>
    <w:rsid w:val="00E42466"/>
    <w:rsid w:val="00E4295D"/>
    <w:rsid w:val="00E43105"/>
    <w:rsid w:val="00E43B1E"/>
    <w:rsid w:val="00E4422F"/>
    <w:rsid w:val="00E447B6"/>
    <w:rsid w:val="00E4530A"/>
    <w:rsid w:val="00E468DB"/>
    <w:rsid w:val="00E479EC"/>
    <w:rsid w:val="00E50F0B"/>
    <w:rsid w:val="00E51077"/>
    <w:rsid w:val="00E51BC7"/>
    <w:rsid w:val="00E549C3"/>
    <w:rsid w:val="00E54A01"/>
    <w:rsid w:val="00E54A6F"/>
    <w:rsid w:val="00E55E5C"/>
    <w:rsid w:val="00E55ED6"/>
    <w:rsid w:val="00E56247"/>
    <w:rsid w:val="00E56EB6"/>
    <w:rsid w:val="00E56F43"/>
    <w:rsid w:val="00E57843"/>
    <w:rsid w:val="00E579DB"/>
    <w:rsid w:val="00E57A71"/>
    <w:rsid w:val="00E600B1"/>
    <w:rsid w:val="00E602A7"/>
    <w:rsid w:val="00E6088F"/>
    <w:rsid w:val="00E60A13"/>
    <w:rsid w:val="00E61DEF"/>
    <w:rsid w:val="00E62A08"/>
    <w:rsid w:val="00E62C51"/>
    <w:rsid w:val="00E62C98"/>
    <w:rsid w:val="00E63E31"/>
    <w:rsid w:val="00E63E65"/>
    <w:rsid w:val="00E6497C"/>
    <w:rsid w:val="00E651BC"/>
    <w:rsid w:val="00E657F9"/>
    <w:rsid w:val="00E66C8F"/>
    <w:rsid w:val="00E67B35"/>
    <w:rsid w:val="00E67DF4"/>
    <w:rsid w:val="00E70851"/>
    <w:rsid w:val="00E70A4B"/>
    <w:rsid w:val="00E71762"/>
    <w:rsid w:val="00E71DB8"/>
    <w:rsid w:val="00E72559"/>
    <w:rsid w:val="00E73631"/>
    <w:rsid w:val="00E73659"/>
    <w:rsid w:val="00E741FB"/>
    <w:rsid w:val="00E746FD"/>
    <w:rsid w:val="00E7485B"/>
    <w:rsid w:val="00E76553"/>
    <w:rsid w:val="00E76D15"/>
    <w:rsid w:val="00E77100"/>
    <w:rsid w:val="00E77828"/>
    <w:rsid w:val="00E80AAF"/>
    <w:rsid w:val="00E8124E"/>
    <w:rsid w:val="00E81F45"/>
    <w:rsid w:val="00E835E3"/>
    <w:rsid w:val="00E84275"/>
    <w:rsid w:val="00E8459B"/>
    <w:rsid w:val="00E84761"/>
    <w:rsid w:val="00E84F60"/>
    <w:rsid w:val="00E85FCC"/>
    <w:rsid w:val="00E86303"/>
    <w:rsid w:val="00E863BA"/>
    <w:rsid w:val="00E86465"/>
    <w:rsid w:val="00E864B3"/>
    <w:rsid w:val="00E86D6A"/>
    <w:rsid w:val="00E871CC"/>
    <w:rsid w:val="00E9148B"/>
    <w:rsid w:val="00E91A2D"/>
    <w:rsid w:val="00E91E22"/>
    <w:rsid w:val="00E921AC"/>
    <w:rsid w:val="00E926C4"/>
    <w:rsid w:val="00E92EE0"/>
    <w:rsid w:val="00E933F9"/>
    <w:rsid w:val="00E93E0E"/>
    <w:rsid w:val="00E943ED"/>
    <w:rsid w:val="00E94447"/>
    <w:rsid w:val="00E94748"/>
    <w:rsid w:val="00E949E7"/>
    <w:rsid w:val="00E950A0"/>
    <w:rsid w:val="00E9513B"/>
    <w:rsid w:val="00E95B7D"/>
    <w:rsid w:val="00E95DDD"/>
    <w:rsid w:val="00E968FC"/>
    <w:rsid w:val="00E970FF"/>
    <w:rsid w:val="00E9722F"/>
    <w:rsid w:val="00E975F3"/>
    <w:rsid w:val="00E978D4"/>
    <w:rsid w:val="00E97D3F"/>
    <w:rsid w:val="00EA01B9"/>
    <w:rsid w:val="00EA0BAB"/>
    <w:rsid w:val="00EA15A4"/>
    <w:rsid w:val="00EA15AA"/>
    <w:rsid w:val="00EA1EC5"/>
    <w:rsid w:val="00EA1FDA"/>
    <w:rsid w:val="00EA252A"/>
    <w:rsid w:val="00EA2DFF"/>
    <w:rsid w:val="00EA34D2"/>
    <w:rsid w:val="00EA34D7"/>
    <w:rsid w:val="00EA3586"/>
    <w:rsid w:val="00EA3AFF"/>
    <w:rsid w:val="00EA3B07"/>
    <w:rsid w:val="00EA3B95"/>
    <w:rsid w:val="00EA4197"/>
    <w:rsid w:val="00EA41F3"/>
    <w:rsid w:val="00EA4272"/>
    <w:rsid w:val="00EA4965"/>
    <w:rsid w:val="00EA49AA"/>
    <w:rsid w:val="00EA5576"/>
    <w:rsid w:val="00EA5742"/>
    <w:rsid w:val="00EA6448"/>
    <w:rsid w:val="00EA6C01"/>
    <w:rsid w:val="00EA7CD9"/>
    <w:rsid w:val="00EB0066"/>
    <w:rsid w:val="00EB0EFF"/>
    <w:rsid w:val="00EB14BC"/>
    <w:rsid w:val="00EB3416"/>
    <w:rsid w:val="00EB3BEC"/>
    <w:rsid w:val="00EB4D99"/>
    <w:rsid w:val="00EB4FF2"/>
    <w:rsid w:val="00EB503E"/>
    <w:rsid w:val="00EB5DC5"/>
    <w:rsid w:val="00EB61FA"/>
    <w:rsid w:val="00EB6494"/>
    <w:rsid w:val="00EB6B37"/>
    <w:rsid w:val="00EB708F"/>
    <w:rsid w:val="00EC04A7"/>
    <w:rsid w:val="00EC0B15"/>
    <w:rsid w:val="00EC0DCC"/>
    <w:rsid w:val="00EC0F97"/>
    <w:rsid w:val="00EC112B"/>
    <w:rsid w:val="00EC2232"/>
    <w:rsid w:val="00EC3039"/>
    <w:rsid w:val="00EC31F0"/>
    <w:rsid w:val="00EC34B3"/>
    <w:rsid w:val="00EC4357"/>
    <w:rsid w:val="00EC4538"/>
    <w:rsid w:val="00EC4829"/>
    <w:rsid w:val="00EC49B7"/>
    <w:rsid w:val="00EC507F"/>
    <w:rsid w:val="00EC55F9"/>
    <w:rsid w:val="00EC606E"/>
    <w:rsid w:val="00EC6118"/>
    <w:rsid w:val="00EC6505"/>
    <w:rsid w:val="00EC7344"/>
    <w:rsid w:val="00EC77A4"/>
    <w:rsid w:val="00ED1BC4"/>
    <w:rsid w:val="00ED1C73"/>
    <w:rsid w:val="00ED2963"/>
    <w:rsid w:val="00ED2D57"/>
    <w:rsid w:val="00ED35A2"/>
    <w:rsid w:val="00ED4248"/>
    <w:rsid w:val="00ED4FE6"/>
    <w:rsid w:val="00ED552B"/>
    <w:rsid w:val="00ED5C9F"/>
    <w:rsid w:val="00ED625F"/>
    <w:rsid w:val="00ED6716"/>
    <w:rsid w:val="00ED6AB1"/>
    <w:rsid w:val="00ED740C"/>
    <w:rsid w:val="00ED7EB9"/>
    <w:rsid w:val="00EE037B"/>
    <w:rsid w:val="00EE0609"/>
    <w:rsid w:val="00EE2268"/>
    <w:rsid w:val="00EE2BBA"/>
    <w:rsid w:val="00EE2EF8"/>
    <w:rsid w:val="00EE3755"/>
    <w:rsid w:val="00EE3835"/>
    <w:rsid w:val="00EE426D"/>
    <w:rsid w:val="00EE435C"/>
    <w:rsid w:val="00EE443C"/>
    <w:rsid w:val="00EE5E5F"/>
    <w:rsid w:val="00EE5F57"/>
    <w:rsid w:val="00EE72AD"/>
    <w:rsid w:val="00EE7585"/>
    <w:rsid w:val="00EE77DA"/>
    <w:rsid w:val="00EE7B4E"/>
    <w:rsid w:val="00EF04C0"/>
    <w:rsid w:val="00EF1696"/>
    <w:rsid w:val="00EF16B5"/>
    <w:rsid w:val="00EF1B95"/>
    <w:rsid w:val="00EF1CC4"/>
    <w:rsid w:val="00EF287D"/>
    <w:rsid w:val="00EF32C8"/>
    <w:rsid w:val="00EF3763"/>
    <w:rsid w:val="00EF3AF0"/>
    <w:rsid w:val="00EF3EBB"/>
    <w:rsid w:val="00EF4AA8"/>
    <w:rsid w:val="00EF4C5D"/>
    <w:rsid w:val="00EF7606"/>
    <w:rsid w:val="00F002C3"/>
    <w:rsid w:val="00F01C56"/>
    <w:rsid w:val="00F02414"/>
    <w:rsid w:val="00F0249E"/>
    <w:rsid w:val="00F02729"/>
    <w:rsid w:val="00F02BB2"/>
    <w:rsid w:val="00F0383F"/>
    <w:rsid w:val="00F03E5B"/>
    <w:rsid w:val="00F04363"/>
    <w:rsid w:val="00F0453E"/>
    <w:rsid w:val="00F04982"/>
    <w:rsid w:val="00F04F45"/>
    <w:rsid w:val="00F05605"/>
    <w:rsid w:val="00F05778"/>
    <w:rsid w:val="00F05C25"/>
    <w:rsid w:val="00F06A13"/>
    <w:rsid w:val="00F07146"/>
    <w:rsid w:val="00F07A80"/>
    <w:rsid w:val="00F10C56"/>
    <w:rsid w:val="00F10C5E"/>
    <w:rsid w:val="00F10D0A"/>
    <w:rsid w:val="00F111D5"/>
    <w:rsid w:val="00F11231"/>
    <w:rsid w:val="00F114A9"/>
    <w:rsid w:val="00F11633"/>
    <w:rsid w:val="00F121A6"/>
    <w:rsid w:val="00F1262C"/>
    <w:rsid w:val="00F12698"/>
    <w:rsid w:val="00F13D4D"/>
    <w:rsid w:val="00F141B6"/>
    <w:rsid w:val="00F14A64"/>
    <w:rsid w:val="00F14A88"/>
    <w:rsid w:val="00F151E6"/>
    <w:rsid w:val="00F154BA"/>
    <w:rsid w:val="00F15507"/>
    <w:rsid w:val="00F155B4"/>
    <w:rsid w:val="00F15621"/>
    <w:rsid w:val="00F15EDD"/>
    <w:rsid w:val="00F16AE7"/>
    <w:rsid w:val="00F17952"/>
    <w:rsid w:val="00F17A8F"/>
    <w:rsid w:val="00F17B41"/>
    <w:rsid w:val="00F17D93"/>
    <w:rsid w:val="00F20758"/>
    <w:rsid w:val="00F20A4E"/>
    <w:rsid w:val="00F21FB3"/>
    <w:rsid w:val="00F226D2"/>
    <w:rsid w:val="00F22C7A"/>
    <w:rsid w:val="00F23251"/>
    <w:rsid w:val="00F238AA"/>
    <w:rsid w:val="00F244BF"/>
    <w:rsid w:val="00F250A4"/>
    <w:rsid w:val="00F253E3"/>
    <w:rsid w:val="00F26190"/>
    <w:rsid w:val="00F2633A"/>
    <w:rsid w:val="00F26581"/>
    <w:rsid w:val="00F26639"/>
    <w:rsid w:val="00F26917"/>
    <w:rsid w:val="00F27079"/>
    <w:rsid w:val="00F2787C"/>
    <w:rsid w:val="00F304D3"/>
    <w:rsid w:val="00F305DF"/>
    <w:rsid w:val="00F30A67"/>
    <w:rsid w:val="00F3139A"/>
    <w:rsid w:val="00F32600"/>
    <w:rsid w:val="00F327A6"/>
    <w:rsid w:val="00F32EF2"/>
    <w:rsid w:val="00F33828"/>
    <w:rsid w:val="00F33E01"/>
    <w:rsid w:val="00F33F44"/>
    <w:rsid w:val="00F359FF"/>
    <w:rsid w:val="00F35A18"/>
    <w:rsid w:val="00F361ED"/>
    <w:rsid w:val="00F36D97"/>
    <w:rsid w:val="00F370CA"/>
    <w:rsid w:val="00F372C6"/>
    <w:rsid w:val="00F4011E"/>
    <w:rsid w:val="00F40397"/>
    <w:rsid w:val="00F40966"/>
    <w:rsid w:val="00F4320D"/>
    <w:rsid w:val="00F43628"/>
    <w:rsid w:val="00F4421B"/>
    <w:rsid w:val="00F4425E"/>
    <w:rsid w:val="00F4430E"/>
    <w:rsid w:val="00F44FB3"/>
    <w:rsid w:val="00F45EC8"/>
    <w:rsid w:val="00F46007"/>
    <w:rsid w:val="00F4600C"/>
    <w:rsid w:val="00F46293"/>
    <w:rsid w:val="00F46967"/>
    <w:rsid w:val="00F4719E"/>
    <w:rsid w:val="00F47615"/>
    <w:rsid w:val="00F500EB"/>
    <w:rsid w:val="00F50BAA"/>
    <w:rsid w:val="00F50BC6"/>
    <w:rsid w:val="00F50C22"/>
    <w:rsid w:val="00F51243"/>
    <w:rsid w:val="00F51A4A"/>
    <w:rsid w:val="00F5297B"/>
    <w:rsid w:val="00F52B39"/>
    <w:rsid w:val="00F53673"/>
    <w:rsid w:val="00F53D54"/>
    <w:rsid w:val="00F5459B"/>
    <w:rsid w:val="00F54F8A"/>
    <w:rsid w:val="00F55172"/>
    <w:rsid w:val="00F55A22"/>
    <w:rsid w:val="00F560D5"/>
    <w:rsid w:val="00F56300"/>
    <w:rsid w:val="00F57405"/>
    <w:rsid w:val="00F57D39"/>
    <w:rsid w:val="00F57F83"/>
    <w:rsid w:val="00F60391"/>
    <w:rsid w:val="00F604AF"/>
    <w:rsid w:val="00F618FE"/>
    <w:rsid w:val="00F61947"/>
    <w:rsid w:val="00F61E61"/>
    <w:rsid w:val="00F61F0C"/>
    <w:rsid w:val="00F62450"/>
    <w:rsid w:val="00F6287F"/>
    <w:rsid w:val="00F628FE"/>
    <w:rsid w:val="00F62BCF"/>
    <w:rsid w:val="00F62BDD"/>
    <w:rsid w:val="00F62C22"/>
    <w:rsid w:val="00F62F31"/>
    <w:rsid w:val="00F6371E"/>
    <w:rsid w:val="00F63D80"/>
    <w:rsid w:val="00F646EA"/>
    <w:rsid w:val="00F64954"/>
    <w:rsid w:val="00F64EAC"/>
    <w:rsid w:val="00F64EEE"/>
    <w:rsid w:val="00F65D2C"/>
    <w:rsid w:val="00F65E39"/>
    <w:rsid w:val="00F65F01"/>
    <w:rsid w:val="00F663B5"/>
    <w:rsid w:val="00F66638"/>
    <w:rsid w:val="00F66821"/>
    <w:rsid w:val="00F66AEB"/>
    <w:rsid w:val="00F671C7"/>
    <w:rsid w:val="00F67299"/>
    <w:rsid w:val="00F71100"/>
    <w:rsid w:val="00F7142A"/>
    <w:rsid w:val="00F716FA"/>
    <w:rsid w:val="00F71767"/>
    <w:rsid w:val="00F71B2C"/>
    <w:rsid w:val="00F721B2"/>
    <w:rsid w:val="00F733A5"/>
    <w:rsid w:val="00F736F4"/>
    <w:rsid w:val="00F73793"/>
    <w:rsid w:val="00F73857"/>
    <w:rsid w:val="00F73A4B"/>
    <w:rsid w:val="00F743E5"/>
    <w:rsid w:val="00F7624F"/>
    <w:rsid w:val="00F768B2"/>
    <w:rsid w:val="00F7718A"/>
    <w:rsid w:val="00F7780C"/>
    <w:rsid w:val="00F77861"/>
    <w:rsid w:val="00F77E62"/>
    <w:rsid w:val="00F80814"/>
    <w:rsid w:val="00F80FE3"/>
    <w:rsid w:val="00F8101A"/>
    <w:rsid w:val="00F81548"/>
    <w:rsid w:val="00F823CE"/>
    <w:rsid w:val="00F82D71"/>
    <w:rsid w:val="00F83B62"/>
    <w:rsid w:val="00F83D39"/>
    <w:rsid w:val="00F83E9A"/>
    <w:rsid w:val="00F84203"/>
    <w:rsid w:val="00F8448C"/>
    <w:rsid w:val="00F8453E"/>
    <w:rsid w:val="00F845E1"/>
    <w:rsid w:val="00F8471E"/>
    <w:rsid w:val="00F84AEB"/>
    <w:rsid w:val="00F855AC"/>
    <w:rsid w:val="00F85702"/>
    <w:rsid w:val="00F85846"/>
    <w:rsid w:val="00F86845"/>
    <w:rsid w:val="00F86B89"/>
    <w:rsid w:val="00F87032"/>
    <w:rsid w:val="00F87652"/>
    <w:rsid w:val="00F901AE"/>
    <w:rsid w:val="00F90BE1"/>
    <w:rsid w:val="00F90BF4"/>
    <w:rsid w:val="00F91E32"/>
    <w:rsid w:val="00F93CF7"/>
    <w:rsid w:val="00F93FC2"/>
    <w:rsid w:val="00F94BCC"/>
    <w:rsid w:val="00F95267"/>
    <w:rsid w:val="00F95442"/>
    <w:rsid w:val="00F95CF8"/>
    <w:rsid w:val="00F96CCC"/>
    <w:rsid w:val="00F970DF"/>
    <w:rsid w:val="00F97276"/>
    <w:rsid w:val="00F97DDB"/>
    <w:rsid w:val="00FA0076"/>
    <w:rsid w:val="00FA043F"/>
    <w:rsid w:val="00FA044C"/>
    <w:rsid w:val="00FA0A75"/>
    <w:rsid w:val="00FA11E3"/>
    <w:rsid w:val="00FA1602"/>
    <w:rsid w:val="00FA3E1D"/>
    <w:rsid w:val="00FA3E60"/>
    <w:rsid w:val="00FA4486"/>
    <w:rsid w:val="00FA4865"/>
    <w:rsid w:val="00FA491E"/>
    <w:rsid w:val="00FA4FFB"/>
    <w:rsid w:val="00FA50CD"/>
    <w:rsid w:val="00FA5A29"/>
    <w:rsid w:val="00FA5BFB"/>
    <w:rsid w:val="00FA5FE8"/>
    <w:rsid w:val="00FA6178"/>
    <w:rsid w:val="00FA6234"/>
    <w:rsid w:val="00FA63ED"/>
    <w:rsid w:val="00FA68DA"/>
    <w:rsid w:val="00FA6D92"/>
    <w:rsid w:val="00FB04C1"/>
    <w:rsid w:val="00FB175E"/>
    <w:rsid w:val="00FB1D30"/>
    <w:rsid w:val="00FB1E9A"/>
    <w:rsid w:val="00FB22B1"/>
    <w:rsid w:val="00FB2363"/>
    <w:rsid w:val="00FB262C"/>
    <w:rsid w:val="00FB2821"/>
    <w:rsid w:val="00FB2A4C"/>
    <w:rsid w:val="00FB2BEB"/>
    <w:rsid w:val="00FB2F9A"/>
    <w:rsid w:val="00FB3EA9"/>
    <w:rsid w:val="00FB3F4F"/>
    <w:rsid w:val="00FB42AB"/>
    <w:rsid w:val="00FB43EC"/>
    <w:rsid w:val="00FB44A6"/>
    <w:rsid w:val="00FB4E8D"/>
    <w:rsid w:val="00FB5871"/>
    <w:rsid w:val="00FB5BAD"/>
    <w:rsid w:val="00FB63DA"/>
    <w:rsid w:val="00FB681C"/>
    <w:rsid w:val="00FB7A2D"/>
    <w:rsid w:val="00FB7C07"/>
    <w:rsid w:val="00FC1460"/>
    <w:rsid w:val="00FC1A47"/>
    <w:rsid w:val="00FC1DE5"/>
    <w:rsid w:val="00FC2536"/>
    <w:rsid w:val="00FC276E"/>
    <w:rsid w:val="00FC3195"/>
    <w:rsid w:val="00FC3A77"/>
    <w:rsid w:val="00FC3AE0"/>
    <w:rsid w:val="00FC3D1D"/>
    <w:rsid w:val="00FC435E"/>
    <w:rsid w:val="00FC5A7C"/>
    <w:rsid w:val="00FC7021"/>
    <w:rsid w:val="00FC78FE"/>
    <w:rsid w:val="00FC79ED"/>
    <w:rsid w:val="00FC7AA7"/>
    <w:rsid w:val="00FD0896"/>
    <w:rsid w:val="00FD0FB9"/>
    <w:rsid w:val="00FD2237"/>
    <w:rsid w:val="00FD2D55"/>
    <w:rsid w:val="00FD33F3"/>
    <w:rsid w:val="00FD3CD7"/>
    <w:rsid w:val="00FD5366"/>
    <w:rsid w:val="00FD5450"/>
    <w:rsid w:val="00FD5E04"/>
    <w:rsid w:val="00FD70F7"/>
    <w:rsid w:val="00FD7941"/>
    <w:rsid w:val="00FD7C27"/>
    <w:rsid w:val="00FE0016"/>
    <w:rsid w:val="00FE050C"/>
    <w:rsid w:val="00FE0A0C"/>
    <w:rsid w:val="00FE1165"/>
    <w:rsid w:val="00FE1894"/>
    <w:rsid w:val="00FE1A4C"/>
    <w:rsid w:val="00FE1D53"/>
    <w:rsid w:val="00FE1DCE"/>
    <w:rsid w:val="00FE2334"/>
    <w:rsid w:val="00FE2780"/>
    <w:rsid w:val="00FE2E6C"/>
    <w:rsid w:val="00FE30DD"/>
    <w:rsid w:val="00FE3A98"/>
    <w:rsid w:val="00FE409B"/>
    <w:rsid w:val="00FE476C"/>
    <w:rsid w:val="00FE61B4"/>
    <w:rsid w:val="00FE653C"/>
    <w:rsid w:val="00FE7A66"/>
    <w:rsid w:val="00FE7B09"/>
    <w:rsid w:val="00FF0EDF"/>
    <w:rsid w:val="00FF176C"/>
    <w:rsid w:val="00FF28A7"/>
    <w:rsid w:val="00FF2D05"/>
    <w:rsid w:val="00FF3BDD"/>
    <w:rsid w:val="00FF401E"/>
    <w:rsid w:val="00FF42BB"/>
    <w:rsid w:val="00FF466A"/>
    <w:rsid w:val="00FF4C88"/>
    <w:rsid w:val="00FF5D08"/>
    <w:rsid w:val="00FF5D49"/>
    <w:rsid w:val="00FF67F8"/>
    <w:rsid w:val="00FF7155"/>
    <w:rsid w:val="00FF7297"/>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0FE9F"/>
  <w15:docId w15:val="{EEB9196E-D480-42F3-AA36-413D037E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103"/>
    <w:pPr>
      <w:ind w:left="720"/>
      <w:contextualSpacing/>
    </w:pPr>
  </w:style>
  <w:style w:type="paragraph" w:styleId="Bibliography">
    <w:name w:val="Bibliography"/>
    <w:basedOn w:val="Normal"/>
    <w:next w:val="Normal"/>
    <w:uiPriority w:val="37"/>
    <w:unhideWhenUsed/>
    <w:rsid w:val="00FC7021"/>
    <w:pPr>
      <w:spacing w:after="0" w:line="240" w:lineRule="auto"/>
      <w:ind w:left="720" w:hanging="720"/>
    </w:pPr>
  </w:style>
  <w:style w:type="character" w:styleId="CommentReference">
    <w:name w:val="annotation reference"/>
    <w:basedOn w:val="DefaultParagraphFont"/>
    <w:uiPriority w:val="99"/>
    <w:semiHidden/>
    <w:unhideWhenUsed/>
    <w:rsid w:val="0028321E"/>
    <w:rPr>
      <w:sz w:val="16"/>
      <w:szCs w:val="16"/>
    </w:rPr>
  </w:style>
  <w:style w:type="paragraph" w:styleId="CommentText">
    <w:name w:val="annotation text"/>
    <w:basedOn w:val="Normal"/>
    <w:link w:val="CommentTextChar"/>
    <w:uiPriority w:val="99"/>
    <w:unhideWhenUsed/>
    <w:rsid w:val="0028321E"/>
    <w:pPr>
      <w:spacing w:line="240" w:lineRule="auto"/>
    </w:pPr>
    <w:rPr>
      <w:sz w:val="20"/>
      <w:szCs w:val="20"/>
    </w:rPr>
  </w:style>
  <w:style w:type="character" w:customStyle="1" w:styleId="CommentTextChar">
    <w:name w:val="Comment Text Char"/>
    <w:basedOn w:val="DefaultParagraphFont"/>
    <w:link w:val="CommentText"/>
    <w:uiPriority w:val="99"/>
    <w:rsid w:val="0028321E"/>
    <w:rPr>
      <w:sz w:val="20"/>
      <w:szCs w:val="20"/>
    </w:rPr>
  </w:style>
  <w:style w:type="paragraph" w:styleId="CommentSubject">
    <w:name w:val="annotation subject"/>
    <w:basedOn w:val="CommentText"/>
    <w:next w:val="CommentText"/>
    <w:link w:val="CommentSubjectChar"/>
    <w:uiPriority w:val="99"/>
    <w:semiHidden/>
    <w:unhideWhenUsed/>
    <w:rsid w:val="0028321E"/>
    <w:rPr>
      <w:b/>
      <w:bCs/>
    </w:rPr>
  </w:style>
  <w:style w:type="character" w:customStyle="1" w:styleId="CommentSubjectChar">
    <w:name w:val="Comment Subject Char"/>
    <w:basedOn w:val="CommentTextChar"/>
    <w:link w:val="CommentSubject"/>
    <w:uiPriority w:val="99"/>
    <w:semiHidden/>
    <w:rsid w:val="0028321E"/>
    <w:rPr>
      <w:b/>
      <w:bCs/>
      <w:sz w:val="20"/>
      <w:szCs w:val="20"/>
    </w:rPr>
  </w:style>
  <w:style w:type="character" w:styleId="Hyperlink">
    <w:name w:val="Hyperlink"/>
    <w:basedOn w:val="DefaultParagraphFont"/>
    <w:uiPriority w:val="99"/>
    <w:unhideWhenUsed/>
    <w:rsid w:val="0071511B"/>
    <w:rPr>
      <w:color w:val="0563C1" w:themeColor="hyperlink"/>
      <w:u w:val="single"/>
    </w:rPr>
  </w:style>
  <w:style w:type="character" w:styleId="FollowedHyperlink">
    <w:name w:val="FollowedHyperlink"/>
    <w:basedOn w:val="DefaultParagraphFont"/>
    <w:uiPriority w:val="99"/>
    <w:semiHidden/>
    <w:unhideWhenUsed/>
    <w:rsid w:val="00032A32"/>
    <w:rPr>
      <w:color w:val="954F72" w:themeColor="followedHyperlink"/>
      <w:u w:val="single"/>
    </w:rPr>
  </w:style>
  <w:style w:type="character" w:styleId="UnresolvedMention">
    <w:name w:val="Unresolved Mention"/>
    <w:basedOn w:val="DefaultParagraphFont"/>
    <w:uiPriority w:val="99"/>
    <w:semiHidden/>
    <w:unhideWhenUsed/>
    <w:rsid w:val="000E162D"/>
    <w:rPr>
      <w:color w:val="605E5C"/>
      <w:shd w:val="clear" w:color="auto" w:fill="E1DFDD"/>
    </w:rPr>
  </w:style>
  <w:style w:type="paragraph" w:styleId="Header">
    <w:name w:val="header"/>
    <w:basedOn w:val="Normal"/>
    <w:link w:val="HeaderChar"/>
    <w:uiPriority w:val="99"/>
    <w:unhideWhenUsed/>
    <w:rsid w:val="00A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C35"/>
  </w:style>
  <w:style w:type="paragraph" w:styleId="Footer">
    <w:name w:val="footer"/>
    <w:basedOn w:val="Normal"/>
    <w:link w:val="FooterChar"/>
    <w:uiPriority w:val="99"/>
    <w:unhideWhenUsed/>
    <w:rsid w:val="00A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C35"/>
  </w:style>
  <w:style w:type="paragraph" w:customStyle="1" w:styleId="msonormal0">
    <w:name w:val="msonormal"/>
    <w:basedOn w:val="Normal"/>
    <w:rsid w:val="00584169"/>
    <w:pPr>
      <w:spacing w:before="100" w:beforeAutospacing="1" w:after="100" w:afterAutospacing="1" w:line="240" w:lineRule="auto"/>
    </w:pPr>
    <w:rPr>
      <w:rFonts w:eastAsia="Times New Roman"/>
    </w:rPr>
  </w:style>
  <w:style w:type="paragraph" w:customStyle="1" w:styleId="xl65">
    <w:name w:val="xl65"/>
    <w:basedOn w:val="Normal"/>
    <w:rsid w:val="00584169"/>
    <w:pPr>
      <w:pBdr>
        <w:right w:val="single" w:sz="4" w:space="0" w:color="auto"/>
      </w:pBdr>
      <w:spacing w:before="100" w:beforeAutospacing="1" w:after="100" w:afterAutospacing="1" w:line="240" w:lineRule="auto"/>
    </w:pPr>
    <w:rPr>
      <w:rFonts w:eastAsia="Times New Roman"/>
    </w:rPr>
  </w:style>
  <w:style w:type="paragraph" w:customStyle="1" w:styleId="xl66">
    <w:name w:val="xl66"/>
    <w:basedOn w:val="Normal"/>
    <w:rsid w:val="00584169"/>
    <w:pPr>
      <w:pBdr>
        <w:left w:val="single" w:sz="4" w:space="0" w:color="auto"/>
      </w:pBdr>
      <w:spacing w:before="100" w:beforeAutospacing="1" w:after="100" w:afterAutospacing="1" w:line="240" w:lineRule="auto"/>
    </w:pPr>
    <w:rPr>
      <w:rFonts w:eastAsia="Times New Roman"/>
    </w:rPr>
  </w:style>
  <w:style w:type="paragraph" w:customStyle="1" w:styleId="xl67">
    <w:name w:val="xl67"/>
    <w:basedOn w:val="Normal"/>
    <w:rsid w:val="00584169"/>
    <w:pPr>
      <w:pBdr>
        <w:left w:val="single" w:sz="4" w:space="0" w:color="auto"/>
      </w:pBdr>
      <w:spacing w:before="100" w:beforeAutospacing="1" w:after="100" w:afterAutospacing="1" w:line="240" w:lineRule="auto"/>
    </w:pPr>
    <w:rPr>
      <w:rFonts w:eastAsia="Times New Roman"/>
    </w:rPr>
  </w:style>
  <w:style w:type="paragraph" w:customStyle="1" w:styleId="xl68">
    <w:name w:val="xl68"/>
    <w:basedOn w:val="Normal"/>
    <w:rsid w:val="00584169"/>
    <w:pPr>
      <w:pBdr>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69">
    <w:name w:val="xl69"/>
    <w:basedOn w:val="Normal"/>
    <w:rsid w:val="00584169"/>
    <w:pPr>
      <w:pBdr>
        <w:left w:val="single" w:sz="4" w:space="0" w:color="auto"/>
      </w:pBdr>
      <w:spacing w:before="100" w:beforeAutospacing="1" w:after="100" w:afterAutospacing="1" w:line="240" w:lineRule="auto"/>
      <w:jc w:val="center"/>
      <w:textAlignment w:val="center"/>
    </w:pPr>
    <w:rPr>
      <w:rFonts w:eastAsia="Times New Roman"/>
    </w:rPr>
  </w:style>
  <w:style w:type="paragraph" w:customStyle="1" w:styleId="xl70">
    <w:name w:val="xl70"/>
    <w:basedOn w:val="Normal"/>
    <w:rsid w:val="00584169"/>
    <w:pPr>
      <w:spacing w:before="100" w:beforeAutospacing="1" w:after="100" w:afterAutospacing="1" w:line="240" w:lineRule="auto"/>
    </w:pPr>
    <w:rPr>
      <w:rFonts w:eastAsia="Times New Roman"/>
    </w:rPr>
  </w:style>
  <w:style w:type="paragraph" w:customStyle="1" w:styleId="xl71">
    <w:name w:val="xl71"/>
    <w:basedOn w:val="Normal"/>
    <w:rsid w:val="00584169"/>
    <w:pPr>
      <w:pBdr>
        <w:bottom w:val="single" w:sz="4" w:space="0" w:color="auto"/>
      </w:pBdr>
      <w:spacing w:before="100" w:beforeAutospacing="1" w:after="100" w:afterAutospacing="1" w:line="240" w:lineRule="auto"/>
      <w:jc w:val="center"/>
      <w:textAlignment w:val="center"/>
    </w:pPr>
    <w:rPr>
      <w:rFonts w:eastAsia="Times New Roman"/>
    </w:rPr>
  </w:style>
  <w:style w:type="paragraph" w:customStyle="1" w:styleId="xl72">
    <w:name w:val="xl72"/>
    <w:basedOn w:val="Normal"/>
    <w:rsid w:val="0058416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73">
    <w:name w:val="xl73"/>
    <w:basedOn w:val="Normal"/>
    <w:rsid w:val="0058416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rPr>
  </w:style>
  <w:style w:type="paragraph" w:customStyle="1" w:styleId="xl74">
    <w:name w:val="xl74"/>
    <w:basedOn w:val="Normal"/>
    <w:rsid w:val="00584169"/>
    <w:pPr>
      <w:pBdr>
        <w:bottom w:val="single" w:sz="4" w:space="0" w:color="auto"/>
      </w:pBdr>
      <w:spacing w:before="100" w:beforeAutospacing="1" w:after="100" w:afterAutospacing="1" w:line="240" w:lineRule="auto"/>
      <w:jc w:val="center"/>
      <w:textAlignment w:val="center"/>
    </w:pPr>
    <w:rPr>
      <w:rFonts w:eastAsia="Times New Roman"/>
    </w:rPr>
  </w:style>
  <w:style w:type="paragraph" w:customStyle="1" w:styleId="xl75">
    <w:name w:val="xl75"/>
    <w:basedOn w:val="Normal"/>
    <w:rsid w:val="0058416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76">
    <w:name w:val="xl76"/>
    <w:basedOn w:val="Normal"/>
    <w:rsid w:val="0058416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rPr>
  </w:style>
  <w:style w:type="paragraph" w:customStyle="1" w:styleId="xl77">
    <w:name w:val="xl77"/>
    <w:basedOn w:val="Normal"/>
    <w:rsid w:val="00584169"/>
    <w:pPr>
      <w:spacing w:before="100" w:beforeAutospacing="1" w:after="100" w:afterAutospacing="1" w:line="240" w:lineRule="auto"/>
      <w:jc w:val="center"/>
      <w:textAlignment w:val="center"/>
    </w:pPr>
    <w:rPr>
      <w:rFonts w:eastAsia="Times New Roman"/>
    </w:rPr>
  </w:style>
  <w:style w:type="paragraph" w:customStyle="1" w:styleId="xl78">
    <w:name w:val="xl78"/>
    <w:basedOn w:val="Normal"/>
    <w:rsid w:val="00584169"/>
    <w:pPr>
      <w:spacing w:before="100" w:beforeAutospacing="1" w:after="100" w:afterAutospacing="1" w:line="240" w:lineRule="auto"/>
    </w:pPr>
    <w:rPr>
      <w:rFonts w:eastAsia="Times New Roman"/>
      <w:color w:val="FF0000"/>
    </w:rPr>
  </w:style>
  <w:style w:type="paragraph" w:customStyle="1" w:styleId="xl79">
    <w:name w:val="xl79"/>
    <w:basedOn w:val="Normal"/>
    <w:rsid w:val="00584169"/>
    <w:pPr>
      <w:pBdr>
        <w:top w:val="single" w:sz="4" w:space="0" w:color="auto"/>
      </w:pBdr>
      <w:spacing w:before="100" w:beforeAutospacing="1" w:after="100" w:afterAutospacing="1" w:line="240" w:lineRule="auto"/>
      <w:jc w:val="center"/>
      <w:textAlignment w:val="center"/>
    </w:pPr>
    <w:rPr>
      <w:rFonts w:eastAsia="Times New Roman"/>
    </w:rPr>
  </w:style>
  <w:style w:type="paragraph" w:customStyle="1" w:styleId="xl80">
    <w:name w:val="xl80"/>
    <w:basedOn w:val="Normal"/>
    <w:rsid w:val="00584169"/>
    <w:pPr>
      <w:pBdr>
        <w:top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81">
    <w:name w:val="xl81"/>
    <w:basedOn w:val="Normal"/>
    <w:rsid w:val="00584169"/>
    <w:pPr>
      <w:pBdr>
        <w:top w:val="single" w:sz="4" w:space="0" w:color="auto"/>
        <w:left w:val="single" w:sz="4" w:space="0" w:color="auto"/>
      </w:pBdr>
      <w:spacing w:before="100" w:beforeAutospacing="1" w:after="100" w:afterAutospacing="1" w:line="240" w:lineRule="auto"/>
      <w:jc w:val="center"/>
      <w:textAlignment w:val="center"/>
    </w:pPr>
    <w:rPr>
      <w:rFonts w:eastAsia="Times New Roman"/>
    </w:rPr>
  </w:style>
  <w:style w:type="paragraph" w:customStyle="1" w:styleId="xl82">
    <w:name w:val="xl82"/>
    <w:basedOn w:val="Normal"/>
    <w:rsid w:val="00584169"/>
    <w:pPr>
      <w:pBdr>
        <w:top w:val="single" w:sz="4" w:space="0" w:color="auto"/>
        <w:left w:val="single" w:sz="4" w:space="0" w:color="auto"/>
      </w:pBdr>
      <w:spacing w:before="100" w:beforeAutospacing="1" w:after="100" w:afterAutospacing="1" w:line="240" w:lineRule="auto"/>
      <w:jc w:val="center"/>
      <w:textAlignment w:val="center"/>
    </w:pPr>
    <w:rPr>
      <w:rFonts w:eastAsia="Times New Roman"/>
    </w:rPr>
  </w:style>
  <w:style w:type="paragraph" w:customStyle="1" w:styleId="xl83">
    <w:name w:val="xl83"/>
    <w:basedOn w:val="Normal"/>
    <w:rsid w:val="00584169"/>
    <w:pPr>
      <w:pBdr>
        <w:top w:val="single" w:sz="4" w:space="0" w:color="auto"/>
      </w:pBdr>
      <w:spacing w:before="100" w:beforeAutospacing="1" w:after="100" w:afterAutospacing="1" w:line="240" w:lineRule="auto"/>
      <w:jc w:val="center"/>
      <w:textAlignment w:val="center"/>
    </w:pPr>
    <w:rPr>
      <w:rFonts w:eastAsia="Times New Roman"/>
    </w:rPr>
  </w:style>
  <w:style w:type="paragraph" w:customStyle="1" w:styleId="xl84">
    <w:name w:val="xl84"/>
    <w:basedOn w:val="Normal"/>
    <w:rsid w:val="00584169"/>
    <w:pPr>
      <w:pBdr>
        <w:top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85">
    <w:name w:val="xl85"/>
    <w:basedOn w:val="Normal"/>
    <w:rsid w:val="0058416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86">
    <w:name w:val="xl86"/>
    <w:basedOn w:val="Normal"/>
    <w:rsid w:val="00584169"/>
    <w:pPr>
      <w:pBdr>
        <w:left w:val="single" w:sz="4" w:space="0" w:color="auto"/>
        <w:right w:val="single" w:sz="4" w:space="0" w:color="auto"/>
      </w:pBdr>
      <w:spacing w:before="100" w:beforeAutospacing="1" w:after="100" w:afterAutospacing="1" w:line="240" w:lineRule="auto"/>
    </w:pPr>
    <w:rPr>
      <w:rFonts w:eastAsia="Times New Roman"/>
    </w:rPr>
  </w:style>
  <w:style w:type="paragraph" w:customStyle="1" w:styleId="xl87">
    <w:name w:val="xl87"/>
    <w:basedOn w:val="Normal"/>
    <w:rsid w:val="00584169"/>
    <w:pPr>
      <w:pBdr>
        <w:left w:val="single" w:sz="4" w:space="0" w:color="auto"/>
        <w:right w:val="single" w:sz="4" w:space="0" w:color="auto"/>
      </w:pBdr>
      <w:spacing w:before="100" w:beforeAutospacing="1" w:after="100" w:afterAutospacing="1" w:line="240" w:lineRule="auto"/>
    </w:pPr>
    <w:rPr>
      <w:rFonts w:eastAsia="Times New Roman"/>
    </w:rPr>
  </w:style>
  <w:style w:type="paragraph" w:customStyle="1" w:styleId="xl88">
    <w:name w:val="xl88"/>
    <w:basedOn w:val="Normal"/>
    <w:rsid w:val="005841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89">
    <w:name w:val="xl89"/>
    <w:basedOn w:val="Normal"/>
    <w:rsid w:val="005841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90">
    <w:name w:val="xl90"/>
    <w:basedOn w:val="Normal"/>
    <w:rsid w:val="00584169"/>
    <w:pPr>
      <w:pBdr>
        <w:left w:val="single" w:sz="4" w:space="0" w:color="auto"/>
        <w:right w:val="single" w:sz="4" w:space="0" w:color="auto"/>
      </w:pBdr>
      <w:spacing w:before="100" w:beforeAutospacing="1" w:after="100" w:afterAutospacing="1" w:line="240" w:lineRule="auto"/>
    </w:pPr>
    <w:rPr>
      <w:rFonts w:eastAsia="Times New Roman"/>
      <w:b/>
      <w:bCs/>
    </w:rPr>
  </w:style>
  <w:style w:type="paragraph" w:customStyle="1" w:styleId="xl91">
    <w:name w:val="xl91"/>
    <w:basedOn w:val="Normal"/>
    <w:rsid w:val="00584169"/>
    <w:pPr>
      <w:pBdr>
        <w:top w:val="single" w:sz="4" w:space="0" w:color="auto"/>
        <w:left w:val="single" w:sz="4" w:space="0" w:color="auto"/>
      </w:pBdr>
      <w:spacing w:before="100" w:beforeAutospacing="1" w:after="100" w:afterAutospacing="1" w:line="240" w:lineRule="auto"/>
      <w:jc w:val="center"/>
      <w:textAlignment w:val="center"/>
    </w:pPr>
    <w:rPr>
      <w:rFonts w:eastAsia="Times New Roman"/>
    </w:rPr>
  </w:style>
  <w:style w:type="paragraph" w:customStyle="1" w:styleId="xl92">
    <w:name w:val="xl92"/>
    <w:basedOn w:val="Normal"/>
    <w:rsid w:val="00584169"/>
    <w:pPr>
      <w:pBdr>
        <w:top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93">
    <w:name w:val="xl93"/>
    <w:basedOn w:val="Normal"/>
    <w:rsid w:val="00584169"/>
    <w:pPr>
      <w:pBdr>
        <w:top w:val="single" w:sz="4" w:space="0" w:color="auto"/>
        <w:left w:val="single" w:sz="4" w:space="0" w:color="auto"/>
      </w:pBdr>
      <w:spacing w:before="100" w:beforeAutospacing="1" w:after="100" w:afterAutospacing="1" w:line="240" w:lineRule="auto"/>
    </w:pPr>
    <w:rPr>
      <w:rFonts w:eastAsia="Times New Roman"/>
    </w:rPr>
  </w:style>
  <w:style w:type="paragraph" w:customStyle="1" w:styleId="xl94">
    <w:name w:val="xl94"/>
    <w:basedOn w:val="Normal"/>
    <w:rsid w:val="00584169"/>
    <w:pPr>
      <w:pBdr>
        <w:top w:val="single" w:sz="4" w:space="0" w:color="auto"/>
        <w:right w:val="single" w:sz="4" w:space="0" w:color="auto"/>
      </w:pBdr>
      <w:spacing w:before="100" w:beforeAutospacing="1" w:after="100" w:afterAutospacing="1" w:line="240" w:lineRule="auto"/>
    </w:pPr>
    <w:rPr>
      <w:rFonts w:eastAsia="Times New Roman"/>
    </w:rPr>
  </w:style>
  <w:style w:type="paragraph" w:customStyle="1" w:styleId="xl95">
    <w:name w:val="xl95"/>
    <w:basedOn w:val="Normal"/>
    <w:rsid w:val="00584169"/>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rPr>
  </w:style>
  <w:style w:type="paragraph" w:styleId="BalloonText">
    <w:name w:val="Balloon Text"/>
    <w:basedOn w:val="Normal"/>
    <w:link w:val="BalloonTextChar"/>
    <w:uiPriority w:val="99"/>
    <w:semiHidden/>
    <w:unhideWhenUsed/>
    <w:rsid w:val="00331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93"/>
    <w:rPr>
      <w:rFonts w:ascii="Segoe UI" w:hAnsi="Segoe UI" w:cs="Segoe UI"/>
      <w:sz w:val="18"/>
      <w:szCs w:val="18"/>
    </w:rPr>
  </w:style>
  <w:style w:type="paragraph" w:styleId="Caption">
    <w:name w:val="caption"/>
    <w:basedOn w:val="Normal"/>
    <w:next w:val="Normal"/>
    <w:uiPriority w:val="35"/>
    <w:unhideWhenUsed/>
    <w:qFormat/>
    <w:rsid w:val="00331593"/>
    <w:pPr>
      <w:spacing w:after="200" w:line="240" w:lineRule="auto"/>
    </w:pPr>
    <w:rPr>
      <w:rFonts w:asciiTheme="minorHAnsi" w:hAnsiTheme="minorHAnsi" w:cstheme="minorBidi"/>
      <w:i/>
      <w:iCs/>
      <w:color w:val="44546A" w:themeColor="text2"/>
      <w:sz w:val="18"/>
      <w:szCs w:val="18"/>
    </w:rPr>
  </w:style>
  <w:style w:type="table" w:styleId="TableGrid">
    <w:name w:val="Table Grid"/>
    <w:basedOn w:val="TableNormal"/>
    <w:uiPriority w:val="39"/>
    <w:rsid w:val="0050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886"/>
    <w:rPr>
      <w:color w:val="808080"/>
    </w:rPr>
  </w:style>
  <w:style w:type="paragraph" w:customStyle="1" w:styleId="Default">
    <w:name w:val="Default"/>
    <w:link w:val="DefaultChar"/>
    <w:rsid w:val="00C33922"/>
    <w:pPr>
      <w:autoSpaceDE w:val="0"/>
      <w:autoSpaceDN w:val="0"/>
      <w:adjustRightInd w:val="0"/>
      <w:spacing w:after="0" w:line="240" w:lineRule="auto"/>
    </w:pPr>
    <w:rPr>
      <w:rFonts w:ascii="Cambria" w:hAnsi="Cambria" w:cs="Cambria"/>
      <w:color w:val="000000"/>
    </w:rPr>
  </w:style>
  <w:style w:type="character" w:customStyle="1" w:styleId="DefaultChar">
    <w:name w:val="Default Char"/>
    <w:basedOn w:val="DefaultParagraphFont"/>
    <w:link w:val="Default"/>
    <w:locked/>
    <w:rsid w:val="00C33922"/>
    <w:rPr>
      <w:rFonts w:ascii="Cambria" w:hAnsi="Cambria" w:cs="Cambria"/>
      <w:color w:val="000000"/>
    </w:rPr>
  </w:style>
  <w:style w:type="paragraph" w:styleId="FootnoteText">
    <w:name w:val="footnote text"/>
    <w:basedOn w:val="Normal"/>
    <w:link w:val="FootnoteTextChar"/>
    <w:uiPriority w:val="99"/>
    <w:unhideWhenUsed/>
    <w:rsid w:val="008A0C7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qFormat/>
    <w:rsid w:val="008A0C7A"/>
    <w:rPr>
      <w:rFonts w:eastAsia="Times New Roman"/>
      <w:sz w:val="20"/>
      <w:szCs w:val="20"/>
    </w:rPr>
  </w:style>
  <w:style w:type="character" w:styleId="FootnoteReference">
    <w:name w:val="footnote reference"/>
    <w:basedOn w:val="DefaultParagraphFont"/>
    <w:uiPriority w:val="99"/>
    <w:semiHidden/>
    <w:unhideWhenUsed/>
    <w:rsid w:val="008A0C7A"/>
    <w:rPr>
      <w:vertAlign w:val="superscript"/>
    </w:rPr>
  </w:style>
  <w:style w:type="paragraph" w:styleId="Revision">
    <w:name w:val="Revision"/>
    <w:hidden/>
    <w:uiPriority w:val="99"/>
    <w:semiHidden/>
    <w:rsid w:val="002F252E"/>
    <w:pPr>
      <w:spacing w:after="0" w:line="240" w:lineRule="auto"/>
    </w:pPr>
  </w:style>
  <w:style w:type="character" w:styleId="EndnoteReference">
    <w:name w:val="endnote reference"/>
    <w:basedOn w:val="DefaultParagraphFont"/>
    <w:uiPriority w:val="99"/>
    <w:semiHidden/>
    <w:unhideWhenUsed/>
    <w:rsid w:val="0064292D"/>
    <w:rPr>
      <w:vertAlign w:val="superscript"/>
    </w:rPr>
  </w:style>
  <w:style w:type="paragraph" w:styleId="NormalWeb">
    <w:name w:val="Normal (Web)"/>
    <w:basedOn w:val="Normal"/>
    <w:uiPriority w:val="99"/>
    <w:unhideWhenUsed/>
    <w:rsid w:val="00B82529"/>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3044">
      <w:bodyDiv w:val="1"/>
      <w:marLeft w:val="0"/>
      <w:marRight w:val="0"/>
      <w:marTop w:val="0"/>
      <w:marBottom w:val="0"/>
      <w:divBdr>
        <w:top w:val="none" w:sz="0" w:space="0" w:color="auto"/>
        <w:left w:val="none" w:sz="0" w:space="0" w:color="auto"/>
        <w:bottom w:val="none" w:sz="0" w:space="0" w:color="auto"/>
        <w:right w:val="none" w:sz="0" w:space="0" w:color="auto"/>
      </w:divBdr>
    </w:div>
    <w:div w:id="300841325">
      <w:bodyDiv w:val="1"/>
      <w:marLeft w:val="0"/>
      <w:marRight w:val="0"/>
      <w:marTop w:val="0"/>
      <w:marBottom w:val="0"/>
      <w:divBdr>
        <w:top w:val="none" w:sz="0" w:space="0" w:color="auto"/>
        <w:left w:val="none" w:sz="0" w:space="0" w:color="auto"/>
        <w:bottom w:val="none" w:sz="0" w:space="0" w:color="auto"/>
        <w:right w:val="none" w:sz="0" w:space="0" w:color="auto"/>
      </w:divBdr>
    </w:div>
    <w:div w:id="312367149">
      <w:bodyDiv w:val="1"/>
      <w:marLeft w:val="0"/>
      <w:marRight w:val="0"/>
      <w:marTop w:val="0"/>
      <w:marBottom w:val="0"/>
      <w:divBdr>
        <w:top w:val="none" w:sz="0" w:space="0" w:color="auto"/>
        <w:left w:val="none" w:sz="0" w:space="0" w:color="auto"/>
        <w:bottom w:val="none" w:sz="0" w:space="0" w:color="auto"/>
        <w:right w:val="none" w:sz="0" w:space="0" w:color="auto"/>
      </w:divBdr>
    </w:div>
    <w:div w:id="402531374">
      <w:bodyDiv w:val="1"/>
      <w:marLeft w:val="0"/>
      <w:marRight w:val="0"/>
      <w:marTop w:val="0"/>
      <w:marBottom w:val="0"/>
      <w:divBdr>
        <w:top w:val="none" w:sz="0" w:space="0" w:color="auto"/>
        <w:left w:val="none" w:sz="0" w:space="0" w:color="auto"/>
        <w:bottom w:val="none" w:sz="0" w:space="0" w:color="auto"/>
        <w:right w:val="none" w:sz="0" w:space="0" w:color="auto"/>
      </w:divBdr>
    </w:div>
    <w:div w:id="485049131">
      <w:bodyDiv w:val="1"/>
      <w:marLeft w:val="0"/>
      <w:marRight w:val="0"/>
      <w:marTop w:val="0"/>
      <w:marBottom w:val="0"/>
      <w:divBdr>
        <w:top w:val="none" w:sz="0" w:space="0" w:color="auto"/>
        <w:left w:val="none" w:sz="0" w:space="0" w:color="auto"/>
        <w:bottom w:val="none" w:sz="0" w:space="0" w:color="auto"/>
        <w:right w:val="none" w:sz="0" w:space="0" w:color="auto"/>
      </w:divBdr>
    </w:div>
    <w:div w:id="494498417">
      <w:bodyDiv w:val="1"/>
      <w:marLeft w:val="0"/>
      <w:marRight w:val="0"/>
      <w:marTop w:val="0"/>
      <w:marBottom w:val="0"/>
      <w:divBdr>
        <w:top w:val="none" w:sz="0" w:space="0" w:color="auto"/>
        <w:left w:val="none" w:sz="0" w:space="0" w:color="auto"/>
        <w:bottom w:val="none" w:sz="0" w:space="0" w:color="auto"/>
        <w:right w:val="none" w:sz="0" w:space="0" w:color="auto"/>
      </w:divBdr>
    </w:div>
    <w:div w:id="745804123">
      <w:bodyDiv w:val="1"/>
      <w:marLeft w:val="0"/>
      <w:marRight w:val="0"/>
      <w:marTop w:val="0"/>
      <w:marBottom w:val="0"/>
      <w:divBdr>
        <w:top w:val="none" w:sz="0" w:space="0" w:color="auto"/>
        <w:left w:val="none" w:sz="0" w:space="0" w:color="auto"/>
        <w:bottom w:val="none" w:sz="0" w:space="0" w:color="auto"/>
        <w:right w:val="none" w:sz="0" w:space="0" w:color="auto"/>
      </w:divBdr>
    </w:div>
    <w:div w:id="1061945857">
      <w:bodyDiv w:val="1"/>
      <w:marLeft w:val="0"/>
      <w:marRight w:val="0"/>
      <w:marTop w:val="0"/>
      <w:marBottom w:val="0"/>
      <w:divBdr>
        <w:top w:val="none" w:sz="0" w:space="0" w:color="auto"/>
        <w:left w:val="none" w:sz="0" w:space="0" w:color="auto"/>
        <w:bottom w:val="none" w:sz="0" w:space="0" w:color="auto"/>
        <w:right w:val="none" w:sz="0" w:space="0" w:color="auto"/>
      </w:divBdr>
    </w:div>
    <w:div w:id="1143694720">
      <w:bodyDiv w:val="1"/>
      <w:marLeft w:val="0"/>
      <w:marRight w:val="0"/>
      <w:marTop w:val="0"/>
      <w:marBottom w:val="0"/>
      <w:divBdr>
        <w:top w:val="none" w:sz="0" w:space="0" w:color="auto"/>
        <w:left w:val="none" w:sz="0" w:space="0" w:color="auto"/>
        <w:bottom w:val="none" w:sz="0" w:space="0" w:color="auto"/>
        <w:right w:val="none" w:sz="0" w:space="0" w:color="auto"/>
      </w:divBdr>
    </w:div>
    <w:div w:id="1160802919">
      <w:bodyDiv w:val="1"/>
      <w:marLeft w:val="0"/>
      <w:marRight w:val="0"/>
      <w:marTop w:val="0"/>
      <w:marBottom w:val="0"/>
      <w:divBdr>
        <w:top w:val="none" w:sz="0" w:space="0" w:color="auto"/>
        <w:left w:val="none" w:sz="0" w:space="0" w:color="auto"/>
        <w:bottom w:val="none" w:sz="0" w:space="0" w:color="auto"/>
        <w:right w:val="none" w:sz="0" w:space="0" w:color="auto"/>
      </w:divBdr>
    </w:div>
    <w:div w:id="1253978338">
      <w:bodyDiv w:val="1"/>
      <w:marLeft w:val="0"/>
      <w:marRight w:val="0"/>
      <w:marTop w:val="0"/>
      <w:marBottom w:val="0"/>
      <w:divBdr>
        <w:top w:val="none" w:sz="0" w:space="0" w:color="auto"/>
        <w:left w:val="none" w:sz="0" w:space="0" w:color="auto"/>
        <w:bottom w:val="none" w:sz="0" w:space="0" w:color="auto"/>
        <w:right w:val="none" w:sz="0" w:space="0" w:color="auto"/>
      </w:divBdr>
    </w:div>
    <w:div w:id="1370372179">
      <w:bodyDiv w:val="1"/>
      <w:marLeft w:val="0"/>
      <w:marRight w:val="0"/>
      <w:marTop w:val="0"/>
      <w:marBottom w:val="0"/>
      <w:divBdr>
        <w:top w:val="none" w:sz="0" w:space="0" w:color="auto"/>
        <w:left w:val="none" w:sz="0" w:space="0" w:color="auto"/>
        <w:bottom w:val="none" w:sz="0" w:space="0" w:color="auto"/>
        <w:right w:val="none" w:sz="0" w:space="0" w:color="auto"/>
      </w:divBdr>
    </w:div>
    <w:div w:id="1376731551">
      <w:bodyDiv w:val="1"/>
      <w:marLeft w:val="0"/>
      <w:marRight w:val="0"/>
      <w:marTop w:val="0"/>
      <w:marBottom w:val="0"/>
      <w:divBdr>
        <w:top w:val="none" w:sz="0" w:space="0" w:color="auto"/>
        <w:left w:val="none" w:sz="0" w:space="0" w:color="auto"/>
        <w:bottom w:val="none" w:sz="0" w:space="0" w:color="auto"/>
        <w:right w:val="none" w:sz="0" w:space="0" w:color="auto"/>
      </w:divBdr>
    </w:div>
    <w:div w:id="1404639529">
      <w:bodyDiv w:val="1"/>
      <w:marLeft w:val="0"/>
      <w:marRight w:val="0"/>
      <w:marTop w:val="0"/>
      <w:marBottom w:val="0"/>
      <w:divBdr>
        <w:top w:val="none" w:sz="0" w:space="0" w:color="auto"/>
        <w:left w:val="none" w:sz="0" w:space="0" w:color="auto"/>
        <w:bottom w:val="none" w:sz="0" w:space="0" w:color="auto"/>
        <w:right w:val="none" w:sz="0" w:space="0" w:color="auto"/>
      </w:divBdr>
    </w:div>
    <w:div w:id="1470055413">
      <w:bodyDiv w:val="1"/>
      <w:marLeft w:val="0"/>
      <w:marRight w:val="0"/>
      <w:marTop w:val="0"/>
      <w:marBottom w:val="0"/>
      <w:divBdr>
        <w:top w:val="none" w:sz="0" w:space="0" w:color="auto"/>
        <w:left w:val="none" w:sz="0" w:space="0" w:color="auto"/>
        <w:bottom w:val="none" w:sz="0" w:space="0" w:color="auto"/>
        <w:right w:val="none" w:sz="0" w:space="0" w:color="auto"/>
      </w:divBdr>
    </w:div>
    <w:div w:id="1623003044">
      <w:bodyDiv w:val="1"/>
      <w:marLeft w:val="0"/>
      <w:marRight w:val="0"/>
      <w:marTop w:val="0"/>
      <w:marBottom w:val="0"/>
      <w:divBdr>
        <w:top w:val="none" w:sz="0" w:space="0" w:color="auto"/>
        <w:left w:val="none" w:sz="0" w:space="0" w:color="auto"/>
        <w:bottom w:val="none" w:sz="0" w:space="0" w:color="auto"/>
        <w:right w:val="none" w:sz="0" w:space="0" w:color="auto"/>
      </w:divBdr>
    </w:div>
    <w:div w:id="1645506426">
      <w:bodyDiv w:val="1"/>
      <w:marLeft w:val="0"/>
      <w:marRight w:val="0"/>
      <w:marTop w:val="0"/>
      <w:marBottom w:val="0"/>
      <w:divBdr>
        <w:top w:val="none" w:sz="0" w:space="0" w:color="auto"/>
        <w:left w:val="none" w:sz="0" w:space="0" w:color="auto"/>
        <w:bottom w:val="none" w:sz="0" w:space="0" w:color="auto"/>
        <w:right w:val="none" w:sz="0" w:space="0" w:color="auto"/>
      </w:divBdr>
    </w:div>
    <w:div w:id="1682783268">
      <w:bodyDiv w:val="1"/>
      <w:marLeft w:val="0"/>
      <w:marRight w:val="0"/>
      <w:marTop w:val="0"/>
      <w:marBottom w:val="0"/>
      <w:divBdr>
        <w:top w:val="none" w:sz="0" w:space="0" w:color="auto"/>
        <w:left w:val="none" w:sz="0" w:space="0" w:color="auto"/>
        <w:bottom w:val="none" w:sz="0" w:space="0" w:color="auto"/>
        <w:right w:val="none" w:sz="0" w:space="0" w:color="auto"/>
      </w:divBdr>
    </w:div>
    <w:div w:id="1861510880">
      <w:bodyDiv w:val="1"/>
      <w:marLeft w:val="0"/>
      <w:marRight w:val="0"/>
      <w:marTop w:val="0"/>
      <w:marBottom w:val="0"/>
      <w:divBdr>
        <w:top w:val="none" w:sz="0" w:space="0" w:color="auto"/>
        <w:left w:val="none" w:sz="0" w:space="0" w:color="auto"/>
        <w:bottom w:val="none" w:sz="0" w:space="0" w:color="auto"/>
        <w:right w:val="none" w:sz="0" w:space="0" w:color="auto"/>
      </w:divBdr>
    </w:div>
    <w:div w:id="2104374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54.bin"/><Relationship Id="rId21" Type="http://schemas.openxmlformats.org/officeDocument/2006/relationships/oleObject" Target="embeddings/oleObject8.bin"/><Relationship Id="rId63" Type="http://schemas.openxmlformats.org/officeDocument/2006/relationships/image" Target="media/image28.wmf"/><Relationship Id="rId159" Type="http://schemas.openxmlformats.org/officeDocument/2006/relationships/image" Target="media/image73.wmf"/><Relationship Id="rId324" Type="http://schemas.openxmlformats.org/officeDocument/2006/relationships/oleObject" Target="embeddings/oleObject167.bin"/><Relationship Id="rId170" Type="http://schemas.openxmlformats.org/officeDocument/2006/relationships/oleObject" Target="embeddings/oleObject86.bin"/><Relationship Id="rId226" Type="http://schemas.openxmlformats.org/officeDocument/2006/relationships/image" Target="media/image107.wmf"/><Relationship Id="rId268" Type="http://schemas.openxmlformats.org/officeDocument/2006/relationships/image" Target="media/image130.wmf"/><Relationship Id="rId32" Type="http://schemas.openxmlformats.org/officeDocument/2006/relationships/oleObject" Target="embeddings/oleObject14.bin"/><Relationship Id="rId74" Type="http://schemas.openxmlformats.org/officeDocument/2006/relationships/image" Target="media/image33.wmf"/><Relationship Id="rId128" Type="http://schemas.openxmlformats.org/officeDocument/2006/relationships/oleObject" Target="embeddings/oleObject64.bin"/><Relationship Id="rId335" Type="http://schemas.openxmlformats.org/officeDocument/2006/relationships/chart" Target="charts/chart1.xml"/><Relationship Id="rId5" Type="http://schemas.openxmlformats.org/officeDocument/2006/relationships/webSettings" Target="webSettings.xml"/><Relationship Id="rId181" Type="http://schemas.openxmlformats.org/officeDocument/2006/relationships/image" Target="media/image84.wmf"/><Relationship Id="rId237" Type="http://schemas.openxmlformats.org/officeDocument/2006/relationships/oleObject" Target="embeddings/oleObject119.bin"/><Relationship Id="rId279" Type="http://schemas.openxmlformats.org/officeDocument/2006/relationships/oleObject" Target="embeddings/oleObject144.bin"/><Relationship Id="rId43" Type="http://schemas.openxmlformats.org/officeDocument/2006/relationships/image" Target="media/image18.wmf"/><Relationship Id="rId139" Type="http://schemas.openxmlformats.org/officeDocument/2006/relationships/oleObject" Target="embeddings/oleObject70.bin"/><Relationship Id="rId290" Type="http://schemas.openxmlformats.org/officeDocument/2006/relationships/image" Target="media/image141.wmf"/><Relationship Id="rId304" Type="http://schemas.openxmlformats.org/officeDocument/2006/relationships/oleObject" Target="embeddings/oleObject157.bin"/><Relationship Id="rId85" Type="http://schemas.openxmlformats.org/officeDocument/2006/relationships/oleObject" Target="embeddings/oleObject41.bin"/><Relationship Id="rId150" Type="http://schemas.openxmlformats.org/officeDocument/2006/relationships/oleObject" Target="embeddings/oleObject76.bin"/><Relationship Id="rId192" Type="http://schemas.openxmlformats.org/officeDocument/2006/relationships/oleObject" Target="embeddings/oleObject97.bin"/><Relationship Id="rId206" Type="http://schemas.openxmlformats.org/officeDocument/2006/relationships/oleObject" Target="embeddings/oleObject104.bin"/><Relationship Id="rId248" Type="http://schemas.openxmlformats.org/officeDocument/2006/relationships/image" Target="media/image118.wmf"/><Relationship Id="rId12" Type="http://schemas.openxmlformats.org/officeDocument/2006/relationships/image" Target="media/image4.wmf"/><Relationship Id="rId108" Type="http://schemas.openxmlformats.org/officeDocument/2006/relationships/image" Target="media/image49.wmf"/><Relationship Id="rId315" Type="http://schemas.openxmlformats.org/officeDocument/2006/relationships/image" Target="media/image153.wmf"/><Relationship Id="rId54" Type="http://schemas.openxmlformats.org/officeDocument/2006/relationships/oleObject" Target="embeddings/oleObject25.bin"/><Relationship Id="rId96" Type="http://schemas.openxmlformats.org/officeDocument/2006/relationships/image" Target="media/image44.wmf"/><Relationship Id="rId161" Type="http://schemas.openxmlformats.org/officeDocument/2006/relationships/image" Target="media/image74.wmf"/><Relationship Id="rId217" Type="http://schemas.openxmlformats.org/officeDocument/2006/relationships/image" Target="media/image102.wmf"/><Relationship Id="rId259" Type="http://schemas.openxmlformats.org/officeDocument/2006/relationships/oleObject" Target="embeddings/oleObject130.bin"/><Relationship Id="rId23" Type="http://schemas.openxmlformats.org/officeDocument/2006/relationships/oleObject" Target="embeddings/oleObject9.bin"/><Relationship Id="rId119" Type="http://schemas.openxmlformats.org/officeDocument/2006/relationships/image" Target="media/image54.wmf"/><Relationship Id="rId270" Type="http://schemas.openxmlformats.org/officeDocument/2006/relationships/image" Target="media/image131.wmf"/><Relationship Id="rId326" Type="http://schemas.openxmlformats.org/officeDocument/2006/relationships/oleObject" Target="embeddings/oleObject168.bin"/><Relationship Id="rId65" Type="http://schemas.openxmlformats.org/officeDocument/2006/relationships/image" Target="media/image29.wmf"/><Relationship Id="rId130" Type="http://schemas.openxmlformats.org/officeDocument/2006/relationships/oleObject" Target="embeddings/oleObject65.bin"/><Relationship Id="rId172" Type="http://schemas.openxmlformats.org/officeDocument/2006/relationships/oleObject" Target="embeddings/oleObject87.bin"/><Relationship Id="rId228" Type="http://schemas.openxmlformats.org/officeDocument/2006/relationships/image" Target="media/image108.wmf"/><Relationship Id="rId281" Type="http://schemas.openxmlformats.org/officeDocument/2006/relationships/oleObject" Target="embeddings/oleObject145.bin"/><Relationship Id="rId337" Type="http://schemas.openxmlformats.org/officeDocument/2006/relationships/fontTable" Target="fontTable.xml"/><Relationship Id="rId34" Type="http://schemas.openxmlformats.org/officeDocument/2006/relationships/oleObject" Target="embeddings/oleObject15.bin"/><Relationship Id="rId76" Type="http://schemas.openxmlformats.org/officeDocument/2006/relationships/image" Target="media/image34.wmf"/><Relationship Id="rId141" Type="http://schemas.openxmlformats.org/officeDocument/2006/relationships/image" Target="media/image64.wmf"/><Relationship Id="rId7" Type="http://schemas.openxmlformats.org/officeDocument/2006/relationships/endnotes" Target="endnotes.xml"/><Relationship Id="rId183" Type="http://schemas.openxmlformats.org/officeDocument/2006/relationships/image" Target="media/image85.wmf"/><Relationship Id="rId239" Type="http://schemas.openxmlformats.org/officeDocument/2006/relationships/oleObject" Target="embeddings/oleObject120.bin"/><Relationship Id="rId250" Type="http://schemas.openxmlformats.org/officeDocument/2006/relationships/image" Target="media/image119.wmf"/><Relationship Id="rId292" Type="http://schemas.openxmlformats.org/officeDocument/2006/relationships/image" Target="media/image142.wmf"/><Relationship Id="rId306" Type="http://schemas.openxmlformats.org/officeDocument/2006/relationships/oleObject" Target="embeddings/oleObject158.bin"/><Relationship Id="rId45" Type="http://schemas.openxmlformats.org/officeDocument/2006/relationships/image" Target="media/image19.wmf"/><Relationship Id="rId87" Type="http://schemas.openxmlformats.org/officeDocument/2006/relationships/oleObject" Target="embeddings/oleObject42.bin"/><Relationship Id="rId110" Type="http://schemas.openxmlformats.org/officeDocument/2006/relationships/image" Target="media/image50.wmf"/><Relationship Id="rId152" Type="http://schemas.openxmlformats.org/officeDocument/2006/relationships/oleObject" Target="embeddings/oleObject77.bin"/><Relationship Id="rId173" Type="http://schemas.openxmlformats.org/officeDocument/2006/relationships/image" Target="media/image80.wmf"/><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oleObject" Target="embeddings/oleObject115.bin"/><Relationship Id="rId240" Type="http://schemas.openxmlformats.org/officeDocument/2006/relationships/image" Target="media/image114.wmf"/><Relationship Id="rId261" Type="http://schemas.openxmlformats.org/officeDocument/2006/relationships/oleObject" Target="embeddings/oleObject131.bin"/><Relationship Id="rId14" Type="http://schemas.openxmlformats.org/officeDocument/2006/relationships/image" Target="media/image5.wmf"/><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image" Target="media/image137.wmf"/><Relationship Id="rId317" Type="http://schemas.openxmlformats.org/officeDocument/2006/relationships/image" Target="media/image154.wmf"/><Relationship Id="rId338" Type="http://schemas.openxmlformats.org/officeDocument/2006/relationships/theme" Target="theme/theme1.xml"/><Relationship Id="rId8" Type="http://schemas.openxmlformats.org/officeDocument/2006/relationships/image" Target="media/image2.wmf"/><Relationship Id="rId98" Type="http://schemas.openxmlformats.org/officeDocument/2006/relationships/image" Target="media/image45.wmf"/><Relationship Id="rId121" Type="http://schemas.openxmlformats.org/officeDocument/2006/relationships/image" Target="media/image55.wmf"/><Relationship Id="rId142" Type="http://schemas.openxmlformats.org/officeDocument/2006/relationships/oleObject" Target="embeddings/oleObject72.bin"/><Relationship Id="rId163" Type="http://schemas.openxmlformats.org/officeDocument/2006/relationships/image" Target="media/image75.wmf"/><Relationship Id="rId184" Type="http://schemas.openxmlformats.org/officeDocument/2006/relationships/oleObject" Target="embeddings/oleObject93.bin"/><Relationship Id="rId219" Type="http://schemas.openxmlformats.org/officeDocument/2006/relationships/image" Target="media/image103.png"/><Relationship Id="rId230" Type="http://schemas.openxmlformats.org/officeDocument/2006/relationships/image" Target="media/image109.wmf"/><Relationship Id="rId251" Type="http://schemas.openxmlformats.org/officeDocument/2006/relationships/oleObject" Target="embeddings/oleObject126.bin"/><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image" Target="media/image30.wmf"/><Relationship Id="rId272" Type="http://schemas.openxmlformats.org/officeDocument/2006/relationships/image" Target="media/image132.wmf"/><Relationship Id="rId293" Type="http://schemas.openxmlformats.org/officeDocument/2006/relationships/oleObject" Target="embeddings/oleObject151.bin"/><Relationship Id="rId307" Type="http://schemas.openxmlformats.org/officeDocument/2006/relationships/image" Target="media/image149.wmf"/><Relationship Id="rId328" Type="http://schemas.openxmlformats.org/officeDocument/2006/relationships/oleObject" Target="embeddings/oleObject169.bin"/><Relationship Id="rId88" Type="http://schemas.openxmlformats.org/officeDocument/2006/relationships/image" Target="media/image40.wmf"/><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image" Target="media/image70.wmf"/><Relationship Id="rId174" Type="http://schemas.openxmlformats.org/officeDocument/2006/relationships/oleObject" Target="embeddings/oleObject88.bin"/><Relationship Id="rId195" Type="http://schemas.openxmlformats.org/officeDocument/2006/relationships/image" Target="media/image91.wmf"/><Relationship Id="rId209" Type="http://schemas.openxmlformats.org/officeDocument/2006/relationships/image" Target="media/image98.wmf"/><Relationship Id="rId220" Type="http://schemas.openxmlformats.org/officeDocument/2006/relationships/image" Target="media/image104.wmf"/><Relationship Id="rId241" Type="http://schemas.openxmlformats.org/officeDocument/2006/relationships/oleObject" Target="embeddings/oleObject121.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25.wmf"/><Relationship Id="rId262" Type="http://schemas.openxmlformats.org/officeDocument/2006/relationships/image" Target="media/image125.wmf"/><Relationship Id="rId283" Type="http://schemas.openxmlformats.org/officeDocument/2006/relationships/oleObject" Target="embeddings/oleObject146.bin"/><Relationship Id="rId318" Type="http://schemas.openxmlformats.org/officeDocument/2006/relationships/oleObject" Target="embeddings/oleObject164.bin"/><Relationship Id="rId78" Type="http://schemas.openxmlformats.org/officeDocument/2006/relationships/image" Target="media/image35.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image" Target="media/image65.wmf"/><Relationship Id="rId164" Type="http://schemas.openxmlformats.org/officeDocument/2006/relationships/oleObject" Target="embeddings/oleObject83.bin"/><Relationship Id="rId185" Type="http://schemas.openxmlformats.org/officeDocument/2006/relationships/image" Target="media/image86.wmf"/><Relationship Id="rId9" Type="http://schemas.openxmlformats.org/officeDocument/2006/relationships/oleObject" Target="embeddings/oleObject1.bin"/><Relationship Id="rId210" Type="http://schemas.openxmlformats.org/officeDocument/2006/relationships/oleObject" Target="embeddings/oleObject106.bin"/><Relationship Id="rId26" Type="http://schemas.openxmlformats.org/officeDocument/2006/relationships/oleObject" Target="embeddings/oleObject11.bin"/><Relationship Id="rId231" Type="http://schemas.openxmlformats.org/officeDocument/2006/relationships/oleObject" Target="embeddings/oleObject116.bin"/><Relationship Id="rId252" Type="http://schemas.openxmlformats.org/officeDocument/2006/relationships/image" Target="media/image120.wmf"/><Relationship Id="rId273" Type="http://schemas.openxmlformats.org/officeDocument/2006/relationships/oleObject" Target="embeddings/oleObject141.bin"/><Relationship Id="rId294" Type="http://schemas.openxmlformats.org/officeDocument/2006/relationships/image" Target="media/image143.wmf"/><Relationship Id="rId308" Type="http://schemas.openxmlformats.org/officeDocument/2006/relationships/oleObject" Target="embeddings/oleObject159.bin"/><Relationship Id="rId329" Type="http://schemas.openxmlformats.org/officeDocument/2006/relationships/image" Target="media/image160.wmf"/><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8.bin"/><Relationship Id="rId175" Type="http://schemas.openxmlformats.org/officeDocument/2006/relationships/image" Target="media/image81.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6.wmf"/><Relationship Id="rId221" Type="http://schemas.openxmlformats.org/officeDocument/2006/relationships/oleObject" Target="embeddings/oleObject111.bin"/><Relationship Id="rId242" Type="http://schemas.openxmlformats.org/officeDocument/2006/relationships/image" Target="media/image115.wmf"/><Relationship Id="rId263" Type="http://schemas.openxmlformats.org/officeDocument/2006/relationships/oleObject" Target="embeddings/oleObject132.bin"/><Relationship Id="rId284" Type="http://schemas.openxmlformats.org/officeDocument/2006/relationships/image" Target="media/image138.wmf"/><Relationship Id="rId319" Type="http://schemas.openxmlformats.org/officeDocument/2006/relationships/image" Target="media/image155.wmf"/><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image" Target="media/image56.wmf"/><Relationship Id="rId144" Type="http://schemas.openxmlformats.org/officeDocument/2006/relationships/oleObject" Target="embeddings/oleObject73.bin"/><Relationship Id="rId330" Type="http://schemas.openxmlformats.org/officeDocument/2006/relationships/oleObject" Target="embeddings/oleObject170.bin"/><Relationship Id="rId90" Type="http://schemas.openxmlformats.org/officeDocument/2006/relationships/image" Target="media/image41.wmf"/><Relationship Id="rId165" Type="http://schemas.openxmlformats.org/officeDocument/2006/relationships/image" Target="media/image76.wmf"/><Relationship Id="rId186" Type="http://schemas.openxmlformats.org/officeDocument/2006/relationships/oleObject" Target="embeddings/oleObject94.bin"/><Relationship Id="rId211" Type="http://schemas.openxmlformats.org/officeDocument/2006/relationships/image" Target="media/image99.wmf"/><Relationship Id="rId232" Type="http://schemas.openxmlformats.org/officeDocument/2006/relationships/image" Target="media/image110.wmf"/><Relationship Id="rId253" Type="http://schemas.openxmlformats.org/officeDocument/2006/relationships/oleObject" Target="embeddings/oleObject127.bin"/><Relationship Id="rId274" Type="http://schemas.openxmlformats.org/officeDocument/2006/relationships/image" Target="media/image133.wmf"/><Relationship Id="rId295" Type="http://schemas.openxmlformats.org/officeDocument/2006/relationships/oleObject" Target="embeddings/oleObject152.bin"/><Relationship Id="rId309" Type="http://schemas.openxmlformats.org/officeDocument/2006/relationships/image" Target="media/image150.wmf"/><Relationship Id="rId27" Type="http://schemas.openxmlformats.org/officeDocument/2006/relationships/image" Target="media/image10.wmf"/><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oleObject" Target="embeddings/oleObject56.bin"/><Relationship Id="rId134" Type="http://schemas.openxmlformats.org/officeDocument/2006/relationships/oleObject" Target="embeddings/oleObject67.bin"/><Relationship Id="rId320" Type="http://schemas.openxmlformats.org/officeDocument/2006/relationships/oleObject" Target="embeddings/oleObject165.bin"/><Relationship Id="rId80" Type="http://schemas.openxmlformats.org/officeDocument/2006/relationships/image" Target="media/image36.wmf"/><Relationship Id="rId155" Type="http://schemas.openxmlformats.org/officeDocument/2006/relationships/image" Target="media/image71.wmf"/><Relationship Id="rId176" Type="http://schemas.openxmlformats.org/officeDocument/2006/relationships/oleObject" Target="embeddings/oleObject89.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image" Target="media/image105.wmf"/><Relationship Id="rId243" Type="http://schemas.openxmlformats.org/officeDocument/2006/relationships/oleObject" Target="embeddings/oleObject122.bin"/><Relationship Id="rId264" Type="http://schemas.openxmlformats.org/officeDocument/2006/relationships/image" Target="media/image126.wmf"/><Relationship Id="rId285" Type="http://schemas.openxmlformats.org/officeDocument/2006/relationships/oleObject" Target="embeddings/oleObject147.bin"/><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1.bin"/><Relationship Id="rId124" Type="http://schemas.openxmlformats.org/officeDocument/2006/relationships/oleObject" Target="embeddings/oleObject62.bin"/><Relationship Id="rId310" Type="http://schemas.openxmlformats.org/officeDocument/2006/relationships/oleObject" Target="embeddings/oleObject160.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image" Target="media/image66.wmf"/><Relationship Id="rId166" Type="http://schemas.openxmlformats.org/officeDocument/2006/relationships/oleObject" Target="embeddings/oleObject84.bin"/><Relationship Id="rId187" Type="http://schemas.openxmlformats.org/officeDocument/2006/relationships/image" Target="media/image87.wmf"/><Relationship Id="rId331" Type="http://schemas.openxmlformats.org/officeDocument/2006/relationships/image" Target="media/image161.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oleObject" Target="embeddings/oleObject117.bin"/><Relationship Id="rId254" Type="http://schemas.openxmlformats.org/officeDocument/2006/relationships/image" Target="media/image121.wmf"/><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image" Target="media/image52.wmf"/><Relationship Id="rId275" Type="http://schemas.openxmlformats.org/officeDocument/2006/relationships/oleObject" Target="embeddings/oleObject142.bin"/><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image" Target="media/image62.wmf"/><Relationship Id="rId156" Type="http://schemas.openxmlformats.org/officeDocument/2006/relationships/oleObject" Target="embeddings/oleObject79.bin"/><Relationship Id="rId177" Type="http://schemas.openxmlformats.org/officeDocument/2006/relationships/image" Target="media/image82.wmf"/><Relationship Id="rId198" Type="http://schemas.openxmlformats.org/officeDocument/2006/relationships/oleObject" Target="embeddings/oleObject100.bin"/><Relationship Id="rId321" Type="http://schemas.openxmlformats.org/officeDocument/2006/relationships/image" Target="media/image156.wmf"/><Relationship Id="rId202" Type="http://schemas.openxmlformats.org/officeDocument/2006/relationships/oleObject" Target="embeddings/oleObject102.bin"/><Relationship Id="rId223" Type="http://schemas.openxmlformats.org/officeDocument/2006/relationships/oleObject" Target="embeddings/oleObject112.bin"/><Relationship Id="rId244" Type="http://schemas.openxmlformats.org/officeDocument/2006/relationships/image" Target="media/image116.wmf"/><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33.bin"/><Relationship Id="rId286" Type="http://schemas.openxmlformats.org/officeDocument/2006/relationships/image" Target="media/image139.wmf"/><Relationship Id="rId50" Type="http://schemas.openxmlformats.org/officeDocument/2006/relationships/oleObject" Target="embeddings/oleObject23.bin"/><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4.bin"/><Relationship Id="rId167" Type="http://schemas.openxmlformats.org/officeDocument/2006/relationships/image" Target="media/image77.wmf"/><Relationship Id="rId188" Type="http://schemas.openxmlformats.org/officeDocument/2006/relationships/oleObject" Target="embeddings/oleObject95.bin"/><Relationship Id="rId311" Type="http://schemas.openxmlformats.org/officeDocument/2006/relationships/image" Target="media/image151.wmf"/><Relationship Id="rId332" Type="http://schemas.openxmlformats.org/officeDocument/2006/relationships/oleObject" Target="embeddings/oleObject171.bin"/><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image" Target="media/image100.wmf"/><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8.bin"/><Relationship Id="rId276" Type="http://schemas.openxmlformats.org/officeDocument/2006/relationships/image" Target="media/image134.wmf"/><Relationship Id="rId297" Type="http://schemas.openxmlformats.org/officeDocument/2006/relationships/oleObject" Target="embeddings/oleObject153.bin"/><Relationship Id="rId40" Type="http://schemas.openxmlformats.org/officeDocument/2006/relationships/oleObject" Target="embeddings/oleObject18.bin"/><Relationship Id="rId115" Type="http://schemas.openxmlformats.org/officeDocument/2006/relationships/oleObject" Target="embeddings/oleObject57.bin"/><Relationship Id="rId136" Type="http://schemas.openxmlformats.org/officeDocument/2006/relationships/oleObject" Target="embeddings/oleObject68.bin"/><Relationship Id="rId157" Type="http://schemas.openxmlformats.org/officeDocument/2006/relationships/image" Target="media/image72.wmf"/><Relationship Id="rId178" Type="http://schemas.openxmlformats.org/officeDocument/2006/relationships/oleObject" Target="embeddings/oleObject90.bin"/><Relationship Id="rId301" Type="http://schemas.openxmlformats.org/officeDocument/2006/relationships/oleObject" Target="embeddings/oleObject155.bin"/><Relationship Id="rId322" Type="http://schemas.openxmlformats.org/officeDocument/2006/relationships/oleObject" Target="embeddings/oleObject166.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image" Target="media/image106.wmf"/><Relationship Id="rId245" Type="http://schemas.openxmlformats.org/officeDocument/2006/relationships/oleObject" Target="embeddings/oleObject123.bin"/><Relationship Id="rId266" Type="http://schemas.openxmlformats.org/officeDocument/2006/relationships/image" Target="media/image127.wmf"/><Relationship Id="rId287" Type="http://schemas.openxmlformats.org/officeDocument/2006/relationships/oleObject" Target="embeddings/oleObject148.bin"/><Relationship Id="rId30" Type="http://schemas.openxmlformats.org/officeDocument/2006/relationships/oleObject" Target="embeddings/oleObject13.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7.wmf"/><Relationship Id="rId168" Type="http://schemas.openxmlformats.org/officeDocument/2006/relationships/oleObject" Target="embeddings/oleObject85.bin"/><Relationship Id="rId312" Type="http://schemas.openxmlformats.org/officeDocument/2006/relationships/oleObject" Target="embeddings/oleObject161.bin"/><Relationship Id="rId333"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image" Target="media/image88.wmf"/><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oleObject" Target="embeddings/oleObject118.bin"/><Relationship Id="rId256" Type="http://schemas.openxmlformats.org/officeDocument/2006/relationships/image" Target="media/image122.wmf"/><Relationship Id="rId277" Type="http://schemas.openxmlformats.org/officeDocument/2006/relationships/oleObject" Target="embeddings/oleObject143.bin"/><Relationship Id="rId298" Type="http://schemas.openxmlformats.org/officeDocument/2006/relationships/image" Target="media/image145.wmf"/><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oleObject" Target="embeddings/oleObject80.bin"/><Relationship Id="rId302" Type="http://schemas.openxmlformats.org/officeDocument/2006/relationships/oleObject" Target="embeddings/oleObject156.bin"/><Relationship Id="rId323" Type="http://schemas.openxmlformats.org/officeDocument/2006/relationships/image" Target="media/image157.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oleObject" Target="embeddings/oleObject40.bin"/><Relationship Id="rId179" Type="http://schemas.openxmlformats.org/officeDocument/2006/relationships/image" Target="media/image83.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3.bin"/><Relationship Id="rId246" Type="http://schemas.openxmlformats.org/officeDocument/2006/relationships/image" Target="media/image117.wmf"/><Relationship Id="rId267" Type="http://schemas.openxmlformats.org/officeDocument/2006/relationships/oleObject" Target="embeddings/oleObject134.bin"/><Relationship Id="rId288" Type="http://schemas.openxmlformats.org/officeDocument/2006/relationships/image" Target="media/image140.wmf"/><Relationship Id="rId106" Type="http://schemas.openxmlformats.org/officeDocument/2006/relationships/image" Target="media/image48.wmf"/><Relationship Id="rId127" Type="http://schemas.openxmlformats.org/officeDocument/2006/relationships/image" Target="media/image58.wmf"/><Relationship Id="rId313" Type="http://schemas.openxmlformats.org/officeDocument/2006/relationships/image" Target="media/image152.wmf"/><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image" Target="media/image43.wmf"/><Relationship Id="rId148" Type="http://schemas.openxmlformats.org/officeDocument/2006/relationships/oleObject" Target="embeddings/oleObject75.bin"/><Relationship Id="rId169" Type="http://schemas.openxmlformats.org/officeDocument/2006/relationships/image" Target="media/image78.wmf"/><Relationship Id="rId334" Type="http://schemas.openxmlformats.org/officeDocument/2006/relationships/image" Target="media/image162.png"/><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image" Target="media/image101.wmf"/><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image" Target="media/image135.wmf"/><Relationship Id="rId303" Type="http://schemas.openxmlformats.org/officeDocument/2006/relationships/image" Target="media/image147.wmf"/><Relationship Id="rId42" Type="http://schemas.openxmlformats.org/officeDocument/2006/relationships/oleObject" Target="embeddings/oleObject19.bin"/><Relationship Id="rId84" Type="http://schemas.openxmlformats.org/officeDocument/2006/relationships/image" Target="media/image38.wmf"/><Relationship Id="rId138" Type="http://schemas.openxmlformats.org/officeDocument/2006/relationships/oleObject" Target="embeddings/oleObject69.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24.bin"/><Relationship Id="rId107" Type="http://schemas.openxmlformats.org/officeDocument/2006/relationships/oleObject" Target="embeddings/oleObject53.bin"/><Relationship Id="rId289" Type="http://schemas.openxmlformats.org/officeDocument/2006/relationships/oleObject" Target="embeddings/oleObject149.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68.wmf"/><Relationship Id="rId314" Type="http://schemas.openxmlformats.org/officeDocument/2006/relationships/oleObject" Target="embeddings/oleObject162.bin"/><Relationship Id="rId95" Type="http://schemas.openxmlformats.org/officeDocument/2006/relationships/oleObject" Target="embeddings/oleObject46.bin"/><Relationship Id="rId160" Type="http://schemas.openxmlformats.org/officeDocument/2006/relationships/oleObject" Target="embeddings/oleObject81.bin"/><Relationship Id="rId216" Type="http://schemas.openxmlformats.org/officeDocument/2006/relationships/oleObject" Target="embeddings/oleObject109.bin"/><Relationship Id="rId258" Type="http://schemas.openxmlformats.org/officeDocument/2006/relationships/image" Target="media/image123.wmf"/><Relationship Id="rId22" Type="http://schemas.openxmlformats.org/officeDocument/2006/relationships/image" Target="media/image8.wmf"/><Relationship Id="rId64" Type="http://schemas.openxmlformats.org/officeDocument/2006/relationships/oleObject" Target="embeddings/oleObject30.bin"/><Relationship Id="rId118" Type="http://schemas.openxmlformats.org/officeDocument/2006/relationships/oleObject" Target="embeddings/oleObject59.bin"/><Relationship Id="rId325" Type="http://schemas.openxmlformats.org/officeDocument/2006/relationships/image" Target="media/image158.wmf"/><Relationship Id="rId171" Type="http://schemas.openxmlformats.org/officeDocument/2006/relationships/image" Target="media/image79.wmf"/><Relationship Id="rId227" Type="http://schemas.openxmlformats.org/officeDocument/2006/relationships/oleObject" Target="embeddings/oleObject114.bin"/><Relationship Id="rId269" Type="http://schemas.openxmlformats.org/officeDocument/2006/relationships/oleObject" Target="embeddings/oleObject139.bin"/><Relationship Id="rId33" Type="http://schemas.openxmlformats.org/officeDocument/2006/relationships/image" Target="media/image13.wmf"/><Relationship Id="rId129" Type="http://schemas.openxmlformats.org/officeDocument/2006/relationships/image" Target="media/image59.wmf"/><Relationship Id="rId280" Type="http://schemas.openxmlformats.org/officeDocument/2006/relationships/image" Target="media/image136.wmf"/><Relationship Id="rId336" Type="http://schemas.openxmlformats.org/officeDocument/2006/relationships/image" Target="media/image163.png"/><Relationship Id="rId75" Type="http://schemas.openxmlformats.org/officeDocument/2006/relationships/oleObject" Target="embeddings/oleObject36.bin"/><Relationship Id="rId140" Type="http://schemas.openxmlformats.org/officeDocument/2006/relationships/oleObject" Target="embeddings/oleObject71.bin"/><Relationship Id="rId182" Type="http://schemas.openxmlformats.org/officeDocument/2006/relationships/oleObject" Target="embeddings/oleObject92.bin"/><Relationship Id="rId6" Type="http://schemas.openxmlformats.org/officeDocument/2006/relationships/footnotes" Target="footnotes.xml"/><Relationship Id="rId238" Type="http://schemas.openxmlformats.org/officeDocument/2006/relationships/image" Target="media/image113.wmf"/><Relationship Id="rId291" Type="http://schemas.openxmlformats.org/officeDocument/2006/relationships/oleObject" Target="embeddings/oleObject150.bin"/><Relationship Id="rId305" Type="http://schemas.openxmlformats.org/officeDocument/2006/relationships/image" Target="media/image148.wmf"/><Relationship Id="rId44" Type="http://schemas.openxmlformats.org/officeDocument/2006/relationships/oleObject" Target="embeddings/oleObject20.bin"/><Relationship Id="rId86" Type="http://schemas.openxmlformats.org/officeDocument/2006/relationships/image" Target="media/image39.wmf"/><Relationship Id="rId151" Type="http://schemas.openxmlformats.org/officeDocument/2006/relationships/image" Target="media/image69.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oleObject" Target="embeddings/oleObject125.bin"/><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image" Target="media/image124.wmf"/><Relationship Id="rId316" Type="http://schemas.openxmlformats.org/officeDocument/2006/relationships/oleObject" Target="embeddings/oleObject163.bin"/><Relationship Id="rId55" Type="http://schemas.openxmlformats.org/officeDocument/2006/relationships/image" Target="media/image24.wmf"/><Relationship Id="rId97" Type="http://schemas.openxmlformats.org/officeDocument/2006/relationships/oleObject" Target="embeddings/oleObject47.bin"/><Relationship Id="rId120" Type="http://schemas.openxmlformats.org/officeDocument/2006/relationships/oleObject" Target="embeddings/oleObject60.bin"/><Relationship Id="rId162" Type="http://schemas.openxmlformats.org/officeDocument/2006/relationships/oleObject" Target="embeddings/oleObject82.bin"/><Relationship Id="rId218" Type="http://schemas.openxmlformats.org/officeDocument/2006/relationships/oleObject" Target="embeddings/oleObject110.bin"/><Relationship Id="rId271" Type="http://schemas.openxmlformats.org/officeDocument/2006/relationships/oleObject" Target="embeddings/oleObject140.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0.wmf"/><Relationship Id="rId327" Type="http://schemas.openxmlformats.org/officeDocument/2006/relationships/image" Target="media/image159.wmf"/></Relationships>
</file>

<file path=word/_rels/footnotes.xml.rels><?xml version="1.0" encoding="UTF-8" standalone="yes"?>
<Relationships xmlns="http://schemas.openxmlformats.org/package/2006/relationships"><Relationship Id="rId3" Type="http://schemas.openxmlformats.org/officeDocument/2006/relationships/image" Target="media/image129.wmf"/><Relationship Id="rId7" Type="http://schemas.openxmlformats.org/officeDocument/2006/relationships/oleObject" Target="embeddings/oleObject138.bin"/><Relationship Id="rId2" Type="http://schemas.openxmlformats.org/officeDocument/2006/relationships/oleObject" Target="embeddings/oleObject135.bin"/><Relationship Id="rId1" Type="http://schemas.openxmlformats.org/officeDocument/2006/relationships/image" Target="media/image128.wmf"/><Relationship Id="rId6" Type="http://schemas.openxmlformats.org/officeDocument/2006/relationships/image" Target="media/image125.wmf"/><Relationship Id="rId5" Type="http://schemas.openxmlformats.org/officeDocument/2006/relationships/oleObject" Target="embeddings/oleObject137.bin"/><Relationship Id="rId4" Type="http://schemas.openxmlformats.org/officeDocument/2006/relationships/oleObject" Target="embeddings/oleObject136.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d3fb6f3feb8881a/Desktop/Research/Residential%20Choice/Writing/Figures/Descriptive%20Sta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51196560559508"/>
          <c:y val="2.6768636585387352E-2"/>
          <c:w val="0.43349056501167016"/>
          <c:h val="0.78501251034462749"/>
        </c:manualLayout>
      </c:layout>
      <c:barChart>
        <c:barDir val="bar"/>
        <c:grouping val="percentStacked"/>
        <c:varyColors val="0"/>
        <c:ser>
          <c:idx val="0"/>
          <c:order val="0"/>
          <c:tx>
            <c:v>Strongly Disagree</c:v>
          </c:tx>
          <c:spPr>
            <a:solidFill>
              <a:srgbClr val="C80E0E"/>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Stats.xlsx]Indicators'!$D$3:$D$13</c:f>
              <c:numCache>
                <c:formatCode>0.0</c:formatCode>
                <c:ptCount val="11"/>
                <c:pt idx="0">
                  <c:v>3.26</c:v>
                </c:pt>
                <c:pt idx="1">
                  <c:v>9.4499999999999993</c:v>
                </c:pt>
                <c:pt idx="2">
                  <c:v>16.89</c:v>
                </c:pt>
                <c:pt idx="4">
                  <c:v>6.61</c:v>
                </c:pt>
                <c:pt idx="5">
                  <c:v>3.44</c:v>
                </c:pt>
                <c:pt idx="7">
                  <c:v>7.03</c:v>
                </c:pt>
              </c:numCache>
            </c:numRef>
          </c:val>
          <c:extLst>
            <c:ext xmlns:c16="http://schemas.microsoft.com/office/drawing/2014/chart" uri="{C3380CC4-5D6E-409C-BE32-E72D297353CC}">
              <c16:uniqueId val="{00000000-0F37-4D7A-B95A-A7ED9213FB2C}"/>
            </c:ext>
          </c:extLst>
        </c:ser>
        <c:ser>
          <c:idx val="1"/>
          <c:order val="1"/>
          <c:tx>
            <c:v>Somewhat Disagree</c:v>
          </c:tx>
          <c:spPr>
            <a:solidFill>
              <a:srgbClr val="E89090"/>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Stats.xlsx]Indicators'!$E$3:$E$13</c:f>
              <c:numCache>
                <c:formatCode>0.0</c:formatCode>
                <c:ptCount val="11"/>
                <c:pt idx="0">
                  <c:v>6.51</c:v>
                </c:pt>
                <c:pt idx="1">
                  <c:v>16.850000000000001</c:v>
                </c:pt>
                <c:pt idx="2">
                  <c:v>16.66</c:v>
                </c:pt>
                <c:pt idx="4">
                  <c:v>15.87</c:v>
                </c:pt>
                <c:pt idx="5">
                  <c:v>5.44</c:v>
                </c:pt>
                <c:pt idx="7">
                  <c:v>7.96</c:v>
                </c:pt>
              </c:numCache>
            </c:numRef>
          </c:val>
          <c:extLst>
            <c:ext xmlns:c16="http://schemas.microsoft.com/office/drawing/2014/chart" uri="{C3380CC4-5D6E-409C-BE32-E72D297353CC}">
              <c16:uniqueId val="{00000001-0F37-4D7A-B95A-A7ED9213FB2C}"/>
            </c:ext>
          </c:extLst>
        </c:ser>
        <c:ser>
          <c:idx val="2"/>
          <c:order val="2"/>
          <c:tx>
            <c:v>Neutral</c:v>
          </c:tx>
          <c:spPr>
            <a:solidFill>
              <a:schemeClr val="bg1">
                <a:lumMod val="75000"/>
              </a:schemeClr>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Stats.xlsx]Indicators'!$F$3:$F$13</c:f>
              <c:numCache>
                <c:formatCode>0.0</c:formatCode>
                <c:ptCount val="11"/>
                <c:pt idx="0">
                  <c:v>22.62</c:v>
                </c:pt>
                <c:pt idx="1">
                  <c:v>27.73</c:v>
                </c:pt>
                <c:pt idx="2">
                  <c:v>22.94</c:v>
                </c:pt>
                <c:pt idx="4">
                  <c:v>20.99</c:v>
                </c:pt>
                <c:pt idx="5">
                  <c:v>12.19</c:v>
                </c:pt>
                <c:pt idx="7">
                  <c:v>36.299999999999997</c:v>
                </c:pt>
              </c:numCache>
            </c:numRef>
          </c:val>
          <c:extLst>
            <c:ext xmlns:c16="http://schemas.microsoft.com/office/drawing/2014/chart" uri="{C3380CC4-5D6E-409C-BE32-E72D297353CC}">
              <c16:uniqueId val="{00000002-0F37-4D7A-B95A-A7ED9213FB2C}"/>
            </c:ext>
          </c:extLst>
        </c:ser>
        <c:ser>
          <c:idx val="3"/>
          <c:order val="3"/>
          <c:tx>
            <c:v>Somewhat Agree</c:v>
          </c:tx>
          <c:spPr>
            <a:solidFill>
              <a:schemeClr val="accent6">
                <a:lumMod val="40000"/>
                <a:lumOff val="60000"/>
                <a:alpha val="99000"/>
              </a:schemeClr>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Stats.xlsx]Indicators'!$G$3:$G$13</c:f>
              <c:numCache>
                <c:formatCode>0.0</c:formatCode>
                <c:ptCount val="11"/>
                <c:pt idx="0">
                  <c:v>45.46</c:v>
                </c:pt>
                <c:pt idx="1">
                  <c:v>28.76</c:v>
                </c:pt>
                <c:pt idx="2">
                  <c:v>26.66</c:v>
                </c:pt>
                <c:pt idx="4">
                  <c:v>33.69</c:v>
                </c:pt>
                <c:pt idx="5">
                  <c:v>27.97</c:v>
                </c:pt>
                <c:pt idx="7">
                  <c:v>23.31</c:v>
                </c:pt>
              </c:numCache>
            </c:numRef>
          </c:val>
          <c:extLst>
            <c:ext xmlns:c16="http://schemas.microsoft.com/office/drawing/2014/chart" uri="{C3380CC4-5D6E-409C-BE32-E72D297353CC}">
              <c16:uniqueId val="{00000003-0F37-4D7A-B95A-A7ED9213FB2C}"/>
            </c:ext>
          </c:extLst>
        </c:ser>
        <c:ser>
          <c:idx val="4"/>
          <c:order val="4"/>
          <c:tx>
            <c:v>Strongly Agree</c:v>
          </c:tx>
          <c:spPr>
            <a:solidFill>
              <a:schemeClr val="accent6">
                <a:lumMod val="75000"/>
              </a:schemeClr>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Stats.xlsx]Indicators'!$H$3:$H$13</c:f>
              <c:numCache>
                <c:formatCode>0.0</c:formatCode>
                <c:ptCount val="11"/>
                <c:pt idx="0">
                  <c:v>22.15</c:v>
                </c:pt>
                <c:pt idx="1">
                  <c:v>17.22</c:v>
                </c:pt>
                <c:pt idx="2">
                  <c:v>16.850000000000001</c:v>
                </c:pt>
                <c:pt idx="4">
                  <c:v>22.85</c:v>
                </c:pt>
                <c:pt idx="5">
                  <c:v>50.95</c:v>
                </c:pt>
                <c:pt idx="7">
                  <c:v>25.41</c:v>
                </c:pt>
              </c:numCache>
            </c:numRef>
          </c:val>
          <c:extLst>
            <c:ext xmlns:c16="http://schemas.microsoft.com/office/drawing/2014/chart" uri="{C3380CC4-5D6E-409C-BE32-E72D297353CC}">
              <c16:uniqueId val="{00000004-0F37-4D7A-B95A-A7ED9213FB2C}"/>
            </c:ext>
          </c:extLst>
        </c:ser>
        <c:ser>
          <c:idx val="5"/>
          <c:order val="5"/>
          <c:tx>
            <c:v>0</c:v>
          </c:tx>
          <c:spPr>
            <a:solidFill>
              <a:schemeClr val="accent1">
                <a:lumMod val="20000"/>
                <a:lumOff val="80000"/>
              </a:schemeClr>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Stats.xlsx]Indicators'!$I$3:$I$13</c:f>
              <c:numCache>
                <c:formatCode>General</c:formatCode>
                <c:ptCount val="11"/>
                <c:pt idx="3" formatCode="0.0">
                  <c:v>35.229999999999997</c:v>
                </c:pt>
                <c:pt idx="6" formatCode="0.0">
                  <c:v>7.21</c:v>
                </c:pt>
                <c:pt idx="8" formatCode="0.0">
                  <c:v>67.709999999999994</c:v>
                </c:pt>
                <c:pt idx="9" formatCode="0.0">
                  <c:v>66.73</c:v>
                </c:pt>
                <c:pt idx="10" formatCode="0.0">
                  <c:v>65.7</c:v>
                </c:pt>
              </c:numCache>
            </c:numRef>
          </c:val>
          <c:extLst>
            <c:ext xmlns:c16="http://schemas.microsoft.com/office/drawing/2014/chart" uri="{C3380CC4-5D6E-409C-BE32-E72D297353CC}">
              <c16:uniqueId val="{00000005-0F37-4D7A-B95A-A7ED9213FB2C}"/>
            </c:ext>
          </c:extLst>
        </c:ser>
        <c:ser>
          <c:idx val="6"/>
          <c:order val="6"/>
          <c:tx>
            <c:strRef>
              <c:f>'[Descriptive Stats.xlsx]Indicators'!$J$2</c:f>
              <c:strCache>
                <c:ptCount val="1"/>
                <c:pt idx="0">
                  <c:v>1-2</c:v>
                </c:pt>
              </c:strCache>
            </c:strRef>
          </c:tx>
          <c:spPr>
            <a:solidFill>
              <a:schemeClr val="accent5">
                <a:lumMod val="60000"/>
                <a:lumOff val="40000"/>
              </a:schemeClr>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Stats.xlsx]Indicators'!$J$3:$J$13</c:f>
              <c:numCache>
                <c:formatCode>General</c:formatCode>
                <c:ptCount val="11"/>
                <c:pt idx="3" formatCode="0.0">
                  <c:v>21.7</c:v>
                </c:pt>
                <c:pt idx="6" formatCode="0.0">
                  <c:v>79.8</c:v>
                </c:pt>
                <c:pt idx="8" formatCode="0.0">
                  <c:v>6.9</c:v>
                </c:pt>
                <c:pt idx="9" formatCode="0.0">
                  <c:v>11.2</c:v>
                </c:pt>
                <c:pt idx="10" formatCode="0.0">
                  <c:v>2.8</c:v>
                </c:pt>
              </c:numCache>
            </c:numRef>
          </c:val>
          <c:extLst>
            <c:ext xmlns:c16="http://schemas.microsoft.com/office/drawing/2014/chart" uri="{C3380CC4-5D6E-409C-BE32-E72D297353CC}">
              <c16:uniqueId val="{00000006-0F37-4D7A-B95A-A7ED9213FB2C}"/>
            </c:ext>
          </c:extLst>
        </c:ser>
        <c:ser>
          <c:idx val="7"/>
          <c:order val="7"/>
          <c:tx>
            <c:strRef>
              <c:f>'[Descriptive Stats.xlsx]Indicators'!$K$2</c:f>
              <c:strCache>
                <c:ptCount val="1"/>
                <c:pt idx="0">
                  <c:v>3-4</c:v>
                </c:pt>
              </c:strCache>
            </c:strRef>
          </c:tx>
          <c:spPr>
            <a:solidFill>
              <a:schemeClr val="accent1">
                <a:lumMod val="75000"/>
              </a:schemeClr>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Stats.xlsx]Indicators'!$K$3:$K$13</c:f>
              <c:numCache>
                <c:formatCode>General</c:formatCode>
                <c:ptCount val="11"/>
                <c:pt idx="3" formatCode="0.0">
                  <c:v>15.4</c:v>
                </c:pt>
                <c:pt idx="6" formatCode="0.0">
                  <c:v>9.5</c:v>
                </c:pt>
                <c:pt idx="8" formatCode="0.0">
                  <c:v>17.600000000000001</c:v>
                </c:pt>
                <c:pt idx="9" formatCode="0.0">
                  <c:v>8.6</c:v>
                </c:pt>
                <c:pt idx="10" formatCode="0.0">
                  <c:v>4</c:v>
                </c:pt>
              </c:numCache>
            </c:numRef>
          </c:val>
          <c:extLst>
            <c:ext xmlns:c16="http://schemas.microsoft.com/office/drawing/2014/chart" uri="{C3380CC4-5D6E-409C-BE32-E72D297353CC}">
              <c16:uniqueId val="{00000007-0F37-4D7A-B95A-A7ED9213FB2C}"/>
            </c:ext>
          </c:extLst>
        </c:ser>
        <c:ser>
          <c:idx val="8"/>
          <c:order val="8"/>
          <c:tx>
            <c:strRef>
              <c:f>'[Descriptive Stats.xlsx]Indicators'!$L$2</c:f>
              <c:strCache>
                <c:ptCount val="1"/>
                <c:pt idx="0">
                  <c:v>5+</c:v>
                </c:pt>
              </c:strCache>
            </c:strRef>
          </c:tx>
          <c:spPr>
            <a:solidFill>
              <a:srgbClr val="7030A0"/>
            </a:solidFill>
            <a:ln>
              <a:noFill/>
            </a:ln>
            <a:effectLst/>
          </c:spPr>
          <c:invertIfNegative val="0"/>
          <c:cat>
            <c:multiLvlStrRef>
              <c:f>'[Descriptive Stats.xlsx]Indicators'!$B$3:$C$13</c:f>
              <c:multiLvlStrCache>
                <c:ptCount val="11"/>
                <c:lvl>
                  <c:pt idx="0">
                    <c:v>I am committed to an environmentally friendly lifestyle</c:v>
                  </c:pt>
                  <c:pt idx="1">
                    <c:v>I am committed to using a less polluting means of transportation as much as possible</c:v>
                  </c:pt>
                  <c:pt idx="2">
                    <c:v>Sometimes I worry about the effects of airplane trips on the environment</c:v>
                  </c:pt>
                  <c:pt idx="3">
                    <c:v>Number of days in previous week traveling by Walking*</c:v>
                  </c:pt>
                  <c:pt idx="4">
                    <c:v>Apartment living doesn’t provide enough privacy</c:v>
                  </c:pt>
                  <c:pt idx="5">
                    <c:v>I like to have a yard at home</c:v>
                  </c:pt>
                  <c:pt idx="6">
                    <c:v>Number of household vehicles*</c:v>
                  </c:pt>
                  <c:pt idx="7">
                    <c:v>I like working from home</c:v>
                  </c:pt>
                  <c:pt idx="8">
                    <c:v>How often woud you want to work from home*</c:v>
                  </c:pt>
                  <c:pt idx="9">
                    <c:v>Number of days with business meetings online*</c:v>
                  </c:pt>
                  <c:pt idx="10">
                    <c:v>Number of days working from home*</c:v>
                  </c:pt>
                </c:lvl>
                <c:lvl>
                  <c:pt idx="0">
                    <c:v>Green Lifestyle</c:v>
                  </c:pt>
                  <c:pt idx="4">
                    <c:v>Luxury Lifestyle</c:v>
                  </c:pt>
                  <c:pt idx="7">
                    <c:v>Telework Lifestyle</c:v>
                  </c:pt>
                </c:lvl>
              </c:multiLvlStrCache>
            </c:multiLvlStrRef>
          </c:cat>
          <c:val>
            <c:numRef>
              <c:f>'[Descriptive Stats.xlsx]Indicators'!$L$3:$L$13</c:f>
              <c:numCache>
                <c:formatCode>General</c:formatCode>
                <c:ptCount val="11"/>
                <c:pt idx="3" formatCode="0.0">
                  <c:v>27.7</c:v>
                </c:pt>
                <c:pt idx="6" formatCode="0.0">
                  <c:v>3.6</c:v>
                </c:pt>
                <c:pt idx="8" formatCode="0.0">
                  <c:v>7.9</c:v>
                </c:pt>
                <c:pt idx="9" formatCode="0.0">
                  <c:v>13.5</c:v>
                </c:pt>
                <c:pt idx="10" formatCode="0.0">
                  <c:v>27.5</c:v>
                </c:pt>
              </c:numCache>
            </c:numRef>
          </c:val>
          <c:extLst>
            <c:ext xmlns:c16="http://schemas.microsoft.com/office/drawing/2014/chart" uri="{C3380CC4-5D6E-409C-BE32-E72D297353CC}">
              <c16:uniqueId val="{00000008-0F37-4D7A-B95A-A7ED9213FB2C}"/>
            </c:ext>
          </c:extLst>
        </c:ser>
        <c:dLbls>
          <c:showLegendKey val="0"/>
          <c:showVal val="0"/>
          <c:showCatName val="0"/>
          <c:showSerName val="0"/>
          <c:showPercent val="0"/>
          <c:showBubbleSize val="0"/>
        </c:dLbls>
        <c:gapWidth val="150"/>
        <c:overlap val="100"/>
        <c:axId val="395781663"/>
        <c:axId val="395805183"/>
      </c:barChart>
      <c:catAx>
        <c:axId val="395781663"/>
        <c:scaling>
          <c:orientation val="maxMin"/>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805183"/>
        <c:crosses val="autoZero"/>
        <c:auto val="1"/>
        <c:lblAlgn val="ctr"/>
        <c:lblOffset val="100"/>
        <c:noMultiLvlLbl val="0"/>
      </c:catAx>
      <c:valAx>
        <c:axId val="395805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781663"/>
        <c:crosses val="max"/>
        <c:crossBetween val="between"/>
        <c:majorUnit val="0.25"/>
      </c:valAx>
      <c:spPr>
        <a:noFill/>
        <a:ln>
          <a:noFill/>
        </a:ln>
        <a:effectLst/>
      </c:spPr>
    </c:plotArea>
    <c:legend>
      <c:legendPos val="b"/>
      <c:layout>
        <c:manualLayout>
          <c:xMode val="edge"/>
          <c:yMode val="edge"/>
          <c:x val="2.3249780271057969E-2"/>
          <c:y val="0.88653649778104704"/>
          <c:w val="0.937153014250375"/>
          <c:h val="9.886245396338365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0A70C4-638D-4EFF-9025-4DFFD5B57A51}">
  <we:reference id="wa104381909" version="3.9.1.0" store="en-US" storeType="OMEX"/>
  <we:alternateReferences>
    <we:reference id="wa104381909" version="3.9.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5839-932C-4048-8A2B-319304A9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85691</Words>
  <Characters>488442</Characters>
  <Application>Microsoft Office Word</Application>
  <DocSecurity>0</DocSecurity>
  <Lines>4070</Lines>
  <Paragraphs>1145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Robbennolt, Dale Andrew</dc:creator>
  <cp:keywords/>
  <dc:description/>
  <cp:lastModifiedBy>Macias, Lisa J</cp:lastModifiedBy>
  <cp:revision>2</cp:revision>
  <cp:lastPrinted>2024-05-08T21:54:00Z</cp:lastPrinted>
  <dcterms:created xsi:type="dcterms:W3CDTF">2024-05-08T22:34:00Z</dcterms:created>
  <dcterms:modified xsi:type="dcterms:W3CDTF">2024-05-08T22:34:00Z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id="3uDzk8p3"/&gt;&lt;style id="http://www.zotero.org/styles/transportation-research-part-b"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y fmtid="{D5CDD505-2E9C-101B-9397-08002B2CF9AE}" pid="4" name="MTWinEqns">
    <vt:bool>true</vt:bool>
  </property>
  <property fmtid="{D5CDD505-2E9C-101B-9397-08002B2CF9AE}" pid="5" name="MTEquationNumber2">
    <vt:lpwstr>(#S1.#E1)</vt:lpwstr>
  </property>
</Properties>
</file>