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7F80" w14:textId="77777777" w:rsidR="001161B4" w:rsidRDefault="001161B4" w:rsidP="001161B4">
      <w:pPr>
        <w:spacing w:after="0" w:line="240" w:lineRule="auto"/>
        <w:jc w:val="left"/>
        <w:rPr>
          <w:b/>
          <w:shd w:val="clear" w:color="auto" w:fill="FFFFFF"/>
        </w:rPr>
      </w:pPr>
    </w:p>
    <w:p w14:paraId="3CF86FEF" w14:textId="77777777" w:rsidR="001161B4" w:rsidRDefault="001161B4" w:rsidP="001161B4">
      <w:pPr>
        <w:spacing w:after="0" w:line="240" w:lineRule="auto"/>
        <w:jc w:val="left"/>
        <w:rPr>
          <w:b/>
          <w:shd w:val="clear" w:color="auto" w:fill="FFFFFF"/>
        </w:rPr>
      </w:pPr>
    </w:p>
    <w:p w14:paraId="4B9CDC43" w14:textId="77777777" w:rsidR="001161B4" w:rsidRDefault="001161B4" w:rsidP="001161B4">
      <w:pPr>
        <w:spacing w:after="0" w:line="240" w:lineRule="auto"/>
        <w:jc w:val="left"/>
        <w:rPr>
          <w:b/>
          <w:shd w:val="clear" w:color="auto" w:fill="FFFFFF"/>
        </w:rPr>
      </w:pPr>
    </w:p>
    <w:p w14:paraId="293E8178" w14:textId="77777777" w:rsidR="001161B4" w:rsidRDefault="001161B4" w:rsidP="001161B4">
      <w:pPr>
        <w:spacing w:after="0" w:line="240" w:lineRule="auto"/>
        <w:jc w:val="left"/>
        <w:rPr>
          <w:b/>
          <w:shd w:val="clear" w:color="auto" w:fill="FFFFFF"/>
        </w:rPr>
      </w:pPr>
    </w:p>
    <w:p w14:paraId="4EB52434" w14:textId="77777777" w:rsidR="001161B4" w:rsidRDefault="001161B4" w:rsidP="001161B4">
      <w:pPr>
        <w:spacing w:after="0" w:line="240" w:lineRule="auto"/>
        <w:jc w:val="left"/>
        <w:rPr>
          <w:b/>
          <w:shd w:val="clear" w:color="auto" w:fill="FFFFFF"/>
        </w:rPr>
      </w:pPr>
    </w:p>
    <w:p w14:paraId="47F5BDF2" w14:textId="2E0E1A3F" w:rsidR="009A728B" w:rsidRPr="009A728B" w:rsidRDefault="005A2D5A" w:rsidP="009E5489">
      <w:pPr>
        <w:spacing w:after="0" w:line="240" w:lineRule="auto"/>
        <w:jc w:val="left"/>
        <w:rPr>
          <w:rStyle w:val="Style1Char"/>
          <w:b w:val="0"/>
          <w:bCs w:val="0"/>
        </w:rPr>
      </w:pPr>
      <w:r>
        <w:rPr>
          <w:b/>
          <w:shd w:val="clear" w:color="auto" w:fill="FFFFFF"/>
        </w:rPr>
        <w:t xml:space="preserve">A Guideline Framework for </w:t>
      </w:r>
      <w:r w:rsidR="00D00163" w:rsidRPr="00D00163">
        <w:rPr>
          <w:b/>
          <w:shd w:val="clear" w:color="auto" w:fill="FFFFFF"/>
        </w:rPr>
        <w:t>Using Information and Communication Technolog</w:t>
      </w:r>
      <w:r>
        <w:rPr>
          <w:b/>
          <w:shd w:val="clear" w:color="auto" w:fill="FFFFFF"/>
        </w:rPr>
        <w:t xml:space="preserve">y (ICT)-Based Data in Travel Demand </w:t>
      </w:r>
      <w:r w:rsidR="004868BD">
        <w:rPr>
          <w:b/>
          <w:shd w:val="clear" w:color="auto" w:fill="FFFFFF"/>
        </w:rPr>
        <w:t>M</w:t>
      </w:r>
      <w:r>
        <w:rPr>
          <w:b/>
          <w:shd w:val="clear" w:color="auto" w:fill="FFFFFF"/>
        </w:rPr>
        <w:t>odeling</w:t>
      </w:r>
    </w:p>
    <w:p w14:paraId="3984D8D0" w14:textId="77777777" w:rsidR="009A728B" w:rsidRDefault="009A728B" w:rsidP="009E5489">
      <w:pPr>
        <w:spacing w:after="0" w:line="240" w:lineRule="auto"/>
        <w:rPr>
          <w:rStyle w:val="Style1Char"/>
          <w:b w:val="0"/>
          <w:bCs w:val="0"/>
        </w:rPr>
      </w:pPr>
    </w:p>
    <w:p w14:paraId="387E6C9E" w14:textId="77777777" w:rsidR="009A728B" w:rsidRDefault="009A728B" w:rsidP="009E5489">
      <w:pPr>
        <w:spacing w:after="0" w:line="240" w:lineRule="auto"/>
        <w:rPr>
          <w:rStyle w:val="Style1Char"/>
          <w:b w:val="0"/>
          <w:bCs w:val="0"/>
        </w:rPr>
      </w:pPr>
    </w:p>
    <w:p w14:paraId="6519C70F" w14:textId="30FD809B" w:rsidR="009A728B" w:rsidRDefault="009A728B" w:rsidP="009E5489">
      <w:pPr>
        <w:spacing w:after="0" w:line="240" w:lineRule="auto"/>
        <w:rPr>
          <w:rStyle w:val="Style1Char"/>
          <w:b w:val="0"/>
          <w:bCs w:val="0"/>
        </w:rPr>
      </w:pPr>
    </w:p>
    <w:p w14:paraId="083B95BA" w14:textId="70EBA4C2" w:rsidR="006953E5" w:rsidRDefault="006953E5" w:rsidP="009E5489">
      <w:pPr>
        <w:spacing w:after="0" w:line="240" w:lineRule="auto"/>
        <w:rPr>
          <w:rStyle w:val="Style1Char"/>
          <w:b w:val="0"/>
          <w:bCs w:val="0"/>
        </w:rPr>
      </w:pPr>
    </w:p>
    <w:p w14:paraId="1B1C9C6B" w14:textId="77777777" w:rsidR="006953E5" w:rsidRDefault="006953E5" w:rsidP="009E5489">
      <w:pPr>
        <w:spacing w:after="0" w:line="240" w:lineRule="auto"/>
        <w:rPr>
          <w:rStyle w:val="Style1Char"/>
          <w:b w:val="0"/>
          <w:bCs w:val="0"/>
        </w:rPr>
      </w:pPr>
    </w:p>
    <w:p w14:paraId="66A26609" w14:textId="77777777" w:rsidR="001161B4" w:rsidRPr="00CD6377" w:rsidRDefault="001161B4" w:rsidP="009E5489">
      <w:pPr>
        <w:spacing w:after="0" w:line="240" w:lineRule="auto"/>
        <w:rPr>
          <w:rStyle w:val="Style1Char"/>
          <w:b w:val="0"/>
          <w:bCs w:val="0"/>
        </w:rPr>
      </w:pPr>
    </w:p>
    <w:p w14:paraId="28F6663D" w14:textId="77777777" w:rsidR="009A728B" w:rsidRPr="00CD6377" w:rsidRDefault="009A728B" w:rsidP="009E5489">
      <w:pPr>
        <w:spacing w:after="0" w:line="240" w:lineRule="auto"/>
        <w:rPr>
          <w:b/>
          <w:bCs/>
        </w:rPr>
      </w:pPr>
      <w:r w:rsidRPr="00CD6377">
        <w:rPr>
          <w:b/>
          <w:bCs/>
        </w:rPr>
        <w:t>Katherine E. Asmussen</w:t>
      </w:r>
    </w:p>
    <w:p w14:paraId="0FBCF932" w14:textId="77777777" w:rsidR="009A728B" w:rsidRPr="00CD6377" w:rsidRDefault="009A728B" w:rsidP="009E5489">
      <w:pPr>
        <w:spacing w:after="0" w:line="240" w:lineRule="auto"/>
        <w:rPr>
          <w:bCs/>
        </w:rPr>
      </w:pPr>
      <w:r w:rsidRPr="00CD6377">
        <w:t>The University of Texas at Austin</w:t>
      </w:r>
    </w:p>
    <w:p w14:paraId="5FB0AE22" w14:textId="77777777" w:rsidR="009A728B" w:rsidRPr="00CD6377" w:rsidRDefault="009A728B" w:rsidP="009E5489">
      <w:pPr>
        <w:spacing w:after="0" w:line="240" w:lineRule="auto"/>
        <w:rPr>
          <w:bCs/>
        </w:rPr>
      </w:pPr>
      <w:r w:rsidRPr="00CD6377">
        <w:t>Department of Civil, Architectural and Environmental Engineering</w:t>
      </w:r>
    </w:p>
    <w:p w14:paraId="18152652" w14:textId="77777777" w:rsidR="009A728B" w:rsidRPr="00CD6377" w:rsidRDefault="009A728B" w:rsidP="009E5489">
      <w:pPr>
        <w:spacing w:after="0" w:line="240" w:lineRule="auto"/>
        <w:rPr>
          <w:bCs/>
        </w:rPr>
      </w:pPr>
      <w:r w:rsidRPr="00CD6377">
        <w:t>301 E. Dean Keeton St. Stop C1761, Austin TX 78712, USA</w:t>
      </w:r>
    </w:p>
    <w:p w14:paraId="7E6BD4B4" w14:textId="54EE4315" w:rsidR="009A728B" w:rsidRDefault="009A728B" w:rsidP="009E5489">
      <w:pPr>
        <w:spacing w:after="0" w:line="240" w:lineRule="auto"/>
        <w:rPr>
          <w:rStyle w:val="Hyperlink"/>
        </w:rPr>
      </w:pPr>
      <w:r w:rsidRPr="00CD6377">
        <w:t xml:space="preserve">Email: </w:t>
      </w:r>
      <w:hyperlink r:id="rId8" w:history="1">
        <w:r w:rsidRPr="00CD6377">
          <w:rPr>
            <w:rStyle w:val="Hyperlink"/>
          </w:rPr>
          <w:t>kasmussen29@utexas.edu</w:t>
        </w:r>
      </w:hyperlink>
    </w:p>
    <w:p w14:paraId="539050EC" w14:textId="627D54D5" w:rsidR="00DD47E3" w:rsidRDefault="00DD47E3" w:rsidP="009E5489">
      <w:pPr>
        <w:spacing w:after="0" w:line="240" w:lineRule="auto"/>
        <w:rPr>
          <w:rStyle w:val="Hyperlink"/>
        </w:rPr>
      </w:pPr>
    </w:p>
    <w:p w14:paraId="2C657CF1" w14:textId="07B3B5DD" w:rsidR="00DD47E3" w:rsidRPr="00CD6377" w:rsidRDefault="00DD47E3" w:rsidP="009E5489">
      <w:pPr>
        <w:spacing w:after="0" w:line="240" w:lineRule="auto"/>
        <w:rPr>
          <w:b/>
          <w:bCs/>
        </w:rPr>
      </w:pPr>
      <w:r>
        <w:rPr>
          <w:b/>
          <w:bCs/>
        </w:rPr>
        <w:t>Vivek Verma</w:t>
      </w:r>
    </w:p>
    <w:p w14:paraId="56657BA3" w14:textId="77777777" w:rsidR="00B95BBC" w:rsidRPr="00CD6377" w:rsidRDefault="00B95BBC" w:rsidP="009E5489">
      <w:pPr>
        <w:spacing w:after="0" w:line="240" w:lineRule="auto"/>
        <w:rPr>
          <w:bCs/>
        </w:rPr>
      </w:pPr>
      <w:r w:rsidRPr="00CD6377">
        <w:t>The University of Texas at Austin</w:t>
      </w:r>
    </w:p>
    <w:p w14:paraId="0E450E1C" w14:textId="77777777" w:rsidR="00B95BBC" w:rsidRPr="00CD6377" w:rsidRDefault="00B95BBC" w:rsidP="009E5489">
      <w:pPr>
        <w:spacing w:after="0" w:line="240" w:lineRule="auto"/>
        <w:rPr>
          <w:bCs/>
        </w:rPr>
      </w:pPr>
      <w:r w:rsidRPr="00CD6377">
        <w:t>Department of Civil, Architectural and Environmental Engineering</w:t>
      </w:r>
    </w:p>
    <w:p w14:paraId="70124250" w14:textId="145EDAC6" w:rsidR="00DD47E3" w:rsidRPr="00CD6377" w:rsidRDefault="00B95BBC" w:rsidP="009E5489">
      <w:pPr>
        <w:spacing w:after="0" w:line="240" w:lineRule="auto"/>
        <w:rPr>
          <w:bCs/>
        </w:rPr>
      </w:pPr>
      <w:r w:rsidRPr="00CD6377">
        <w:t>301 E. Dean Keeton St. Stop C1761, Austin TX 78712, USA</w:t>
      </w:r>
    </w:p>
    <w:p w14:paraId="0786F159" w14:textId="4F29E80B" w:rsidR="00DD47E3" w:rsidRPr="00CD6377" w:rsidRDefault="00DD47E3" w:rsidP="009E5489">
      <w:pPr>
        <w:spacing w:after="0" w:line="240" w:lineRule="auto"/>
        <w:rPr>
          <w:rStyle w:val="Hyperlink"/>
        </w:rPr>
      </w:pPr>
      <w:r w:rsidRPr="00CD6377">
        <w:t xml:space="preserve">Email: </w:t>
      </w:r>
      <w:hyperlink r:id="rId9" w:history="1">
        <w:r w:rsidR="00D51C7B" w:rsidRPr="007B7209">
          <w:rPr>
            <w:rStyle w:val="Hyperlink"/>
          </w:rPr>
          <w:t>vivek.verma@utexas.edu</w:t>
        </w:r>
      </w:hyperlink>
    </w:p>
    <w:p w14:paraId="144A9D24" w14:textId="77777777" w:rsidR="009A728B" w:rsidRPr="00CD6377" w:rsidRDefault="009A728B" w:rsidP="009E5489">
      <w:pPr>
        <w:spacing w:after="0" w:line="240" w:lineRule="auto"/>
        <w:rPr>
          <w:rStyle w:val="Style1Char"/>
          <w:b w:val="0"/>
          <w:bCs w:val="0"/>
        </w:rPr>
      </w:pPr>
    </w:p>
    <w:p w14:paraId="169D64AF" w14:textId="77777777" w:rsidR="009A728B" w:rsidRPr="00CD6377" w:rsidRDefault="009A728B" w:rsidP="009E5489">
      <w:pPr>
        <w:spacing w:after="0" w:line="240" w:lineRule="auto"/>
        <w:rPr>
          <w:b/>
          <w:lang w:val="fr-FR"/>
        </w:rPr>
      </w:pPr>
      <w:r w:rsidRPr="00CD6377">
        <w:rPr>
          <w:b/>
          <w:lang w:val="fr-FR"/>
        </w:rPr>
        <w:t xml:space="preserve">Chandra R. Bhat </w:t>
      </w:r>
      <w:r w:rsidRPr="00CD6377">
        <w:rPr>
          <w:b/>
        </w:rPr>
        <w:t>(corresponding author)</w:t>
      </w:r>
    </w:p>
    <w:p w14:paraId="2F2C4A0B" w14:textId="77777777" w:rsidR="009A728B" w:rsidRPr="00CD6377" w:rsidRDefault="009A728B" w:rsidP="009E5489">
      <w:pPr>
        <w:spacing w:after="0" w:line="240" w:lineRule="auto"/>
        <w:rPr>
          <w:bCs/>
        </w:rPr>
      </w:pPr>
      <w:r w:rsidRPr="00CD6377">
        <w:t>The University of Texas at Austin</w:t>
      </w:r>
    </w:p>
    <w:p w14:paraId="512151E0" w14:textId="77777777" w:rsidR="009A728B" w:rsidRPr="00CD6377" w:rsidRDefault="009A728B" w:rsidP="009E5489">
      <w:pPr>
        <w:spacing w:after="0" w:line="240" w:lineRule="auto"/>
        <w:rPr>
          <w:bCs/>
        </w:rPr>
      </w:pPr>
      <w:r w:rsidRPr="00CD6377">
        <w:t>Department of Civil, Architectural and Environmental Engineering</w:t>
      </w:r>
    </w:p>
    <w:p w14:paraId="064EDBF7" w14:textId="77777777" w:rsidR="009A728B" w:rsidRPr="00CD6377" w:rsidRDefault="009A728B" w:rsidP="009E5489">
      <w:pPr>
        <w:spacing w:after="0" w:line="240" w:lineRule="auto"/>
        <w:rPr>
          <w:bCs/>
        </w:rPr>
      </w:pPr>
      <w:r w:rsidRPr="00CD6377">
        <w:t>301 E. Dean Keeton St. Stop C1761, Austin TX 78712, USA</w:t>
      </w:r>
    </w:p>
    <w:p w14:paraId="1A594130" w14:textId="77777777" w:rsidR="009A728B" w:rsidRPr="00CD6377" w:rsidRDefault="009A728B" w:rsidP="009E5489">
      <w:pPr>
        <w:spacing w:after="0" w:line="240" w:lineRule="auto"/>
        <w:rPr>
          <w:bCs/>
          <w:lang w:val="fr-FR"/>
        </w:rPr>
      </w:pPr>
      <w:r w:rsidRPr="00CD6377">
        <w:rPr>
          <w:lang w:val="pt-BR"/>
        </w:rPr>
        <w:t>Tel:</w:t>
      </w:r>
      <w:r w:rsidRPr="00CD6377">
        <w:t xml:space="preserve"> 1-512-471-4535; </w:t>
      </w:r>
      <w:r w:rsidRPr="00CD6377">
        <w:rPr>
          <w:lang w:val="fr-FR"/>
        </w:rPr>
        <w:t xml:space="preserve">Email: </w:t>
      </w:r>
      <w:hyperlink r:id="rId10" w:history="1">
        <w:r w:rsidRPr="00CD6377">
          <w:rPr>
            <w:rStyle w:val="Hyperlink"/>
            <w:lang w:val="fr-FR"/>
          </w:rPr>
          <w:t>bhat@mail.utexas.edu</w:t>
        </w:r>
      </w:hyperlink>
    </w:p>
    <w:p w14:paraId="2B835510" w14:textId="77777777" w:rsidR="009A728B" w:rsidRDefault="009A728B" w:rsidP="009E5489">
      <w:pPr>
        <w:spacing w:after="0" w:line="240" w:lineRule="auto"/>
        <w:rPr>
          <w:rStyle w:val="Style1Char"/>
          <w:b w:val="0"/>
          <w:bCs w:val="0"/>
        </w:rPr>
      </w:pPr>
    </w:p>
    <w:p w14:paraId="686310FD" w14:textId="77777777" w:rsidR="009A728B" w:rsidRPr="00CD6377" w:rsidRDefault="009A728B" w:rsidP="009E5489">
      <w:pPr>
        <w:spacing w:after="0" w:line="240" w:lineRule="auto"/>
        <w:rPr>
          <w:rStyle w:val="Style1Char"/>
          <w:b w:val="0"/>
          <w:bCs w:val="0"/>
        </w:rPr>
      </w:pPr>
    </w:p>
    <w:p w14:paraId="12E107D9" w14:textId="77777777" w:rsidR="009A728B" w:rsidRDefault="009A728B" w:rsidP="009E5489">
      <w:pPr>
        <w:spacing w:after="0" w:line="240" w:lineRule="auto"/>
        <w:rPr>
          <w:rStyle w:val="Style1Char"/>
          <w:b w:val="0"/>
          <w:bCs w:val="0"/>
        </w:rPr>
      </w:pPr>
    </w:p>
    <w:p w14:paraId="5DF6DC7B" w14:textId="77777777" w:rsidR="009A728B" w:rsidRPr="00CD6377" w:rsidRDefault="009A728B" w:rsidP="009E5489">
      <w:pPr>
        <w:spacing w:after="0" w:line="240" w:lineRule="auto"/>
        <w:rPr>
          <w:rStyle w:val="Style1Char"/>
          <w:b w:val="0"/>
          <w:bCs w:val="0"/>
        </w:rPr>
      </w:pPr>
    </w:p>
    <w:p w14:paraId="325E46BA" w14:textId="7829DA12" w:rsidR="006A55B8" w:rsidRDefault="006A55B8" w:rsidP="009E5489">
      <w:pPr>
        <w:spacing w:after="0" w:line="240" w:lineRule="auto"/>
        <w:rPr>
          <w:b/>
          <w:shd w:val="clear" w:color="auto" w:fill="FFFFFF"/>
        </w:rPr>
        <w:sectPr w:rsidR="006A55B8" w:rsidSect="009A728B">
          <w:footerReference w:type="default" r:id="rId11"/>
          <w:pgSz w:w="12240" w:h="15840"/>
          <w:pgMar w:top="1368" w:right="1440" w:bottom="1440" w:left="1440" w:header="720" w:footer="720" w:gutter="0"/>
          <w:cols w:space="720"/>
          <w:docGrid w:linePitch="360"/>
        </w:sectPr>
      </w:pPr>
    </w:p>
    <w:p w14:paraId="582CC73A" w14:textId="6E50F1EF" w:rsidR="00D61A38" w:rsidRDefault="00DE6AB0" w:rsidP="009E5489">
      <w:pPr>
        <w:spacing w:after="0" w:line="240" w:lineRule="auto"/>
        <w:rPr>
          <w:b/>
          <w:shd w:val="clear" w:color="auto" w:fill="FFFFFF"/>
        </w:rPr>
      </w:pPr>
      <w:r w:rsidRPr="00DE6AB0">
        <w:rPr>
          <w:b/>
          <w:shd w:val="clear" w:color="auto" w:fill="FFFFFF"/>
        </w:rPr>
        <w:lastRenderedPageBreak/>
        <w:t>A</w:t>
      </w:r>
      <w:r w:rsidR="00D61A38">
        <w:rPr>
          <w:b/>
          <w:shd w:val="clear" w:color="auto" w:fill="FFFFFF"/>
        </w:rPr>
        <w:t>BSTRACT</w:t>
      </w:r>
    </w:p>
    <w:p w14:paraId="4110FB5E" w14:textId="7666DD6D" w:rsidR="00743405" w:rsidRPr="00177186" w:rsidRDefault="00743405" w:rsidP="009E5489">
      <w:pPr>
        <w:pStyle w:val="ctrbodytext"/>
        <w:spacing w:after="0" w:line="240" w:lineRule="auto"/>
        <w:jc w:val="both"/>
      </w:pPr>
      <w:r w:rsidRPr="00177186">
        <w:t xml:space="preserve">The omnipresence of information and communication technologies (ICTs), such as smartphones, GPS, Bluetooth, and tablets, is inevitably influencing travel behaviors. In this study, we </w:t>
      </w:r>
      <w:r w:rsidR="005A2D5A">
        <w:t>develop</w:t>
      </w:r>
      <w:r w:rsidRPr="00177186">
        <w:t xml:space="preserve"> a </w:t>
      </w:r>
      <w:r w:rsidR="005A2D5A">
        <w:t xml:space="preserve">guideline </w:t>
      </w:r>
      <w:r w:rsidRPr="00177186">
        <w:t>framework for how ICT data sources can beneficially augment travel demand modeling (TDM) process</w:t>
      </w:r>
      <w:r w:rsidR="000030D1">
        <w:t>es</w:t>
      </w:r>
      <w:r w:rsidRPr="00177186">
        <w:t>. Though ICT data’s sole use is typically not adequate for TDM, the data can be gainfully used in combination with traditional data sources</w:t>
      </w:r>
      <w:r w:rsidR="000030D1">
        <w:t xml:space="preserve"> (TDSs)</w:t>
      </w:r>
      <w:r w:rsidRPr="00177186">
        <w:t xml:space="preserve"> to </w:t>
      </w:r>
      <w:r w:rsidR="005A2D5A">
        <w:t xml:space="preserve">support </w:t>
      </w:r>
      <w:r w:rsidRPr="00177186">
        <w:t xml:space="preserve">modeling. However, careful consideration is required to understand the differences between the traditional and the emerging data sources, and strategies must be devised to integrate these new sources into the TDM process. </w:t>
      </w:r>
      <w:r w:rsidR="005A2D5A">
        <w:t xml:space="preserve">Such a methodical integration process can benefit the </w:t>
      </w:r>
      <w:r w:rsidR="00177186" w:rsidRPr="00177186">
        <w:t>TDM process in terms of both results and resource needs, compared to models based solely on traditional strategies and travel surveys.</w:t>
      </w:r>
    </w:p>
    <w:p w14:paraId="01F68595" w14:textId="77777777" w:rsidR="009A728B" w:rsidRPr="009A728B" w:rsidRDefault="009A728B" w:rsidP="009E5489">
      <w:pPr>
        <w:spacing w:after="0" w:line="240" w:lineRule="auto"/>
        <w:rPr>
          <w:shd w:val="clear" w:color="auto" w:fill="FFFFFF"/>
        </w:rPr>
      </w:pPr>
    </w:p>
    <w:p w14:paraId="34040DB9" w14:textId="6745F4A5" w:rsidR="009A728B" w:rsidRDefault="009A728B" w:rsidP="009E5489">
      <w:pPr>
        <w:spacing w:after="0" w:line="240" w:lineRule="auto"/>
        <w:rPr>
          <w:shd w:val="clear" w:color="auto" w:fill="FFFFFF"/>
        </w:rPr>
        <w:sectPr w:rsidR="009A728B" w:rsidSect="006953E5">
          <w:headerReference w:type="default" r:id="rId12"/>
          <w:pgSz w:w="12240" w:h="15840"/>
          <w:pgMar w:top="1368" w:right="1440" w:bottom="1440" w:left="1440" w:header="720" w:footer="720" w:gutter="0"/>
          <w:cols w:space="720"/>
          <w:docGrid w:linePitch="360"/>
        </w:sectPr>
      </w:pPr>
      <w:r w:rsidRPr="009A728B">
        <w:rPr>
          <w:b/>
          <w:shd w:val="clear" w:color="auto" w:fill="FFFFFF"/>
        </w:rPr>
        <w:t>Keywords:</w:t>
      </w:r>
      <w:r w:rsidR="0004673F">
        <w:rPr>
          <w:b/>
          <w:shd w:val="clear" w:color="auto" w:fill="FFFFFF"/>
        </w:rPr>
        <w:t xml:space="preserve"> </w:t>
      </w:r>
      <w:r w:rsidR="00177186" w:rsidRPr="00DC762A">
        <w:t>Transportation,</w:t>
      </w:r>
      <w:r w:rsidR="005A2D5A">
        <w:t xml:space="preserve"> Data Fusion,</w:t>
      </w:r>
      <w:r w:rsidR="00177186" w:rsidRPr="00DC762A">
        <w:t xml:space="preserve"> </w:t>
      </w:r>
      <w:r w:rsidR="00177186">
        <w:t>Information and Communication Technology (ICT)</w:t>
      </w:r>
      <w:r w:rsidR="005A2D5A">
        <w:t xml:space="preserve"> </w:t>
      </w:r>
      <w:r w:rsidR="0004673F">
        <w:t>D</w:t>
      </w:r>
      <w:r w:rsidR="005A2D5A">
        <w:t>ata</w:t>
      </w:r>
      <w:r w:rsidR="00177186">
        <w:t>, Travel Demand Models</w:t>
      </w:r>
      <w:r w:rsidR="00177186" w:rsidRPr="00DC762A">
        <w:t xml:space="preserve">, </w:t>
      </w:r>
      <w:r w:rsidR="00177186">
        <w:t>Mobility Patterns</w:t>
      </w:r>
      <w:r w:rsidRPr="009A728B">
        <w:rPr>
          <w:shd w:val="clear" w:color="auto" w:fill="FFFFFF"/>
        </w:rPr>
        <w:t>.</w:t>
      </w:r>
    </w:p>
    <w:p w14:paraId="688B6579" w14:textId="77777777" w:rsidR="006062B8" w:rsidRPr="001272C7" w:rsidRDefault="006062B8" w:rsidP="005C16B0">
      <w:pPr>
        <w:pStyle w:val="Heading1"/>
        <w:numPr>
          <w:ilvl w:val="0"/>
          <w:numId w:val="28"/>
        </w:numPr>
        <w:spacing w:before="0" w:line="240" w:lineRule="auto"/>
      </w:pPr>
      <w:r w:rsidRPr="001272C7">
        <w:lastRenderedPageBreak/>
        <w:t>INTRODUCTION</w:t>
      </w:r>
    </w:p>
    <w:p w14:paraId="67687D25" w14:textId="680D952C" w:rsidR="00951801" w:rsidRDefault="005B7C60" w:rsidP="009E5489">
      <w:pPr>
        <w:pStyle w:val="ctrbodytext"/>
        <w:spacing w:after="0" w:line="240" w:lineRule="auto"/>
        <w:jc w:val="both"/>
      </w:pPr>
      <w:r w:rsidRPr="0026260F">
        <w:t xml:space="preserve">The </w:t>
      </w:r>
      <w:r w:rsidR="00BE5511">
        <w:t>label</w:t>
      </w:r>
      <w:r w:rsidRPr="0026260F">
        <w:t xml:space="preserve"> “ICT” describes technologies that offer access to information through telecommunications. </w:t>
      </w:r>
      <w:r w:rsidRPr="0038566D">
        <w:t xml:space="preserve">This includes smartphones, social media platforms (Twitter, Facebook, Tripadvisor), GPS navigators, sensor data (from Bluetooth devices, videos, MAC-address-based sources, drones, and remote sensing/satellite images), tablets, smart cards, travel transactional data (e.g., car-sharing and ride-hailing), and </w:t>
      </w:r>
      <w:r>
        <w:t xml:space="preserve">various </w:t>
      </w:r>
      <w:r w:rsidRPr="0038566D">
        <w:t xml:space="preserve">wireless devices that are becoming ubiquitous. </w:t>
      </w:r>
      <w:r w:rsidRPr="0026260F">
        <w:t xml:space="preserve">ICTs provide a new and easier way to passively access data at the individual level, allowing analysis to shift from a vehicle-level scale to a much finer human-level mobility pattern scale. </w:t>
      </w:r>
      <w:r>
        <w:t>A departure</w:t>
      </w:r>
      <w:r w:rsidRPr="0026260F">
        <w:t xml:space="preserve"> from the traditional household travel survey data, emerging data are characteri</w:t>
      </w:r>
      <w:r>
        <w:t>z</w:t>
      </w:r>
      <w:r w:rsidRPr="0026260F">
        <w:t xml:space="preserve">ed by voluminous amounts of near-real-time data, and they do not require sampling, </w:t>
      </w:r>
      <w:r>
        <w:t>as they are</w:t>
      </w:r>
      <w:r w:rsidRPr="0026260F">
        <w:t xml:space="preserve"> able to reach entire </w:t>
      </w:r>
      <w:r w:rsidR="00951801">
        <w:t xml:space="preserve">sections of the </w:t>
      </w:r>
      <w:r w:rsidRPr="0026260F">
        <w:t xml:space="preserve">population (e.g., when using telephone and bank services) </w:t>
      </w:r>
      <w:r>
        <w:t>and</w:t>
      </w:r>
      <w:r w:rsidRPr="0026260F">
        <w:t xml:space="preserve"> entire groups</w:t>
      </w:r>
      <w:r>
        <w:t xml:space="preserve"> of interest in certain moments or locations</w:t>
      </w:r>
      <w:r w:rsidRPr="0026260F">
        <w:t xml:space="preserve"> (e.g., when using smart cards, toll road</w:t>
      </w:r>
      <w:r>
        <w:t>s,</w:t>
      </w:r>
      <w:r w:rsidRPr="0026260F">
        <w:t xml:space="preserve"> etc.).</w:t>
      </w:r>
      <w:r w:rsidR="00951801" w:rsidRPr="00951801">
        <w:t xml:space="preserve"> </w:t>
      </w:r>
      <w:r w:rsidR="00951801">
        <w:t>At the same time, these emerging “big” data sources are also typically coarser and more sectorial than traditional data, and many challenges remain in the use of these emerging ICT-based data sources. For example, data collected from smartphones could be incomplete, as data could be missing due to various scenarios: (a) when the phone is indoors with no signal connection between the phone’s GPS sensor and a satellite, (b) when the phone’s battery gets discharged, and (c) at the beginning of trips due to the GPS software’s start-up time. In addition, areas with poor cellphone coverage will adversely affect cell-based data collection efforts. Table 1</w:t>
      </w:r>
      <w:r w:rsidR="00952EBE">
        <w:t xml:space="preserve"> </w:t>
      </w:r>
      <w:r w:rsidR="00951801">
        <w:t xml:space="preserve">provides a synopsis of the main differences between traditional and emerging data. </w:t>
      </w:r>
    </w:p>
    <w:p w14:paraId="2E95E283" w14:textId="7C93B8E8" w:rsidR="00951801" w:rsidRPr="005C3D65" w:rsidRDefault="00951801" w:rsidP="002D6498">
      <w:pPr>
        <w:pStyle w:val="ctrtabletitle"/>
        <w:spacing w:after="0"/>
        <w:jc w:val="left"/>
        <w:rPr>
          <w:rFonts w:ascii="Times New Roman" w:hAnsi="Times New Roman" w:cs="Times New Roman"/>
          <w:sz w:val="24"/>
          <w:szCs w:val="24"/>
        </w:rPr>
      </w:pPr>
      <w:bookmarkStart w:id="0" w:name="_Toc119831090"/>
      <w:r w:rsidRPr="005C3D65">
        <w:rPr>
          <w:rFonts w:ascii="Times New Roman" w:hAnsi="Times New Roman" w:cs="Times New Roman"/>
          <w:sz w:val="24"/>
          <w:szCs w:val="24"/>
        </w:rPr>
        <w:t xml:space="preserve">Table </w:t>
      </w:r>
      <w:r w:rsidRPr="005C3D65">
        <w:rPr>
          <w:rFonts w:ascii="Times New Roman" w:hAnsi="Times New Roman" w:cs="Times New Roman"/>
          <w:sz w:val="24"/>
          <w:szCs w:val="24"/>
        </w:rPr>
        <w:fldChar w:fldCharType="begin"/>
      </w:r>
      <w:r w:rsidRPr="005C3D65">
        <w:rPr>
          <w:rFonts w:ascii="Times New Roman" w:hAnsi="Times New Roman" w:cs="Times New Roman"/>
          <w:sz w:val="24"/>
          <w:szCs w:val="24"/>
        </w:rPr>
        <w:instrText xml:space="preserve"> STYLEREF 1 \s </w:instrText>
      </w:r>
      <w:r w:rsidRPr="005C3D65">
        <w:rPr>
          <w:rFonts w:ascii="Times New Roman" w:hAnsi="Times New Roman" w:cs="Times New Roman"/>
          <w:sz w:val="24"/>
          <w:szCs w:val="24"/>
        </w:rPr>
        <w:fldChar w:fldCharType="separate"/>
      </w:r>
      <w:r w:rsidR="00780780">
        <w:rPr>
          <w:rFonts w:ascii="Times New Roman" w:hAnsi="Times New Roman" w:cs="Times New Roman"/>
          <w:noProof/>
          <w:sz w:val="24"/>
          <w:szCs w:val="24"/>
        </w:rPr>
        <w:t>1</w:t>
      </w:r>
      <w:r w:rsidRPr="005C3D65">
        <w:rPr>
          <w:rFonts w:ascii="Times New Roman" w:hAnsi="Times New Roman" w:cs="Times New Roman"/>
          <w:sz w:val="24"/>
          <w:szCs w:val="24"/>
        </w:rPr>
        <w:fldChar w:fldCharType="end"/>
      </w:r>
      <w:r w:rsidR="00952EBE">
        <w:rPr>
          <w:rFonts w:ascii="Times New Roman" w:hAnsi="Times New Roman" w:cs="Times New Roman"/>
          <w:sz w:val="24"/>
          <w:szCs w:val="24"/>
        </w:rPr>
        <w:t xml:space="preserve">. </w:t>
      </w:r>
      <w:r w:rsidRPr="005C3D65">
        <w:rPr>
          <w:rFonts w:ascii="Times New Roman" w:hAnsi="Times New Roman" w:cs="Times New Roman"/>
          <w:sz w:val="24"/>
          <w:szCs w:val="24"/>
        </w:rPr>
        <w:t xml:space="preserve">Differences between </w:t>
      </w:r>
      <w:r w:rsidR="000819B9">
        <w:rPr>
          <w:rFonts w:ascii="Times New Roman" w:hAnsi="Times New Roman" w:cs="Times New Roman"/>
          <w:sz w:val="24"/>
          <w:szCs w:val="24"/>
        </w:rPr>
        <w:t>T</w:t>
      </w:r>
      <w:r w:rsidRPr="005C3D65">
        <w:rPr>
          <w:rFonts w:ascii="Times New Roman" w:hAnsi="Times New Roman" w:cs="Times New Roman"/>
          <w:sz w:val="24"/>
          <w:szCs w:val="24"/>
        </w:rPr>
        <w:t xml:space="preserve">raditional and </w:t>
      </w:r>
      <w:r w:rsidR="000819B9">
        <w:rPr>
          <w:rFonts w:ascii="Times New Roman" w:hAnsi="Times New Roman" w:cs="Times New Roman"/>
          <w:sz w:val="24"/>
          <w:szCs w:val="24"/>
        </w:rPr>
        <w:t>E</w:t>
      </w:r>
      <w:r w:rsidRPr="005C3D65">
        <w:rPr>
          <w:rFonts w:ascii="Times New Roman" w:hAnsi="Times New Roman" w:cs="Times New Roman"/>
          <w:sz w:val="24"/>
          <w:szCs w:val="24"/>
        </w:rPr>
        <w:t xml:space="preserve">merging </w:t>
      </w:r>
      <w:r w:rsidR="000819B9">
        <w:rPr>
          <w:rFonts w:ascii="Times New Roman" w:hAnsi="Times New Roman" w:cs="Times New Roman"/>
          <w:sz w:val="24"/>
          <w:szCs w:val="24"/>
        </w:rPr>
        <w:t>D</w:t>
      </w:r>
      <w:r w:rsidRPr="005C3D65">
        <w:rPr>
          <w:rFonts w:ascii="Times New Roman" w:hAnsi="Times New Roman" w:cs="Times New Roman"/>
          <w:sz w:val="24"/>
          <w:szCs w:val="24"/>
        </w:rPr>
        <w:t>ata</w:t>
      </w:r>
      <w:bookmarkEnd w:id="0"/>
    </w:p>
    <w:tbl>
      <w:tblPr>
        <w:tblStyle w:val="TableGrid"/>
        <w:tblW w:w="925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575"/>
        <w:gridCol w:w="4680"/>
      </w:tblGrid>
      <w:tr w:rsidR="00951801" w:rsidRPr="009E5489" w14:paraId="281719C1" w14:textId="77777777" w:rsidTr="00E34995">
        <w:trPr>
          <w:trHeight w:val="317"/>
          <w:jc w:val="center"/>
        </w:trPr>
        <w:tc>
          <w:tcPr>
            <w:tcW w:w="4575" w:type="dxa"/>
            <w:tcBorders>
              <w:top w:val="double" w:sz="4" w:space="0" w:color="auto"/>
              <w:bottom w:val="double" w:sz="4" w:space="0" w:color="auto"/>
            </w:tcBorders>
            <w:tcMar>
              <w:left w:w="58" w:type="dxa"/>
              <w:right w:w="58" w:type="dxa"/>
            </w:tcMar>
            <w:hideMark/>
          </w:tcPr>
          <w:p w14:paraId="471F8EE9" w14:textId="77777777" w:rsidR="00951801" w:rsidRPr="009E5489" w:rsidRDefault="00951801" w:rsidP="009E5489">
            <w:pPr>
              <w:pStyle w:val="Els-body-text"/>
              <w:spacing w:line="240" w:lineRule="auto"/>
              <w:ind w:right="179" w:firstLine="0"/>
              <w:jc w:val="left"/>
              <w:rPr>
                <w:sz w:val="22"/>
                <w:szCs w:val="22"/>
              </w:rPr>
            </w:pPr>
            <w:r w:rsidRPr="009E5489">
              <w:rPr>
                <w:b/>
                <w:bCs/>
                <w:sz w:val="22"/>
                <w:szCs w:val="22"/>
              </w:rPr>
              <w:t>Traditional data</w:t>
            </w:r>
          </w:p>
        </w:tc>
        <w:tc>
          <w:tcPr>
            <w:tcW w:w="4680" w:type="dxa"/>
            <w:tcBorders>
              <w:top w:val="double" w:sz="4" w:space="0" w:color="auto"/>
              <w:bottom w:val="double" w:sz="4" w:space="0" w:color="auto"/>
            </w:tcBorders>
            <w:tcMar>
              <w:left w:w="58" w:type="dxa"/>
              <w:right w:w="58" w:type="dxa"/>
            </w:tcMar>
            <w:hideMark/>
          </w:tcPr>
          <w:p w14:paraId="20BA59E3" w14:textId="77777777" w:rsidR="00951801" w:rsidRPr="009E5489" w:rsidRDefault="00951801" w:rsidP="009E5489">
            <w:pPr>
              <w:pStyle w:val="Els-body-text"/>
              <w:spacing w:line="240" w:lineRule="auto"/>
              <w:ind w:right="179" w:firstLine="0"/>
              <w:jc w:val="left"/>
              <w:rPr>
                <w:sz w:val="22"/>
                <w:szCs w:val="22"/>
              </w:rPr>
            </w:pPr>
            <w:r w:rsidRPr="009E5489">
              <w:rPr>
                <w:b/>
                <w:bCs/>
                <w:sz w:val="22"/>
                <w:szCs w:val="22"/>
              </w:rPr>
              <w:t>Emerging data</w:t>
            </w:r>
          </w:p>
        </w:tc>
      </w:tr>
      <w:tr w:rsidR="00951801" w:rsidRPr="009E5489" w14:paraId="4B5956FB" w14:textId="77777777" w:rsidTr="00E34995">
        <w:trPr>
          <w:trHeight w:val="317"/>
          <w:jc w:val="center"/>
        </w:trPr>
        <w:tc>
          <w:tcPr>
            <w:tcW w:w="4575" w:type="dxa"/>
            <w:tcBorders>
              <w:top w:val="double" w:sz="4" w:space="0" w:color="auto"/>
              <w:bottom w:val="single" w:sz="4" w:space="0" w:color="auto"/>
            </w:tcBorders>
            <w:tcMar>
              <w:left w:w="58" w:type="dxa"/>
              <w:right w:w="58" w:type="dxa"/>
            </w:tcMar>
            <w:hideMark/>
          </w:tcPr>
          <w:p w14:paraId="1943D51C" w14:textId="77777777" w:rsidR="00951801" w:rsidRPr="009E5489" w:rsidRDefault="00951801" w:rsidP="009E5489">
            <w:pPr>
              <w:pStyle w:val="Els-body-text"/>
              <w:spacing w:line="240" w:lineRule="auto"/>
              <w:ind w:right="179" w:firstLine="0"/>
              <w:jc w:val="left"/>
              <w:rPr>
                <w:sz w:val="22"/>
                <w:szCs w:val="22"/>
              </w:rPr>
            </w:pPr>
            <w:r w:rsidRPr="009E5489">
              <w:rPr>
                <w:sz w:val="22"/>
                <w:szCs w:val="22"/>
              </w:rPr>
              <w:t>Strategic sample</w:t>
            </w:r>
          </w:p>
        </w:tc>
        <w:tc>
          <w:tcPr>
            <w:tcW w:w="4680" w:type="dxa"/>
            <w:tcBorders>
              <w:top w:val="double" w:sz="4" w:space="0" w:color="auto"/>
              <w:bottom w:val="single" w:sz="4" w:space="0" w:color="auto"/>
            </w:tcBorders>
            <w:tcMar>
              <w:left w:w="58" w:type="dxa"/>
              <w:right w:w="58" w:type="dxa"/>
            </w:tcMar>
            <w:hideMark/>
          </w:tcPr>
          <w:p w14:paraId="5A535E66" w14:textId="32BC544A" w:rsidR="00951801" w:rsidRPr="009E5489" w:rsidRDefault="00951801" w:rsidP="009E5489">
            <w:pPr>
              <w:pStyle w:val="Els-body-text"/>
              <w:spacing w:line="240" w:lineRule="auto"/>
              <w:ind w:right="179" w:firstLine="0"/>
              <w:jc w:val="left"/>
              <w:rPr>
                <w:sz w:val="22"/>
                <w:szCs w:val="22"/>
              </w:rPr>
            </w:pPr>
            <w:r w:rsidRPr="009E5489">
              <w:rPr>
                <w:sz w:val="22"/>
                <w:szCs w:val="22"/>
              </w:rPr>
              <w:t xml:space="preserve">Almost </w:t>
            </w:r>
            <w:r w:rsidR="005A2D5A" w:rsidRPr="009E5489">
              <w:rPr>
                <w:sz w:val="22"/>
                <w:szCs w:val="22"/>
              </w:rPr>
              <w:t>an</w:t>
            </w:r>
            <w:r w:rsidRPr="009E5489">
              <w:rPr>
                <w:sz w:val="22"/>
                <w:szCs w:val="22"/>
              </w:rPr>
              <w:t xml:space="preserve"> entire </w:t>
            </w:r>
            <w:r w:rsidR="005A2D5A" w:rsidRPr="009E5489">
              <w:rPr>
                <w:sz w:val="22"/>
                <w:szCs w:val="22"/>
              </w:rPr>
              <w:t xml:space="preserve">section of a </w:t>
            </w:r>
            <w:r w:rsidRPr="009E5489">
              <w:rPr>
                <w:sz w:val="22"/>
                <w:szCs w:val="22"/>
              </w:rPr>
              <w:t>population</w:t>
            </w:r>
          </w:p>
        </w:tc>
      </w:tr>
      <w:tr w:rsidR="00951801" w:rsidRPr="009E5489" w14:paraId="4CA87631" w14:textId="77777777" w:rsidTr="00E34995">
        <w:trPr>
          <w:trHeight w:val="317"/>
          <w:jc w:val="center"/>
        </w:trPr>
        <w:tc>
          <w:tcPr>
            <w:tcW w:w="4575" w:type="dxa"/>
            <w:tcBorders>
              <w:top w:val="single" w:sz="4" w:space="0" w:color="auto"/>
              <w:bottom w:val="single" w:sz="4" w:space="0" w:color="auto"/>
            </w:tcBorders>
            <w:tcMar>
              <w:left w:w="58" w:type="dxa"/>
              <w:right w:w="58" w:type="dxa"/>
            </w:tcMar>
            <w:hideMark/>
          </w:tcPr>
          <w:p w14:paraId="3D6AB28D" w14:textId="77777777" w:rsidR="00951801" w:rsidRPr="009E5489" w:rsidRDefault="00951801" w:rsidP="009E5489">
            <w:pPr>
              <w:pStyle w:val="Els-body-text"/>
              <w:spacing w:line="240" w:lineRule="auto"/>
              <w:ind w:right="179" w:firstLine="0"/>
              <w:jc w:val="left"/>
              <w:rPr>
                <w:sz w:val="22"/>
                <w:szCs w:val="22"/>
              </w:rPr>
            </w:pPr>
            <w:r w:rsidRPr="009E5489">
              <w:rPr>
                <w:sz w:val="22"/>
                <w:szCs w:val="22"/>
              </w:rPr>
              <w:t>Respondent stated (RP/SP)</w:t>
            </w:r>
          </w:p>
        </w:tc>
        <w:tc>
          <w:tcPr>
            <w:tcW w:w="4680" w:type="dxa"/>
            <w:tcBorders>
              <w:top w:val="single" w:sz="4" w:space="0" w:color="auto"/>
              <w:bottom w:val="single" w:sz="4" w:space="0" w:color="auto"/>
            </w:tcBorders>
            <w:tcMar>
              <w:left w:w="58" w:type="dxa"/>
              <w:right w:w="58" w:type="dxa"/>
            </w:tcMar>
            <w:hideMark/>
          </w:tcPr>
          <w:p w14:paraId="41509D1F" w14:textId="77777777" w:rsidR="00951801" w:rsidRPr="009E5489" w:rsidRDefault="00951801" w:rsidP="009E5489">
            <w:pPr>
              <w:pStyle w:val="Els-body-text"/>
              <w:spacing w:line="240" w:lineRule="auto"/>
              <w:ind w:right="179" w:firstLine="0"/>
              <w:jc w:val="left"/>
              <w:rPr>
                <w:sz w:val="22"/>
                <w:szCs w:val="22"/>
              </w:rPr>
            </w:pPr>
            <w:r w:rsidRPr="009E5489">
              <w:rPr>
                <w:sz w:val="22"/>
                <w:szCs w:val="22"/>
              </w:rPr>
              <w:t>“True” observed data</w:t>
            </w:r>
            <w:r w:rsidRPr="009E5489">
              <w:rPr>
                <w:rStyle w:val="FootnoteReference"/>
                <w:sz w:val="22"/>
                <w:szCs w:val="22"/>
              </w:rPr>
              <w:footnoteReference w:id="1"/>
            </w:r>
          </w:p>
        </w:tc>
      </w:tr>
      <w:tr w:rsidR="00951801" w:rsidRPr="009E5489" w14:paraId="50FB53CC" w14:textId="77777777" w:rsidTr="00E34995">
        <w:trPr>
          <w:trHeight w:val="317"/>
          <w:jc w:val="center"/>
        </w:trPr>
        <w:tc>
          <w:tcPr>
            <w:tcW w:w="4575" w:type="dxa"/>
            <w:tcBorders>
              <w:top w:val="single" w:sz="4" w:space="0" w:color="auto"/>
              <w:bottom w:val="single" w:sz="4" w:space="0" w:color="auto"/>
            </w:tcBorders>
            <w:tcMar>
              <w:left w:w="58" w:type="dxa"/>
              <w:right w:w="58" w:type="dxa"/>
            </w:tcMar>
            <w:hideMark/>
          </w:tcPr>
          <w:p w14:paraId="75CB1E06" w14:textId="77777777" w:rsidR="00951801" w:rsidRPr="009E5489" w:rsidRDefault="00951801" w:rsidP="009E5489">
            <w:pPr>
              <w:pStyle w:val="Els-body-text"/>
              <w:spacing w:line="240" w:lineRule="auto"/>
              <w:ind w:right="179" w:firstLine="0"/>
              <w:jc w:val="left"/>
              <w:rPr>
                <w:sz w:val="22"/>
                <w:szCs w:val="22"/>
              </w:rPr>
            </w:pPr>
            <w:r w:rsidRPr="009E5489">
              <w:rPr>
                <w:sz w:val="22"/>
                <w:szCs w:val="22"/>
              </w:rPr>
              <w:t>Fine/demographic (disaggregate)</w:t>
            </w:r>
          </w:p>
        </w:tc>
        <w:tc>
          <w:tcPr>
            <w:tcW w:w="4680" w:type="dxa"/>
            <w:tcBorders>
              <w:top w:val="single" w:sz="4" w:space="0" w:color="auto"/>
              <w:bottom w:val="single" w:sz="4" w:space="0" w:color="auto"/>
            </w:tcBorders>
            <w:tcMar>
              <w:left w:w="58" w:type="dxa"/>
              <w:right w:w="58" w:type="dxa"/>
            </w:tcMar>
            <w:hideMark/>
          </w:tcPr>
          <w:p w14:paraId="0C4BBF6C" w14:textId="77777777" w:rsidR="00951801" w:rsidRPr="009E5489" w:rsidRDefault="00951801" w:rsidP="009E5489">
            <w:pPr>
              <w:pStyle w:val="Els-body-text"/>
              <w:spacing w:line="240" w:lineRule="auto"/>
              <w:ind w:right="179" w:firstLine="0"/>
              <w:jc w:val="left"/>
              <w:rPr>
                <w:sz w:val="22"/>
                <w:szCs w:val="22"/>
              </w:rPr>
            </w:pPr>
            <w:r w:rsidRPr="009E5489">
              <w:rPr>
                <w:sz w:val="22"/>
                <w:szCs w:val="22"/>
              </w:rPr>
              <w:t>Coarse (aggregate)</w:t>
            </w:r>
          </w:p>
        </w:tc>
      </w:tr>
      <w:tr w:rsidR="00951801" w:rsidRPr="009E5489" w14:paraId="2298AE47" w14:textId="77777777" w:rsidTr="00E34995">
        <w:trPr>
          <w:trHeight w:val="317"/>
          <w:jc w:val="center"/>
        </w:trPr>
        <w:tc>
          <w:tcPr>
            <w:tcW w:w="4575" w:type="dxa"/>
            <w:tcBorders>
              <w:top w:val="single" w:sz="4" w:space="0" w:color="auto"/>
              <w:bottom w:val="single" w:sz="4" w:space="0" w:color="auto"/>
            </w:tcBorders>
            <w:tcMar>
              <w:left w:w="58" w:type="dxa"/>
              <w:right w:w="58" w:type="dxa"/>
            </w:tcMar>
            <w:hideMark/>
          </w:tcPr>
          <w:p w14:paraId="54CA907A" w14:textId="77777777" w:rsidR="00951801" w:rsidRPr="009E5489" w:rsidRDefault="00951801" w:rsidP="009E5489">
            <w:pPr>
              <w:pStyle w:val="Els-body-text"/>
              <w:spacing w:line="240" w:lineRule="auto"/>
              <w:ind w:right="75" w:firstLine="0"/>
              <w:jc w:val="left"/>
              <w:rPr>
                <w:sz w:val="22"/>
                <w:szCs w:val="22"/>
              </w:rPr>
            </w:pPr>
            <w:r w:rsidRPr="009E5489">
              <w:rPr>
                <w:sz w:val="22"/>
                <w:szCs w:val="22"/>
              </w:rPr>
              <w:t>Multidimensional (many small pieces of information for the same person) on respondents’ mobility and demographics</w:t>
            </w:r>
          </w:p>
        </w:tc>
        <w:tc>
          <w:tcPr>
            <w:tcW w:w="4680" w:type="dxa"/>
            <w:tcBorders>
              <w:top w:val="single" w:sz="4" w:space="0" w:color="auto"/>
              <w:bottom w:val="single" w:sz="4" w:space="0" w:color="auto"/>
            </w:tcBorders>
            <w:tcMar>
              <w:left w:w="58" w:type="dxa"/>
              <w:right w:w="58" w:type="dxa"/>
            </w:tcMar>
            <w:hideMark/>
          </w:tcPr>
          <w:p w14:paraId="7A156A37" w14:textId="77777777" w:rsidR="00951801" w:rsidRPr="009E5489" w:rsidRDefault="00951801" w:rsidP="009E5489">
            <w:pPr>
              <w:pStyle w:val="Els-body-text"/>
              <w:spacing w:line="240" w:lineRule="auto"/>
              <w:ind w:right="179" w:firstLine="0"/>
              <w:jc w:val="left"/>
              <w:rPr>
                <w:sz w:val="22"/>
                <w:szCs w:val="22"/>
              </w:rPr>
            </w:pPr>
            <w:r w:rsidRPr="009E5489">
              <w:rPr>
                <w:sz w:val="22"/>
                <w:szCs w:val="22"/>
              </w:rPr>
              <w:t>Unidimensional (more sectorial) focused on mobility</w:t>
            </w:r>
          </w:p>
        </w:tc>
      </w:tr>
      <w:tr w:rsidR="00951801" w:rsidRPr="009E5489" w14:paraId="5FCBD40E" w14:textId="77777777" w:rsidTr="00E34995">
        <w:trPr>
          <w:trHeight w:val="317"/>
          <w:jc w:val="center"/>
        </w:trPr>
        <w:tc>
          <w:tcPr>
            <w:tcW w:w="4575" w:type="dxa"/>
            <w:tcBorders>
              <w:top w:val="single" w:sz="4" w:space="0" w:color="auto"/>
              <w:bottom w:val="single" w:sz="4" w:space="0" w:color="auto"/>
            </w:tcBorders>
            <w:tcMar>
              <w:left w:w="58" w:type="dxa"/>
              <w:right w:w="58" w:type="dxa"/>
            </w:tcMar>
            <w:hideMark/>
          </w:tcPr>
          <w:p w14:paraId="56629BA7" w14:textId="77777777" w:rsidR="00951801" w:rsidRPr="009E5489" w:rsidRDefault="00951801" w:rsidP="009E5489">
            <w:pPr>
              <w:pStyle w:val="Els-body-text"/>
              <w:spacing w:line="240" w:lineRule="auto"/>
              <w:ind w:right="179" w:firstLine="0"/>
              <w:jc w:val="left"/>
              <w:rPr>
                <w:sz w:val="22"/>
                <w:szCs w:val="22"/>
              </w:rPr>
            </w:pPr>
            <w:r w:rsidRPr="009E5489">
              <w:rPr>
                <w:sz w:val="22"/>
                <w:szCs w:val="22"/>
              </w:rPr>
              <w:t>Small sample/easy to process</w:t>
            </w:r>
          </w:p>
        </w:tc>
        <w:tc>
          <w:tcPr>
            <w:tcW w:w="4680" w:type="dxa"/>
            <w:tcBorders>
              <w:top w:val="single" w:sz="4" w:space="0" w:color="auto"/>
              <w:bottom w:val="single" w:sz="4" w:space="0" w:color="auto"/>
            </w:tcBorders>
            <w:tcMar>
              <w:left w:w="58" w:type="dxa"/>
              <w:right w:w="58" w:type="dxa"/>
            </w:tcMar>
            <w:hideMark/>
          </w:tcPr>
          <w:p w14:paraId="1FFA48E9" w14:textId="77777777" w:rsidR="00951801" w:rsidRPr="009E5489" w:rsidRDefault="00951801" w:rsidP="009E5489">
            <w:pPr>
              <w:pStyle w:val="Els-body-text"/>
              <w:spacing w:line="240" w:lineRule="auto"/>
              <w:ind w:right="179" w:firstLine="0"/>
              <w:jc w:val="left"/>
              <w:rPr>
                <w:sz w:val="22"/>
                <w:szCs w:val="22"/>
              </w:rPr>
            </w:pPr>
            <w:r w:rsidRPr="009E5489">
              <w:rPr>
                <w:sz w:val="22"/>
                <w:szCs w:val="22"/>
              </w:rPr>
              <w:t>Voluminous/more difficult to process</w:t>
            </w:r>
          </w:p>
        </w:tc>
      </w:tr>
      <w:tr w:rsidR="00951801" w:rsidRPr="009E5489" w14:paraId="0CEF97EC" w14:textId="77777777" w:rsidTr="00E34995">
        <w:trPr>
          <w:trHeight w:val="317"/>
          <w:jc w:val="center"/>
        </w:trPr>
        <w:tc>
          <w:tcPr>
            <w:tcW w:w="4575" w:type="dxa"/>
            <w:tcBorders>
              <w:top w:val="single" w:sz="4" w:space="0" w:color="auto"/>
              <w:bottom w:val="double" w:sz="4" w:space="0" w:color="auto"/>
            </w:tcBorders>
            <w:tcMar>
              <w:left w:w="58" w:type="dxa"/>
              <w:right w:w="58" w:type="dxa"/>
            </w:tcMar>
            <w:hideMark/>
          </w:tcPr>
          <w:p w14:paraId="29930CE1" w14:textId="6E1C1994" w:rsidR="00951801" w:rsidRPr="009E5489" w:rsidRDefault="00951801" w:rsidP="009E5489">
            <w:pPr>
              <w:pStyle w:val="Els-body-text"/>
              <w:spacing w:line="240" w:lineRule="auto"/>
              <w:ind w:right="179" w:firstLine="0"/>
              <w:jc w:val="left"/>
              <w:rPr>
                <w:sz w:val="22"/>
                <w:szCs w:val="22"/>
              </w:rPr>
            </w:pPr>
            <w:r w:rsidRPr="009E5489">
              <w:rPr>
                <w:sz w:val="22"/>
                <w:szCs w:val="22"/>
              </w:rPr>
              <w:t>Clarity in sharing/privacy/access</w:t>
            </w:r>
          </w:p>
        </w:tc>
        <w:tc>
          <w:tcPr>
            <w:tcW w:w="4680" w:type="dxa"/>
            <w:tcBorders>
              <w:top w:val="single" w:sz="4" w:space="0" w:color="auto"/>
              <w:bottom w:val="double" w:sz="4" w:space="0" w:color="auto"/>
            </w:tcBorders>
            <w:tcMar>
              <w:left w:w="58" w:type="dxa"/>
              <w:right w:w="58" w:type="dxa"/>
            </w:tcMar>
            <w:hideMark/>
          </w:tcPr>
          <w:p w14:paraId="0961EDE1" w14:textId="77777777" w:rsidR="00951801" w:rsidRPr="009E5489" w:rsidRDefault="00951801" w:rsidP="009E5489">
            <w:pPr>
              <w:pStyle w:val="Els-body-text"/>
              <w:spacing w:line="240" w:lineRule="auto"/>
              <w:ind w:right="75" w:firstLine="0"/>
              <w:jc w:val="left"/>
              <w:rPr>
                <w:sz w:val="22"/>
                <w:szCs w:val="22"/>
              </w:rPr>
            </w:pPr>
            <w:r w:rsidRPr="009E5489">
              <w:rPr>
                <w:sz w:val="22"/>
                <w:szCs w:val="22"/>
              </w:rPr>
              <w:t>Fuzziness in sharing/privacy/access (not all data are clearly associated with a specific person)</w:t>
            </w:r>
          </w:p>
        </w:tc>
      </w:tr>
    </w:tbl>
    <w:p w14:paraId="4B57F614" w14:textId="2198DE1B" w:rsidR="005B7C60" w:rsidRDefault="0004673F" w:rsidP="009E5489">
      <w:pPr>
        <w:pStyle w:val="ctrbody"/>
        <w:spacing w:line="240" w:lineRule="auto"/>
        <w:jc w:val="left"/>
      </w:pPr>
      <w:r>
        <w:rPr>
          <w:sz w:val="22"/>
        </w:rPr>
        <w:t xml:space="preserve"> </w:t>
      </w:r>
      <w:r w:rsidR="00951801" w:rsidRPr="00B360BF">
        <w:rPr>
          <w:sz w:val="22"/>
        </w:rPr>
        <w:t xml:space="preserve">(Source: </w:t>
      </w:r>
      <w:r w:rsidR="005A2D5A" w:rsidRPr="00B360BF">
        <w:rPr>
          <w:sz w:val="22"/>
        </w:rPr>
        <w:t xml:space="preserve">Modified from </w:t>
      </w:r>
      <w:r w:rsidR="00874A00" w:rsidRPr="00B360BF">
        <w:rPr>
          <w:sz w:val="22"/>
        </w:rPr>
        <w:t>(</w:t>
      </w:r>
      <w:r w:rsidR="00874A00" w:rsidRPr="00B360BF">
        <w:rPr>
          <w:i/>
          <w:iCs/>
          <w:sz w:val="22"/>
        </w:rPr>
        <w:t>1</w:t>
      </w:r>
      <w:r w:rsidR="00874A00" w:rsidRPr="00B360BF">
        <w:rPr>
          <w:sz w:val="22"/>
        </w:rPr>
        <w:t>)</w:t>
      </w:r>
      <w:r w:rsidR="00951801" w:rsidRPr="00B360BF">
        <w:rPr>
          <w:sz w:val="22"/>
        </w:rPr>
        <w:t>)</w:t>
      </w:r>
    </w:p>
    <w:p w14:paraId="25195DBF" w14:textId="45ADD3C9" w:rsidR="00441758" w:rsidRPr="006B756E" w:rsidRDefault="00951801" w:rsidP="009E5489">
      <w:pPr>
        <w:pStyle w:val="ctrbodytext"/>
        <w:spacing w:after="0" w:line="240" w:lineRule="auto"/>
        <w:ind w:firstLine="720"/>
        <w:jc w:val="both"/>
      </w:pPr>
      <w:r>
        <w:t>In the context of the above discussion, i</w:t>
      </w:r>
      <w:r w:rsidR="00441758" w:rsidRPr="006B756E">
        <w:t xml:space="preserve">n this </w:t>
      </w:r>
      <w:r w:rsidR="004E16F4">
        <w:t>study</w:t>
      </w:r>
      <w:r w:rsidR="00441758">
        <w:t>,</w:t>
      </w:r>
      <w:r w:rsidR="00441758" w:rsidRPr="006B756E">
        <w:t xml:space="preserve"> </w:t>
      </w:r>
      <w:r w:rsidR="00441758">
        <w:t>we</w:t>
      </w:r>
      <w:r w:rsidR="00441758" w:rsidRPr="006B756E">
        <w:t xml:space="preserve"> </w:t>
      </w:r>
      <w:r>
        <w:t xml:space="preserve">develop a guideline framework for </w:t>
      </w:r>
      <w:r w:rsidR="00441758">
        <w:t xml:space="preserve">combining ICT data with traditional survey data </w:t>
      </w:r>
      <w:r w:rsidR="00441758" w:rsidRPr="006B756E">
        <w:t xml:space="preserve">to answer questions such as: </w:t>
      </w:r>
      <w:r w:rsidR="00441758">
        <w:t>(</w:t>
      </w:r>
      <w:r w:rsidR="00441758" w:rsidRPr="006B756E">
        <w:t xml:space="preserve">1) how can available ICT data be used to complement traditional datasets; </w:t>
      </w:r>
      <w:r w:rsidR="00441758">
        <w:t>(</w:t>
      </w:r>
      <w:r w:rsidR="00441758" w:rsidRPr="006B756E">
        <w:t xml:space="preserve">2) how should emerging data be integrated into the current travel demand modeling processes used across </w:t>
      </w:r>
      <w:r w:rsidR="004E16F4">
        <w:t>the country</w:t>
      </w:r>
      <w:r w:rsidR="00441758" w:rsidRPr="006B756E">
        <w:t xml:space="preserve">; and </w:t>
      </w:r>
      <w:r w:rsidR="00441758">
        <w:t>(</w:t>
      </w:r>
      <w:r w:rsidR="00441758" w:rsidRPr="006B756E">
        <w:t xml:space="preserve">3) </w:t>
      </w:r>
      <w:r w:rsidR="00441758">
        <w:t>how is this fusion with traditional data sources and integration into the TDM process impacted by the</w:t>
      </w:r>
      <w:r w:rsidR="00441758" w:rsidRPr="006B756E">
        <w:t xml:space="preserve"> types of information (individual-level sociodemographics, </w:t>
      </w:r>
      <w:r w:rsidR="00441758" w:rsidRPr="006B756E">
        <w:rPr>
          <w:i/>
        </w:rPr>
        <w:t>identifiers</w:t>
      </w:r>
      <w:r w:rsidR="00441758" w:rsidRPr="006B756E">
        <w:t xml:space="preserve">, trip paths/purpose information, transportation systems) </w:t>
      </w:r>
      <w:r w:rsidR="00441758">
        <w:t>contained (or lacked) by</w:t>
      </w:r>
      <w:r w:rsidR="00441758" w:rsidRPr="006B756E">
        <w:t xml:space="preserve"> ICT data</w:t>
      </w:r>
      <w:r w:rsidR="00441758">
        <w:t>?</w:t>
      </w:r>
      <w:r w:rsidR="00441758" w:rsidRPr="006B756E">
        <w:t xml:space="preserve"> </w:t>
      </w:r>
      <w:r>
        <w:t>To be sure, t</w:t>
      </w:r>
      <w:r w:rsidR="00441758" w:rsidRPr="006B756E">
        <w:t xml:space="preserve">he integration of </w:t>
      </w:r>
      <w:r w:rsidR="00441758">
        <w:t>ICT data</w:t>
      </w:r>
      <w:r w:rsidR="00441758" w:rsidRPr="006B756E">
        <w:t xml:space="preserve"> </w:t>
      </w:r>
      <w:r w:rsidR="00441758" w:rsidRPr="006B756E">
        <w:lastRenderedPageBreak/>
        <w:t xml:space="preserve">sources </w:t>
      </w:r>
      <w:r w:rsidR="00441758">
        <w:t xml:space="preserve">into TDM processes </w:t>
      </w:r>
      <w:r w:rsidR="00441758" w:rsidRPr="006B756E">
        <w:t xml:space="preserve">depends on factors </w:t>
      </w:r>
      <w:r w:rsidR="00441758">
        <w:t>such as</w:t>
      </w:r>
      <w:r w:rsidR="00441758" w:rsidRPr="006B756E">
        <w:t xml:space="preserve"> the frequency of data collection, the format of data collection, and the information </w:t>
      </w:r>
      <w:r w:rsidR="00441758">
        <w:t xml:space="preserve">content </w:t>
      </w:r>
      <w:r w:rsidR="00441758" w:rsidRPr="006B756E">
        <w:t xml:space="preserve">captured. Another important consideration </w:t>
      </w:r>
      <w:r w:rsidR="00441758">
        <w:t xml:space="preserve">for integrating ICT data in TDM processes </w:t>
      </w:r>
      <w:r w:rsidR="00441758" w:rsidRPr="006B756E">
        <w:t xml:space="preserve">is the data content, or the </w:t>
      </w:r>
      <w:r w:rsidR="00441758">
        <w:t xml:space="preserve">range </w:t>
      </w:r>
      <w:r w:rsidR="00441758" w:rsidRPr="006B756E">
        <w:t xml:space="preserve">of information available from the </w:t>
      </w:r>
      <w:r w:rsidR="00441758">
        <w:t xml:space="preserve">ICT </w:t>
      </w:r>
      <w:r w:rsidR="00441758" w:rsidRPr="006B756E">
        <w:t>source</w:t>
      </w:r>
      <w:r w:rsidR="00441758">
        <w:t xml:space="preserve">, </w:t>
      </w:r>
      <w:r w:rsidR="00441758" w:rsidRPr="006B756E">
        <w:t xml:space="preserve">and </w:t>
      </w:r>
      <w:r w:rsidR="00441758">
        <w:t>whether the ICT source provides information on the movement of individual travelers or on an aggregation of the movement of individual travelers.</w:t>
      </w:r>
      <w:r w:rsidR="00441758" w:rsidRPr="006B756E">
        <w:t xml:space="preserve"> </w:t>
      </w:r>
    </w:p>
    <w:p w14:paraId="1D348EEE" w14:textId="77777777" w:rsidR="001161B4" w:rsidRDefault="005B7C60" w:rsidP="009E5489">
      <w:pPr>
        <w:spacing w:after="0" w:line="240" w:lineRule="auto"/>
        <w:ind w:firstLine="720"/>
      </w:pPr>
      <w:r w:rsidRPr="008F230A">
        <w:t xml:space="preserve">This </w:t>
      </w:r>
      <w:r w:rsidR="004E16F4">
        <w:t>study</w:t>
      </w:r>
      <w:r w:rsidRPr="008F230A">
        <w:t xml:space="preserve"> will focus </w:t>
      </w:r>
      <w:r w:rsidR="00FE1A2F" w:rsidRPr="008F230A">
        <w:t>first on</w:t>
      </w:r>
      <w:r w:rsidRPr="008F230A">
        <w:t xml:space="preserve"> categorizing evolving ICT-based methods for collecting data</w:t>
      </w:r>
      <w:r w:rsidR="00FE1A2F" w:rsidRPr="008F230A">
        <w:t xml:space="preserve"> into </w:t>
      </w:r>
      <w:r w:rsidR="004E16F4">
        <w:t>six</w:t>
      </w:r>
      <w:r w:rsidR="00FE1A2F" w:rsidRPr="008F230A">
        <w:t xml:space="preserve"> distinct classes</w:t>
      </w:r>
      <w:r w:rsidRPr="008F230A">
        <w:t>.</w:t>
      </w:r>
      <w:r w:rsidR="00FE1A2F" w:rsidRPr="008F230A">
        <w:t xml:space="preserve"> Next, a strategy to deduce the context, content, and unit level of each ICT data source will be presented and discussed. Third, four fusion methods </w:t>
      </w:r>
      <w:r w:rsidR="00B04EE3" w:rsidRPr="008F230A">
        <w:t>are proposed</w:t>
      </w:r>
      <w:r w:rsidR="00FE1A2F" w:rsidRPr="008F230A">
        <w:t xml:space="preserve"> on how to best integrate ICT data source with TDSs for TDM purposes. </w:t>
      </w:r>
      <w:r w:rsidR="008F230A" w:rsidRPr="008F230A">
        <w:t xml:space="preserve">Fourth, </w:t>
      </w:r>
      <w:r w:rsidR="008F230A">
        <w:t>a</w:t>
      </w:r>
      <w:r w:rsidR="004E16F4">
        <w:t>n</w:t>
      </w:r>
      <w:r w:rsidR="008F230A">
        <w:t xml:space="preserve"> integration framework is proposed to help map every ICT data source to the appropriate fusion strategy. </w:t>
      </w:r>
      <w:r w:rsidR="00FE1A2F" w:rsidRPr="008F230A">
        <w:t>The study will conclude with an assessment of the framework and each fusion method.</w:t>
      </w:r>
    </w:p>
    <w:p w14:paraId="7CC254EC" w14:textId="29CC49B6" w:rsidR="009A728B" w:rsidRPr="008F230A" w:rsidRDefault="00FE1A2F" w:rsidP="009E5489">
      <w:pPr>
        <w:spacing w:after="0" w:line="240" w:lineRule="auto"/>
        <w:ind w:firstLine="720"/>
      </w:pPr>
      <w:r w:rsidRPr="008F230A">
        <w:t xml:space="preserve"> </w:t>
      </w:r>
    </w:p>
    <w:p w14:paraId="34183425" w14:textId="1FBE117C" w:rsidR="00441758" w:rsidRPr="00916EBB" w:rsidRDefault="00EB0319" w:rsidP="009E5489">
      <w:pPr>
        <w:pStyle w:val="Heading1"/>
        <w:numPr>
          <w:ilvl w:val="0"/>
          <w:numId w:val="28"/>
        </w:numPr>
        <w:spacing w:before="0" w:line="240" w:lineRule="auto"/>
      </w:pPr>
      <w:r>
        <w:t>Framework Development and Assessment</w:t>
      </w:r>
    </w:p>
    <w:p w14:paraId="0F2A7BFB" w14:textId="77777777" w:rsidR="00441758" w:rsidRPr="00916EBB" w:rsidRDefault="00441758" w:rsidP="009E5489">
      <w:pPr>
        <w:pStyle w:val="Heading2"/>
        <w:numPr>
          <w:ilvl w:val="1"/>
          <w:numId w:val="28"/>
        </w:numPr>
        <w:spacing w:before="0" w:line="240" w:lineRule="auto"/>
        <w:ind w:left="450"/>
      </w:pPr>
      <w:bookmarkStart w:id="1" w:name="_Toc119831047"/>
      <w:r w:rsidRPr="00916EBB">
        <w:t>Classes of ICT Data Sources</w:t>
      </w:r>
      <w:bookmarkEnd w:id="1"/>
    </w:p>
    <w:p w14:paraId="6BE2F3D1" w14:textId="7CE38283" w:rsidR="00441758" w:rsidRPr="006B756E" w:rsidRDefault="00441758" w:rsidP="009E5489">
      <w:pPr>
        <w:pStyle w:val="ctrbulletedlist"/>
        <w:numPr>
          <w:ilvl w:val="0"/>
          <w:numId w:val="0"/>
        </w:numPr>
        <w:spacing w:after="0" w:line="240" w:lineRule="auto"/>
        <w:jc w:val="both"/>
      </w:pPr>
      <w:r w:rsidRPr="006B756E">
        <w:t xml:space="preserve">Technological advancements in the past decade have made possible the passive and large-scale collection of travel data using portable devices. ICTs provide a new and easier way to passively access data at the individual, vehicle, and regional levels, allowing analysis to shift from a vehicle-level scale to a much finer human-level mobility pattern scale. </w:t>
      </w:r>
      <w:r w:rsidR="003E7500">
        <w:t xml:space="preserve">In the initial steps of developing the fusion framework, we first had to identify and assess the </w:t>
      </w:r>
      <w:r w:rsidRPr="006B756E">
        <w:t xml:space="preserve">numerous classes of available ICT data sources that other planning, transportation, and research organizations and agencies across the world have begun to use. </w:t>
      </w:r>
      <w:r w:rsidR="003E7500">
        <w:t>We performed a thorough review of nearly 40 ICT sources on metrics such as data content (</w:t>
      </w:r>
      <w:r w:rsidR="003E7500" w:rsidRPr="005F1E08">
        <w:t>demographic/geospatial/both</w:t>
      </w:r>
      <w:r w:rsidR="003E7500">
        <w:t xml:space="preserve">), frequency of collection </w:t>
      </w:r>
      <w:r w:rsidR="003E7500" w:rsidRPr="005F1E08">
        <w:t>(one</w:t>
      </w:r>
      <w:r w:rsidR="003E7500">
        <w:t xml:space="preserve"> t</w:t>
      </w:r>
      <w:r w:rsidR="003E7500" w:rsidRPr="005F1E08">
        <w:t>ime/constant)</w:t>
      </w:r>
      <w:r w:rsidR="003E7500">
        <w:t xml:space="preserve">, </w:t>
      </w:r>
      <w:r w:rsidR="003E7500" w:rsidRPr="005F1E08">
        <w:t>availability of trip information (</w:t>
      </w:r>
      <w:r w:rsidR="003D100B">
        <w:t>such as activity</w:t>
      </w:r>
      <w:r w:rsidR="00691108">
        <w:t xml:space="preserve"> </w:t>
      </w:r>
      <w:r w:rsidR="003E7500" w:rsidRPr="005F1E08">
        <w:t>purpose</w:t>
      </w:r>
      <w:r w:rsidR="003D100B">
        <w:t xml:space="preserve">, and trip </w:t>
      </w:r>
      <w:r w:rsidR="003E7500" w:rsidRPr="005F1E08">
        <w:t>mode choice)</w:t>
      </w:r>
      <w:r w:rsidR="003E7500">
        <w:t xml:space="preserve">, </w:t>
      </w:r>
      <w:r w:rsidR="003E7500" w:rsidRPr="005F1E08">
        <w:t>accessibility of data (open source/private collection format/must buy)</w:t>
      </w:r>
      <w:r w:rsidR="003E7500">
        <w:t>, collection method, completeness of data, accuracy of geo-spatial information, quality of collection,</w:t>
      </w:r>
      <w:r w:rsidR="00916EBB">
        <w:t xml:space="preserve"> </w:t>
      </w:r>
      <w:r w:rsidR="003E7500">
        <w:t xml:space="preserve">and representation of population. While </w:t>
      </w:r>
      <w:r w:rsidR="004E16F4">
        <w:t xml:space="preserve">the review is </w:t>
      </w:r>
      <w:r w:rsidR="003E7500">
        <w:t xml:space="preserve">not presented in the current manuscript, we were able to identify significant commonalities </w:t>
      </w:r>
      <w:r w:rsidR="004E16F4">
        <w:t>across all</w:t>
      </w:r>
      <w:r w:rsidR="003E7500">
        <w:t xml:space="preserve"> data source</w:t>
      </w:r>
      <w:r w:rsidR="004E16F4">
        <w:t>s</w:t>
      </w:r>
      <w:r w:rsidR="003E7500">
        <w:t>, which led us to the identification of six</w:t>
      </w:r>
      <w:r w:rsidRPr="006B756E">
        <w:t xml:space="preserve"> common classes</w:t>
      </w:r>
      <w:r w:rsidR="003E7500">
        <w:t>,</w:t>
      </w:r>
      <w:r w:rsidRPr="006B756E">
        <w:t xml:space="preserve"> includ</w:t>
      </w:r>
      <w:r w:rsidR="003E7500">
        <w:t>ing</w:t>
      </w:r>
      <w:r w:rsidRPr="006B756E">
        <w:t>:</w:t>
      </w:r>
    </w:p>
    <w:p w14:paraId="7CB09C7F" w14:textId="77777777" w:rsidR="00441758" w:rsidRPr="00273153" w:rsidRDefault="00441758" w:rsidP="009E5489">
      <w:pPr>
        <w:pStyle w:val="ctrbulletedlist"/>
        <w:spacing w:after="40" w:line="240" w:lineRule="auto"/>
        <w:jc w:val="both"/>
      </w:pPr>
      <w:bookmarkStart w:id="2" w:name="_Hlk126146321"/>
      <w:r w:rsidRPr="00273153">
        <w:t>Social media data (e.g., online platforms such as Twitter, Facebook, and Instagram)</w:t>
      </w:r>
    </w:p>
    <w:p w14:paraId="1E70B2D8" w14:textId="77777777" w:rsidR="00441758" w:rsidRPr="00273153" w:rsidRDefault="00441758" w:rsidP="009E5489">
      <w:pPr>
        <w:pStyle w:val="ctrbulletedlist"/>
        <w:spacing w:after="40" w:line="240" w:lineRule="auto"/>
        <w:jc w:val="both"/>
      </w:pPr>
      <w:r w:rsidRPr="00273153">
        <w:t>Vehicle data (e.g., connected or probe-based vehicle information, such as that used to develop Wejo’s datasets, or taxi-only trip records)</w:t>
      </w:r>
    </w:p>
    <w:p w14:paraId="6489C1F0" w14:textId="77777777" w:rsidR="00441758" w:rsidRPr="00273153" w:rsidRDefault="00441758" w:rsidP="009E5489">
      <w:pPr>
        <w:pStyle w:val="ctrbulletedlist"/>
        <w:spacing w:after="40" w:line="240" w:lineRule="auto"/>
        <w:jc w:val="both"/>
      </w:pPr>
      <w:r w:rsidRPr="00273153">
        <w:t>Mobile phone records</w:t>
      </w:r>
    </w:p>
    <w:p w14:paraId="13E1FA3E" w14:textId="77777777" w:rsidR="00441758" w:rsidRPr="00273153" w:rsidRDefault="00441758" w:rsidP="009E5489">
      <w:pPr>
        <w:pStyle w:val="ctrbulletedlist"/>
        <w:spacing w:after="40" w:line="240" w:lineRule="auto"/>
        <w:jc w:val="both"/>
      </w:pPr>
      <w:r w:rsidRPr="00273153">
        <w:t>Apps (e.g., user-based apps such as Uber, Strava, Waze, and various travel diary apps)</w:t>
      </w:r>
    </w:p>
    <w:p w14:paraId="5F49DF22" w14:textId="77777777" w:rsidR="00441758" w:rsidRPr="00273153" w:rsidRDefault="00441758" w:rsidP="009E5489">
      <w:pPr>
        <w:pStyle w:val="ctrbulletedlist"/>
        <w:spacing w:after="40" w:line="240" w:lineRule="auto"/>
        <w:jc w:val="both"/>
      </w:pPr>
      <w:r w:rsidRPr="00273153">
        <w:t>Smart card transactions (e.g., bus and other public transportation user passes)</w:t>
      </w:r>
    </w:p>
    <w:p w14:paraId="3002078D" w14:textId="77777777" w:rsidR="00441758" w:rsidRPr="00273153" w:rsidRDefault="00441758" w:rsidP="009E5489">
      <w:pPr>
        <w:pStyle w:val="ctrbulletedlist"/>
        <w:spacing w:after="40" w:line="240" w:lineRule="auto"/>
        <w:jc w:val="both"/>
      </w:pPr>
      <w:r w:rsidRPr="00273153">
        <w:t>Origin-destination pre-aggregated data (e.g., from StreetLight or Inrix)</w:t>
      </w:r>
    </w:p>
    <w:bookmarkEnd w:id="2"/>
    <w:p w14:paraId="39522302" w14:textId="432385BB" w:rsidR="008F230A" w:rsidRDefault="00441758" w:rsidP="009E5489">
      <w:pPr>
        <w:pStyle w:val="ctrbodytext"/>
        <w:spacing w:after="0" w:line="240" w:lineRule="auto"/>
        <w:jc w:val="both"/>
      </w:pPr>
      <w:r w:rsidRPr="006B756E">
        <w:t xml:space="preserve">Each of these ICT source classes provide differently formatted geospatial information about an activity, event, or trip and can be used in different ways when converted, translated, and integrated with traditional </w:t>
      </w:r>
      <w:r w:rsidRPr="00273153">
        <w:t>data</w:t>
      </w:r>
      <w:r w:rsidRPr="006B756E">
        <w:t xml:space="preserve"> sources. ICT Class-specific integration methods will be discussed with the integration framework in later sections of this </w:t>
      </w:r>
      <w:r w:rsidR="00916EBB">
        <w:t>study</w:t>
      </w:r>
      <w:r w:rsidRPr="006B756E">
        <w:t>.</w:t>
      </w:r>
    </w:p>
    <w:p w14:paraId="44CE2502" w14:textId="77777777" w:rsidR="008F230A" w:rsidRDefault="008F230A" w:rsidP="009E5489">
      <w:pPr>
        <w:pStyle w:val="ctrbodytext"/>
        <w:spacing w:after="0" w:line="240" w:lineRule="auto"/>
        <w:jc w:val="both"/>
      </w:pPr>
    </w:p>
    <w:p w14:paraId="4D37B4F2" w14:textId="77777777" w:rsidR="00916EBB" w:rsidRPr="00916EBB" w:rsidRDefault="00916EBB" w:rsidP="009E5489">
      <w:pPr>
        <w:pStyle w:val="Heading2"/>
        <w:numPr>
          <w:ilvl w:val="1"/>
          <w:numId w:val="28"/>
        </w:numPr>
        <w:spacing w:before="0" w:line="240" w:lineRule="auto"/>
        <w:ind w:left="450"/>
      </w:pPr>
      <w:bookmarkStart w:id="3" w:name="_Toc119831048"/>
      <w:r w:rsidRPr="00916EBB">
        <w:t>Types of Information Available in ICT Data</w:t>
      </w:r>
      <w:bookmarkEnd w:id="3"/>
    </w:p>
    <w:p w14:paraId="1F09C2E8" w14:textId="2231EEE2" w:rsidR="00916EBB" w:rsidRDefault="00916EBB" w:rsidP="009E5489">
      <w:pPr>
        <w:pStyle w:val="ctrbodytext"/>
        <w:spacing w:after="120" w:line="240" w:lineRule="auto"/>
        <w:jc w:val="both"/>
      </w:pPr>
      <w:r w:rsidRPr="006B756E">
        <w:t xml:space="preserve">ICT </w:t>
      </w:r>
      <w:r>
        <w:t xml:space="preserve">data can be </w:t>
      </w:r>
      <w:r w:rsidRPr="006B756E">
        <w:t xml:space="preserve">useful to modelers because </w:t>
      </w:r>
      <w:r>
        <w:t xml:space="preserve">of the </w:t>
      </w:r>
      <w:r w:rsidRPr="006B756E">
        <w:t>passive</w:t>
      </w:r>
      <w:r>
        <w:t xml:space="preserve"> nature of data collection, which makes it non-intensive from a human resource perspective</w:t>
      </w:r>
      <w:r w:rsidRPr="006B756E">
        <w:t>. Most ICT data used for TDM contain volum</w:t>
      </w:r>
      <w:r>
        <w:t xml:space="preserve">inous </w:t>
      </w:r>
      <w:r w:rsidRPr="006B756E">
        <w:t>human-level activity travel</w:t>
      </w:r>
      <w:r>
        <w:t xml:space="preserve"> data</w:t>
      </w:r>
      <w:r w:rsidRPr="006B756E">
        <w:t xml:space="preserve">, covering a wide range of </w:t>
      </w:r>
      <w:r>
        <w:t>travel dimensions over</w:t>
      </w:r>
      <w:r w:rsidRPr="006B756E">
        <w:t xml:space="preserve"> </w:t>
      </w:r>
      <w:r>
        <w:t xml:space="preserve">extended </w:t>
      </w:r>
      <w:r w:rsidRPr="006B756E">
        <w:t>time period</w:t>
      </w:r>
      <w:r>
        <w:t>s</w:t>
      </w:r>
      <w:r w:rsidRPr="006B756E">
        <w:t xml:space="preserve">. </w:t>
      </w:r>
      <w:r>
        <w:t>But t</w:t>
      </w:r>
      <w:r w:rsidRPr="006B756E">
        <w:t xml:space="preserve">he information </w:t>
      </w:r>
      <w:r>
        <w:t xml:space="preserve">content </w:t>
      </w:r>
      <w:r w:rsidRPr="006B756E">
        <w:t xml:space="preserve">provided by different types of ICT data sources </w:t>
      </w:r>
      <w:r>
        <w:lastRenderedPageBreak/>
        <w:t xml:space="preserve">can </w:t>
      </w:r>
      <w:r w:rsidRPr="006B756E">
        <w:t>var</w:t>
      </w:r>
      <w:r>
        <w:t>y</w:t>
      </w:r>
      <w:r w:rsidRPr="006B756E">
        <w:t xml:space="preserve"> considerably. In the </w:t>
      </w:r>
      <w:r>
        <w:t xml:space="preserve">next few </w:t>
      </w:r>
      <w:r w:rsidR="004E16F4">
        <w:t>sub</w:t>
      </w:r>
      <w:r>
        <w:t>sections, we discuss the content of ICT data sources based on a cascading three-level structure of main context, additional content, and information unit level of data</w:t>
      </w:r>
      <w:r w:rsidR="004E16F4">
        <w:t>, of which can be visualized in Figure 1</w:t>
      </w:r>
      <w:r>
        <w:t>.</w:t>
      </w:r>
    </w:p>
    <w:p w14:paraId="2C368364" w14:textId="77777777" w:rsidR="00916EBB" w:rsidRDefault="00916EBB" w:rsidP="009E5489">
      <w:pPr>
        <w:pStyle w:val="ctrbody"/>
        <w:spacing w:after="0" w:line="240" w:lineRule="auto"/>
        <w:jc w:val="center"/>
      </w:pPr>
      <w:r>
        <w:rPr>
          <w:noProof/>
        </w:rPr>
        <w:drawing>
          <wp:inline distT="0" distB="0" distL="0" distR="0" wp14:anchorId="48AE79D6" wp14:editId="13152005">
            <wp:extent cx="4762500" cy="3700304"/>
            <wp:effectExtent l="19050" t="19050" r="19050" b="14605"/>
            <wp:docPr id="8" name="Picture 8" descr="An arrow leading from &quot;Main Context&quot; and its subcategories (which are described in the body of the report below) into &quot;Additional Content and its subcategories, which then points into &quot;Information Unit Level&quot; and its subcategories, also explain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9930" cy="3721616"/>
                    </a:xfrm>
                    <a:prstGeom prst="rect">
                      <a:avLst/>
                    </a:prstGeom>
                    <a:noFill/>
                    <a:ln w="12700">
                      <a:solidFill>
                        <a:schemeClr val="tx1"/>
                      </a:solidFill>
                    </a:ln>
                  </pic:spPr>
                </pic:pic>
              </a:graphicData>
            </a:graphic>
          </wp:inline>
        </w:drawing>
      </w:r>
    </w:p>
    <w:p w14:paraId="425B6E97" w14:textId="60275A95" w:rsidR="00916EBB" w:rsidRDefault="00916EBB" w:rsidP="009E5489">
      <w:pPr>
        <w:pStyle w:val="ctrfigurecaption"/>
        <w:spacing w:before="0" w:after="0"/>
        <w:rPr>
          <w:rFonts w:ascii="Times New Roman" w:hAnsi="Times New Roman" w:cs="Times New Roman"/>
          <w:b/>
          <w:bCs w:val="0"/>
          <w:i w:val="0"/>
          <w:iCs/>
          <w:sz w:val="24"/>
          <w:szCs w:val="24"/>
        </w:rPr>
      </w:pPr>
      <w:bookmarkStart w:id="4" w:name="_Toc119830949"/>
      <w:r w:rsidRPr="00916EBB">
        <w:rPr>
          <w:rFonts w:ascii="Times New Roman" w:hAnsi="Times New Roman" w:cs="Times New Roman"/>
          <w:b/>
          <w:bCs w:val="0"/>
          <w:i w:val="0"/>
          <w:iCs/>
          <w:sz w:val="24"/>
          <w:szCs w:val="24"/>
        </w:rPr>
        <w:t xml:space="preserve">Figure </w:t>
      </w:r>
      <w:r w:rsidR="004E16F4">
        <w:rPr>
          <w:rFonts w:ascii="Times New Roman" w:hAnsi="Times New Roman" w:cs="Times New Roman"/>
          <w:b/>
          <w:bCs w:val="0"/>
          <w:i w:val="0"/>
          <w:iCs/>
          <w:sz w:val="24"/>
          <w:szCs w:val="24"/>
        </w:rPr>
        <w:t>1</w:t>
      </w:r>
      <w:r w:rsidRPr="00916EBB">
        <w:rPr>
          <w:rFonts w:ascii="Times New Roman" w:hAnsi="Times New Roman" w:cs="Times New Roman"/>
          <w:b/>
          <w:bCs w:val="0"/>
          <w:i w:val="0"/>
          <w:iCs/>
          <w:sz w:val="24"/>
          <w:szCs w:val="24"/>
        </w:rPr>
        <w:t xml:space="preserve"> ICT Data–Type Categorization</w:t>
      </w:r>
      <w:bookmarkEnd w:id="4"/>
    </w:p>
    <w:p w14:paraId="4C581D65" w14:textId="77777777" w:rsidR="00850CBB" w:rsidRPr="00916EBB" w:rsidRDefault="00850CBB" w:rsidP="009E5489">
      <w:pPr>
        <w:pStyle w:val="ctrfigurecaption"/>
        <w:spacing w:after="0"/>
        <w:jc w:val="left"/>
        <w:rPr>
          <w:rFonts w:ascii="Times New Roman" w:hAnsi="Times New Roman" w:cs="Times New Roman"/>
          <w:b/>
          <w:bCs w:val="0"/>
          <w:i w:val="0"/>
          <w:iCs/>
          <w:sz w:val="24"/>
          <w:szCs w:val="24"/>
        </w:rPr>
      </w:pPr>
    </w:p>
    <w:p w14:paraId="75F44BD9" w14:textId="77777777" w:rsidR="00916EBB" w:rsidRPr="00916EBB" w:rsidRDefault="00916EBB" w:rsidP="009E5489">
      <w:pPr>
        <w:pStyle w:val="Heading3"/>
        <w:numPr>
          <w:ilvl w:val="2"/>
          <w:numId w:val="28"/>
        </w:numPr>
        <w:spacing w:before="0" w:line="240" w:lineRule="auto"/>
        <w:ind w:left="540"/>
      </w:pPr>
      <w:bookmarkStart w:id="5" w:name="_Toc119831049"/>
      <w:r w:rsidRPr="00916EBB">
        <w:t>Main Context</w:t>
      </w:r>
      <w:bookmarkEnd w:id="5"/>
    </w:p>
    <w:p w14:paraId="380ECDC7" w14:textId="2624DB93" w:rsidR="00916EBB" w:rsidRPr="006B756E" w:rsidRDefault="00916EBB" w:rsidP="009E5489">
      <w:pPr>
        <w:pStyle w:val="ctrbodytext"/>
        <w:spacing w:after="0" w:line="240" w:lineRule="auto"/>
        <w:jc w:val="both"/>
        <w:rPr>
          <w:u w:val="single"/>
        </w:rPr>
      </w:pPr>
      <w:r>
        <w:t>The “Main C</w:t>
      </w:r>
      <w:r w:rsidRPr="006B756E">
        <w:t>ontext</w:t>
      </w:r>
      <w:r>
        <w:t>”</w:t>
      </w:r>
      <w:r w:rsidRPr="006B756E">
        <w:t xml:space="preserve"> and its subcategories </w:t>
      </w:r>
      <w:r>
        <w:t xml:space="preserve">(see left side of Figure 1) relate to </w:t>
      </w:r>
      <w:r w:rsidRPr="006B756E">
        <w:t>descri</w:t>
      </w:r>
      <w:r>
        <w:t xml:space="preserve">ptors of </w:t>
      </w:r>
      <w:r w:rsidRPr="006B756E">
        <w:t xml:space="preserve">the trip and activity data </w:t>
      </w:r>
      <w:r>
        <w:t xml:space="preserve">collected </w:t>
      </w:r>
      <w:r w:rsidRPr="006B756E">
        <w:t>in</w:t>
      </w:r>
      <w:r>
        <w:t xml:space="preserve"> </w:t>
      </w:r>
      <w:r w:rsidRPr="006B756E">
        <w:t xml:space="preserve">ICT datasets. </w:t>
      </w:r>
    </w:p>
    <w:p w14:paraId="2AF90E35" w14:textId="7261EC3C" w:rsidR="00916EBB" w:rsidRPr="00273153" w:rsidRDefault="00916EBB" w:rsidP="009E5489">
      <w:pPr>
        <w:pStyle w:val="ctrbulletedlist"/>
        <w:spacing w:after="40" w:line="240" w:lineRule="auto"/>
      </w:pPr>
      <w:r w:rsidRPr="00056E87">
        <w:t>Purpose:</w:t>
      </w:r>
      <w:r w:rsidRPr="006B756E">
        <w:t xml:space="preserve"> The </w:t>
      </w:r>
      <w:r w:rsidRPr="00273153">
        <w:t>trip purpose, which can be broadly classified as home-based work, home-based non-work, or non-home-based</w:t>
      </w:r>
      <w:r w:rsidR="00691108">
        <w:t>, or more disaggregate by destination activity purpose.</w:t>
      </w:r>
    </w:p>
    <w:p w14:paraId="2FA2C299" w14:textId="77777777" w:rsidR="00916EBB" w:rsidRPr="00273153" w:rsidRDefault="00916EBB" w:rsidP="009E5489">
      <w:pPr>
        <w:pStyle w:val="ctrbulletedlist"/>
        <w:spacing w:after="40" w:line="240" w:lineRule="auto"/>
      </w:pPr>
      <w:r w:rsidRPr="00273153">
        <w:t xml:space="preserve">Mode: The mode of the trip, which can be car, bike, walk, bus, or other public transport. </w:t>
      </w:r>
    </w:p>
    <w:p w14:paraId="12103C08" w14:textId="77777777" w:rsidR="00916EBB" w:rsidRPr="00273153" w:rsidRDefault="00916EBB" w:rsidP="009E5489">
      <w:pPr>
        <w:pStyle w:val="ctrbulletedlist"/>
        <w:spacing w:after="40" w:line="240" w:lineRule="auto"/>
      </w:pPr>
      <w:r w:rsidRPr="00273153">
        <w:t>Location: The location (generally, the geospatial coordinates) of the origin, destination, or whole trip (tracked continuously).</w:t>
      </w:r>
    </w:p>
    <w:p w14:paraId="13DBA738" w14:textId="77777777" w:rsidR="00916EBB" w:rsidRPr="006B756E" w:rsidRDefault="00916EBB" w:rsidP="009E5489">
      <w:pPr>
        <w:pStyle w:val="ctrbulletedlist"/>
        <w:spacing w:after="40" w:line="240" w:lineRule="auto"/>
      </w:pPr>
      <w:r w:rsidRPr="00273153">
        <w:t>Timing: The start time and end time of the trip</w:t>
      </w:r>
      <w:r w:rsidRPr="006B756E">
        <w:t>.</w:t>
      </w:r>
    </w:p>
    <w:p w14:paraId="6CAADE8A" w14:textId="133C4A87" w:rsidR="00916EBB" w:rsidRDefault="00916EBB" w:rsidP="009E5489">
      <w:pPr>
        <w:pStyle w:val="ctrbodytext"/>
        <w:spacing w:after="0" w:line="240" w:lineRule="auto"/>
        <w:jc w:val="both"/>
      </w:pPr>
      <w:r>
        <w:t>A</w:t>
      </w:r>
      <w:r w:rsidRPr="006B756E">
        <w:t>n ICT dataset</w:t>
      </w:r>
      <w:r>
        <w:t>, in general,</w:t>
      </w:r>
      <w:r w:rsidRPr="006B756E">
        <w:t xml:space="preserve"> </w:t>
      </w:r>
      <w:r>
        <w:t xml:space="preserve">will </w:t>
      </w:r>
      <w:r w:rsidRPr="006B756E">
        <w:t xml:space="preserve">not contain </w:t>
      </w:r>
      <w:r>
        <w:t xml:space="preserve">all </w:t>
      </w:r>
      <w:r w:rsidRPr="006B756E">
        <w:t xml:space="preserve">of these </w:t>
      </w:r>
      <w:r>
        <w:t xml:space="preserve">main </w:t>
      </w:r>
      <w:r w:rsidRPr="006B756E">
        <w:t>contexts</w:t>
      </w:r>
      <w:r>
        <w:t xml:space="preserve">. But almost all </w:t>
      </w:r>
      <w:r w:rsidRPr="006B756E">
        <w:t>ICT sources include</w:t>
      </w:r>
      <w:r>
        <w:t>,</w:t>
      </w:r>
      <w:r w:rsidRPr="006B756E">
        <w:t xml:space="preserve"> at a minimum</w:t>
      </w:r>
      <w:r>
        <w:t>,</w:t>
      </w:r>
      <w:r w:rsidRPr="006B756E">
        <w:t xml:space="preserve"> </w:t>
      </w:r>
      <w:r w:rsidR="004E16F4">
        <w:t>l</w:t>
      </w:r>
      <w:r w:rsidRPr="006B756E">
        <w:t>ocation information, i.e., the geospatial qualifier of an activity/trip/event</w:t>
      </w:r>
      <w:r>
        <w:t>.</w:t>
      </w:r>
      <w:r w:rsidRPr="006B756E">
        <w:t xml:space="preserve"> </w:t>
      </w:r>
      <w:r>
        <w:t>Unfortunately, for many ICT sources, it can be difficult to gather data beyond location and basic timing information. F</w:t>
      </w:r>
      <w:r w:rsidRPr="006B756E">
        <w:t xml:space="preserve">or example, Twitter data (e.g., Tweets about a concert that may be the leading cause </w:t>
      </w:r>
      <w:r>
        <w:t xml:space="preserve">for </w:t>
      </w:r>
      <w:r w:rsidRPr="006B756E">
        <w:t xml:space="preserve">a traffic delay) can be quickly mined for any activity in a specific geographic location at a given time, but determining what the event was and what types of </w:t>
      </w:r>
      <w:r w:rsidR="00850CBB" w:rsidRPr="006B756E">
        <w:t>p</w:t>
      </w:r>
      <w:r w:rsidR="00850CBB">
        <w:t>eo</w:t>
      </w:r>
      <w:r w:rsidR="00850CBB" w:rsidRPr="006B756E">
        <w:t>ple</w:t>
      </w:r>
      <w:r w:rsidRPr="006B756E">
        <w:t xml:space="preserve"> were there (</w:t>
      </w:r>
      <w:r w:rsidR="004E16F4">
        <w:t>p</w:t>
      </w:r>
      <w:r w:rsidRPr="006B756E">
        <w:t>urpose), or how they got there (</w:t>
      </w:r>
      <w:r w:rsidR="004E16F4">
        <w:t>m</w:t>
      </w:r>
      <w:r w:rsidRPr="006B756E">
        <w:t xml:space="preserve">ode), and “linking” this with the easily obtained </w:t>
      </w:r>
      <w:r w:rsidR="004E16F4">
        <w:t>l</w:t>
      </w:r>
      <w:r w:rsidRPr="006B756E">
        <w:t xml:space="preserve">ocation and </w:t>
      </w:r>
      <w:r w:rsidR="004E16F4">
        <w:t>t</w:t>
      </w:r>
      <w:r w:rsidRPr="006B756E">
        <w:t xml:space="preserve">iming contextual information is more difficult and time-consuming. </w:t>
      </w:r>
    </w:p>
    <w:p w14:paraId="3A40C530" w14:textId="77777777" w:rsidR="008F230A" w:rsidRDefault="008F230A" w:rsidP="009E5489">
      <w:pPr>
        <w:pStyle w:val="ctrbodytext"/>
        <w:spacing w:after="0" w:line="240" w:lineRule="auto"/>
        <w:jc w:val="both"/>
      </w:pPr>
    </w:p>
    <w:p w14:paraId="7228541C" w14:textId="77777777" w:rsidR="00916EBB" w:rsidRPr="006B756E" w:rsidRDefault="00916EBB" w:rsidP="009E5489">
      <w:pPr>
        <w:pStyle w:val="Heading3"/>
        <w:numPr>
          <w:ilvl w:val="2"/>
          <w:numId w:val="28"/>
        </w:numPr>
        <w:spacing w:before="0" w:line="240" w:lineRule="auto"/>
        <w:ind w:left="540"/>
      </w:pPr>
      <w:bookmarkStart w:id="6" w:name="_Toc119831050"/>
      <w:r>
        <w:lastRenderedPageBreak/>
        <w:t>Additional</w:t>
      </w:r>
      <w:r w:rsidRPr="006B756E">
        <w:t xml:space="preserve"> </w:t>
      </w:r>
      <w:r w:rsidRPr="004A49B6">
        <w:t>Content</w:t>
      </w:r>
      <w:bookmarkEnd w:id="6"/>
    </w:p>
    <w:p w14:paraId="102F994E" w14:textId="5E7C4B2E" w:rsidR="00916EBB" w:rsidRDefault="00916EBB" w:rsidP="009E5489">
      <w:pPr>
        <w:pStyle w:val="ctrbodytext"/>
        <w:spacing w:after="0" w:line="240" w:lineRule="auto"/>
      </w:pPr>
      <w:r w:rsidRPr="006B756E">
        <w:t>The second column of Figure 1 shows the “A</w:t>
      </w:r>
      <w:r>
        <w:t>dditional</w:t>
      </w:r>
      <w:r w:rsidRPr="006B756E">
        <w:t xml:space="preserve"> Content” </w:t>
      </w:r>
      <w:r>
        <w:t>that some</w:t>
      </w:r>
      <w:r w:rsidRPr="006B756E">
        <w:t xml:space="preserve"> ICT source</w:t>
      </w:r>
      <w:r>
        <w:t>s</w:t>
      </w:r>
      <w:r w:rsidRPr="006B756E">
        <w:t xml:space="preserve"> may have, </w:t>
      </w:r>
      <w:r>
        <w:t>though this is not standard. The two additional dimensions are as follows:</w:t>
      </w:r>
    </w:p>
    <w:p w14:paraId="0D1904CE" w14:textId="77777777" w:rsidR="00916EBB" w:rsidRPr="00273153" w:rsidRDefault="00916EBB" w:rsidP="009E5489">
      <w:pPr>
        <w:pStyle w:val="ctrbulletedlist"/>
        <w:spacing w:after="40" w:line="240" w:lineRule="auto"/>
      </w:pPr>
      <w:r w:rsidRPr="0077196C">
        <w:t>Demographic:</w:t>
      </w:r>
      <w:r w:rsidRPr="006B756E">
        <w:rPr>
          <w:b/>
        </w:rPr>
        <w:t xml:space="preserve"> </w:t>
      </w:r>
      <w:r w:rsidRPr="00273153">
        <w:t>Individual or household information about the user or participant in the activity/trip/event.</w:t>
      </w:r>
    </w:p>
    <w:p w14:paraId="13DA008C" w14:textId="77777777" w:rsidR="00916EBB" w:rsidRPr="00273153" w:rsidRDefault="00916EBB" w:rsidP="009E5489">
      <w:pPr>
        <w:pStyle w:val="ctrbulletedlist"/>
        <w:spacing w:after="40" w:line="240" w:lineRule="auto"/>
      </w:pPr>
      <w:r w:rsidRPr="0077196C">
        <w:t>Temporal:</w:t>
      </w:r>
      <w:r w:rsidRPr="00273153">
        <w:t xml:space="preserve"> Time stamp of when the activity/trip/event identified in the data “response” occurred.</w:t>
      </w:r>
    </w:p>
    <w:p w14:paraId="2D53A6B2" w14:textId="303CC29D" w:rsidR="00916EBB" w:rsidRPr="006B756E" w:rsidRDefault="00916EBB" w:rsidP="009E5489">
      <w:pPr>
        <w:pStyle w:val="ctrbodytext"/>
        <w:spacing w:after="0" w:line="240" w:lineRule="auto"/>
        <w:jc w:val="both"/>
      </w:pPr>
      <w:r w:rsidRPr="006B756E">
        <w:t xml:space="preserve">Demographic data can help link activity patterns to groups of individuals. </w:t>
      </w:r>
      <w:r>
        <w:t>For example, i</w:t>
      </w:r>
      <w:r w:rsidRPr="006B756E">
        <w:t xml:space="preserve">f an ICT source provides the age and gender of a user, then the geospatial data can be linked to the aggregated data on individuals of the same age and gender class that were collected through traditional data sources, such as a household survey. If no demographic content is provided, then the ICT sources can only be aggregated based on the geospatial region that the response occurred in, and potentially only linked to </w:t>
      </w:r>
      <w:r w:rsidR="003D100B">
        <w:t>coarse spatial levels</w:t>
      </w:r>
      <w:r w:rsidRPr="006B756E">
        <w:t xml:space="preserve">, such as block-wide or zonal-level data collected from the census. </w:t>
      </w:r>
    </w:p>
    <w:p w14:paraId="7D2EB81A" w14:textId="3F8BF828" w:rsidR="00916EBB" w:rsidRDefault="00916EBB" w:rsidP="009E5489">
      <w:pPr>
        <w:pStyle w:val="ctrbodytext"/>
        <w:spacing w:after="0" w:line="240" w:lineRule="auto"/>
        <w:ind w:firstLine="720"/>
        <w:jc w:val="both"/>
      </w:pPr>
      <w:r w:rsidRPr="006B756E">
        <w:t xml:space="preserve">Temporal information is usually </w:t>
      </w:r>
      <w:r>
        <w:t xml:space="preserve">available in some basic form in ICT data </w:t>
      </w:r>
      <w:r w:rsidRPr="006B756E">
        <w:t>alongside geospatial information</w:t>
      </w:r>
      <w:r>
        <w:t xml:space="preserve"> (in the context of start and end time of trips, as identified under “Main Context”)</w:t>
      </w:r>
      <w:r w:rsidRPr="006B756E">
        <w:t xml:space="preserve">. </w:t>
      </w:r>
      <w:r>
        <w:t xml:space="preserve">But some ICT sources may provide </w:t>
      </w:r>
      <w:r w:rsidRPr="006B756E">
        <w:t xml:space="preserve">richer </w:t>
      </w:r>
      <w:r>
        <w:t xml:space="preserve">temporal information </w:t>
      </w:r>
      <w:r w:rsidRPr="006B756E">
        <w:t xml:space="preserve">than simply describing when an event occurred. </w:t>
      </w:r>
      <w:r>
        <w:t>For example, t</w:t>
      </w:r>
      <w:r w:rsidRPr="006B756E">
        <w:t>emporal information may include the duration of an event</w:t>
      </w:r>
      <w:r>
        <w:t xml:space="preserve">, as </w:t>
      </w:r>
      <w:r w:rsidRPr="006B756E">
        <w:t>is common in ICT data sourced from apps (</w:t>
      </w:r>
      <w:r>
        <w:t>e.g.,</w:t>
      </w:r>
      <w:r w:rsidRPr="006B756E">
        <w:t xml:space="preserve"> Strava</w:t>
      </w:r>
      <w:r>
        <w:t xml:space="preserve"> or Uber</w:t>
      </w:r>
      <w:r w:rsidRPr="006B756E">
        <w:t>), where the dataset records when a user starts the event and then tracks their geographic location until they finish the event. This event would be recorded as a single entry in the ICT dataset. On the other hand, ICT data collected from mobile phone records will only have the limited temporal information of when</w:t>
      </w:r>
      <w:r>
        <w:t xml:space="preserve"> </w:t>
      </w:r>
      <w:r w:rsidRPr="006B756E">
        <w:t xml:space="preserve">a phone call occurred, </w:t>
      </w:r>
      <w:r>
        <w:t>alongside</w:t>
      </w:r>
      <w:r w:rsidRPr="006B756E">
        <w:t xml:space="preserve"> where</w:t>
      </w:r>
      <w:r>
        <w:t xml:space="preserve"> it occurred</w:t>
      </w:r>
      <w:r w:rsidRPr="006B756E">
        <w:t xml:space="preserve"> geographically. </w:t>
      </w:r>
    </w:p>
    <w:p w14:paraId="77BBEF51" w14:textId="77777777" w:rsidR="008F230A" w:rsidRPr="006B756E" w:rsidRDefault="008F230A" w:rsidP="009E5489">
      <w:pPr>
        <w:pStyle w:val="ctrbodytext"/>
        <w:spacing w:after="0" w:line="240" w:lineRule="auto"/>
        <w:jc w:val="both"/>
      </w:pPr>
    </w:p>
    <w:p w14:paraId="0459BB8E" w14:textId="77777777" w:rsidR="00916EBB" w:rsidRPr="006B756E" w:rsidRDefault="00916EBB" w:rsidP="009E5489">
      <w:pPr>
        <w:pStyle w:val="Heading3"/>
        <w:numPr>
          <w:ilvl w:val="2"/>
          <w:numId w:val="28"/>
        </w:numPr>
        <w:spacing w:before="0" w:line="240" w:lineRule="auto"/>
        <w:ind w:left="540"/>
      </w:pPr>
      <w:bookmarkStart w:id="7" w:name="_Toc119831051"/>
      <w:r w:rsidRPr="006B756E">
        <w:t xml:space="preserve">Information </w:t>
      </w:r>
      <w:r>
        <w:t xml:space="preserve">Unit </w:t>
      </w:r>
      <w:r w:rsidRPr="004A49B6">
        <w:t>Level</w:t>
      </w:r>
      <w:bookmarkEnd w:id="7"/>
    </w:p>
    <w:p w14:paraId="017CDEAD" w14:textId="3B230585" w:rsidR="00916EBB" w:rsidRPr="006B756E" w:rsidRDefault="00916EBB" w:rsidP="009E5489">
      <w:pPr>
        <w:pStyle w:val="ctrbodytext"/>
        <w:spacing w:after="0" w:line="240" w:lineRule="auto"/>
        <w:jc w:val="both"/>
        <w:rPr>
          <w:u w:val="single"/>
        </w:rPr>
      </w:pPr>
      <w:r>
        <w:t xml:space="preserve">The </w:t>
      </w:r>
      <w:r w:rsidRPr="006B756E">
        <w:t xml:space="preserve">Information </w:t>
      </w:r>
      <w:r>
        <w:t xml:space="preserve">Unit </w:t>
      </w:r>
      <w:r w:rsidRPr="006B756E">
        <w:t xml:space="preserve">Level in an ICT dataset </w:t>
      </w:r>
      <w:r>
        <w:t>may correspond to one of the three categories discussed below, which are listed in the right “column” of Figure 1:</w:t>
      </w:r>
    </w:p>
    <w:p w14:paraId="2E774D25" w14:textId="77777777" w:rsidR="00916EBB" w:rsidRPr="004A7F83" w:rsidRDefault="00916EBB" w:rsidP="009E5489">
      <w:pPr>
        <w:pStyle w:val="ctrbulletedlist"/>
        <w:spacing w:after="0" w:line="240" w:lineRule="auto"/>
        <w:jc w:val="both"/>
      </w:pPr>
      <w:r w:rsidRPr="004A7F83">
        <w:t>Micro-Human</w:t>
      </w:r>
    </w:p>
    <w:p w14:paraId="31D7440F" w14:textId="77777777" w:rsidR="00916EBB" w:rsidRPr="004A7F83" w:rsidRDefault="00916EBB" w:rsidP="009E5489">
      <w:pPr>
        <w:pStyle w:val="ctrbulletedsublist"/>
        <w:spacing w:after="40" w:line="240" w:lineRule="auto"/>
        <w:ind w:left="1260"/>
      </w:pPr>
      <w:r w:rsidRPr="004A7F83">
        <w:t>Individual Level: The dataset contains sociodemographic information about an individual, such as their age, gender, income, and education.</w:t>
      </w:r>
      <w:r w:rsidRPr="004A7F83">
        <w:tab/>
      </w:r>
    </w:p>
    <w:p w14:paraId="2A5ABA98" w14:textId="77777777" w:rsidR="00916EBB" w:rsidRPr="004A7F83" w:rsidRDefault="00916EBB" w:rsidP="009E5489">
      <w:pPr>
        <w:pStyle w:val="ctrbulletedsublist"/>
        <w:spacing w:after="40" w:line="240" w:lineRule="auto"/>
        <w:ind w:left="1260"/>
      </w:pPr>
      <w:r w:rsidRPr="004A7F83">
        <w:t xml:space="preserve">Household Level: The dataset contains household-level sociodemographic information, such as household income, number of household members, and the number of trips made by the household. </w:t>
      </w:r>
    </w:p>
    <w:p w14:paraId="75B531D2" w14:textId="77777777" w:rsidR="00916EBB" w:rsidRPr="004A7F83" w:rsidRDefault="00916EBB" w:rsidP="009E5489">
      <w:pPr>
        <w:pStyle w:val="ctrbulletedlist"/>
        <w:spacing w:after="0" w:line="240" w:lineRule="auto"/>
        <w:ind w:right="450"/>
        <w:jc w:val="both"/>
      </w:pPr>
      <w:r w:rsidRPr="004A7F83">
        <w:t>Micro-Vehicle</w:t>
      </w:r>
    </w:p>
    <w:p w14:paraId="43452A41" w14:textId="77777777" w:rsidR="00916EBB" w:rsidRPr="004A7F83" w:rsidRDefault="00916EBB" w:rsidP="009E5489">
      <w:pPr>
        <w:pStyle w:val="ctrbulletedsublist"/>
        <w:spacing w:after="40" w:line="240" w:lineRule="auto"/>
        <w:ind w:left="1260"/>
        <w:jc w:val="both"/>
      </w:pPr>
      <w:r w:rsidRPr="004A7F83">
        <w:t>Vehicle Level: The dataset contains vehicular-level information, i.e., speed and location of each vehicle.</w:t>
      </w:r>
    </w:p>
    <w:p w14:paraId="4F72E37E" w14:textId="77777777" w:rsidR="00916EBB" w:rsidRPr="004A7F83" w:rsidRDefault="00916EBB" w:rsidP="009E5489">
      <w:pPr>
        <w:pStyle w:val="ctrbulletedlist"/>
        <w:spacing w:after="0" w:line="240" w:lineRule="auto"/>
        <w:ind w:right="450"/>
        <w:jc w:val="both"/>
      </w:pPr>
      <w:r w:rsidRPr="004A7F83">
        <w:t>Macro (aggregate)</w:t>
      </w:r>
    </w:p>
    <w:p w14:paraId="058E377D" w14:textId="77777777" w:rsidR="00916EBB" w:rsidRPr="004A7F83" w:rsidRDefault="00916EBB" w:rsidP="009E5489">
      <w:pPr>
        <w:pStyle w:val="ctrbulletedsublist"/>
        <w:spacing w:after="40" w:line="240" w:lineRule="auto"/>
        <w:ind w:left="1260"/>
        <w:jc w:val="both"/>
      </w:pPr>
      <w:r w:rsidRPr="004A7F83">
        <w:t>Road Level: The dataset contains information about the number of vehicles present on the road at a particular time or the number of vehicles passing a point on the roadway during a given time interval (aggregated vehicular counts). Capacity/flow metrics can be derived using these datasets.</w:t>
      </w:r>
    </w:p>
    <w:p w14:paraId="3BF35A4D" w14:textId="77777777" w:rsidR="00916EBB" w:rsidRPr="004A7F83" w:rsidRDefault="00916EBB" w:rsidP="009E5489">
      <w:pPr>
        <w:pStyle w:val="ctrbulletedsublist"/>
        <w:spacing w:after="40" w:line="240" w:lineRule="auto"/>
        <w:ind w:left="1260"/>
        <w:jc w:val="both"/>
      </w:pPr>
      <w:r w:rsidRPr="004A7F83">
        <w:t xml:space="preserve">Regional Level: The dataset contains information characterizing an entire region, for example, the number of trips made, of inflowing and outflowing vehicles, or of households in a region. </w:t>
      </w:r>
    </w:p>
    <w:p w14:paraId="01DC160A" w14:textId="77777777" w:rsidR="00916EBB" w:rsidRPr="004A7F83" w:rsidRDefault="00916EBB" w:rsidP="009E5489">
      <w:pPr>
        <w:pStyle w:val="ctrbulletedsublist"/>
        <w:spacing w:after="40" w:line="240" w:lineRule="auto"/>
        <w:ind w:left="1260"/>
        <w:jc w:val="both"/>
      </w:pPr>
      <w:r w:rsidRPr="004A7F83">
        <w:lastRenderedPageBreak/>
        <w:t xml:space="preserve">Environment Level: The aggregated number of trips made in a neighborhood or surrounding. This dataset contains aggregated vehicular counts, which can provide information on trips attracted to and produced in that environment. </w:t>
      </w:r>
    </w:p>
    <w:p w14:paraId="73463DD8" w14:textId="77777777" w:rsidR="00916EBB" w:rsidRPr="004A7F83" w:rsidRDefault="00916EBB" w:rsidP="009E5489">
      <w:pPr>
        <w:pStyle w:val="ctrbulletedsublist"/>
        <w:spacing w:after="40" w:line="240" w:lineRule="auto"/>
        <w:ind w:left="1260"/>
        <w:jc w:val="both"/>
      </w:pPr>
      <w:r w:rsidRPr="004A7F83">
        <w:t xml:space="preserve">Origin-Destination (OD) Level: The number of trips (or vehicular counts) made across an OD pair. </w:t>
      </w:r>
    </w:p>
    <w:p w14:paraId="68BF7ADC" w14:textId="77777777" w:rsidR="00916EBB" w:rsidRPr="006B756E" w:rsidRDefault="00916EBB" w:rsidP="009E5489">
      <w:pPr>
        <w:pStyle w:val="ctrbodytext"/>
        <w:spacing w:after="0" w:line="240" w:lineRule="auto"/>
        <w:jc w:val="both"/>
      </w:pPr>
      <w:r w:rsidRPr="006B756E">
        <w:t xml:space="preserve">Each </w:t>
      </w:r>
      <w:r>
        <w:t xml:space="preserve">of the above unit </w:t>
      </w:r>
      <w:r w:rsidRPr="006B756E">
        <w:t>level</w:t>
      </w:r>
      <w:r>
        <w:t>s</w:t>
      </w:r>
      <w:r w:rsidRPr="006B756E">
        <w:t xml:space="preserve"> can be integrated with traditional data sources. ICT data that is at a Micro-Human Level is disaggregate data. Each “response” categorizes what a single individual (or a group of individuals, if they are all performing an activity/trip/event together) has done. Micro-Human-Level ICT data can be collected from an app, mobile phone records, smart card data, and </w:t>
      </w:r>
      <w:r>
        <w:t xml:space="preserve">other </w:t>
      </w:r>
      <w:r w:rsidRPr="006B756E">
        <w:t>s</w:t>
      </w:r>
      <w:r>
        <w:t>imilar</w:t>
      </w:r>
      <w:r w:rsidRPr="006B756E">
        <w:t xml:space="preserve"> ICT source</w:t>
      </w:r>
      <w:r>
        <w:t>s</w:t>
      </w:r>
      <w:r w:rsidRPr="006B756E">
        <w:t xml:space="preserve">. Some Micro-Human-Level ICT data includes </w:t>
      </w:r>
      <w:r w:rsidRPr="006B756E">
        <w:rPr>
          <w:i/>
        </w:rPr>
        <w:t>identifiers</w:t>
      </w:r>
      <w:r w:rsidRPr="006B756E">
        <w:t xml:space="preserve"> (such as an email address, residential address or zip code, or name). When accompanied by these </w:t>
      </w:r>
      <w:r w:rsidRPr="006B756E">
        <w:rPr>
          <w:i/>
        </w:rPr>
        <w:t>identifiers</w:t>
      </w:r>
      <w:r w:rsidRPr="006B756E">
        <w:t xml:space="preserve">, ICT data is easier to link with other traditional data sources (such as a household travel survey) from the same (or a similarly located) individual. </w:t>
      </w:r>
    </w:p>
    <w:p w14:paraId="14D9305A" w14:textId="243D8C93" w:rsidR="00916EBB" w:rsidRPr="006B756E" w:rsidRDefault="00916EBB" w:rsidP="009E5489">
      <w:pPr>
        <w:pStyle w:val="ctrbodytext"/>
        <w:spacing w:after="0" w:line="240" w:lineRule="auto"/>
        <w:ind w:firstLine="720"/>
        <w:jc w:val="both"/>
      </w:pPr>
      <w:r w:rsidRPr="006B756E">
        <w:t xml:space="preserve">Next, Micro-Vehicle-Level data is typically collected through </w:t>
      </w:r>
      <w:r>
        <w:t xml:space="preserve">a </w:t>
      </w:r>
      <w:r w:rsidRPr="006B756E">
        <w:t>connected smart vehicle (such as a Tesla, which records all geospatial or temporal routes and trips the vehicle takes on a user’s and the company’s app</w:t>
      </w:r>
      <w:r>
        <w:t>, so</w:t>
      </w:r>
      <w:r w:rsidRPr="006B756E">
        <w:t xml:space="preserve"> the vehicle is passively recording data, not the user), </w:t>
      </w:r>
      <w:r>
        <w:t xml:space="preserve">a </w:t>
      </w:r>
      <w:r w:rsidRPr="006B756E">
        <w:t xml:space="preserve">public bus, </w:t>
      </w:r>
      <w:r>
        <w:t xml:space="preserve">an </w:t>
      </w:r>
      <w:r w:rsidRPr="006B756E">
        <w:t>Uber</w:t>
      </w:r>
      <w:r>
        <w:t xml:space="preserve"> ride</w:t>
      </w:r>
      <w:r w:rsidRPr="006B756E">
        <w:t xml:space="preserve">, or a taxi. Typical traditional datasets that are used in </w:t>
      </w:r>
      <w:r w:rsidR="004A7F83">
        <w:t xml:space="preserve">certain phases </w:t>
      </w:r>
      <w:r w:rsidRPr="006B756E">
        <w:t>of TDM are either at the Micro-Human or Macro</w:t>
      </w:r>
      <w:r>
        <w:t xml:space="preserve"> unit level</w:t>
      </w:r>
      <w:r w:rsidRPr="006B756E">
        <w:t xml:space="preserve"> (such as physical and operation features of a road that are traditionally provided for OD matrices)</w:t>
      </w:r>
      <w:r>
        <w:t xml:space="preserve">; </w:t>
      </w:r>
      <w:r w:rsidRPr="006B756E">
        <w:t xml:space="preserve">therefore ICT data that is at a Micro-Vehicle Level is much less useful as a complementary and supplementary input alongside traditional datasets because it is more difficult to merge with traditional and regional demographic data. Micro-Vehicle ICT data is still valuable, especially when it can be aggregated to identify or calibrate popular routes and paths taken in an OD matrix. </w:t>
      </w:r>
    </w:p>
    <w:p w14:paraId="6B20ABC8" w14:textId="2DC11E97" w:rsidR="00916EBB" w:rsidRDefault="00916EBB" w:rsidP="009E5489">
      <w:pPr>
        <w:pStyle w:val="ctrbodytext"/>
        <w:spacing w:after="0" w:line="240" w:lineRule="auto"/>
        <w:ind w:firstLine="720"/>
        <w:jc w:val="both"/>
      </w:pPr>
      <w:r w:rsidRPr="006B756E">
        <w:t xml:space="preserve">Finally, Macro-Level data is typically collected </w:t>
      </w:r>
      <w:r>
        <w:t>at</w:t>
      </w:r>
      <w:r w:rsidRPr="006B756E">
        <w:t xml:space="preserve"> a road, regional, or OD </w:t>
      </w:r>
      <w:r>
        <w:t>level</w:t>
      </w:r>
      <w:r w:rsidRPr="006B756E">
        <w:t xml:space="preserve">. Much of the large-quantity Macro-Level data is collected by traffic counters (which are not typically categorized as an ICT data source, unless their data is processed with other ICT information, as is done by StreetLight and INRIX) or by other passive collection methods. In this case, data originally collected at the Macro Level may provide more generalized information about a region, such as the number of cars passing through </w:t>
      </w:r>
      <w:r>
        <w:t xml:space="preserve">the region over a specific </w:t>
      </w:r>
      <w:r w:rsidRPr="006B756E">
        <w:t xml:space="preserve">time period or </w:t>
      </w:r>
      <w:r>
        <w:t>the</w:t>
      </w:r>
      <w:r w:rsidRPr="006B756E">
        <w:t xml:space="preserve"> count of the number of events </w:t>
      </w:r>
      <w:r>
        <w:t xml:space="preserve">occurring </w:t>
      </w:r>
      <w:r w:rsidRPr="006B756E">
        <w:t xml:space="preserve">at a given location. Because the data is collected at the aggregate level, Macro-Level ICT sources usually do not provide demographic data, though a general demographic description of the geospatial region can be acquired by linking to traditional census data. It is also common for Micro-Human and Micro-Vehicle data to be aggregated by geospatial region or </w:t>
      </w:r>
      <w:r>
        <w:t xml:space="preserve">a </w:t>
      </w:r>
      <w:r w:rsidRPr="006B756E">
        <w:t xml:space="preserve">road </w:t>
      </w:r>
      <w:r>
        <w:t xml:space="preserve">segment </w:t>
      </w:r>
      <w:r w:rsidRPr="006B756E">
        <w:t>to create a Macro-Level data source</w:t>
      </w:r>
      <w:r>
        <w:t>.</w:t>
      </w:r>
      <w:r w:rsidRPr="006B756E">
        <w:t xml:space="preserve"> </w:t>
      </w:r>
    </w:p>
    <w:p w14:paraId="64BF433F" w14:textId="77777777" w:rsidR="008F230A" w:rsidRPr="006B756E" w:rsidRDefault="008F230A" w:rsidP="009E5489">
      <w:pPr>
        <w:pStyle w:val="ctrbodytext"/>
        <w:spacing w:after="0" w:line="240" w:lineRule="auto"/>
        <w:jc w:val="both"/>
      </w:pPr>
    </w:p>
    <w:p w14:paraId="2D983DCA" w14:textId="57934EF4" w:rsidR="00850CBB" w:rsidRDefault="00850CBB" w:rsidP="009E5489">
      <w:pPr>
        <w:pStyle w:val="Heading2"/>
        <w:numPr>
          <w:ilvl w:val="1"/>
          <w:numId w:val="28"/>
        </w:numPr>
        <w:spacing w:before="0" w:line="240" w:lineRule="auto"/>
        <w:ind w:left="450"/>
      </w:pPr>
      <w:bookmarkStart w:id="8" w:name="_Toc119831054"/>
      <w:r w:rsidRPr="000953B5">
        <w:t>Converting and Translating ICT Data Sources</w:t>
      </w:r>
      <w:bookmarkEnd w:id="8"/>
      <w:r>
        <w:t>: Four Fusion Methods</w:t>
      </w:r>
    </w:p>
    <w:p w14:paraId="2BCDF590" w14:textId="78336C97" w:rsidR="00A7278B" w:rsidRPr="006B756E" w:rsidRDefault="00A7278B" w:rsidP="009E5489">
      <w:pPr>
        <w:pStyle w:val="ctrbodytext"/>
        <w:spacing w:after="0" w:line="240" w:lineRule="auto"/>
        <w:jc w:val="both"/>
      </w:pPr>
      <w:bookmarkStart w:id="9" w:name="_Hlk138163552"/>
      <w:r>
        <w:t>T</w:t>
      </w:r>
      <w:r w:rsidRPr="006B756E">
        <w:t>he</w:t>
      </w:r>
      <w:r>
        <w:t xml:space="preserve"> data sources input in the different</w:t>
      </w:r>
      <w:r w:rsidRPr="006B756E">
        <w:t xml:space="preserve"> TDS</w:t>
      </w:r>
      <w:r>
        <w:t xml:space="preserve"> steps </w:t>
      </w:r>
      <w:r w:rsidRPr="006B756E">
        <w:t xml:space="preserve">reviewed in the previous section </w:t>
      </w:r>
      <w:r>
        <w:t>are</w:t>
      </w:r>
      <w:r w:rsidRPr="006B756E">
        <w:t xml:space="preserve"> valuable to the TDM process. </w:t>
      </w:r>
      <w:r>
        <w:t>Indeed, t</w:t>
      </w:r>
      <w:r w:rsidRPr="006B756E">
        <w:t xml:space="preserve">he travel and behavior information and patterns collected through a traditional household travel survey are irreplaceable, and similar data collected through ICT cannot entirely supplant these data sources. </w:t>
      </w:r>
      <w:r>
        <w:t>This is because m</w:t>
      </w:r>
      <w:r w:rsidRPr="006B756E">
        <w:t xml:space="preserve">any ICT data sources lack “complete” information. A complete source contains demographic and geospatial information along with trip-related information (e.g., trip purpose, mode choice). ICT sources that have some but not all of these types of information can be used to enrich traditional survey data and improve modeling results. For example, social media can be used to extract demographic </w:t>
      </w:r>
      <w:r>
        <w:t>data</w:t>
      </w:r>
      <w:r w:rsidRPr="006B756E">
        <w:t xml:space="preserve"> via personal information</w:t>
      </w:r>
      <w:r>
        <w:t xml:space="preserve"> that is</w:t>
      </w:r>
      <w:r w:rsidRPr="006B756E">
        <w:t xml:space="preserve"> publicly available on </w:t>
      </w:r>
      <w:r>
        <w:t>users’</w:t>
      </w:r>
      <w:r w:rsidRPr="006B756E">
        <w:t xml:space="preserve"> profile</w:t>
      </w:r>
      <w:r>
        <w:t>s</w:t>
      </w:r>
      <w:r w:rsidRPr="006B756E">
        <w:t xml:space="preserve"> (such as email address, age, gender, and even name</w:t>
      </w:r>
      <w:r>
        <w:t>s</w:t>
      </w:r>
      <w:r w:rsidRPr="006B756E">
        <w:t xml:space="preserve">). This type of data represents a </w:t>
      </w:r>
      <w:r>
        <w:t>reasonable</w:t>
      </w:r>
      <w:r w:rsidRPr="006B756E">
        <w:t xml:space="preserve"> percentage of the population, but it raises</w:t>
      </w:r>
      <w:r>
        <w:t xml:space="preserve"> </w:t>
      </w:r>
      <w:r w:rsidRPr="006B756E">
        <w:lastRenderedPageBreak/>
        <w:t xml:space="preserve">privacy issues. Some </w:t>
      </w:r>
      <w:r>
        <w:t xml:space="preserve">other </w:t>
      </w:r>
      <w:r w:rsidRPr="006B756E">
        <w:t xml:space="preserve">sources, </w:t>
      </w:r>
      <w:r>
        <w:t>such as</w:t>
      </w:r>
      <w:r w:rsidRPr="006B756E">
        <w:t xml:space="preserve"> smart card</w:t>
      </w:r>
      <w:r>
        <w:t xml:space="preserve"> data</w:t>
      </w:r>
      <w:r w:rsidRPr="006B756E">
        <w:t xml:space="preserve">, implicitly provide </w:t>
      </w:r>
      <w:r>
        <w:t>m</w:t>
      </w:r>
      <w:r w:rsidRPr="006B756E">
        <w:t>ode information</w:t>
      </w:r>
      <w:r>
        <w:t>.</w:t>
      </w:r>
      <w:r w:rsidRPr="006B756E">
        <w:t xml:space="preserve"> Trip purpose</w:t>
      </w:r>
      <w:r>
        <w:t>, on the other hand,</w:t>
      </w:r>
      <w:r w:rsidRPr="006B756E">
        <w:t xml:space="preserve"> generally must be self-reported</w:t>
      </w:r>
      <w:r>
        <w:t>, though</w:t>
      </w:r>
      <w:r w:rsidRPr="006B756E">
        <w:t xml:space="preserve"> </w:t>
      </w:r>
      <w:r>
        <w:t xml:space="preserve">it may be possible to overlay contextual </w:t>
      </w:r>
      <w:r w:rsidRPr="006B756E">
        <w:t>information related to the trip</w:t>
      </w:r>
      <w:r>
        <w:t>, such as l</w:t>
      </w:r>
      <w:r w:rsidRPr="006B756E">
        <w:t>ocation</w:t>
      </w:r>
      <w:r>
        <w:t>, to a land-use geographic information file to impute this. In some cases</w:t>
      </w:r>
      <w:r w:rsidRPr="006B756E">
        <w:t xml:space="preserve">, </w:t>
      </w:r>
      <w:r>
        <w:t>the t</w:t>
      </w:r>
      <w:r w:rsidRPr="006B756E">
        <w:t xml:space="preserve">iming, </w:t>
      </w:r>
      <w:r>
        <w:t>d</w:t>
      </w:r>
      <w:r w:rsidRPr="006B756E">
        <w:t xml:space="preserve">uration, and </w:t>
      </w:r>
      <w:r>
        <w:t>f</w:t>
      </w:r>
      <w:r w:rsidRPr="006B756E">
        <w:t>requency</w:t>
      </w:r>
      <w:r>
        <w:t xml:space="preserve"> of a trip, coupled with location information, may be used to identify it as a work-purpose trip</w:t>
      </w:r>
      <w:r w:rsidRPr="006B756E">
        <w:t>.  </w:t>
      </w:r>
    </w:p>
    <w:p w14:paraId="4267ACF2" w14:textId="754AF03A" w:rsidR="00A7278B" w:rsidRPr="00850CBB" w:rsidRDefault="00A7278B" w:rsidP="009E5489">
      <w:pPr>
        <w:pStyle w:val="ctrbodytext"/>
        <w:spacing w:after="0" w:line="240" w:lineRule="auto"/>
        <w:ind w:firstLine="720"/>
        <w:jc w:val="both"/>
      </w:pPr>
      <w:r>
        <w:t>Overall, a</w:t>
      </w:r>
      <w:r w:rsidRPr="006B756E">
        <w:t xml:space="preserve">dding demographic </w:t>
      </w:r>
      <w:r>
        <w:t xml:space="preserve">and other contextual </w:t>
      </w:r>
      <w:r w:rsidRPr="006B756E">
        <w:t>data to aggregate geospatial and temporal information tends to be time-intensive and less accurate than current TD</w:t>
      </w:r>
      <w:r>
        <w:t>S</w:t>
      </w:r>
      <w:r w:rsidRPr="006B756E">
        <w:t xml:space="preserve"> </w:t>
      </w:r>
      <w:r>
        <w:t xml:space="preserve">collection </w:t>
      </w:r>
      <w:r w:rsidRPr="006B756E">
        <w:t xml:space="preserve">methods. While there are limitations to integrating ICT </w:t>
      </w:r>
      <w:r>
        <w:t xml:space="preserve">data </w:t>
      </w:r>
      <w:r w:rsidRPr="006B756E">
        <w:t xml:space="preserve">that do not contain demographic </w:t>
      </w:r>
      <w:r>
        <w:t xml:space="preserve">or other trip </w:t>
      </w:r>
      <w:r w:rsidRPr="006B756E">
        <w:t xml:space="preserve">data, </w:t>
      </w:r>
      <w:r>
        <w:t xml:space="preserve">systematic </w:t>
      </w:r>
      <w:r w:rsidRPr="006B756E">
        <w:t xml:space="preserve">methodological </w:t>
      </w:r>
      <w:r>
        <w:t xml:space="preserve">and database </w:t>
      </w:r>
      <w:r w:rsidRPr="006B756E">
        <w:t xml:space="preserve">techniques </w:t>
      </w:r>
      <w:r>
        <w:t>may facilitate such a fusion process. In order to begin the process of integrating ICT sources alongside TDSs, a discussion of how to exactly do so is essential. Based on the identification and assessment of the context, content and unit level of the data included in each ICT source was performed, four clear fusion methods arose</w:t>
      </w:r>
      <w:r w:rsidR="00691108">
        <w:t xml:space="preserve"> </w:t>
      </w:r>
      <w:r>
        <w:t xml:space="preserve">to convert, translate, and finally fuse any ICT data sources with TDSs and used within the TDM process. </w:t>
      </w:r>
    </w:p>
    <w:bookmarkEnd w:id="9"/>
    <w:p w14:paraId="046CF0F6" w14:textId="75A85565" w:rsidR="008F230A" w:rsidRPr="006B756E" w:rsidRDefault="00A7278B" w:rsidP="009E5489">
      <w:pPr>
        <w:pStyle w:val="ctrbodytext"/>
        <w:spacing w:after="0" w:line="240" w:lineRule="auto"/>
        <w:ind w:firstLine="720"/>
        <w:jc w:val="both"/>
      </w:pPr>
      <w:r w:rsidRPr="00905DE5">
        <w:t xml:space="preserve">After much consideration, </w:t>
      </w:r>
      <w:r w:rsidR="0001194B" w:rsidRPr="00905DE5">
        <w:t>a full assortment of</w:t>
      </w:r>
      <w:r w:rsidR="007052F2" w:rsidRPr="00905DE5">
        <w:t xml:space="preserve"> conversion, translation, and integration strategies may be grouped into four main strategies</w:t>
      </w:r>
      <w:r w:rsidR="002063A1" w:rsidRPr="00905DE5">
        <w:t xml:space="preserve">, each of which </w:t>
      </w:r>
      <w:r w:rsidR="00905DE5" w:rsidRPr="00905DE5">
        <w:t xml:space="preserve">is assessed along </w:t>
      </w:r>
      <w:r w:rsidR="004A7F83">
        <w:t>a</w:t>
      </w:r>
      <w:r w:rsidR="002063A1" w:rsidRPr="00905DE5">
        <w:t xml:space="preserve"> rating scale</w:t>
      </w:r>
      <w:r w:rsidR="002063A1" w:rsidRPr="00905DE5">
        <w:rPr>
          <w:rStyle w:val="FootnoteReference"/>
        </w:rPr>
        <w:footnoteReference w:id="2"/>
      </w:r>
      <w:r w:rsidR="00496190" w:rsidRPr="00905DE5">
        <w:t xml:space="preserve">, which </w:t>
      </w:r>
      <w:r w:rsidR="002063A1" w:rsidRPr="00905DE5">
        <w:t>rate</w:t>
      </w:r>
      <w:r w:rsidR="00496190" w:rsidRPr="00905DE5">
        <w:t>s</w:t>
      </w:r>
      <w:r w:rsidR="002063A1" w:rsidRPr="00905DE5">
        <w:t xml:space="preserve"> the level of intrusiveness and cost of integrating an ICT data source with TDS within a TDM context. </w:t>
      </w:r>
      <w:r w:rsidR="002063A1">
        <w:t>The four fusion strategies include:</w:t>
      </w:r>
    </w:p>
    <w:p w14:paraId="76683DF3" w14:textId="52A5AF47" w:rsidR="00850CBB" w:rsidRDefault="00850CBB" w:rsidP="009E5489">
      <w:pPr>
        <w:pStyle w:val="ctrbulletedlist"/>
        <w:spacing w:after="40" w:line="240" w:lineRule="auto"/>
        <w:jc w:val="both"/>
      </w:pPr>
      <w:bookmarkStart w:id="10" w:name="_Hlk126146693"/>
      <w:r w:rsidRPr="00273153">
        <w:rPr>
          <w:b/>
        </w:rPr>
        <w:t>Aggregated Merge</w:t>
      </w:r>
      <w:r w:rsidRPr="00273153">
        <w:t xml:space="preserve"> (also referred to as Merge 1): </w:t>
      </w:r>
      <w:r w:rsidR="0001194B">
        <w:t>An</w:t>
      </w:r>
      <w:r w:rsidR="0001194B" w:rsidRPr="003B5C21">
        <w:t xml:space="preserve"> aggregated dataset (or aggregated traffic count data</w:t>
      </w:r>
      <w:r w:rsidR="0001194B">
        <w:t xml:space="preserve"> – for example, the total number of vehicles on a road across the period of an hour, rather than details about each individual vehicle</w:t>
      </w:r>
      <w:r w:rsidR="0001194B" w:rsidRPr="003B5C21">
        <w:t xml:space="preserve">) at the Regional Level is merged with regional census data to </w:t>
      </w:r>
      <w:r w:rsidR="0001194B">
        <w:t>relate</w:t>
      </w:r>
      <w:r w:rsidR="0001194B" w:rsidRPr="003B5C21">
        <w:t xml:space="preserve"> region-wide demographics to trip attributes (attractions and productions) or travel demand. The aggregated trip attributes can also be used to validate and calibrate the models already produced using TDS.</w:t>
      </w:r>
    </w:p>
    <w:p w14:paraId="3942234A" w14:textId="39BD2DEF" w:rsidR="002063A1" w:rsidRDefault="002063A1" w:rsidP="009E5489">
      <w:pPr>
        <w:pStyle w:val="ctrbulletedsublist"/>
        <w:spacing w:after="40" w:line="240" w:lineRule="auto"/>
        <w:ind w:left="1260"/>
        <w:jc w:val="both"/>
      </w:pPr>
      <w:r w:rsidRPr="006B756E">
        <w:t>Because this ICT data is at the Macro or Micro-Vehicle Level or lacks identifying demographics, it must be aggregated before it can be integrated with TDS and used in TDM. The ICT data responses or events/activities/trips can be grouped by their geospatial qualifiers</w:t>
      </w:r>
      <w:r>
        <w:t>—</w:t>
      </w:r>
      <w:r w:rsidRPr="006B756E">
        <w:t>either following census blocks or different zonal areas, depending on the grouping of the TDS they are being merged with</w:t>
      </w:r>
      <w:r>
        <w:t>—</w:t>
      </w:r>
      <w:r w:rsidRPr="006B756E">
        <w:t>and aggregated across the chosen area. Conversion (through aggregation) and integration can be done through GIS or similar software, generating spatial and information links between large volumes of data. A visual of the Merge 1 process can be found in</w:t>
      </w:r>
      <w:r>
        <w:t xml:space="preserve"> </w:t>
      </w:r>
      <w:r w:rsidR="004A7F83">
        <w:t>Figure 2.</w:t>
      </w:r>
    </w:p>
    <w:p w14:paraId="24FDCBEE" w14:textId="77777777" w:rsidR="002063A1" w:rsidRPr="006B756E" w:rsidRDefault="002063A1" w:rsidP="009E5489">
      <w:pPr>
        <w:pStyle w:val="ctrbulletedsublist"/>
        <w:spacing w:after="40" w:line="240" w:lineRule="auto"/>
        <w:ind w:left="1260"/>
        <w:jc w:val="both"/>
      </w:pPr>
      <w:r w:rsidRPr="006B756E">
        <w:t>Investment rating</w:t>
      </w:r>
    </w:p>
    <w:p w14:paraId="37852C73" w14:textId="179AD9F7" w:rsidR="002063A1" w:rsidRPr="006B756E" w:rsidRDefault="002063A1" w:rsidP="009E5489">
      <w:pPr>
        <w:pStyle w:val="ctrbulletedsublist"/>
        <w:numPr>
          <w:ilvl w:val="2"/>
          <w:numId w:val="22"/>
        </w:numPr>
        <w:spacing w:after="40" w:line="240" w:lineRule="auto"/>
        <w:ind w:left="1800"/>
        <w:jc w:val="both"/>
        <w:rPr>
          <w:u w:val="single"/>
        </w:rPr>
      </w:pPr>
      <w:r w:rsidRPr="006B756E">
        <w:rPr>
          <w:u w:val="single"/>
        </w:rPr>
        <w:t>Time:</w:t>
      </w:r>
      <w:r w:rsidRPr="006B756E">
        <w:t xml:space="preserve"> Aggregating disaggregate data and linking it to TDS can be accomplished </w:t>
      </w:r>
      <w:r w:rsidRPr="006B756E">
        <w:rPr>
          <w:b/>
        </w:rPr>
        <w:t xml:space="preserve">quickly </w:t>
      </w:r>
      <w:r w:rsidRPr="006B756E">
        <w:t xml:space="preserve">through a </w:t>
      </w:r>
      <w:r w:rsidR="004A7F83">
        <w:t>database management software (</w:t>
      </w:r>
      <w:r w:rsidRPr="006B756E">
        <w:t>DBMS</w:t>
      </w:r>
      <w:r w:rsidR="004A7F83">
        <w:t>)</w:t>
      </w:r>
      <w:r w:rsidRPr="006B756E">
        <w:t xml:space="preserve"> such as SQL or geospatial software such as GIS. Therefore</w:t>
      </w:r>
      <w:r w:rsidR="00AA3E0A">
        <w:t>,</w:t>
      </w:r>
      <w:r w:rsidRPr="006B756E">
        <w:t xml:space="preserve"> the time investment is relatively low. </w:t>
      </w:r>
    </w:p>
    <w:p w14:paraId="0B06FA18" w14:textId="77777777" w:rsidR="002063A1" w:rsidRPr="006B756E" w:rsidRDefault="002063A1" w:rsidP="009E5489">
      <w:pPr>
        <w:pStyle w:val="ctrbulletedsublist"/>
        <w:numPr>
          <w:ilvl w:val="2"/>
          <w:numId w:val="22"/>
        </w:numPr>
        <w:spacing w:after="40" w:line="240" w:lineRule="auto"/>
        <w:ind w:left="1800"/>
        <w:jc w:val="both"/>
      </w:pPr>
      <w:r w:rsidRPr="006B756E">
        <w:rPr>
          <w:u w:val="single"/>
        </w:rPr>
        <w:t>Capital:</w:t>
      </w:r>
      <w:r w:rsidRPr="006B756E">
        <w:t xml:space="preserve"> Capital investment is </w:t>
      </w:r>
      <w:r w:rsidRPr="006B756E">
        <w:rPr>
          <w:b/>
        </w:rPr>
        <w:t>low</w:t>
      </w:r>
      <w:r w:rsidRPr="006B756E">
        <w:t>, though it depends on the cost of the ICT data source (more data and more data context typically cost more).</w:t>
      </w:r>
    </w:p>
    <w:p w14:paraId="25B514AE" w14:textId="77777777" w:rsidR="002063A1" w:rsidRDefault="002063A1" w:rsidP="009E5489">
      <w:pPr>
        <w:pStyle w:val="ctrbulletedsublist"/>
        <w:numPr>
          <w:ilvl w:val="2"/>
          <w:numId w:val="22"/>
        </w:numPr>
        <w:spacing w:after="40" w:line="240" w:lineRule="auto"/>
        <w:ind w:left="1800"/>
        <w:jc w:val="both"/>
      </w:pPr>
      <w:r w:rsidRPr="006B756E">
        <w:rPr>
          <w:u w:val="single"/>
        </w:rPr>
        <w:lastRenderedPageBreak/>
        <w:t>Effort:</w:t>
      </w:r>
      <w:r w:rsidRPr="006B756E">
        <w:t xml:space="preserve"> Aggregating data and linking it to TDS requires </w:t>
      </w:r>
      <w:r w:rsidRPr="006B756E">
        <w:rPr>
          <w:b/>
        </w:rPr>
        <w:t>similar effort</w:t>
      </w:r>
      <w:r w:rsidRPr="006B756E">
        <w:t xml:space="preserve"> as would be required for linking two TDS with one another. Therefore, the effort investment rating depends on the common techniques already performed on the TDM inputs and if they are compatible with the</w:t>
      </w:r>
      <w:r>
        <w:t xml:space="preserve"> available</w:t>
      </w:r>
      <w:r w:rsidRPr="006B756E">
        <w:t xml:space="preserve"> ICT data source formats. </w:t>
      </w:r>
    </w:p>
    <w:p w14:paraId="045AC0FA" w14:textId="77777777" w:rsidR="002063A1" w:rsidRDefault="002063A1" w:rsidP="009E5489">
      <w:pPr>
        <w:pStyle w:val="ctrbulletedlist"/>
        <w:numPr>
          <w:ilvl w:val="0"/>
          <w:numId w:val="0"/>
        </w:numPr>
        <w:spacing w:after="0" w:line="240" w:lineRule="auto"/>
        <w:ind w:left="360"/>
        <w:jc w:val="center"/>
      </w:pPr>
      <w:r w:rsidRPr="006B756E">
        <w:rPr>
          <w:noProof/>
        </w:rPr>
        <w:drawing>
          <wp:inline distT="0" distB="0" distL="0" distR="0" wp14:anchorId="1BF83B7B" wp14:editId="482C7E71">
            <wp:extent cx="4866123" cy="1181100"/>
            <wp:effectExtent l="0" t="0" r="0" b="0"/>
            <wp:docPr id="7" name="Picture 7" descr="Visualization of Merge 1 exampl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61" t="3251" r="2114" b="71548"/>
                    <a:stretch/>
                  </pic:blipFill>
                  <pic:spPr bwMode="auto">
                    <a:xfrm>
                      <a:off x="0" y="0"/>
                      <a:ext cx="4869547" cy="1181931"/>
                    </a:xfrm>
                    <a:prstGeom prst="rect">
                      <a:avLst/>
                    </a:prstGeom>
                    <a:noFill/>
                    <a:ln>
                      <a:noFill/>
                    </a:ln>
                    <a:extLst>
                      <a:ext uri="{53640926-AAD7-44D8-BBD7-CCE9431645EC}">
                        <a14:shadowObscured xmlns:a14="http://schemas.microsoft.com/office/drawing/2010/main"/>
                      </a:ext>
                    </a:extLst>
                  </pic:spPr>
                </pic:pic>
              </a:graphicData>
            </a:graphic>
          </wp:inline>
        </w:drawing>
      </w:r>
    </w:p>
    <w:p w14:paraId="7CD28CBD" w14:textId="162F0A82" w:rsidR="002063A1" w:rsidRDefault="002063A1" w:rsidP="009E5489">
      <w:pPr>
        <w:pStyle w:val="ctrbulletedlist"/>
        <w:numPr>
          <w:ilvl w:val="0"/>
          <w:numId w:val="0"/>
        </w:numPr>
        <w:spacing w:after="0" w:line="240" w:lineRule="auto"/>
        <w:ind w:left="360"/>
        <w:jc w:val="center"/>
        <w:rPr>
          <w:b/>
          <w:bCs/>
        </w:rPr>
      </w:pPr>
      <w:r w:rsidRPr="002063A1">
        <w:rPr>
          <w:b/>
          <w:bCs/>
        </w:rPr>
        <w:t xml:space="preserve">Figure </w:t>
      </w:r>
      <w:r w:rsidR="004A7F83">
        <w:rPr>
          <w:b/>
          <w:bCs/>
        </w:rPr>
        <w:t>2</w:t>
      </w:r>
      <w:r w:rsidRPr="002063A1">
        <w:rPr>
          <w:b/>
          <w:bCs/>
        </w:rPr>
        <w:t xml:space="preserve"> Integration Strategy: Merge 1</w:t>
      </w:r>
    </w:p>
    <w:p w14:paraId="7820458E" w14:textId="77777777" w:rsidR="008F230A" w:rsidRPr="002063A1" w:rsidRDefault="008F230A" w:rsidP="009E5489">
      <w:pPr>
        <w:pStyle w:val="ctrbulletedlist"/>
        <w:numPr>
          <w:ilvl w:val="0"/>
          <w:numId w:val="0"/>
        </w:numPr>
        <w:spacing w:after="0" w:line="240" w:lineRule="auto"/>
        <w:ind w:left="360"/>
        <w:jc w:val="both"/>
        <w:rPr>
          <w:b/>
          <w:bCs/>
        </w:rPr>
      </w:pPr>
    </w:p>
    <w:p w14:paraId="181D7D61" w14:textId="1E11E809" w:rsidR="00850CBB" w:rsidRDefault="00850CBB" w:rsidP="009E5489">
      <w:pPr>
        <w:pStyle w:val="ctrbulletedlist"/>
        <w:spacing w:after="40" w:line="240" w:lineRule="auto"/>
        <w:jc w:val="both"/>
      </w:pPr>
      <w:r w:rsidRPr="00273153">
        <w:rPr>
          <w:b/>
        </w:rPr>
        <w:t>Demographic Merge</w:t>
      </w:r>
      <w:r w:rsidRPr="00273153">
        <w:t xml:space="preserve"> (also referred to as Merge 2): </w:t>
      </w:r>
      <w:r w:rsidR="0001194B" w:rsidRPr="003B5C21">
        <w:t xml:space="preserve">The ICT datasets are merged (or joined) with Individual- or Household-Level data (collected through household surveys) using </w:t>
      </w:r>
      <w:r w:rsidR="0001194B" w:rsidRPr="003B5C21">
        <w:rPr>
          <w:i/>
          <w:iCs/>
        </w:rPr>
        <w:t xml:space="preserve">identifiers </w:t>
      </w:r>
      <w:r w:rsidR="0001194B" w:rsidRPr="003B5C21">
        <w:t xml:space="preserve">(e.g., phone number, email address, last name, or street address). Trip data </w:t>
      </w:r>
      <w:r w:rsidR="0001194B" w:rsidRPr="006D7EF8">
        <w:t>passively</w:t>
      </w:r>
      <w:r w:rsidR="0001194B" w:rsidRPr="003B5C21">
        <w:t xml:space="preserve"> collected through ICT sources is more accurate</w:t>
      </w:r>
      <w:r w:rsidR="0001194B">
        <w:t xml:space="preserve"> than</w:t>
      </w:r>
      <w:r w:rsidR="0001194B" w:rsidRPr="003B5C21">
        <w:t xml:space="preserve"> </w:t>
      </w:r>
      <w:r w:rsidR="003D100B">
        <w:t>(</w:t>
      </w:r>
      <w:r w:rsidR="0001194B" w:rsidRPr="003B5C21">
        <w:t xml:space="preserve">and can </w:t>
      </w:r>
      <w:r w:rsidR="0001194B">
        <w:t>supplant</w:t>
      </w:r>
      <w:r w:rsidR="003D100B">
        <w:t>)</w:t>
      </w:r>
      <w:r w:rsidR="0001194B" w:rsidRPr="003B5C21">
        <w:t xml:space="preserve"> stated trip details, potentially </w:t>
      </w:r>
      <w:r w:rsidR="0001194B">
        <w:t>improving the accuracy of resulting TDMs</w:t>
      </w:r>
      <w:r w:rsidR="0001194B" w:rsidRPr="003B5C21">
        <w:t>.</w:t>
      </w:r>
      <w:r w:rsidR="004A7F83" w:rsidRPr="004A7F83">
        <w:t xml:space="preserve"> </w:t>
      </w:r>
      <w:r w:rsidR="004A7F83" w:rsidRPr="006B756E">
        <w:t xml:space="preserve">A visual of the Merge </w:t>
      </w:r>
      <w:r w:rsidR="004A7F83">
        <w:t>2</w:t>
      </w:r>
      <w:r w:rsidR="004A7F83" w:rsidRPr="006B756E">
        <w:t xml:space="preserve"> process can be found in</w:t>
      </w:r>
      <w:r w:rsidR="004A7F83">
        <w:t xml:space="preserve"> Figure 3.</w:t>
      </w:r>
    </w:p>
    <w:p w14:paraId="2C247513" w14:textId="7A459559" w:rsidR="002063A1" w:rsidRPr="006B756E" w:rsidRDefault="002063A1" w:rsidP="009E5489">
      <w:pPr>
        <w:pStyle w:val="ctrbulletedsublist"/>
        <w:spacing w:after="40" w:line="240" w:lineRule="auto"/>
        <w:ind w:left="1260"/>
        <w:jc w:val="both"/>
      </w:pPr>
      <w:r w:rsidRPr="006B756E">
        <w:t xml:space="preserve">When </w:t>
      </w:r>
      <w:r>
        <w:t>accompanied by</w:t>
      </w:r>
      <w:r w:rsidRPr="006B756E">
        <w:t xml:space="preserve"> </w:t>
      </w:r>
      <w:r w:rsidRPr="006B756E">
        <w:rPr>
          <w:i/>
        </w:rPr>
        <w:t>identifiers</w:t>
      </w:r>
      <w:r w:rsidRPr="006B756E">
        <w:t xml:space="preserve"> or detailed demographic data (such as age, gender, or other detailed individual or household data that can categorize a “type” of respondent), each response or activity/trip/event in the ICT data can be merged with the respective respondent or respondent “type”</w:t>
      </w:r>
      <w:r>
        <w:t xml:space="preserve"> in the TDS.</w:t>
      </w:r>
      <w:r w:rsidRPr="006B756E">
        <w:t xml:space="preserve"> The ICT data response is added to the same storage row as the related TDS response in order to augment that individual’s response with supplementary information. An example </w:t>
      </w:r>
      <w:r w:rsidR="00BE5511">
        <w:t xml:space="preserve">in shown in Figure </w:t>
      </w:r>
      <w:r w:rsidR="005C3D65" w:rsidRPr="005C3D65">
        <w:t>3</w:t>
      </w:r>
      <w:r w:rsidR="00BE5511" w:rsidRPr="005C3D65">
        <w:t>,</w:t>
      </w:r>
      <w:r w:rsidR="00BE5511">
        <w:t xml:space="preserve"> which also </w:t>
      </w:r>
      <w:r w:rsidRPr="006B756E">
        <w:t xml:space="preserve">illustrates the difference between </w:t>
      </w:r>
      <w:r w:rsidRPr="006B756E">
        <w:rPr>
          <w:b/>
        </w:rPr>
        <w:t>Merge 2</w:t>
      </w:r>
      <w:r w:rsidRPr="006B756E">
        <w:rPr>
          <w:b/>
          <w:i/>
        </w:rPr>
        <w:t xml:space="preserve"> </w:t>
      </w:r>
      <w:r w:rsidRPr="006B756E">
        <w:t xml:space="preserve">and </w:t>
      </w:r>
      <w:r w:rsidRPr="006B756E">
        <w:rPr>
          <w:b/>
        </w:rPr>
        <w:t>Add</w:t>
      </w:r>
      <w:r w:rsidRPr="006B756E">
        <w:t xml:space="preserve">. This process can be performed with any </w:t>
      </w:r>
      <w:r>
        <w:t>DBMS</w:t>
      </w:r>
      <w:r w:rsidRPr="006B756E">
        <w:t xml:space="preserve"> such SQL, Excel, or Microsoft Access, depending on data volume.</w:t>
      </w:r>
    </w:p>
    <w:p w14:paraId="0DAC2702" w14:textId="77777777" w:rsidR="002063A1" w:rsidRPr="006B756E" w:rsidRDefault="002063A1" w:rsidP="009E5489">
      <w:pPr>
        <w:pStyle w:val="ctrbulletedsublist"/>
        <w:spacing w:after="40" w:line="240" w:lineRule="auto"/>
        <w:ind w:left="1260"/>
        <w:jc w:val="both"/>
      </w:pPr>
      <w:r w:rsidRPr="006B756E">
        <w:t>Investment rating</w:t>
      </w:r>
    </w:p>
    <w:p w14:paraId="206127AF" w14:textId="77777777" w:rsidR="002063A1" w:rsidRPr="006B756E" w:rsidRDefault="002063A1" w:rsidP="009E5489">
      <w:pPr>
        <w:pStyle w:val="BodyText1"/>
        <w:numPr>
          <w:ilvl w:val="2"/>
          <w:numId w:val="30"/>
        </w:numPr>
        <w:spacing w:after="40" w:line="240" w:lineRule="auto"/>
        <w:ind w:left="1800"/>
        <w:rPr>
          <w:color w:val="auto"/>
          <w:u w:val="single"/>
        </w:rPr>
      </w:pPr>
      <w:r w:rsidRPr="006B756E">
        <w:rPr>
          <w:color w:val="auto"/>
          <w:u w:val="single"/>
        </w:rPr>
        <w:t>Time:</w:t>
      </w:r>
      <w:r w:rsidRPr="006B756E">
        <w:rPr>
          <w:color w:val="auto"/>
        </w:rPr>
        <w:t xml:space="preserve"> </w:t>
      </w:r>
      <w:r w:rsidRPr="006B756E">
        <w:rPr>
          <w:b/>
          <w:color w:val="auto"/>
        </w:rPr>
        <w:t xml:space="preserve">If the same </w:t>
      </w:r>
      <w:r w:rsidRPr="006B756E">
        <w:rPr>
          <w:b/>
          <w:i/>
          <w:color w:val="auto"/>
        </w:rPr>
        <w:t>identifiers</w:t>
      </w:r>
      <w:r w:rsidRPr="006B756E">
        <w:rPr>
          <w:b/>
          <w:color w:val="auto"/>
        </w:rPr>
        <w:t xml:space="preserve"> are present</w:t>
      </w:r>
      <w:r w:rsidRPr="006B756E">
        <w:rPr>
          <w:color w:val="auto"/>
        </w:rPr>
        <w:t xml:space="preserve"> in both the TDS and ICT data, then the link is easy and takes </w:t>
      </w:r>
      <w:r w:rsidRPr="006B756E">
        <w:rPr>
          <w:b/>
          <w:color w:val="auto"/>
        </w:rPr>
        <w:t>minimal time</w:t>
      </w:r>
      <w:r w:rsidRPr="006B756E">
        <w:rPr>
          <w:color w:val="auto"/>
        </w:rPr>
        <w:t xml:space="preserve">. </w:t>
      </w:r>
      <w:r w:rsidRPr="006B756E">
        <w:rPr>
          <w:b/>
          <w:color w:val="auto"/>
        </w:rPr>
        <w:t>If generalizations need to be made</w:t>
      </w:r>
      <w:r w:rsidRPr="006B756E">
        <w:rPr>
          <w:color w:val="auto"/>
        </w:rPr>
        <w:t xml:space="preserve"> about sociodemographic groups (e.g., if only gender or age are available) in the ICT data, then </w:t>
      </w:r>
      <w:r w:rsidRPr="006B756E">
        <w:rPr>
          <w:b/>
          <w:color w:val="auto"/>
        </w:rPr>
        <w:t>more time</w:t>
      </w:r>
      <w:r w:rsidRPr="006B756E">
        <w:rPr>
          <w:color w:val="auto"/>
        </w:rPr>
        <w:t xml:space="preserve"> may be required to integrate the source. </w:t>
      </w:r>
    </w:p>
    <w:p w14:paraId="4A3C21A4" w14:textId="77777777" w:rsidR="002063A1" w:rsidRPr="006B756E" w:rsidRDefault="002063A1" w:rsidP="009E5489">
      <w:pPr>
        <w:pStyle w:val="BodyText1"/>
        <w:numPr>
          <w:ilvl w:val="2"/>
          <w:numId w:val="30"/>
        </w:numPr>
        <w:spacing w:after="40" w:line="240" w:lineRule="auto"/>
        <w:ind w:left="1800"/>
        <w:rPr>
          <w:color w:val="auto"/>
        </w:rPr>
      </w:pPr>
      <w:r w:rsidRPr="006B756E">
        <w:rPr>
          <w:color w:val="auto"/>
          <w:u w:val="single"/>
        </w:rPr>
        <w:t>Capital:</w:t>
      </w:r>
      <w:r w:rsidRPr="006B756E">
        <w:rPr>
          <w:color w:val="auto"/>
        </w:rPr>
        <w:t xml:space="preserve"> Capital investment is </w:t>
      </w:r>
      <w:r w:rsidRPr="006B756E">
        <w:rPr>
          <w:b/>
          <w:color w:val="auto"/>
        </w:rPr>
        <w:t>low</w:t>
      </w:r>
      <w:r w:rsidRPr="006B756E">
        <w:rPr>
          <w:color w:val="auto"/>
        </w:rPr>
        <w:t>, though it depends on the cost of the ICT data source (more data and more data context will typically cost more).</w:t>
      </w:r>
    </w:p>
    <w:p w14:paraId="7FE36BD6" w14:textId="3B18E4BF" w:rsidR="002063A1" w:rsidRDefault="002063A1" w:rsidP="009E5489">
      <w:pPr>
        <w:pStyle w:val="BodyText1"/>
        <w:numPr>
          <w:ilvl w:val="2"/>
          <w:numId w:val="30"/>
        </w:numPr>
        <w:spacing w:after="40" w:line="240" w:lineRule="auto"/>
        <w:ind w:left="1800"/>
        <w:rPr>
          <w:color w:val="auto"/>
        </w:rPr>
      </w:pPr>
      <w:r w:rsidRPr="006B756E">
        <w:rPr>
          <w:color w:val="auto"/>
          <w:u w:val="single"/>
        </w:rPr>
        <w:t>Effort:</w:t>
      </w:r>
      <w:r w:rsidRPr="006B756E">
        <w:rPr>
          <w:color w:val="auto"/>
        </w:rPr>
        <w:t xml:space="preserve"> Similar to the time investment, the effort required for this Integration Strategy depends on the format of the ICT data, as well as the best approach to convert the data (to strategically aggregate or disaggregate the data so that it can be linked with the TDS through a demographic or identifier link). This effort </w:t>
      </w:r>
      <w:r w:rsidRPr="006B756E">
        <w:rPr>
          <w:b/>
          <w:color w:val="auto"/>
        </w:rPr>
        <w:t>may be minimal or weighty</w:t>
      </w:r>
      <w:r w:rsidRPr="006B756E">
        <w:rPr>
          <w:color w:val="auto"/>
        </w:rPr>
        <w:t>, depending on the format a</w:t>
      </w:r>
      <w:r>
        <w:rPr>
          <w:color w:val="auto"/>
        </w:rPr>
        <w:t>n</w:t>
      </w:r>
      <w:r w:rsidRPr="006B756E">
        <w:rPr>
          <w:color w:val="auto"/>
        </w:rPr>
        <w:t>d conver</w:t>
      </w:r>
      <w:r>
        <w:rPr>
          <w:color w:val="auto"/>
        </w:rPr>
        <w:t>sion</w:t>
      </w:r>
      <w:r w:rsidRPr="006B756E">
        <w:rPr>
          <w:color w:val="auto"/>
        </w:rPr>
        <w:t xml:space="preserve"> </w:t>
      </w:r>
      <w:r>
        <w:rPr>
          <w:color w:val="auto"/>
        </w:rPr>
        <w:t>method</w:t>
      </w:r>
      <w:r w:rsidRPr="006B756E">
        <w:rPr>
          <w:color w:val="auto"/>
        </w:rPr>
        <w:t xml:space="preserve"> required. If the analyst believes it will require significant effort and time, then they may determine that the investment is not worth it</w:t>
      </w:r>
      <w:r w:rsidR="000819B9">
        <w:rPr>
          <w:color w:val="auto"/>
        </w:rPr>
        <w:t>.</w:t>
      </w:r>
    </w:p>
    <w:p w14:paraId="78129337" w14:textId="23EB10BC" w:rsidR="002063A1" w:rsidRDefault="002063A1" w:rsidP="009E5489">
      <w:pPr>
        <w:pStyle w:val="BodyText1"/>
        <w:keepNext/>
        <w:spacing w:after="0" w:line="240" w:lineRule="auto"/>
        <w:jc w:val="center"/>
        <w:rPr>
          <w:b/>
          <w:bCs/>
        </w:rPr>
      </w:pPr>
      <w:r w:rsidRPr="006B756E">
        <w:rPr>
          <w:noProof/>
        </w:rPr>
        <w:lastRenderedPageBreak/>
        <w:drawing>
          <wp:inline distT="0" distB="0" distL="0" distR="0" wp14:anchorId="799FBB69" wp14:editId="00C5C478">
            <wp:extent cx="4867909" cy="1181100"/>
            <wp:effectExtent l="0" t="0" r="0" b="0"/>
            <wp:docPr id="9" name="Picture 9" descr="Visualization of Merge 2 exampl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64" t="35757" r="1811" b="39050"/>
                    <a:stretch/>
                  </pic:blipFill>
                  <pic:spPr bwMode="auto">
                    <a:xfrm>
                      <a:off x="0" y="0"/>
                      <a:ext cx="4869547" cy="1181497"/>
                    </a:xfrm>
                    <a:prstGeom prst="rect">
                      <a:avLst/>
                    </a:prstGeom>
                    <a:noFill/>
                    <a:ln>
                      <a:noFill/>
                    </a:ln>
                    <a:extLst>
                      <a:ext uri="{53640926-AAD7-44D8-BBD7-CCE9431645EC}">
                        <a14:shadowObscured xmlns:a14="http://schemas.microsoft.com/office/drawing/2010/main"/>
                      </a:ext>
                    </a:extLst>
                  </pic:spPr>
                </pic:pic>
              </a:graphicData>
            </a:graphic>
          </wp:inline>
        </w:drawing>
      </w:r>
    </w:p>
    <w:p w14:paraId="1322BF37" w14:textId="3ED7B0E1" w:rsidR="002063A1" w:rsidRDefault="002063A1" w:rsidP="009E5489">
      <w:pPr>
        <w:pStyle w:val="BodyText1"/>
        <w:keepNext/>
        <w:spacing w:after="0" w:line="240" w:lineRule="auto"/>
        <w:jc w:val="center"/>
        <w:rPr>
          <w:b/>
          <w:bCs/>
        </w:rPr>
      </w:pPr>
      <w:r w:rsidRPr="002063A1">
        <w:rPr>
          <w:b/>
          <w:bCs/>
        </w:rPr>
        <w:t xml:space="preserve">Figure </w:t>
      </w:r>
      <w:r w:rsidR="004A7F83">
        <w:rPr>
          <w:b/>
          <w:bCs/>
        </w:rPr>
        <w:t>3</w:t>
      </w:r>
      <w:r w:rsidRPr="002063A1">
        <w:rPr>
          <w:b/>
          <w:bCs/>
        </w:rPr>
        <w:t xml:space="preserve"> Integration Strategy: Merge 2</w:t>
      </w:r>
    </w:p>
    <w:p w14:paraId="1942C4F9" w14:textId="77777777" w:rsidR="002063A1" w:rsidRPr="002063A1" w:rsidRDefault="002063A1" w:rsidP="009E5489">
      <w:pPr>
        <w:pStyle w:val="BodyText1"/>
        <w:keepNext/>
        <w:spacing w:after="0" w:line="240" w:lineRule="auto"/>
        <w:rPr>
          <w:b/>
          <w:bCs/>
        </w:rPr>
      </w:pPr>
    </w:p>
    <w:p w14:paraId="3E5FAD82" w14:textId="7DE89454" w:rsidR="00850CBB" w:rsidRDefault="00850CBB" w:rsidP="009E5489">
      <w:pPr>
        <w:pStyle w:val="ctrbulletedlist"/>
        <w:spacing w:after="40" w:line="240" w:lineRule="auto"/>
        <w:jc w:val="both"/>
      </w:pPr>
      <w:r w:rsidRPr="00273153">
        <w:rPr>
          <w:b/>
        </w:rPr>
        <w:t>Demographic Add</w:t>
      </w:r>
      <w:r w:rsidRPr="00273153">
        <w:t xml:space="preserve"> (also referred to as Add): </w:t>
      </w:r>
      <w:r w:rsidR="0001194B" w:rsidRPr="003B5C21">
        <w:t xml:space="preserve">If the ICT data source cannot be merged with TDS using </w:t>
      </w:r>
      <w:r w:rsidR="0001194B" w:rsidRPr="003B5C21">
        <w:rPr>
          <w:i/>
          <w:iCs/>
        </w:rPr>
        <w:t>identifiers</w:t>
      </w:r>
      <w:r w:rsidR="0001194B" w:rsidRPr="003B5C21">
        <w:t xml:space="preserve">, but it already includes sufficient demographic information, it can be used independently to model travel demand. However, trip data collected by the ICT source </w:t>
      </w:r>
      <w:r w:rsidR="0001194B" w:rsidRPr="006D7EF8">
        <w:t>may</w:t>
      </w:r>
      <w:r w:rsidR="0001194B" w:rsidRPr="003B5C21">
        <w:t xml:space="preserve"> be incomplete, or it may reflect only a specific type of mode or trip, in which case </w:t>
      </w:r>
      <w:r w:rsidR="0001194B">
        <w:t>modelers</w:t>
      </w:r>
      <w:r w:rsidR="0001194B" w:rsidRPr="003B5C21">
        <w:t xml:space="preserve"> must develop separate models.</w:t>
      </w:r>
      <w:r w:rsidR="004A7F83">
        <w:t xml:space="preserve"> </w:t>
      </w:r>
      <w:r w:rsidR="004A7F83" w:rsidRPr="006B756E">
        <w:t xml:space="preserve">A visual of the </w:t>
      </w:r>
      <w:r w:rsidR="004A7F83">
        <w:t>Add</w:t>
      </w:r>
      <w:r w:rsidR="004A7F83" w:rsidRPr="006B756E">
        <w:t xml:space="preserve"> process can be found in</w:t>
      </w:r>
      <w:r w:rsidR="004A7F83">
        <w:t xml:space="preserve"> Figure 4.</w:t>
      </w:r>
    </w:p>
    <w:p w14:paraId="0136A6E1" w14:textId="55D008DE" w:rsidR="002063A1" w:rsidRPr="006B756E" w:rsidRDefault="002063A1" w:rsidP="009E5489">
      <w:pPr>
        <w:pStyle w:val="ctrbulletedsublist"/>
        <w:spacing w:after="40" w:line="240" w:lineRule="auto"/>
        <w:ind w:left="1260"/>
        <w:jc w:val="both"/>
      </w:pPr>
      <w:r w:rsidRPr="006B756E">
        <w:t xml:space="preserve">If sufficient demographic data is available in an ICT source, then the Integration Strategy may be to simply add the ICT data to the TDS as a new response, instead of merging it with the existing responses. For example, if the ICT is an app such as Strava that collects detailed information on every bike ride, walk, or run </w:t>
      </w:r>
      <w:r>
        <w:t>users</w:t>
      </w:r>
      <w:r w:rsidRPr="006B756E">
        <w:t xml:space="preserve"> in an area take, then the data may just be added to the </w:t>
      </w:r>
      <w:r>
        <w:t>responses</w:t>
      </w:r>
      <w:r w:rsidRPr="006B756E">
        <w:t xml:space="preserve"> that individuals in </w:t>
      </w:r>
      <w:r>
        <w:t>that area</w:t>
      </w:r>
      <w:r w:rsidRPr="006B756E">
        <w:t xml:space="preserve"> reported in a TDS such as a household travel survey. See </w:t>
      </w:r>
      <w:r w:rsidR="002D6498">
        <w:t xml:space="preserve">Figure </w:t>
      </w:r>
      <w:r w:rsidR="00B360BF">
        <w:t>4</w:t>
      </w:r>
      <w:r w:rsidRPr="006B756E">
        <w:t xml:space="preserve"> for a visual of the </w:t>
      </w:r>
      <w:r w:rsidRPr="006B756E">
        <w:rPr>
          <w:b/>
        </w:rPr>
        <w:t>Add</w:t>
      </w:r>
      <w:r w:rsidRPr="006B756E">
        <w:t xml:space="preserve"> Integration Strategy. However, the analyst must be careful when performing this strategy to avoid introducing errors. The ICT dataset may </w:t>
      </w:r>
      <w:r>
        <w:t>include</w:t>
      </w:r>
      <w:r w:rsidRPr="006B756E">
        <w:t xml:space="preserve"> a trip/activity/event that the TDS has already recorded or an individual who has already been included in the TDS. This may cause the dataset to be overbalanced toward groups that participate more in crowdsourcing data collection efforts. </w:t>
      </w:r>
    </w:p>
    <w:p w14:paraId="28ACA62F" w14:textId="77777777" w:rsidR="002063A1" w:rsidRPr="006B756E" w:rsidRDefault="002063A1" w:rsidP="009E5489">
      <w:pPr>
        <w:pStyle w:val="ctrbulletedsublist"/>
        <w:spacing w:after="40" w:line="240" w:lineRule="auto"/>
        <w:ind w:left="1260"/>
        <w:jc w:val="both"/>
      </w:pPr>
      <w:r w:rsidRPr="006B756E">
        <w:t>Investment rating</w:t>
      </w:r>
    </w:p>
    <w:p w14:paraId="02702582" w14:textId="19DF70F4" w:rsidR="002063A1" w:rsidRPr="006B756E" w:rsidRDefault="002063A1" w:rsidP="009E5489">
      <w:pPr>
        <w:pStyle w:val="BodyText1"/>
        <w:numPr>
          <w:ilvl w:val="2"/>
          <w:numId w:val="30"/>
        </w:numPr>
        <w:spacing w:after="40" w:line="240" w:lineRule="auto"/>
        <w:ind w:left="1800"/>
        <w:rPr>
          <w:color w:val="auto"/>
          <w:u w:val="single"/>
        </w:rPr>
      </w:pPr>
      <w:r w:rsidRPr="006B756E">
        <w:rPr>
          <w:color w:val="auto"/>
          <w:u w:val="single"/>
        </w:rPr>
        <w:t>Time:</w:t>
      </w:r>
      <w:r w:rsidRPr="006B756E">
        <w:rPr>
          <w:color w:val="auto"/>
        </w:rPr>
        <w:t xml:space="preserve"> If the ICT data source is comprehensive, then it can simply</w:t>
      </w:r>
      <w:r>
        <w:rPr>
          <w:color w:val="auto"/>
        </w:rPr>
        <w:t xml:space="preserve"> be</w:t>
      </w:r>
      <w:r w:rsidRPr="006B756E">
        <w:rPr>
          <w:color w:val="auto"/>
        </w:rPr>
        <w:t xml:space="preserve"> added to a TDS</w:t>
      </w:r>
      <w:r>
        <w:rPr>
          <w:color w:val="auto"/>
        </w:rPr>
        <w:t>,</w:t>
      </w:r>
      <w:r w:rsidRPr="006B756E">
        <w:rPr>
          <w:color w:val="auto"/>
        </w:rPr>
        <w:t xml:space="preserve"> an </w:t>
      </w:r>
      <w:r w:rsidRPr="006B756E">
        <w:rPr>
          <w:b/>
          <w:color w:val="auto"/>
        </w:rPr>
        <w:t>immediate</w:t>
      </w:r>
      <w:r>
        <w:rPr>
          <w:b/>
          <w:color w:val="auto"/>
        </w:rPr>
        <w:t xml:space="preserve"> </w:t>
      </w:r>
      <w:r w:rsidRPr="000B5C55">
        <w:rPr>
          <w:color w:val="auto"/>
        </w:rPr>
        <w:t>process</w:t>
      </w:r>
      <w:r w:rsidRPr="006B756E">
        <w:rPr>
          <w:color w:val="auto"/>
        </w:rPr>
        <w:t xml:space="preserve">. If the ICT data source is missing </w:t>
      </w:r>
      <w:r w:rsidR="003D100B">
        <w:rPr>
          <w:color w:val="auto"/>
        </w:rPr>
        <w:t xml:space="preserve">a considerable amount of </w:t>
      </w:r>
      <w:r w:rsidRPr="006B756E">
        <w:rPr>
          <w:color w:val="auto"/>
        </w:rPr>
        <w:t xml:space="preserve">responses or demographic information or upon evaluation is not compatible with the TDS (e.g., it only measures bike routes, while the TDM is of car travel), then a </w:t>
      </w:r>
      <w:r w:rsidRPr="006B756E">
        <w:rPr>
          <w:b/>
          <w:color w:val="auto"/>
        </w:rPr>
        <w:t>significant amount of time</w:t>
      </w:r>
      <w:r w:rsidRPr="006B756E">
        <w:rPr>
          <w:color w:val="auto"/>
        </w:rPr>
        <w:t xml:space="preserve"> may be required to reformat and convert the data, or the analyst may avoid th</w:t>
      </w:r>
      <w:r>
        <w:rPr>
          <w:color w:val="auto"/>
        </w:rPr>
        <w:t>is</w:t>
      </w:r>
      <w:r w:rsidRPr="006B756E">
        <w:rPr>
          <w:color w:val="auto"/>
        </w:rPr>
        <w:t xml:space="preserve"> Integration Strategy altogether.  </w:t>
      </w:r>
    </w:p>
    <w:p w14:paraId="235B8F55" w14:textId="77777777" w:rsidR="002063A1" w:rsidRPr="006B756E" w:rsidRDefault="002063A1" w:rsidP="009E5489">
      <w:pPr>
        <w:pStyle w:val="BodyText1"/>
        <w:numPr>
          <w:ilvl w:val="2"/>
          <w:numId w:val="30"/>
        </w:numPr>
        <w:spacing w:after="40" w:line="240" w:lineRule="auto"/>
        <w:ind w:left="1800"/>
        <w:rPr>
          <w:color w:val="auto"/>
        </w:rPr>
      </w:pPr>
      <w:r w:rsidRPr="006B756E">
        <w:rPr>
          <w:color w:val="auto"/>
          <w:u w:val="single"/>
        </w:rPr>
        <w:t>Capital:</w:t>
      </w:r>
      <w:r w:rsidRPr="006B756E">
        <w:rPr>
          <w:color w:val="auto"/>
        </w:rPr>
        <w:t xml:space="preserve"> Acquiring data sources that include both demographic and detailed event data is usually </w:t>
      </w:r>
      <w:r w:rsidRPr="006B756E">
        <w:rPr>
          <w:b/>
          <w:color w:val="auto"/>
        </w:rPr>
        <w:t xml:space="preserve">more costly </w:t>
      </w:r>
      <w:r w:rsidRPr="006B756E">
        <w:rPr>
          <w:color w:val="auto"/>
        </w:rPr>
        <w:t xml:space="preserve">than other ICT data sources because </w:t>
      </w:r>
      <w:r w:rsidRPr="006B756E">
        <w:t>it typically costs more to collect and store more data.</w:t>
      </w:r>
    </w:p>
    <w:p w14:paraId="0A967A53" w14:textId="77777777" w:rsidR="002063A1" w:rsidRDefault="002063A1" w:rsidP="009E5489">
      <w:pPr>
        <w:pStyle w:val="BodyText1"/>
        <w:numPr>
          <w:ilvl w:val="2"/>
          <w:numId w:val="30"/>
        </w:numPr>
        <w:spacing w:after="40" w:line="240" w:lineRule="auto"/>
        <w:ind w:left="1800"/>
        <w:rPr>
          <w:color w:val="auto"/>
        </w:rPr>
      </w:pPr>
      <w:r w:rsidRPr="006B756E">
        <w:rPr>
          <w:color w:val="auto"/>
          <w:u w:val="single"/>
        </w:rPr>
        <w:t>Effort:</w:t>
      </w:r>
      <w:r w:rsidRPr="006B756E">
        <w:rPr>
          <w:color w:val="auto"/>
        </w:rPr>
        <w:t xml:space="preserve"> Similar to the time investment, the effort required for this Integration Strategy depends on the format of the ICT data when collected and how many conversions the </w:t>
      </w:r>
      <w:r>
        <w:rPr>
          <w:color w:val="auto"/>
        </w:rPr>
        <w:t>DBMS</w:t>
      </w:r>
      <w:r w:rsidRPr="006B756E">
        <w:rPr>
          <w:color w:val="auto"/>
        </w:rPr>
        <w:t xml:space="preserve"> must perform to make the data compatible with the TD</w:t>
      </w:r>
      <w:r>
        <w:rPr>
          <w:color w:val="auto"/>
        </w:rPr>
        <w:t>S.</w:t>
      </w:r>
      <w:r w:rsidRPr="006B756E">
        <w:rPr>
          <w:color w:val="auto"/>
        </w:rPr>
        <w:t xml:space="preserve"> This effort </w:t>
      </w:r>
      <w:r w:rsidRPr="006B756E">
        <w:rPr>
          <w:b/>
          <w:color w:val="auto"/>
        </w:rPr>
        <w:t>may be minimal or may be very time consuming</w:t>
      </w:r>
      <w:r w:rsidRPr="006B756E">
        <w:rPr>
          <w:color w:val="auto"/>
        </w:rPr>
        <w:t>.</w:t>
      </w:r>
    </w:p>
    <w:p w14:paraId="49DF8B18" w14:textId="77777777" w:rsidR="002063A1" w:rsidRPr="006B756E" w:rsidRDefault="002063A1" w:rsidP="009E5489">
      <w:pPr>
        <w:pStyle w:val="BodyText1"/>
        <w:keepNext/>
        <w:spacing w:after="0" w:line="240" w:lineRule="auto"/>
        <w:jc w:val="center"/>
      </w:pPr>
      <w:r w:rsidRPr="006B756E">
        <w:rPr>
          <w:noProof/>
        </w:rPr>
        <w:lastRenderedPageBreak/>
        <w:drawing>
          <wp:inline distT="0" distB="0" distL="0" distR="0" wp14:anchorId="220C4700" wp14:editId="4C0C81C6">
            <wp:extent cx="3550920" cy="1379052"/>
            <wp:effectExtent l="0" t="0" r="0" b="0"/>
            <wp:docPr id="10" name="Picture 10" descr="Visualization of Add exampl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515" t="67776" r="27855" b="2809"/>
                    <a:stretch/>
                  </pic:blipFill>
                  <pic:spPr bwMode="auto">
                    <a:xfrm>
                      <a:off x="0" y="0"/>
                      <a:ext cx="3552114" cy="1379516"/>
                    </a:xfrm>
                    <a:prstGeom prst="rect">
                      <a:avLst/>
                    </a:prstGeom>
                    <a:noFill/>
                    <a:ln>
                      <a:noFill/>
                    </a:ln>
                    <a:extLst>
                      <a:ext uri="{53640926-AAD7-44D8-BBD7-CCE9431645EC}">
                        <a14:shadowObscured xmlns:a14="http://schemas.microsoft.com/office/drawing/2010/main"/>
                      </a:ext>
                    </a:extLst>
                  </pic:spPr>
                </pic:pic>
              </a:graphicData>
            </a:graphic>
          </wp:inline>
        </w:drawing>
      </w:r>
    </w:p>
    <w:p w14:paraId="5A9844AD" w14:textId="44A380AF" w:rsidR="002063A1" w:rsidRDefault="002063A1" w:rsidP="009E5489">
      <w:pPr>
        <w:pStyle w:val="BodyText1"/>
        <w:spacing w:after="0" w:line="240" w:lineRule="auto"/>
        <w:jc w:val="center"/>
        <w:rPr>
          <w:b/>
          <w:bCs/>
        </w:rPr>
      </w:pPr>
      <w:r w:rsidRPr="005E2279">
        <w:rPr>
          <w:b/>
          <w:bCs/>
        </w:rPr>
        <w:t>Figure</w:t>
      </w:r>
      <w:r w:rsidR="005E2279" w:rsidRPr="005E2279">
        <w:rPr>
          <w:b/>
          <w:bCs/>
        </w:rPr>
        <w:t xml:space="preserve"> </w:t>
      </w:r>
      <w:r w:rsidR="004A7F83">
        <w:rPr>
          <w:b/>
          <w:bCs/>
        </w:rPr>
        <w:t>4</w:t>
      </w:r>
      <w:r w:rsidRPr="005E2279">
        <w:rPr>
          <w:b/>
          <w:bCs/>
        </w:rPr>
        <w:t xml:space="preserve"> Integration Strategy: Add</w:t>
      </w:r>
    </w:p>
    <w:p w14:paraId="2C40CBF9" w14:textId="77777777" w:rsidR="008F230A" w:rsidRPr="005E2279" w:rsidRDefault="008F230A" w:rsidP="009E5489">
      <w:pPr>
        <w:pStyle w:val="BodyText1"/>
        <w:spacing w:after="0" w:line="240" w:lineRule="auto"/>
        <w:rPr>
          <w:b/>
          <w:bCs/>
        </w:rPr>
      </w:pPr>
    </w:p>
    <w:p w14:paraId="779021B3" w14:textId="61D4385D" w:rsidR="00850CBB" w:rsidRDefault="00850CBB" w:rsidP="009E5489">
      <w:pPr>
        <w:pStyle w:val="ctrbulletedlist"/>
        <w:spacing w:after="40" w:line="240" w:lineRule="auto"/>
        <w:jc w:val="both"/>
      </w:pPr>
      <w:r w:rsidRPr="00273153">
        <w:rPr>
          <w:b/>
        </w:rPr>
        <w:t>Independent Use:</w:t>
      </w:r>
      <w:r w:rsidRPr="00273153">
        <w:t xml:space="preserve"> Some very efficient ICT data sources might include significant demographic data in addition to trip details. These ICT data sources can be used “independently” (i.e., without integration with TDS) for T</w:t>
      </w:r>
      <w:r w:rsidRPr="006B756E">
        <w:t>DM.</w:t>
      </w:r>
    </w:p>
    <w:p w14:paraId="46E3ACD5" w14:textId="77777777" w:rsidR="002063A1" w:rsidRPr="006B756E" w:rsidRDefault="002063A1" w:rsidP="009E5489">
      <w:pPr>
        <w:pStyle w:val="ctrbulletedsublist"/>
        <w:spacing w:after="40" w:line="240" w:lineRule="auto"/>
        <w:ind w:left="1260"/>
        <w:jc w:val="both"/>
      </w:pPr>
      <w:r w:rsidRPr="006B756E">
        <w:t xml:space="preserve">In an ideal scenario, ICT data sources contain complete demographic and trip information, which allows them to be used independently (i.e., without any TDS). These data sources, while rare, provide a very large sample and hence very accurate models. In some cases, where </w:t>
      </w:r>
      <w:r>
        <w:t>the data focuses on a</w:t>
      </w:r>
      <w:r w:rsidRPr="006B756E">
        <w:t xml:space="preserve"> certain </w:t>
      </w:r>
      <w:r>
        <w:t>M</w:t>
      </w:r>
      <w:r w:rsidRPr="006B756E">
        <w:t>ode</w:t>
      </w:r>
      <w:r>
        <w:t xml:space="preserve"> or </w:t>
      </w:r>
      <w:r w:rsidRPr="006B756E">
        <w:t>trip type (</w:t>
      </w:r>
      <w:r>
        <w:t>e.g.,</w:t>
      </w:r>
      <w:r w:rsidRPr="006B756E">
        <w:t xml:space="preserve"> Uber </w:t>
      </w:r>
      <w:r>
        <w:t>rides</w:t>
      </w:r>
      <w:r w:rsidRPr="006B756E">
        <w:t>), we can derive models for such trips by Mode (vehicle type) or Purpose</w:t>
      </w:r>
      <w:r>
        <w:t>,</w:t>
      </w:r>
      <w:r w:rsidRPr="006B756E">
        <w:t xml:space="preserve"> perhaps distinguishing between commute and non-commute trips by sorting through origins and destinations. In practice, these data sources can be used very similarly to TDS. They can be used to build parallel models, compare with and validate traditional processes, and better calibrate already-existing models. </w:t>
      </w:r>
    </w:p>
    <w:p w14:paraId="276A2FB0" w14:textId="200AF500" w:rsidR="002063A1" w:rsidRPr="005E2279" w:rsidRDefault="002063A1" w:rsidP="009E5489">
      <w:pPr>
        <w:pStyle w:val="ctrbulletedsublist"/>
        <w:spacing w:after="40" w:line="240" w:lineRule="auto"/>
        <w:ind w:left="1260"/>
        <w:jc w:val="both"/>
      </w:pPr>
      <w:r w:rsidRPr="005E2279">
        <w:t xml:space="preserve">Investment Rating: </w:t>
      </w:r>
    </w:p>
    <w:p w14:paraId="2FB43147" w14:textId="77777777" w:rsidR="002063A1" w:rsidRPr="006B756E" w:rsidRDefault="002063A1" w:rsidP="009E5489">
      <w:pPr>
        <w:pStyle w:val="BodyText1"/>
        <w:numPr>
          <w:ilvl w:val="2"/>
          <w:numId w:val="30"/>
        </w:numPr>
        <w:spacing w:after="40" w:line="240" w:lineRule="auto"/>
        <w:ind w:left="1800"/>
        <w:rPr>
          <w:color w:val="auto"/>
        </w:rPr>
      </w:pPr>
      <w:r w:rsidRPr="006B756E">
        <w:rPr>
          <w:color w:val="auto"/>
          <w:u w:val="single"/>
        </w:rPr>
        <w:t>Time:</w:t>
      </w:r>
      <w:r w:rsidRPr="006B756E">
        <w:rPr>
          <w:color w:val="auto"/>
        </w:rPr>
        <w:t xml:space="preserve"> These datasets, if acquired in raw format, might </w:t>
      </w:r>
      <w:r w:rsidRPr="006B756E">
        <w:rPr>
          <w:b/>
          <w:color w:val="auto"/>
        </w:rPr>
        <w:t>require significant time</w:t>
      </w:r>
      <w:r w:rsidRPr="006B756E">
        <w:rPr>
          <w:color w:val="auto"/>
        </w:rPr>
        <w:t xml:space="preserve"> to process, clean</w:t>
      </w:r>
      <w:r>
        <w:rPr>
          <w:color w:val="auto"/>
        </w:rPr>
        <w:t>,</w:t>
      </w:r>
      <w:r w:rsidRPr="006B756E">
        <w:rPr>
          <w:color w:val="auto"/>
        </w:rPr>
        <w:t xml:space="preserve"> and filter the useful data. If the data provided is already clean, the process should be</w:t>
      </w:r>
      <w:r w:rsidRPr="006B756E">
        <w:rPr>
          <w:b/>
          <w:color w:val="auto"/>
        </w:rPr>
        <w:t xml:space="preserve"> quicker</w:t>
      </w:r>
      <w:r w:rsidRPr="006B756E">
        <w:rPr>
          <w:color w:val="auto"/>
        </w:rPr>
        <w:t xml:space="preserve"> and similar to traditional processes. The time required will then depend on the amount of data the analyst desires to use.</w:t>
      </w:r>
    </w:p>
    <w:p w14:paraId="2ED34F6E" w14:textId="77777777" w:rsidR="002063A1" w:rsidRPr="006B756E" w:rsidRDefault="002063A1" w:rsidP="009E5489">
      <w:pPr>
        <w:pStyle w:val="BodyText1"/>
        <w:numPr>
          <w:ilvl w:val="2"/>
          <w:numId w:val="30"/>
        </w:numPr>
        <w:spacing w:after="40" w:line="240" w:lineRule="auto"/>
        <w:ind w:left="1800"/>
        <w:rPr>
          <w:color w:val="auto"/>
        </w:rPr>
      </w:pPr>
      <w:r w:rsidRPr="006B756E">
        <w:rPr>
          <w:color w:val="auto"/>
          <w:u w:val="single"/>
        </w:rPr>
        <w:t>Capital:</w:t>
      </w:r>
      <w:r w:rsidRPr="006B756E">
        <w:rPr>
          <w:color w:val="auto"/>
        </w:rPr>
        <w:t xml:space="preserve"> This type of data can be </w:t>
      </w:r>
      <w:r w:rsidRPr="006B756E">
        <w:rPr>
          <w:b/>
          <w:color w:val="auto"/>
        </w:rPr>
        <w:t>very expensive</w:t>
      </w:r>
      <w:r w:rsidRPr="006B756E">
        <w:rPr>
          <w:color w:val="auto"/>
        </w:rPr>
        <w:t xml:space="preserve"> to collect, as it contains </w:t>
      </w:r>
      <w:r w:rsidRPr="006B756E">
        <w:t>many variables for many respondents</w:t>
      </w:r>
      <w:r w:rsidRPr="006B756E">
        <w:rPr>
          <w:color w:val="auto"/>
        </w:rPr>
        <w:t xml:space="preserve">. Such collection requires sophisticated technology, which can involve many challenges. Storage of such large-scale data is also expensive. </w:t>
      </w:r>
    </w:p>
    <w:p w14:paraId="258334CF" w14:textId="623A509B" w:rsidR="002063A1" w:rsidRPr="008F230A" w:rsidRDefault="002063A1" w:rsidP="009E5489">
      <w:pPr>
        <w:pStyle w:val="BodyText1"/>
        <w:numPr>
          <w:ilvl w:val="2"/>
          <w:numId w:val="30"/>
        </w:numPr>
        <w:spacing w:after="0" w:line="240" w:lineRule="auto"/>
        <w:ind w:left="1800"/>
      </w:pPr>
      <w:r w:rsidRPr="00517E4E">
        <w:rPr>
          <w:color w:val="auto"/>
          <w:u w:val="single"/>
        </w:rPr>
        <w:t>Effort:</w:t>
      </w:r>
      <w:r w:rsidRPr="006B756E">
        <w:rPr>
          <w:color w:val="auto"/>
        </w:rPr>
        <w:t xml:space="preserve"> If </w:t>
      </w:r>
      <w:r>
        <w:rPr>
          <w:color w:val="auto"/>
        </w:rPr>
        <w:t xml:space="preserve">the data is </w:t>
      </w:r>
      <w:r w:rsidRPr="006B756E">
        <w:rPr>
          <w:color w:val="auto"/>
        </w:rPr>
        <w:t xml:space="preserve">acquired in raw format, this </w:t>
      </w:r>
      <w:r>
        <w:rPr>
          <w:color w:val="auto"/>
        </w:rPr>
        <w:t xml:space="preserve">Integration Strategy </w:t>
      </w:r>
      <w:r w:rsidRPr="006B756E">
        <w:rPr>
          <w:color w:val="auto"/>
        </w:rPr>
        <w:t xml:space="preserve">will </w:t>
      </w:r>
      <w:r w:rsidRPr="00517E4E">
        <w:rPr>
          <w:b/>
          <w:color w:val="auto"/>
        </w:rPr>
        <w:t>require significant effort</w:t>
      </w:r>
      <w:r w:rsidRPr="006B756E">
        <w:rPr>
          <w:color w:val="auto"/>
        </w:rPr>
        <w:t xml:space="preserve"> for pre-processing and cleaning and might require specialized data engineers. However, if acquired in a usable format, this data can be </w:t>
      </w:r>
      <w:r w:rsidRPr="00517E4E">
        <w:rPr>
          <w:b/>
          <w:color w:val="auto"/>
        </w:rPr>
        <w:t xml:space="preserve">used immediately </w:t>
      </w:r>
      <w:r w:rsidRPr="006B756E">
        <w:rPr>
          <w:color w:val="auto"/>
        </w:rPr>
        <w:t xml:space="preserve">for TDM, without being integrated with any other data sources. </w:t>
      </w:r>
    </w:p>
    <w:p w14:paraId="723325B8" w14:textId="77777777" w:rsidR="008F230A" w:rsidRPr="006B756E" w:rsidRDefault="008F230A" w:rsidP="009E5489">
      <w:pPr>
        <w:pStyle w:val="BodyText1"/>
        <w:spacing w:after="0" w:line="240" w:lineRule="auto"/>
        <w:ind w:left="2160" w:right="450"/>
      </w:pPr>
    </w:p>
    <w:bookmarkEnd w:id="10"/>
    <w:p w14:paraId="2524D09B" w14:textId="75F3B7A4" w:rsidR="0001194B" w:rsidRDefault="0001194B" w:rsidP="009E5489">
      <w:pPr>
        <w:pStyle w:val="Heading2"/>
        <w:numPr>
          <w:ilvl w:val="1"/>
          <w:numId w:val="28"/>
        </w:numPr>
        <w:spacing w:before="0" w:line="240" w:lineRule="auto"/>
        <w:ind w:left="450"/>
      </w:pPr>
      <w:r>
        <w:t>Integration Framework</w:t>
      </w:r>
    </w:p>
    <w:p w14:paraId="1F40A1DE" w14:textId="63D36A7C" w:rsidR="002063A1" w:rsidRDefault="0001194B" w:rsidP="009E5489">
      <w:pPr>
        <w:pStyle w:val="ctrbody"/>
        <w:spacing w:after="0" w:line="240" w:lineRule="auto"/>
        <w:ind w:right="0"/>
      </w:pPr>
      <w:r>
        <w:t>Based on 1) the content of ICT data sources (the cascading three-level structure of main context, additional content, and information unit level of data) and 2) the four fusion strategies, an integration framework was developed in order to</w:t>
      </w:r>
      <w:r w:rsidRPr="0001194B">
        <w:t xml:space="preserve"> </w:t>
      </w:r>
      <w:r>
        <w:t xml:space="preserve">map the characteristics of </w:t>
      </w:r>
      <w:r w:rsidRPr="007A22ED">
        <w:t xml:space="preserve">a given </w:t>
      </w:r>
      <w:r>
        <w:t xml:space="preserve">ICT data source to </w:t>
      </w:r>
      <w:r w:rsidRPr="007A22ED">
        <w:t xml:space="preserve">one (or more) of </w:t>
      </w:r>
      <w:r>
        <w:t xml:space="preserve">the methods </w:t>
      </w:r>
      <w:r w:rsidRPr="007A22ED">
        <w:t>of fusion</w:t>
      </w:r>
      <w:r>
        <w:t xml:space="preserve">. </w:t>
      </w:r>
      <w:r w:rsidRPr="00222B44">
        <w:t xml:space="preserve">The </w:t>
      </w:r>
      <w:r>
        <w:t xml:space="preserve">framework </w:t>
      </w:r>
      <w:r w:rsidRPr="00222B44">
        <w:t>flowchart</w:t>
      </w:r>
      <w:r>
        <w:t xml:space="preserve">, shown in Figure </w:t>
      </w:r>
      <w:r w:rsidR="004A7F83">
        <w:t>5</w:t>
      </w:r>
      <w:r>
        <w:t>,</w:t>
      </w:r>
      <w:r w:rsidRPr="00222B44">
        <w:t xml:space="preserve"> </w:t>
      </w:r>
      <w:r>
        <w:t>provides</w:t>
      </w:r>
      <w:r w:rsidRPr="00222B44">
        <w:t xml:space="preserve"> guidelines</w:t>
      </w:r>
      <w:r>
        <w:t xml:space="preserve"> of the decision making process to project </w:t>
      </w:r>
      <w:r w:rsidRPr="00222B44">
        <w:t xml:space="preserve">which fusion strategy </w:t>
      </w:r>
      <w:r>
        <w:t xml:space="preserve">or strategies </w:t>
      </w:r>
      <w:r w:rsidRPr="00222B44">
        <w:t>would work best with each data source</w:t>
      </w:r>
      <w:r>
        <w:t xml:space="preserve">. </w:t>
      </w:r>
    </w:p>
    <w:p w14:paraId="57C6385C" w14:textId="12E611AC" w:rsidR="002063A1" w:rsidRDefault="002063A1" w:rsidP="009E5489">
      <w:pPr>
        <w:pStyle w:val="ctrbodytext"/>
        <w:spacing w:line="240" w:lineRule="auto"/>
        <w:sectPr w:rsidR="002063A1" w:rsidSect="006953E5">
          <w:footerReference w:type="default" r:id="rId16"/>
          <w:pgSz w:w="12240" w:h="15840" w:code="1"/>
          <w:pgMar w:top="1440" w:right="1440" w:bottom="1440" w:left="1440" w:header="720" w:footer="720" w:gutter="0"/>
          <w:pgNumType w:start="1"/>
          <w:cols w:space="720"/>
          <w:docGrid w:linePitch="326"/>
        </w:sectPr>
      </w:pPr>
    </w:p>
    <w:p w14:paraId="6A6D1290" w14:textId="77777777" w:rsidR="007052F2" w:rsidRDefault="007052F2" w:rsidP="009E5489">
      <w:pPr>
        <w:pStyle w:val="ctrbody"/>
        <w:spacing w:line="240" w:lineRule="auto"/>
        <w:jc w:val="center"/>
      </w:pPr>
      <w:r w:rsidRPr="006B756E">
        <w:rPr>
          <w:noProof/>
        </w:rPr>
        <w:lastRenderedPageBreak/>
        <w:drawing>
          <wp:inline distT="0" distB="0" distL="0" distR="0" wp14:anchorId="7CE3B363" wp14:editId="4665C929">
            <wp:extent cx="8229600" cy="5184775"/>
            <wp:effectExtent l="0" t="0" r="0" b="0"/>
            <wp:docPr id="5" name="Picture 5" descr="Image of decision process to map an ICT data source to a fusion method. The flow is explain in the text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5184775"/>
                    </a:xfrm>
                    <a:prstGeom prst="rect">
                      <a:avLst/>
                    </a:prstGeom>
                    <a:noFill/>
                  </pic:spPr>
                </pic:pic>
              </a:graphicData>
            </a:graphic>
          </wp:inline>
        </w:drawing>
      </w:r>
    </w:p>
    <w:p w14:paraId="756E02CA" w14:textId="30F108F2" w:rsidR="007052F2" w:rsidRPr="00AB2A21" w:rsidRDefault="007052F2" w:rsidP="009E5489">
      <w:pPr>
        <w:pStyle w:val="Style1"/>
        <w:spacing w:line="240" w:lineRule="auto"/>
        <w:jc w:val="center"/>
        <w:sectPr w:rsidR="007052F2" w:rsidRPr="00AB2A21" w:rsidSect="00AB2A21">
          <w:pgSz w:w="15840" w:h="12240" w:orient="landscape" w:code="1"/>
          <w:pgMar w:top="1080" w:right="1440" w:bottom="2160" w:left="1440" w:header="720" w:footer="720" w:gutter="0"/>
          <w:cols w:space="720"/>
          <w:docGrid w:linePitch="326"/>
        </w:sectPr>
      </w:pPr>
      <w:bookmarkStart w:id="11" w:name="_Toc119830951"/>
      <w:r>
        <w:t xml:space="preserve">Figure </w:t>
      </w:r>
      <w:r w:rsidR="004A7F83">
        <w:t>5</w:t>
      </w:r>
      <w:r>
        <w:t xml:space="preserve"> </w:t>
      </w:r>
      <w:r w:rsidRPr="00AB2A21">
        <w:t>Mapping ICT Data Source to Fusion Method</w:t>
      </w:r>
      <w:bookmarkEnd w:id="11"/>
    </w:p>
    <w:p w14:paraId="307965AE" w14:textId="0EBE5C6A" w:rsidR="00900D4E" w:rsidRDefault="007052F2" w:rsidP="009E5489">
      <w:pPr>
        <w:pStyle w:val="ctrbodytext"/>
        <w:spacing w:after="0" w:line="240" w:lineRule="auto"/>
        <w:jc w:val="both"/>
      </w:pPr>
      <w:r w:rsidRPr="006B756E">
        <w:lastRenderedPageBreak/>
        <w:t>To use the Integration Framework, select a specific ICT data source and work from the top to the bottom, following the arrow to the appropriate response to each question</w:t>
      </w:r>
      <w:r w:rsidR="000819B9">
        <w:t xml:space="preserve">. </w:t>
      </w:r>
      <w:r w:rsidR="00900D4E" w:rsidRPr="006B756E">
        <w:t>The proposed framework broadly categorize</w:t>
      </w:r>
      <w:r w:rsidR="00900D4E">
        <w:t>s</w:t>
      </w:r>
      <w:r w:rsidR="00900D4E" w:rsidRPr="006B756E">
        <w:t xml:space="preserve"> ICT data source</w:t>
      </w:r>
      <w:r w:rsidR="00900D4E">
        <w:t>s</w:t>
      </w:r>
      <w:r w:rsidR="00900D4E" w:rsidRPr="006B756E">
        <w:t xml:space="preserve"> and recommend</w:t>
      </w:r>
      <w:r w:rsidR="00900D4E">
        <w:t>s</w:t>
      </w:r>
      <w:r w:rsidR="00900D4E" w:rsidRPr="006B756E">
        <w:t xml:space="preserve"> for each category a strategy to integrate the ICT and traditionally sourced data. In all cases, integration requires in-depth consideration of the data formats</w:t>
      </w:r>
      <w:r w:rsidR="00900D4E">
        <w:t>;</w:t>
      </w:r>
      <w:r w:rsidR="00900D4E" w:rsidRPr="006B756E">
        <w:t xml:space="preserve"> thus we have proposed a broad, higher-level framework that should encapsulate all possible types of data sources, including </w:t>
      </w:r>
      <w:r w:rsidR="00900D4E">
        <w:t>both ICT data sources and TDS.</w:t>
      </w:r>
      <w:r w:rsidR="00900D4E" w:rsidRPr="006B756E">
        <w:t xml:space="preserve"> </w:t>
      </w:r>
    </w:p>
    <w:p w14:paraId="4D194ACB" w14:textId="77777777" w:rsidR="00502475" w:rsidRPr="00900D4E" w:rsidRDefault="00502475" w:rsidP="009E5489">
      <w:pPr>
        <w:pStyle w:val="ctrbodytext"/>
        <w:spacing w:after="0" w:line="240" w:lineRule="auto"/>
        <w:jc w:val="both"/>
      </w:pPr>
    </w:p>
    <w:p w14:paraId="34FE97C5" w14:textId="2523952D" w:rsidR="005E2279" w:rsidRDefault="005E2279" w:rsidP="009E5489">
      <w:pPr>
        <w:pStyle w:val="Heading2"/>
        <w:numPr>
          <w:ilvl w:val="1"/>
          <w:numId w:val="28"/>
        </w:numPr>
        <w:spacing w:before="0" w:line="240" w:lineRule="auto"/>
        <w:ind w:left="450"/>
      </w:pPr>
      <w:r>
        <w:t xml:space="preserve">Examples of </w:t>
      </w:r>
      <w:r w:rsidR="00900D4E">
        <w:t>Framework Use</w:t>
      </w:r>
      <w:r>
        <w:t xml:space="preserve"> </w:t>
      </w:r>
    </w:p>
    <w:p w14:paraId="6D228C5C" w14:textId="2A707FF9" w:rsidR="007052F2" w:rsidRPr="006B756E" w:rsidRDefault="005E2279" w:rsidP="009E5489">
      <w:pPr>
        <w:pStyle w:val="ctrbodytext"/>
        <w:spacing w:after="0" w:line="240" w:lineRule="auto"/>
        <w:jc w:val="both"/>
      </w:pPr>
      <w:r>
        <w:t>Next</w:t>
      </w:r>
      <w:r w:rsidR="007052F2">
        <w:t xml:space="preserve">, we </w:t>
      </w:r>
      <w:r w:rsidR="007052F2" w:rsidRPr="006B756E">
        <w:t xml:space="preserve">review two ICT sources from different ICT Classes and </w:t>
      </w:r>
      <w:r w:rsidR="007052F2">
        <w:t xml:space="preserve">show </w:t>
      </w:r>
      <w:r w:rsidR="007052F2" w:rsidRPr="006B756E">
        <w:t xml:space="preserve">how </w:t>
      </w:r>
      <w:r w:rsidR="007052F2">
        <w:t>the mapping framework may be applied to determine the “best” fusion method.</w:t>
      </w:r>
    </w:p>
    <w:p w14:paraId="2AEA6046" w14:textId="1A1F0CC8" w:rsidR="00502475" w:rsidRDefault="007052F2" w:rsidP="009E5489">
      <w:pPr>
        <w:pStyle w:val="ctrbodytext"/>
        <w:spacing w:after="120" w:line="240" w:lineRule="auto"/>
        <w:ind w:firstLine="720"/>
        <w:jc w:val="both"/>
      </w:pPr>
      <w:r w:rsidRPr="006B756E">
        <w:t xml:space="preserve">The first example is </w:t>
      </w:r>
      <w:r w:rsidR="004A7F83">
        <w:t>for</w:t>
      </w:r>
      <w:r w:rsidRPr="006B756E">
        <w:t xml:space="preserve"> app</w:t>
      </w:r>
      <w:r w:rsidR="004A7F83">
        <w:t xml:space="preserve"> data</w:t>
      </w:r>
      <w:r w:rsidRPr="006B756E">
        <w:t xml:space="preserve">. </w:t>
      </w:r>
      <w:r w:rsidR="000819B9">
        <w:t>Figure 6</w:t>
      </w:r>
      <w:r w:rsidR="005E2279">
        <w:t xml:space="preserve"> </w:t>
      </w:r>
      <w:r w:rsidRPr="006B756E">
        <w:t xml:space="preserve">visualizes the process of applying the </w:t>
      </w:r>
      <w:r>
        <w:t>mapping f</w:t>
      </w:r>
      <w:r w:rsidRPr="006B756E">
        <w:t xml:space="preserve">ramework, with the purple </w:t>
      </w:r>
      <w:r>
        <w:t xml:space="preserve">checkered </w:t>
      </w:r>
      <w:r w:rsidRPr="006B756E">
        <w:t xml:space="preserve">boxes indicating the flow of questions and responses followed by the app data source, concluding with the Integration Strategy </w:t>
      </w:r>
      <w:r w:rsidRPr="006B756E">
        <w:rPr>
          <w:b/>
        </w:rPr>
        <w:t>Merge 2.</w:t>
      </w:r>
      <w:r w:rsidRPr="006B756E">
        <w:t xml:space="preserve"> App data is disaggregated and collects information on all users. This usually includes demographic data. Apps are deployed to provide a service for a specific group of users, and therefore they have a specific context. When signing up for an app, a user typically has to create a profile, where they supply some sort of identifier, such as an email address or a name. </w:t>
      </w:r>
    </w:p>
    <w:p w14:paraId="0FB0E53A" w14:textId="6252B039" w:rsidR="007052F2" w:rsidRDefault="007052F2" w:rsidP="009E5489">
      <w:pPr>
        <w:pStyle w:val="ctrbody"/>
        <w:spacing w:after="0" w:line="240" w:lineRule="auto"/>
        <w:jc w:val="center"/>
        <w:rPr>
          <w:highlight w:val="lightGray"/>
        </w:rPr>
      </w:pPr>
      <w:r>
        <w:rPr>
          <w:noProof/>
        </w:rPr>
        <w:drawing>
          <wp:inline distT="0" distB="0" distL="0" distR="0" wp14:anchorId="49E30ED3" wp14:editId="26BC81D5">
            <wp:extent cx="5029200" cy="3191510"/>
            <wp:effectExtent l="0" t="0" r="0" b="8890"/>
            <wp:docPr id="13" name="Picture 13" descr="Example of mapping ICT App Data to the Merge 2 fusion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9200" cy="3191510"/>
                    </a:xfrm>
                    <a:prstGeom prst="rect">
                      <a:avLst/>
                    </a:prstGeom>
                    <a:noFill/>
                  </pic:spPr>
                </pic:pic>
              </a:graphicData>
            </a:graphic>
          </wp:inline>
        </w:drawing>
      </w:r>
    </w:p>
    <w:p w14:paraId="1056897C" w14:textId="35CBFEAF" w:rsidR="007052F2" w:rsidRDefault="000819B9" w:rsidP="009E5489">
      <w:pPr>
        <w:pStyle w:val="BodyText1"/>
        <w:spacing w:after="120" w:line="240" w:lineRule="auto"/>
        <w:jc w:val="center"/>
        <w:rPr>
          <w:b/>
          <w:bCs/>
        </w:rPr>
      </w:pPr>
      <w:bookmarkStart w:id="12" w:name="_Toc119830952"/>
      <w:r>
        <w:rPr>
          <w:b/>
          <w:bCs/>
        </w:rPr>
        <w:t>Figure 6</w:t>
      </w:r>
      <w:r w:rsidR="007052F2" w:rsidRPr="005E2279">
        <w:rPr>
          <w:b/>
          <w:bCs/>
        </w:rPr>
        <w:t xml:space="preserve"> Example of ICT App Data Source Integration Flow</w:t>
      </w:r>
      <w:bookmarkEnd w:id="12"/>
    </w:p>
    <w:p w14:paraId="62E5225A" w14:textId="65441C9A" w:rsidR="007052F2" w:rsidRDefault="007052F2" w:rsidP="009E5489">
      <w:pPr>
        <w:pStyle w:val="ctrbodytext"/>
        <w:spacing w:after="120" w:line="240" w:lineRule="auto"/>
        <w:ind w:firstLine="720"/>
        <w:jc w:val="both"/>
        <w:rPr>
          <w:b/>
        </w:rPr>
      </w:pPr>
      <w:r>
        <w:t>The</w:t>
      </w:r>
      <w:r w:rsidRPr="006B756E">
        <w:t xml:space="preserve"> second example </w:t>
      </w:r>
      <w:r>
        <w:t>use</w:t>
      </w:r>
      <w:r w:rsidRPr="006B756E">
        <w:t>s social media. Social media data is a special case</w:t>
      </w:r>
      <w:r>
        <w:t>. I</w:t>
      </w:r>
      <w:r w:rsidRPr="006B756E">
        <w:t xml:space="preserve">f large amounts of time and effort are invested in data mining and linking profiles, it can be disaggregated and a user and their demographics can be identified and linked to a given Tweet or Instagram post, which already contain geolocation. If an analyst is willing to undertake this investment, then the social media data source will follow a flow </w:t>
      </w:r>
      <w:r>
        <w:t>similar to</w:t>
      </w:r>
      <w:r w:rsidRPr="006B756E">
        <w:t xml:space="preserve"> the app data source</w:t>
      </w:r>
      <w:r>
        <w:t>,</w:t>
      </w:r>
      <w:r w:rsidRPr="006B756E">
        <w:t xml:space="preserve"> conclud</w:t>
      </w:r>
      <w:r>
        <w:t>ing</w:t>
      </w:r>
      <w:r w:rsidRPr="006B756E">
        <w:t xml:space="preserve"> with Merge 2. If the analyst will not be performing this disaggregation, as is more common </w:t>
      </w:r>
      <w:r>
        <w:t xml:space="preserve">with </w:t>
      </w:r>
      <w:r w:rsidRPr="006B756E">
        <w:t>social media source</w:t>
      </w:r>
      <w:r>
        <w:t>s</w:t>
      </w:r>
      <w:r w:rsidRPr="006B756E">
        <w:t xml:space="preserve">, then the data is aggregated over a geospatial region. This allows for identification and categorization of the type or cause (such as a car crash causing Twitter users to tweet about being stuck in traffic) of traffic or travel on a given road or in a given area. In this case, the Framework leads to the Integration Strategy </w:t>
      </w:r>
      <w:r w:rsidRPr="006B756E">
        <w:rPr>
          <w:b/>
        </w:rPr>
        <w:t xml:space="preserve">Merge 1 </w:t>
      </w:r>
      <w:r w:rsidRPr="006B756E">
        <w:t>(see the dark blue</w:t>
      </w:r>
      <w:r>
        <w:t xml:space="preserve"> checkered</w:t>
      </w:r>
      <w:r w:rsidRPr="006B756E">
        <w:t xml:space="preserve"> path in</w:t>
      </w:r>
      <w:r w:rsidR="004A7F83">
        <w:t xml:space="preserve"> </w:t>
      </w:r>
      <w:r w:rsidR="000819B9">
        <w:t>Figure 7</w:t>
      </w:r>
      <w:r w:rsidRPr="006B756E">
        <w:t xml:space="preserve">), </w:t>
      </w:r>
      <w:r>
        <w:lastRenderedPageBreak/>
        <w:t>recommending that</w:t>
      </w:r>
      <w:r w:rsidRPr="006B756E">
        <w:t xml:space="preserve"> the analyst integrate the aggregated temporal and geospatial data that has been gathered regarding a specific event or travel/traffic purpose with TDS that describe the demographics or normal travel patterns of that geospatial area.</w:t>
      </w:r>
      <w:r w:rsidRPr="006B756E">
        <w:rPr>
          <w:b/>
        </w:rPr>
        <w:t xml:space="preserve"> </w:t>
      </w:r>
    </w:p>
    <w:p w14:paraId="0B63BB67" w14:textId="77777777" w:rsidR="007052F2" w:rsidRDefault="007052F2" w:rsidP="009E5489">
      <w:pPr>
        <w:pStyle w:val="ctrbody"/>
        <w:spacing w:after="0" w:line="240" w:lineRule="auto"/>
        <w:jc w:val="center"/>
        <w:rPr>
          <w:b/>
        </w:rPr>
      </w:pPr>
      <w:r>
        <w:rPr>
          <w:noProof/>
        </w:rPr>
        <w:drawing>
          <wp:inline distT="0" distB="0" distL="0" distR="0" wp14:anchorId="28CD7F4E" wp14:editId="6E998C47">
            <wp:extent cx="5029200" cy="3263900"/>
            <wp:effectExtent l="0" t="0" r="0" b="0"/>
            <wp:docPr id="15" name="Picture 15" descr="Example of mapping ICT Social Media Data to the Merge 1 fusion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9200" cy="3263900"/>
                    </a:xfrm>
                    <a:prstGeom prst="rect">
                      <a:avLst/>
                    </a:prstGeom>
                    <a:noFill/>
                  </pic:spPr>
                </pic:pic>
              </a:graphicData>
            </a:graphic>
          </wp:inline>
        </w:drawing>
      </w:r>
    </w:p>
    <w:p w14:paraId="0C1916B1" w14:textId="7FDBD407" w:rsidR="007052F2" w:rsidRDefault="000819B9" w:rsidP="009E5489">
      <w:pPr>
        <w:pStyle w:val="BodyText1"/>
        <w:spacing w:after="120" w:line="240" w:lineRule="auto"/>
        <w:jc w:val="center"/>
        <w:rPr>
          <w:b/>
          <w:bCs/>
        </w:rPr>
      </w:pPr>
      <w:bookmarkStart w:id="13" w:name="_Toc119830953"/>
      <w:r>
        <w:rPr>
          <w:b/>
          <w:bCs/>
        </w:rPr>
        <w:t>Figure 7</w:t>
      </w:r>
      <w:r w:rsidR="007052F2" w:rsidRPr="005E2279">
        <w:rPr>
          <w:b/>
          <w:bCs/>
        </w:rPr>
        <w:t xml:space="preserve"> Example of ICT Social Media Data Source Integration Flow</w:t>
      </w:r>
      <w:bookmarkEnd w:id="13"/>
    </w:p>
    <w:p w14:paraId="2426F74D" w14:textId="37E8F594" w:rsidR="00900D4E" w:rsidRDefault="00905DE5" w:rsidP="009E5489">
      <w:pPr>
        <w:pStyle w:val="Heading2"/>
        <w:numPr>
          <w:ilvl w:val="1"/>
          <w:numId w:val="28"/>
        </w:numPr>
        <w:spacing w:before="0" w:line="240" w:lineRule="auto"/>
        <w:ind w:left="450"/>
        <w:rPr>
          <w:bCs/>
        </w:rPr>
      </w:pPr>
      <w:bookmarkStart w:id="14" w:name="_Toc119831068"/>
      <w:bookmarkStart w:id="15" w:name="_Hlk109208215"/>
      <w:r>
        <w:rPr>
          <w:bCs/>
        </w:rPr>
        <w:t xml:space="preserve">Performance </w:t>
      </w:r>
      <w:r w:rsidR="00900D4E" w:rsidRPr="00355D7A">
        <w:rPr>
          <w:bCs/>
        </w:rPr>
        <w:t>Assess</w:t>
      </w:r>
      <w:r>
        <w:rPr>
          <w:bCs/>
        </w:rPr>
        <w:t>ment of</w:t>
      </w:r>
      <w:r w:rsidR="00900D4E" w:rsidRPr="00355D7A">
        <w:rPr>
          <w:bCs/>
        </w:rPr>
        <w:t xml:space="preserve"> Proposed Framework Regarding Prediction and Application </w:t>
      </w:r>
      <w:r w:rsidR="00900D4E">
        <w:rPr>
          <w:bCs/>
        </w:rPr>
        <w:t>Capabilities</w:t>
      </w:r>
      <w:bookmarkEnd w:id="14"/>
    </w:p>
    <w:p w14:paraId="6A3EE46D" w14:textId="39CC8E9E" w:rsidR="00900D4E" w:rsidRDefault="00496190" w:rsidP="009E5489">
      <w:pPr>
        <w:pStyle w:val="ctrbodytext"/>
        <w:spacing w:after="0" w:line="240" w:lineRule="auto"/>
        <w:jc w:val="both"/>
      </w:pPr>
      <w:r>
        <w:t>E</w:t>
      </w:r>
      <w:r w:rsidR="00900D4E">
        <w:t>ach ICT fusion strateg</w:t>
      </w:r>
      <w:r w:rsidR="00905DE5">
        <w:t>ies</w:t>
      </w:r>
      <w:r w:rsidR="00900D4E">
        <w:t xml:space="preserve"> can be assessed along the following four </w:t>
      </w:r>
      <w:r w:rsidR="00905DE5">
        <w:t xml:space="preserve">performance assessment </w:t>
      </w:r>
      <w:r w:rsidR="00900D4E">
        <w:t xml:space="preserve">indices: </w:t>
      </w:r>
    </w:p>
    <w:p w14:paraId="604AAA67" w14:textId="77777777" w:rsidR="00900D4E" w:rsidRPr="00B9797C" w:rsidRDefault="00900D4E" w:rsidP="009E5489">
      <w:pPr>
        <w:pStyle w:val="ctrbulletedlist"/>
        <w:spacing w:after="40" w:line="240" w:lineRule="auto"/>
        <w:jc w:val="both"/>
      </w:pPr>
      <w:r w:rsidRPr="00B9797C">
        <w:rPr>
          <w:b/>
          <w:bCs/>
        </w:rPr>
        <w:t xml:space="preserve">Cost and Time </w:t>
      </w:r>
      <w:r>
        <w:rPr>
          <w:b/>
          <w:bCs/>
        </w:rPr>
        <w:t xml:space="preserve">Efficiency </w:t>
      </w:r>
      <w:r w:rsidRPr="00B9797C">
        <w:rPr>
          <w:b/>
          <w:bCs/>
        </w:rPr>
        <w:t>Index (CTI):</w:t>
      </w:r>
      <w:r w:rsidRPr="00B9797C">
        <w:t xml:space="preserve"> This index </w:t>
      </w:r>
      <w:r>
        <w:t>rates</w:t>
      </w:r>
      <w:r w:rsidRPr="00B9797C">
        <w:t xml:space="preserve"> the</w:t>
      </w:r>
      <w:r>
        <w:t xml:space="preserve"> efficiency of</w:t>
      </w:r>
      <w:r w:rsidRPr="00B9797C">
        <w:t xml:space="preserve"> cost (capital) invest</w:t>
      </w:r>
      <w:r>
        <w:t>ments necessary</w:t>
      </w:r>
      <w:r w:rsidRPr="00B9797C">
        <w:t xml:space="preserve"> for the </w:t>
      </w:r>
      <w:r>
        <w:t>integr</w:t>
      </w:r>
      <w:r w:rsidRPr="00B9797C">
        <w:t xml:space="preserve">ation strategy, such as </w:t>
      </w:r>
      <w:r>
        <w:t xml:space="preserve">those for </w:t>
      </w:r>
      <w:r w:rsidRPr="00B9797C">
        <w:t>obtaining</w:t>
      </w:r>
      <w:r>
        <w:t>,</w:t>
      </w:r>
      <w:r w:rsidRPr="00B9797C">
        <w:t xml:space="preserve"> stor</w:t>
      </w:r>
      <w:r>
        <w:t>ing,</w:t>
      </w:r>
      <w:r w:rsidRPr="00B9797C">
        <w:t xml:space="preserve"> and manag</w:t>
      </w:r>
      <w:r>
        <w:t>ing the data</w:t>
      </w:r>
      <w:r w:rsidRPr="00B9797C">
        <w:t xml:space="preserve">, </w:t>
      </w:r>
      <w:r>
        <w:t>as well as</w:t>
      </w:r>
      <w:r w:rsidRPr="00B9797C">
        <w:t xml:space="preserve"> the time and effort require</w:t>
      </w:r>
      <w:r>
        <w:t>d</w:t>
      </w:r>
      <w:r w:rsidRPr="00B9797C">
        <w:t xml:space="preserve">. </w:t>
      </w:r>
      <w:r>
        <w:t>It</w:t>
      </w:r>
      <w:r w:rsidRPr="00B9797C">
        <w:t xml:space="preserve"> </w:t>
      </w:r>
      <w:r>
        <w:t xml:space="preserve">can </w:t>
      </w:r>
      <w:r w:rsidRPr="00B9797C">
        <w:t>give</w:t>
      </w:r>
      <w:r>
        <w:t xml:space="preserve"> travel </w:t>
      </w:r>
      <w:r w:rsidRPr="006D7EF8">
        <w:t>demand</w:t>
      </w:r>
      <w:r>
        <w:t xml:space="preserve"> modelers</w:t>
      </w:r>
      <w:r w:rsidRPr="00B9797C">
        <w:t xml:space="preserve"> insight about the practical feasibility of the strategy given </w:t>
      </w:r>
      <w:r>
        <w:t>their</w:t>
      </w:r>
      <w:r w:rsidRPr="00B9797C">
        <w:t xml:space="preserve"> budget and time constraints. A </w:t>
      </w:r>
      <w:r>
        <w:t>high</w:t>
      </w:r>
      <w:r w:rsidRPr="00B9797C">
        <w:t>er CTI indicates high</w:t>
      </w:r>
      <w:r>
        <w:t xml:space="preserve">er </w:t>
      </w:r>
      <w:r w:rsidRPr="00B9797C">
        <w:t xml:space="preserve">cost efficiency, while a </w:t>
      </w:r>
      <w:r>
        <w:t>lower</w:t>
      </w:r>
      <w:r w:rsidRPr="00B9797C">
        <w:t xml:space="preserve"> CTI indicates </w:t>
      </w:r>
      <w:r>
        <w:t>that greater</w:t>
      </w:r>
      <w:r w:rsidRPr="00B9797C">
        <w:t xml:space="preserve"> capital and effort investment is required</w:t>
      </w:r>
      <w:r>
        <w:t>, therefore less efficiency</w:t>
      </w:r>
      <w:r w:rsidRPr="00B9797C">
        <w:t>.</w:t>
      </w:r>
    </w:p>
    <w:p w14:paraId="2B7812A4" w14:textId="77777777" w:rsidR="00900D4E" w:rsidRPr="00B9797C" w:rsidRDefault="00900D4E" w:rsidP="009E5489">
      <w:pPr>
        <w:pStyle w:val="ctrbulletedlist"/>
        <w:spacing w:after="40" w:line="240" w:lineRule="auto"/>
        <w:jc w:val="both"/>
      </w:pPr>
      <w:r w:rsidRPr="00B9797C">
        <w:rPr>
          <w:b/>
          <w:bCs/>
        </w:rPr>
        <w:t>Completeness and Coverage Index (CCI):</w:t>
      </w:r>
      <w:r w:rsidRPr="00B9797C">
        <w:t xml:space="preserve"> This index </w:t>
      </w:r>
      <w:r>
        <w:t>indicates to what extent</w:t>
      </w:r>
      <w:r w:rsidRPr="00B9797C">
        <w:t xml:space="preserve"> the </w:t>
      </w:r>
      <w:r>
        <w:t>integr</w:t>
      </w:r>
      <w:r w:rsidRPr="00B9797C">
        <w:t>ation strategy results in more complete data in terms of spatial and temporal coverage. This help</w:t>
      </w:r>
      <w:r>
        <w:t>s researchers</w:t>
      </w:r>
      <w:r w:rsidRPr="00B9797C">
        <w:t xml:space="preserve"> determine if </w:t>
      </w:r>
      <w:r>
        <w:t>a</w:t>
      </w:r>
      <w:r w:rsidRPr="00B9797C">
        <w:t xml:space="preserve"> particular </w:t>
      </w:r>
      <w:r>
        <w:t xml:space="preserve">integration </w:t>
      </w:r>
      <w:r w:rsidRPr="00B9797C">
        <w:t xml:space="preserve">strategy </w:t>
      </w:r>
      <w:r>
        <w:t xml:space="preserve">is </w:t>
      </w:r>
      <w:r w:rsidRPr="006D7EF8">
        <w:t>more</w:t>
      </w:r>
      <w:r>
        <w:t xml:space="preserve"> beneficial for TDM</w:t>
      </w:r>
      <w:r w:rsidRPr="00B9797C">
        <w:t xml:space="preserve"> </w:t>
      </w:r>
      <w:r>
        <w:t xml:space="preserve">analysis purposes </w:t>
      </w:r>
      <w:r w:rsidRPr="00B9797C">
        <w:t>and if it can be used for large</w:t>
      </w:r>
      <w:r>
        <w:t>-</w:t>
      </w:r>
      <w:r w:rsidRPr="00B9797C">
        <w:t>scale planning purposes. A higher CCI indicate</w:t>
      </w:r>
      <w:r>
        <w:t>s</w:t>
      </w:r>
      <w:r w:rsidRPr="00B9797C">
        <w:t xml:space="preserve"> large-scale</w:t>
      </w:r>
      <w:r>
        <w:t>,</w:t>
      </w:r>
      <w:r w:rsidRPr="00B9797C">
        <w:t xml:space="preserve"> generalizable data, while a lower CCI </w:t>
      </w:r>
      <w:r>
        <w:t>means</w:t>
      </w:r>
      <w:r w:rsidRPr="00B9797C">
        <w:t xml:space="preserve"> the data </w:t>
      </w:r>
      <w:r>
        <w:t>has</w:t>
      </w:r>
      <w:r w:rsidRPr="00B9797C">
        <w:t xml:space="preserve"> limited coverage and</w:t>
      </w:r>
      <w:r>
        <w:t>/or</w:t>
      </w:r>
      <w:r w:rsidRPr="00B9797C">
        <w:t xml:space="preserve"> accuracy.</w:t>
      </w:r>
    </w:p>
    <w:p w14:paraId="386FD7E0" w14:textId="77777777" w:rsidR="00900D4E" w:rsidRPr="00B9797C" w:rsidRDefault="00900D4E" w:rsidP="009E5489">
      <w:pPr>
        <w:pStyle w:val="ctrbulletedlist"/>
        <w:spacing w:after="40" w:line="240" w:lineRule="auto"/>
        <w:jc w:val="both"/>
      </w:pPr>
      <w:r w:rsidRPr="00B9797C">
        <w:rPr>
          <w:b/>
          <w:bCs/>
        </w:rPr>
        <w:t>Resourcefulness and Information Index (RII):</w:t>
      </w:r>
      <w:r w:rsidRPr="00B9797C">
        <w:t xml:space="preserve"> This index represents the extent of</w:t>
      </w:r>
      <w:r>
        <w:t xml:space="preserve"> the</w:t>
      </w:r>
      <w:r w:rsidRPr="00B9797C">
        <w:t xml:space="preserve"> “additional information”</w:t>
      </w:r>
      <w:r>
        <w:t xml:space="preserve"> (such as trip purposes or details about the driver)</w:t>
      </w:r>
      <w:r w:rsidRPr="00B9797C">
        <w:t xml:space="preserve"> obtained by combining ICT </w:t>
      </w:r>
      <w:r>
        <w:t>and</w:t>
      </w:r>
      <w:r w:rsidRPr="00B9797C">
        <w:t xml:space="preserve"> traditional data</w:t>
      </w:r>
      <w:r>
        <w:t xml:space="preserve"> sources</w:t>
      </w:r>
      <w:r w:rsidRPr="00B9797C">
        <w:t xml:space="preserve"> as compared to </w:t>
      </w:r>
      <w:r>
        <w:t>simply using the latter</w:t>
      </w:r>
      <w:r w:rsidRPr="00B9797C">
        <w:t xml:space="preserve">. This index also </w:t>
      </w:r>
      <w:r>
        <w:t>connotes</w:t>
      </w:r>
      <w:r w:rsidRPr="00B9797C">
        <w:t xml:space="preserve"> the usefulness of the particular ICT source in the context of policy making. A higher RII indicate</w:t>
      </w:r>
      <w:r>
        <w:t>s</w:t>
      </w:r>
      <w:r w:rsidRPr="00B9797C">
        <w:t xml:space="preserve"> that a fusion strategy </w:t>
      </w:r>
      <w:r>
        <w:t>offers</w:t>
      </w:r>
      <w:r w:rsidRPr="00B9797C">
        <w:t xml:space="preserve"> significantly </w:t>
      </w:r>
      <w:r>
        <w:t>more information</w:t>
      </w:r>
      <w:r w:rsidRPr="00B9797C">
        <w:t xml:space="preserve"> than traditional methods alone, wh</w:t>
      </w:r>
      <w:r>
        <w:t>ile</w:t>
      </w:r>
      <w:r w:rsidRPr="00B9797C">
        <w:t xml:space="preserve"> a lower RII indicate</w:t>
      </w:r>
      <w:r>
        <w:t>s</w:t>
      </w:r>
      <w:r w:rsidRPr="00B9797C">
        <w:t xml:space="preserve"> </w:t>
      </w:r>
      <w:r>
        <w:t>that the addition of the ICT source does not make a</w:t>
      </w:r>
      <w:r w:rsidRPr="00B9797C">
        <w:t xml:space="preserve"> significant difference. </w:t>
      </w:r>
    </w:p>
    <w:p w14:paraId="35B96BFD" w14:textId="77777777" w:rsidR="00900D4E" w:rsidRPr="00B9797C" w:rsidRDefault="00900D4E" w:rsidP="009E5489">
      <w:pPr>
        <w:pStyle w:val="ctrbulletedlist"/>
        <w:spacing w:after="40" w:line="240" w:lineRule="auto"/>
        <w:jc w:val="both"/>
      </w:pPr>
      <w:r w:rsidRPr="00B9797C">
        <w:rPr>
          <w:b/>
          <w:bCs/>
        </w:rPr>
        <w:lastRenderedPageBreak/>
        <w:t>Closeness to Reality Index (CRI):</w:t>
      </w:r>
      <w:r w:rsidRPr="00B9797C">
        <w:t xml:space="preserve"> This index represents how close the combined </w:t>
      </w:r>
      <w:r>
        <w:t>available information in the ICT dataset</w:t>
      </w:r>
      <w:r w:rsidRPr="00B9797C">
        <w:t xml:space="preserve"> is to reality. Additionally, </w:t>
      </w:r>
      <w:r>
        <w:t>it indicates whether</w:t>
      </w:r>
      <w:r w:rsidRPr="00B9797C">
        <w:t xml:space="preserve"> the </w:t>
      </w:r>
      <w:r w:rsidRPr="006D7EF8">
        <w:t>modeling</w:t>
      </w:r>
      <w:r w:rsidRPr="00B9797C">
        <w:t xml:space="preserve"> approach </w:t>
      </w:r>
      <w:r>
        <w:t>using the ICT data is better suited</w:t>
      </w:r>
      <w:r w:rsidRPr="00B9797C">
        <w:t xml:space="preserve"> for short- or</w:t>
      </w:r>
      <w:r>
        <w:t xml:space="preserve"> for</w:t>
      </w:r>
      <w:r w:rsidRPr="00B9797C">
        <w:t xml:space="preserve"> long-term planning solutions. A higher </w:t>
      </w:r>
      <w:r>
        <w:t>C</w:t>
      </w:r>
      <w:r w:rsidRPr="00B9797C">
        <w:t>RI indicate</w:t>
      </w:r>
      <w:r>
        <w:t>s</w:t>
      </w:r>
      <w:r w:rsidRPr="00B9797C">
        <w:t xml:space="preserve"> that the strategy yields a more realistic model, which could be used for long-term planning purposes, wh</w:t>
      </w:r>
      <w:r>
        <w:t>ile</w:t>
      </w:r>
      <w:r w:rsidRPr="00B9797C">
        <w:t xml:space="preserve"> a lower CRI indicate</w:t>
      </w:r>
      <w:r>
        <w:t>s</w:t>
      </w:r>
      <w:r w:rsidRPr="00B9797C">
        <w:t xml:space="preserve"> that the fusion strategy</w:t>
      </w:r>
      <w:r>
        <w:t xml:space="preserve"> is better</w:t>
      </w:r>
      <w:r w:rsidRPr="00B9797C">
        <w:t xml:space="preserve"> for short-term or immediate planning.</w:t>
      </w:r>
    </w:p>
    <w:p w14:paraId="3B5EEE9D" w14:textId="77777777" w:rsidR="001161B4" w:rsidRDefault="00900D4E" w:rsidP="009E5489">
      <w:pPr>
        <w:pStyle w:val="ctrbodytext"/>
        <w:spacing w:after="120" w:line="240" w:lineRule="auto"/>
        <w:jc w:val="both"/>
      </w:pPr>
      <w:r>
        <w:t>It is</w:t>
      </w:r>
      <w:r w:rsidRPr="00222B44">
        <w:t xml:space="preserve"> important to note that using these metrics to assess a general fusion framework will involve generalizations and qualitative insights. The actual rating will depend as much on the ICT source and </w:t>
      </w:r>
      <w:r>
        <w:t>its data</w:t>
      </w:r>
      <w:r w:rsidRPr="00222B44">
        <w:t xml:space="preserve"> quality </w:t>
      </w:r>
      <w:r>
        <w:t>as on the integration strategy</w:t>
      </w:r>
      <w:r w:rsidRPr="00222B44">
        <w:t xml:space="preserve">. However, </w:t>
      </w:r>
      <w:r>
        <w:t>we here aim</w:t>
      </w:r>
      <w:r w:rsidRPr="00222B44">
        <w:t xml:space="preserve"> to provide a broad and general sense of the four main fusion strategies</w:t>
      </w:r>
      <w:r>
        <w:t>.</w:t>
      </w:r>
      <w:r w:rsidRPr="00222B44">
        <w:t xml:space="preserve"> </w:t>
      </w:r>
      <w:r>
        <w:t xml:space="preserve">Each index will be rated with </w:t>
      </w:r>
      <w:r w:rsidRPr="004D7CDF">
        <w:rPr>
          <w:i/>
        </w:rPr>
        <w:t>low</w:t>
      </w:r>
      <w:r>
        <w:t xml:space="preserve">, </w:t>
      </w:r>
      <w:r w:rsidRPr="004D7CDF">
        <w:rPr>
          <w:i/>
        </w:rPr>
        <w:t>medium</w:t>
      </w:r>
      <w:r>
        <w:t xml:space="preserve">, or </w:t>
      </w:r>
      <w:r w:rsidRPr="004D7CDF">
        <w:rPr>
          <w:i/>
        </w:rPr>
        <w:t>high</w:t>
      </w:r>
      <w:r>
        <w:t>.</w:t>
      </w:r>
      <w:r w:rsidR="00496190">
        <w:t xml:space="preserve"> </w:t>
      </w:r>
      <w:r w:rsidR="003D100B">
        <w:t>The reader is r</w:t>
      </w:r>
      <w:r w:rsidR="00905DE5">
        <w:t>efer</w:t>
      </w:r>
      <w:r w:rsidR="003D100B">
        <w:t>red</w:t>
      </w:r>
      <w:r w:rsidR="00905DE5">
        <w:t xml:space="preserve"> to </w:t>
      </w:r>
      <w:r w:rsidR="000819B9">
        <w:t>Table 2</w:t>
      </w:r>
      <w:r w:rsidR="00905DE5">
        <w:t xml:space="preserve"> for a </w:t>
      </w:r>
      <w:r w:rsidR="00496190">
        <w:t xml:space="preserve">visualization of the final </w:t>
      </w:r>
      <w:r w:rsidR="00905DE5">
        <w:t xml:space="preserve">performance </w:t>
      </w:r>
      <w:r w:rsidR="00496190">
        <w:t>assessment</w:t>
      </w:r>
      <w:r w:rsidR="00905DE5">
        <w:t xml:space="preserve"> for each fusion strategy</w:t>
      </w:r>
      <w:r w:rsidR="00496190">
        <w:t>.</w:t>
      </w:r>
    </w:p>
    <w:p w14:paraId="3430495A" w14:textId="7E3C892A" w:rsidR="000819B9" w:rsidRDefault="00496190" w:rsidP="009E5489">
      <w:pPr>
        <w:pStyle w:val="ctrbodytext"/>
        <w:spacing w:after="0" w:line="240" w:lineRule="auto"/>
        <w:jc w:val="both"/>
        <w:rPr>
          <w:b/>
          <w:bCs/>
        </w:rPr>
      </w:pPr>
      <w:r>
        <w:t xml:space="preserve"> </w:t>
      </w:r>
      <w:r w:rsidR="000819B9">
        <w:rPr>
          <w:b/>
          <w:bCs/>
        </w:rPr>
        <w:t>Table 2.</w:t>
      </w:r>
      <w:r w:rsidR="000819B9" w:rsidRPr="00496190">
        <w:rPr>
          <w:b/>
          <w:bCs/>
        </w:rPr>
        <w:t xml:space="preserve"> Review of Integration Framework Assessment</w:t>
      </w:r>
    </w:p>
    <w:tbl>
      <w:tblPr>
        <w:tblW w:w="9362" w:type="dxa"/>
        <w:tblCellMar>
          <w:left w:w="0" w:type="dxa"/>
          <w:right w:w="0" w:type="dxa"/>
        </w:tblCellMar>
        <w:tblLook w:val="0420" w:firstRow="1" w:lastRow="0" w:firstColumn="0" w:lastColumn="0" w:noHBand="0" w:noVBand="1"/>
      </w:tblPr>
      <w:tblGrid>
        <w:gridCol w:w="2955"/>
        <w:gridCol w:w="1475"/>
        <w:gridCol w:w="1675"/>
        <w:gridCol w:w="1675"/>
        <w:gridCol w:w="1582"/>
      </w:tblGrid>
      <w:tr w:rsidR="00496190" w:rsidRPr="00CF1CE8" w14:paraId="13BBB20C" w14:textId="77777777" w:rsidTr="00CF1CE8">
        <w:trPr>
          <w:trHeight w:val="288"/>
        </w:trPr>
        <w:tc>
          <w:tcPr>
            <w:tcW w:w="2955" w:type="dxa"/>
            <w:vMerge w:val="restart"/>
            <w:tcBorders>
              <w:top w:val="double" w:sz="4" w:space="0" w:color="auto"/>
              <w:left w:val="doub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328C1741" w14:textId="56C1589C" w:rsidR="00496190" w:rsidRPr="00CF1CE8" w:rsidRDefault="00905DE5" w:rsidP="009E5489">
            <w:pPr>
              <w:spacing w:after="0" w:line="240" w:lineRule="auto"/>
              <w:jc w:val="center"/>
              <w:rPr>
                <w:rFonts w:eastAsia="Times New Roman"/>
                <w:b/>
                <w:bCs/>
                <w:sz w:val="22"/>
                <w:szCs w:val="22"/>
              </w:rPr>
            </w:pPr>
            <w:r w:rsidRPr="00CF1CE8">
              <w:rPr>
                <w:rFonts w:eastAsia="Times New Roman"/>
                <w:b/>
                <w:bCs/>
                <w:sz w:val="22"/>
                <w:szCs w:val="22"/>
              </w:rPr>
              <w:t xml:space="preserve">Framework Performance </w:t>
            </w:r>
            <w:r w:rsidR="00496190" w:rsidRPr="00CF1CE8">
              <w:rPr>
                <w:rFonts w:eastAsia="Times New Roman"/>
                <w:b/>
                <w:bCs/>
                <w:sz w:val="22"/>
                <w:szCs w:val="22"/>
              </w:rPr>
              <w:t>Assessment Criteria</w:t>
            </w:r>
          </w:p>
        </w:tc>
        <w:tc>
          <w:tcPr>
            <w:tcW w:w="6407" w:type="dxa"/>
            <w:gridSpan w:val="4"/>
            <w:tcBorders>
              <w:top w:val="double" w:sz="4" w:space="0" w:color="auto"/>
              <w:left w:val="doub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4364F945" w14:textId="77777777" w:rsidR="00496190" w:rsidRPr="00CF1CE8" w:rsidRDefault="00496190" w:rsidP="009E5489">
            <w:pPr>
              <w:spacing w:after="0" w:line="240" w:lineRule="auto"/>
              <w:jc w:val="center"/>
              <w:rPr>
                <w:rFonts w:eastAsia="Times New Roman"/>
                <w:b/>
                <w:bCs/>
                <w:color w:val="000000"/>
                <w:sz w:val="22"/>
                <w:szCs w:val="22"/>
              </w:rPr>
            </w:pPr>
            <w:r w:rsidRPr="00CF1CE8">
              <w:rPr>
                <w:rFonts w:eastAsia="Times New Roman"/>
                <w:b/>
                <w:bCs/>
                <w:color w:val="000000"/>
                <w:sz w:val="22"/>
                <w:szCs w:val="22"/>
              </w:rPr>
              <w:t>Fusion Strategies</w:t>
            </w:r>
          </w:p>
        </w:tc>
      </w:tr>
      <w:tr w:rsidR="00496190" w:rsidRPr="00CF1CE8" w14:paraId="612928B4" w14:textId="77777777" w:rsidTr="009E5489">
        <w:trPr>
          <w:trHeight w:val="432"/>
        </w:trPr>
        <w:tc>
          <w:tcPr>
            <w:tcW w:w="2955" w:type="dxa"/>
            <w:vMerge/>
            <w:tcBorders>
              <w:top w:val="single" w:sz="4" w:space="0" w:color="auto"/>
              <w:left w:val="double" w:sz="4" w:space="0" w:color="auto"/>
              <w:bottom w:val="double" w:sz="4" w:space="0" w:color="000000"/>
              <w:right w:val="double" w:sz="4" w:space="0" w:color="auto"/>
            </w:tcBorders>
            <w:shd w:val="clear" w:color="auto" w:fill="auto"/>
            <w:tcMar>
              <w:top w:w="0" w:type="dxa"/>
              <w:left w:w="72" w:type="dxa"/>
              <w:bottom w:w="0" w:type="dxa"/>
              <w:right w:w="72" w:type="dxa"/>
            </w:tcMar>
            <w:vAlign w:val="center"/>
            <w:hideMark/>
          </w:tcPr>
          <w:p w14:paraId="22AA3201" w14:textId="77777777" w:rsidR="00496190" w:rsidRPr="00CF1CE8" w:rsidRDefault="00496190" w:rsidP="009E5489">
            <w:pPr>
              <w:spacing w:after="0" w:line="240" w:lineRule="auto"/>
              <w:rPr>
                <w:rFonts w:eastAsia="Times New Roman"/>
                <w:sz w:val="22"/>
                <w:szCs w:val="22"/>
              </w:rPr>
            </w:pPr>
          </w:p>
        </w:tc>
        <w:tc>
          <w:tcPr>
            <w:tcW w:w="1475" w:type="dxa"/>
            <w:tcBorders>
              <w:top w:val="single" w:sz="4" w:space="0" w:color="auto"/>
              <w:left w:val="double" w:sz="4" w:space="0" w:color="auto"/>
              <w:bottom w:val="double" w:sz="4" w:space="0" w:color="000000"/>
              <w:right w:val="single" w:sz="4" w:space="0" w:color="auto"/>
            </w:tcBorders>
            <w:shd w:val="clear" w:color="auto" w:fill="auto"/>
            <w:tcMar>
              <w:top w:w="0" w:type="dxa"/>
              <w:left w:w="72" w:type="dxa"/>
              <w:bottom w:w="0" w:type="dxa"/>
              <w:right w:w="72" w:type="dxa"/>
            </w:tcMar>
            <w:vAlign w:val="center"/>
            <w:hideMark/>
          </w:tcPr>
          <w:p w14:paraId="764D1A51" w14:textId="77777777" w:rsidR="00496190" w:rsidRPr="00CF1CE8" w:rsidRDefault="00496190" w:rsidP="009E5489">
            <w:pPr>
              <w:spacing w:after="0" w:line="240" w:lineRule="auto"/>
              <w:jc w:val="center"/>
              <w:rPr>
                <w:rFonts w:eastAsia="Times New Roman"/>
                <w:sz w:val="22"/>
                <w:szCs w:val="22"/>
              </w:rPr>
            </w:pPr>
            <w:r w:rsidRPr="00CF1CE8">
              <w:rPr>
                <w:rFonts w:eastAsia="Times New Roman"/>
                <w:b/>
                <w:bCs/>
                <w:color w:val="000000"/>
                <w:sz w:val="22"/>
                <w:szCs w:val="22"/>
              </w:rPr>
              <w:t>Aggregated Merge</w:t>
            </w:r>
          </w:p>
        </w:tc>
        <w:tc>
          <w:tcPr>
            <w:tcW w:w="1675" w:type="dxa"/>
            <w:tcBorders>
              <w:top w:val="single" w:sz="4" w:space="0" w:color="auto"/>
              <w:left w:val="single" w:sz="4" w:space="0" w:color="auto"/>
              <w:bottom w:val="double" w:sz="4" w:space="0" w:color="000000"/>
              <w:right w:val="single" w:sz="4" w:space="0" w:color="auto"/>
            </w:tcBorders>
            <w:shd w:val="clear" w:color="auto" w:fill="auto"/>
            <w:tcMar>
              <w:top w:w="0" w:type="dxa"/>
              <w:left w:w="72" w:type="dxa"/>
              <w:bottom w:w="0" w:type="dxa"/>
              <w:right w:w="72" w:type="dxa"/>
            </w:tcMar>
            <w:vAlign w:val="center"/>
            <w:hideMark/>
          </w:tcPr>
          <w:p w14:paraId="06F779FC" w14:textId="77777777" w:rsidR="00496190" w:rsidRPr="00CF1CE8" w:rsidRDefault="00496190" w:rsidP="009E5489">
            <w:pPr>
              <w:spacing w:after="0" w:line="240" w:lineRule="auto"/>
              <w:jc w:val="center"/>
              <w:rPr>
                <w:rFonts w:eastAsia="Times New Roman"/>
                <w:sz w:val="22"/>
                <w:szCs w:val="22"/>
              </w:rPr>
            </w:pPr>
            <w:r w:rsidRPr="00CF1CE8">
              <w:rPr>
                <w:rFonts w:eastAsia="Times New Roman"/>
                <w:b/>
                <w:bCs/>
                <w:color w:val="000000"/>
                <w:sz w:val="22"/>
                <w:szCs w:val="22"/>
              </w:rPr>
              <w:t>Demographic Merge</w:t>
            </w:r>
          </w:p>
        </w:tc>
        <w:tc>
          <w:tcPr>
            <w:tcW w:w="1675" w:type="dxa"/>
            <w:tcBorders>
              <w:top w:val="single" w:sz="4" w:space="0" w:color="auto"/>
              <w:left w:val="single" w:sz="4" w:space="0" w:color="auto"/>
              <w:bottom w:val="double" w:sz="4" w:space="0" w:color="000000"/>
              <w:right w:val="single" w:sz="4" w:space="0" w:color="auto"/>
            </w:tcBorders>
            <w:shd w:val="clear" w:color="auto" w:fill="auto"/>
            <w:tcMar>
              <w:top w:w="0" w:type="dxa"/>
              <w:left w:w="72" w:type="dxa"/>
              <w:bottom w:w="0" w:type="dxa"/>
              <w:right w:w="72" w:type="dxa"/>
            </w:tcMar>
            <w:vAlign w:val="center"/>
            <w:hideMark/>
          </w:tcPr>
          <w:p w14:paraId="5F0F6308" w14:textId="77777777" w:rsidR="00496190" w:rsidRPr="00CF1CE8" w:rsidRDefault="00496190" w:rsidP="009E5489">
            <w:pPr>
              <w:spacing w:after="0" w:line="240" w:lineRule="auto"/>
              <w:jc w:val="center"/>
              <w:rPr>
                <w:rFonts w:eastAsia="Times New Roman"/>
                <w:sz w:val="22"/>
                <w:szCs w:val="22"/>
              </w:rPr>
            </w:pPr>
            <w:r w:rsidRPr="00CF1CE8">
              <w:rPr>
                <w:rFonts w:eastAsia="Times New Roman"/>
                <w:b/>
                <w:bCs/>
                <w:color w:val="000000"/>
                <w:sz w:val="22"/>
                <w:szCs w:val="22"/>
              </w:rPr>
              <w:t>Demographic Add</w:t>
            </w:r>
          </w:p>
        </w:tc>
        <w:tc>
          <w:tcPr>
            <w:tcW w:w="1582" w:type="dxa"/>
            <w:tcBorders>
              <w:top w:val="single" w:sz="4" w:space="0" w:color="auto"/>
              <w:left w:val="single" w:sz="4" w:space="0" w:color="auto"/>
              <w:bottom w:val="double" w:sz="4" w:space="0" w:color="000000"/>
              <w:right w:val="double" w:sz="4" w:space="0" w:color="auto"/>
            </w:tcBorders>
            <w:shd w:val="clear" w:color="auto" w:fill="auto"/>
            <w:tcMar>
              <w:top w:w="0" w:type="dxa"/>
              <w:left w:w="72" w:type="dxa"/>
              <w:bottom w:w="0" w:type="dxa"/>
              <w:right w:w="72" w:type="dxa"/>
            </w:tcMar>
            <w:vAlign w:val="center"/>
            <w:hideMark/>
          </w:tcPr>
          <w:p w14:paraId="6C57035E" w14:textId="77777777" w:rsidR="00496190" w:rsidRPr="00CF1CE8" w:rsidRDefault="00496190" w:rsidP="009E5489">
            <w:pPr>
              <w:spacing w:after="0" w:line="240" w:lineRule="auto"/>
              <w:jc w:val="center"/>
              <w:rPr>
                <w:rFonts w:eastAsia="Times New Roman"/>
                <w:sz w:val="22"/>
                <w:szCs w:val="22"/>
              </w:rPr>
            </w:pPr>
            <w:r w:rsidRPr="00CF1CE8">
              <w:rPr>
                <w:rFonts w:eastAsia="Times New Roman"/>
                <w:b/>
                <w:bCs/>
                <w:color w:val="000000"/>
                <w:sz w:val="22"/>
                <w:szCs w:val="22"/>
              </w:rPr>
              <w:t>Independent Use</w:t>
            </w:r>
          </w:p>
        </w:tc>
      </w:tr>
      <w:tr w:rsidR="00905DE5" w:rsidRPr="00CF1CE8" w14:paraId="1D444BCD" w14:textId="77777777" w:rsidTr="00CF1CE8">
        <w:trPr>
          <w:trHeight w:val="20"/>
        </w:trPr>
        <w:tc>
          <w:tcPr>
            <w:tcW w:w="2955" w:type="dxa"/>
            <w:tcBorders>
              <w:top w:val="double" w:sz="4" w:space="0" w:color="000000"/>
              <w:left w:val="double" w:sz="4" w:space="0" w:color="auto"/>
              <w:bottom w:val="single" w:sz="4" w:space="0" w:color="000000"/>
              <w:right w:val="double" w:sz="4" w:space="0" w:color="auto"/>
            </w:tcBorders>
            <w:shd w:val="clear" w:color="auto" w:fill="auto"/>
            <w:tcMar>
              <w:top w:w="0" w:type="dxa"/>
              <w:left w:w="72" w:type="dxa"/>
              <w:bottom w:w="0" w:type="dxa"/>
              <w:right w:w="72" w:type="dxa"/>
            </w:tcMar>
            <w:vAlign w:val="center"/>
            <w:hideMark/>
          </w:tcPr>
          <w:p w14:paraId="030B6F77" w14:textId="77777777" w:rsidR="00496190" w:rsidRPr="00CF1CE8" w:rsidRDefault="00496190" w:rsidP="009E5489">
            <w:pPr>
              <w:spacing w:after="0" w:line="240" w:lineRule="auto"/>
              <w:jc w:val="left"/>
              <w:rPr>
                <w:rFonts w:eastAsia="Times New Roman"/>
                <w:sz w:val="22"/>
                <w:szCs w:val="22"/>
              </w:rPr>
            </w:pPr>
            <w:r w:rsidRPr="00CF1CE8">
              <w:rPr>
                <w:rFonts w:eastAsia="Times New Roman"/>
                <w:b/>
                <w:bCs/>
                <w:color w:val="000000"/>
                <w:sz w:val="22"/>
                <w:szCs w:val="22"/>
              </w:rPr>
              <w:t>Cost and Time Efficiency Index (CTI)</w:t>
            </w:r>
          </w:p>
        </w:tc>
        <w:tc>
          <w:tcPr>
            <w:tcW w:w="1475" w:type="dxa"/>
            <w:tcBorders>
              <w:top w:val="double" w:sz="4" w:space="0" w:color="000000"/>
              <w:left w:val="double" w:sz="4" w:space="0" w:color="auto"/>
              <w:bottom w:val="single" w:sz="4" w:space="0" w:color="000000"/>
              <w:right w:val="single" w:sz="4" w:space="0" w:color="000000"/>
            </w:tcBorders>
            <w:shd w:val="clear" w:color="auto" w:fill="auto"/>
            <w:tcMar>
              <w:top w:w="0" w:type="dxa"/>
              <w:left w:w="72" w:type="dxa"/>
              <w:bottom w:w="0" w:type="dxa"/>
              <w:right w:w="72" w:type="dxa"/>
            </w:tcMar>
            <w:vAlign w:val="center"/>
            <w:hideMark/>
          </w:tcPr>
          <w:p w14:paraId="68BFD52F"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00B050"/>
                <w:sz w:val="22"/>
                <w:szCs w:val="22"/>
              </w:rPr>
              <w:t>High</w:t>
            </w:r>
          </w:p>
        </w:tc>
        <w:tc>
          <w:tcPr>
            <w:tcW w:w="1675" w:type="dxa"/>
            <w:tcBorders>
              <w:top w:val="doub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hideMark/>
          </w:tcPr>
          <w:p w14:paraId="22626BAE"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C0504D"/>
                <w:sz w:val="22"/>
                <w:szCs w:val="22"/>
              </w:rPr>
              <w:t>Low</w:t>
            </w:r>
          </w:p>
        </w:tc>
        <w:tc>
          <w:tcPr>
            <w:tcW w:w="1675" w:type="dxa"/>
            <w:tcBorders>
              <w:top w:val="doub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hideMark/>
          </w:tcPr>
          <w:p w14:paraId="34C9C981"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C0504D"/>
                <w:sz w:val="22"/>
                <w:szCs w:val="22"/>
              </w:rPr>
              <w:t>Low</w:t>
            </w:r>
          </w:p>
        </w:tc>
        <w:tc>
          <w:tcPr>
            <w:tcW w:w="1582" w:type="dxa"/>
            <w:tcBorders>
              <w:top w:val="double" w:sz="4" w:space="0" w:color="000000"/>
              <w:left w:val="single" w:sz="4" w:space="0" w:color="000000"/>
              <w:bottom w:val="single" w:sz="4" w:space="0" w:color="000000"/>
              <w:right w:val="double" w:sz="4" w:space="0" w:color="auto"/>
            </w:tcBorders>
            <w:shd w:val="clear" w:color="auto" w:fill="auto"/>
            <w:tcMar>
              <w:top w:w="0" w:type="dxa"/>
              <w:left w:w="72" w:type="dxa"/>
              <w:bottom w:w="0" w:type="dxa"/>
              <w:right w:w="72" w:type="dxa"/>
            </w:tcMar>
            <w:vAlign w:val="center"/>
            <w:hideMark/>
          </w:tcPr>
          <w:p w14:paraId="3C4424CB"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C0504D"/>
                <w:sz w:val="22"/>
                <w:szCs w:val="22"/>
              </w:rPr>
              <w:t>Low</w:t>
            </w:r>
          </w:p>
        </w:tc>
      </w:tr>
      <w:tr w:rsidR="00905DE5" w:rsidRPr="00CF1CE8" w14:paraId="2C4D8B7A" w14:textId="77777777" w:rsidTr="00CF1CE8">
        <w:trPr>
          <w:trHeight w:val="20"/>
        </w:trPr>
        <w:tc>
          <w:tcPr>
            <w:tcW w:w="2955" w:type="dxa"/>
            <w:tcBorders>
              <w:top w:val="single" w:sz="4" w:space="0" w:color="000000"/>
              <w:left w:val="double" w:sz="4" w:space="0" w:color="auto"/>
              <w:bottom w:val="single" w:sz="4" w:space="0" w:color="000000"/>
              <w:right w:val="double" w:sz="4" w:space="0" w:color="auto"/>
            </w:tcBorders>
            <w:shd w:val="clear" w:color="auto" w:fill="auto"/>
            <w:tcMar>
              <w:top w:w="0" w:type="dxa"/>
              <w:left w:w="72" w:type="dxa"/>
              <w:bottom w:w="0" w:type="dxa"/>
              <w:right w:w="72" w:type="dxa"/>
            </w:tcMar>
            <w:vAlign w:val="center"/>
            <w:hideMark/>
          </w:tcPr>
          <w:p w14:paraId="601CB8F5" w14:textId="77777777" w:rsidR="00496190" w:rsidRPr="00CF1CE8" w:rsidRDefault="00496190" w:rsidP="009E5489">
            <w:pPr>
              <w:spacing w:after="0" w:line="240" w:lineRule="auto"/>
              <w:jc w:val="left"/>
              <w:rPr>
                <w:rFonts w:eastAsia="Times New Roman"/>
                <w:sz w:val="22"/>
                <w:szCs w:val="22"/>
              </w:rPr>
            </w:pPr>
            <w:r w:rsidRPr="00CF1CE8">
              <w:rPr>
                <w:rFonts w:eastAsia="Times New Roman"/>
                <w:b/>
                <w:bCs/>
                <w:color w:val="000000"/>
                <w:sz w:val="22"/>
                <w:szCs w:val="22"/>
              </w:rPr>
              <w:t>Completeness and Coverage Index (CCI)</w:t>
            </w:r>
          </w:p>
        </w:tc>
        <w:tc>
          <w:tcPr>
            <w:tcW w:w="1475" w:type="dxa"/>
            <w:tcBorders>
              <w:top w:val="single" w:sz="4" w:space="0" w:color="000000"/>
              <w:left w:val="double" w:sz="4" w:space="0" w:color="auto"/>
              <w:bottom w:val="single" w:sz="4" w:space="0" w:color="000000"/>
              <w:right w:val="single" w:sz="4" w:space="0" w:color="000000"/>
            </w:tcBorders>
            <w:shd w:val="clear" w:color="auto" w:fill="auto"/>
            <w:tcMar>
              <w:top w:w="0" w:type="dxa"/>
              <w:left w:w="72" w:type="dxa"/>
              <w:bottom w:w="0" w:type="dxa"/>
              <w:right w:w="72" w:type="dxa"/>
            </w:tcMar>
            <w:vAlign w:val="center"/>
            <w:hideMark/>
          </w:tcPr>
          <w:p w14:paraId="48F085C4"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F79646"/>
                <w:sz w:val="22"/>
                <w:szCs w:val="22"/>
              </w:rPr>
              <w:t>Medium</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hideMark/>
          </w:tcPr>
          <w:p w14:paraId="4E488638"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00B050"/>
                <w:sz w:val="22"/>
                <w:szCs w:val="22"/>
              </w:rPr>
              <w:t>High</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hideMark/>
          </w:tcPr>
          <w:p w14:paraId="4F520043"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F79646"/>
                <w:sz w:val="22"/>
                <w:szCs w:val="22"/>
              </w:rPr>
              <w:t>Medium</w:t>
            </w:r>
          </w:p>
        </w:tc>
        <w:tc>
          <w:tcPr>
            <w:tcW w:w="1582" w:type="dxa"/>
            <w:tcBorders>
              <w:top w:val="single" w:sz="4" w:space="0" w:color="000000"/>
              <w:left w:val="single" w:sz="4" w:space="0" w:color="000000"/>
              <w:bottom w:val="single" w:sz="4" w:space="0" w:color="000000"/>
              <w:right w:val="double" w:sz="4" w:space="0" w:color="auto"/>
            </w:tcBorders>
            <w:shd w:val="clear" w:color="auto" w:fill="auto"/>
            <w:tcMar>
              <w:top w:w="0" w:type="dxa"/>
              <w:left w:w="72" w:type="dxa"/>
              <w:bottom w:w="0" w:type="dxa"/>
              <w:right w:w="72" w:type="dxa"/>
            </w:tcMar>
            <w:vAlign w:val="center"/>
            <w:hideMark/>
          </w:tcPr>
          <w:p w14:paraId="17E0F617"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F79646"/>
                <w:sz w:val="22"/>
                <w:szCs w:val="22"/>
              </w:rPr>
              <w:t>Medium</w:t>
            </w:r>
          </w:p>
        </w:tc>
      </w:tr>
      <w:tr w:rsidR="00905DE5" w:rsidRPr="00CF1CE8" w14:paraId="3E6F87CD" w14:textId="77777777" w:rsidTr="00CF1CE8">
        <w:trPr>
          <w:trHeight w:val="20"/>
        </w:trPr>
        <w:tc>
          <w:tcPr>
            <w:tcW w:w="2955" w:type="dxa"/>
            <w:tcBorders>
              <w:top w:val="single" w:sz="4" w:space="0" w:color="000000"/>
              <w:left w:val="double" w:sz="4" w:space="0" w:color="auto"/>
              <w:bottom w:val="single" w:sz="4" w:space="0" w:color="000000"/>
              <w:right w:val="double" w:sz="4" w:space="0" w:color="auto"/>
            </w:tcBorders>
            <w:shd w:val="clear" w:color="auto" w:fill="auto"/>
            <w:tcMar>
              <w:top w:w="0" w:type="dxa"/>
              <w:left w:w="72" w:type="dxa"/>
              <w:bottom w:w="0" w:type="dxa"/>
              <w:right w:w="72" w:type="dxa"/>
            </w:tcMar>
            <w:vAlign w:val="center"/>
            <w:hideMark/>
          </w:tcPr>
          <w:p w14:paraId="35EC86DC" w14:textId="77777777" w:rsidR="00496190" w:rsidRPr="00CF1CE8" w:rsidRDefault="00496190" w:rsidP="009E5489">
            <w:pPr>
              <w:spacing w:after="0" w:line="240" w:lineRule="auto"/>
              <w:jc w:val="left"/>
              <w:rPr>
                <w:rFonts w:eastAsia="Times New Roman"/>
                <w:sz w:val="22"/>
                <w:szCs w:val="22"/>
              </w:rPr>
            </w:pPr>
            <w:r w:rsidRPr="00CF1CE8">
              <w:rPr>
                <w:rFonts w:eastAsia="Times New Roman"/>
                <w:b/>
                <w:bCs/>
                <w:color w:val="000000"/>
                <w:sz w:val="22"/>
                <w:szCs w:val="22"/>
              </w:rPr>
              <w:t>Resourcefulness and Information Index (RII)</w:t>
            </w:r>
          </w:p>
        </w:tc>
        <w:tc>
          <w:tcPr>
            <w:tcW w:w="1475" w:type="dxa"/>
            <w:tcBorders>
              <w:top w:val="single" w:sz="4" w:space="0" w:color="000000"/>
              <w:left w:val="double" w:sz="4" w:space="0" w:color="auto"/>
              <w:bottom w:val="single" w:sz="4" w:space="0" w:color="000000"/>
              <w:right w:val="single" w:sz="4" w:space="0" w:color="000000"/>
            </w:tcBorders>
            <w:shd w:val="clear" w:color="auto" w:fill="auto"/>
            <w:tcMar>
              <w:top w:w="0" w:type="dxa"/>
              <w:left w:w="72" w:type="dxa"/>
              <w:bottom w:w="0" w:type="dxa"/>
              <w:right w:w="72" w:type="dxa"/>
            </w:tcMar>
            <w:vAlign w:val="center"/>
            <w:hideMark/>
          </w:tcPr>
          <w:p w14:paraId="4DFE80F6"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F79646"/>
                <w:sz w:val="22"/>
                <w:szCs w:val="22"/>
              </w:rPr>
              <w:t>Medium</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hideMark/>
          </w:tcPr>
          <w:p w14:paraId="37A62B71"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F79646"/>
                <w:sz w:val="22"/>
                <w:szCs w:val="22"/>
              </w:rPr>
              <w:t>Medium</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vAlign w:val="center"/>
            <w:hideMark/>
          </w:tcPr>
          <w:p w14:paraId="7CDD723A"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00B050"/>
                <w:sz w:val="22"/>
                <w:szCs w:val="22"/>
              </w:rPr>
              <w:t>High</w:t>
            </w:r>
          </w:p>
        </w:tc>
        <w:tc>
          <w:tcPr>
            <w:tcW w:w="1582" w:type="dxa"/>
            <w:tcBorders>
              <w:top w:val="single" w:sz="4" w:space="0" w:color="000000"/>
              <w:left w:val="single" w:sz="4" w:space="0" w:color="000000"/>
              <w:bottom w:val="single" w:sz="4" w:space="0" w:color="000000"/>
              <w:right w:val="double" w:sz="4" w:space="0" w:color="auto"/>
            </w:tcBorders>
            <w:shd w:val="clear" w:color="auto" w:fill="auto"/>
            <w:tcMar>
              <w:top w:w="0" w:type="dxa"/>
              <w:left w:w="72" w:type="dxa"/>
              <w:bottom w:w="0" w:type="dxa"/>
              <w:right w:w="72" w:type="dxa"/>
            </w:tcMar>
            <w:vAlign w:val="center"/>
            <w:hideMark/>
          </w:tcPr>
          <w:p w14:paraId="567415A7"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00B050"/>
                <w:sz w:val="22"/>
                <w:szCs w:val="22"/>
              </w:rPr>
              <w:t>High</w:t>
            </w:r>
          </w:p>
        </w:tc>
      </w:tr>
      <w:tr w:rsidR="00905DE5" w:rsidRPr="00CF1CE8" w14:paraId="21495AEB" w14:textId="77777777" w:rsidTr="00CF1CE8">
        <w:trPr>
          <w:trHeight w:val="20"/>
        </w:trPr>
        <w:tc>
          <w:tcPr>
            <w:tcW w:w="2955" w:type="dxa"/>
            <w:tcBorders>
              <w:top w:val="single" w:sz="4" w:space="0" w:color="000000"/>
              <w:left w:val="double" w:sz="4" w:space="0" w:color="auto"/>
              <w:bottom w:val="double" w:sz="4" w:space="0" w:color="auto"/>
              <w:right w:val="double" w:sz="4" w:space="0" w:color="auto"/>
            </w:tcBorders>
            <w:shd w:val="clear" w:color="auto" w:fill="auto"/>
            <w:tcMar>
              <w:top w:w="0" w:type="dxa"/>
              <w:left w:w="72" w:type="dxa"/>
              <w:bottom w:w="0" w:type="dxa"/>
              <w:right w:w="72" w:type="dxa"/>
            </w:tcMar>
            <w:vAlign w:val="center"/>
            <w:hideMark/>
          </w:tcPr>
          <w:p w14:paraId="57B99F09" w14:textId="77777777" w:rsidR="00496190" w:rsidRPr="00CF1CE8" w:rsidRDefault="00496190" w:rsidP="009E5489">
            <w:pPr>
              <w:spacing w:after="0" w:line="240" w:lineRule="auto"/>
              <w:jc w:val="left"/>
              <w:rPr>
                <w:rFonts w:eastAsia="Times New Roman"/>
                <w:sz w:val="22"/>
                <w:szCs w:val="22"/>
              </w:rPr>
            </w:pPr>
            <w:r w:rsidRPr="00CF1CE8">
              <w:rPr>
                <w:rFonts w:eastAsia="Times New Roman"/>
                <w:b/>
                <w:bCs/>
                <w:color w:val="000000"/>
                <w:sz w:val="22"/>
                <w:szCs w:val="22"/>
              </w:rPr>
              <w:t>Closeness to Reality Index (CRI)</w:t>
            </w:r>
          </w:p>
        </w:tc>
        <w:tc>
          <w:tcPr>
            <w:tcW w:w="1475" w:type="dxa"/>
            <w:tcBorders>
              <w:top w:val="single" w:sz="4" w:space="0" w:color="000000"/>
              <w:left w:val="double" w:sz="4" w:space="0" w:color="auto"/>
              <w:bottom w:val="double" w:sz="4" w:space="0" w:color="auto"/>
              <w:right w:val="single" w:sz="4" w:space="0" w:color="000000"/>
            </w:tcBorders>
            <w:shd w:val="clear" w:color="auto" w:fill="auto"/>
            <w:tcMar>
              <w:top w:w="0" w:type="dxa"/>
              <w:left w:w="72" w:type="dxa"/>
              <w:bottom w:w="0" w:type="dxa"/>
              <w:right w:w="72" w:type="dxa"/>
            </w:tcMar>
            <w:vAlign w:val="center"/>
            <w:hideMark/>
          </w:tcPr>
          <w:p w14:paraId="0716F4C3"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F79646"/>
                <w:sz w:val="22"/>
                <w:szCs w:val="22"/>
              </w:rPr>
              <w:t>Medium</w:t>
            </w:r>
          </w:p>
        </w:tc>
        <w:tc>
          <w:tcPr>
            <w:tcW w:w="1675" w:type="dxa"/>
            <w:tcBorders>
              <w:top w:val="single" w:sz="4" w:space="0" w:color="000000"/>
              <w:left w:val="single" w:sz="4" w:space="0" w:color="000000"/>
              <w:bottom w:val="double" w:sz="4" w:space="0" w:color="auto"/>
              <w:right w:val="single" w:sz="4" w:space="0" w:color="000000"/>
            </w:tcBorders>
            <w:shd w:val="clear" w:color="auto" w:fill="auto"/>
            <w:tcMar>
              <w:top w:w="0" w:type="dxa"/>
              <w:left w:w="72" w:type="dxa"/>
              <w:bottom w:w="0" w:type="dxa"/>
              <w:right w:w="72" w:type="dxa"/>
            </w:tcMar>
            <w:vAlign w:val="center"/>
            <w:hideMark/>
          </w:tcPr>
          <w:p w14:paraId="16B8A42D"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F79646"/>
                <w:sz w:val="22"/>
                <w:szCs w:val="22"/>
              </w:rPr>
              <w:t>Medium</w:t>
            </w:r>
          </w:p>
        </w:tc>
        <w:tc>
          <w:tcPr>
            <w:tcW w:w="1675" w:type="dxa"/>
            <w:tcBorders>
              <w:top w:val="single" w:sz="4" w:space="0" w:color="000000"/>
              <w:left w:val="single" w:sz="4" w:space="0" w:color="000000"/>
              <w:bottom w:val="double" w:sz="4" w:space="0" w:color="auto"/>
              <w:right w:val="single" w:sz="4" w:space="0" w:color="000000"/>
            </w:tcBorders>
            <w:shd w:val="clear" w:color="auto" w:fill="auto"/>
            <w:tcMar>
              <w:top w:w="0" w:type="dxa"/>
              <w:left w:w="72" w:type="dxa"/>
              <w:bottom w:w="0" w:type="dxa"/>
              <w:right w:w="72" w:type="dxa"/>
            </w:tcMar>
            <w:vAlign w:val="center"/>
            <w:hideMark/>
          </w:tcPr>
          <w:p w14:paraId="447F02D4"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00B050"/>
                <w:sz w:val="22"/>
                <w:szCs w:val="22"/>
              </w:rPr>
              <w:t>High</w:t>
            </w:r>
          </w:p>
        </w:tc>
        <w:tc>
          <w:tcPr>
            <w:tcW w:w="1582" w:type="dxa"/>
            <w:tcBorders>
              <w:top w:val="single" w:sz="4" w:space="0" w:color="000000"/>
              <w:left w:val="single" w:sz="4" w:space="0" w:color="000000"/>
              <w:bottom w:val="double" w:sz="4" w:space="0" w:color="auto"/>
              <w:right w:val="double" w:sz="4" w:space="0" w:color="auto"/>
            </w:tcBorders>
            <w:shd w:val="clear" w:color="auto" w:fill="auto"/>
            <w:tcMar>
              <w:top w:w="0" w:type="dxa"/>
              <w:left w:w="72" w:type="dxa"/>
              <w:bottom w:w="0" w:type="dxa"/>
              <w:right w:w="72" w:type="dxa"/>
            </w:tcMar>
            <w:vAlign w:val="center"/>
            <w:hideMark/>
          </w:tcPr>
          <w:p w14:paraId="579C467F" w14:textId="77777777" w:rsidR="00496190" w:rsidRPr="00CF1CE8" w:rsidRDefault="00496190" w:rsidP="009E5489">
            <w:pPr>
              <w:spacing w:after="0" w:line="240" w:lineRule="auto"/>
              <w:jc w:val="center"/>
              <w:rPr>
                <w:rFonts w:eastAsia="Times New Roman"/>
                <w:sz w:val="22"/>
                <w:szCs w:val="22"/>
              </w:rPr>
            </w:pPr>
            <w:r w:rsidRPr="00CF1CE8">
              <w:rPr>
                <w:rFonts w:eastAsia="Times New Roman"/>
                <w:color w:val="00B050"/>
                <w:sz w:val="22"/>
                <w:szCs w:val="22"/>
              </w:rPr>
              <w:t>High</w:t>
            </w:r>
          </w:p>
        </w:tc>
      </w:tr>
    </w:tbl>
    <w:p w14:paraId="5A05DC13" w14:textId="77777777" w:rsidR="00502475" w:rsidRPr="00496190" w:rsidRDefault="00502475" w:rsidP="009E5489">
      <w:pPr>
        <w:pStyle w:val="ctrbodytext"/>
        <w:spacing w:after="0" w:line="240" w:lineRule="auto"/>
        <w:rPr>
          <w:b/>
          <w:bCs/>
        </w:rPr>
      </w:pPr>
    </w:p>
    <w:p w14:paraId="12E53FF4" w14:textId="52474277" w:rsidR="00900D4E" w:rsidRPr="000B5315" w:rsidRDefault="00900D4E" w:rsidP="009E5489">
      <w:pPr>
        <w:pStyle w:val="Heading3"/>
        <w:numPr>
          <w:ilvl w:val="2"/>
          <w:numId w:val="28"/>
        </w:numPr>
        <w:spacing w:before="0" w:line="240" w:lineRule="auto"/>
        <w:ind w:left="540"/>
      </w:pPr>
      <w:bookmarkStart w:id="16" w:name="_Toc119831073"/>
      <w:r>
        <w:t xml:space="preserve">Assessment of </w:t>
      </w:r>
      <w:r w:rsidRPr="000B5315">
        <w:t>Aggregated Merge (Merge 1)</w:t>
      </w:r>
      <w:bookmarkEnd w:id="16"/>
    </w:p>
    <w:p w14:paraId="7FD33772" w14:textId="77777777" w:rsidR="00900D4E" w:rsidRPr="00222B44" w:rsidRDefault="00900D4E" w:rsidP="009E5489">
      <w:pPr>
        <w:pStyle w:val="ctrbodytext"/>
        <w:spacing w:after="40" w:line="240" w:lineRule="auto"/>
        <w:jc w:val="both"/>
      </w:pPr>
      <w:r w:rsidRPr="00222B44">
        <w:t>In this approach, micro</w:t>
      </w:r>
      <w:r>
        <w:t>-</w:t>
      </w:r>
      <w:r w:rsidRPr="00222B44">
        <w:t xml:space="preserve"> or macro-level traffic count data is first aggregated and then merged with the </w:t>
      </w:r>
      <w:r>
        <w:t>TDS</w:t>
      </w:r>
      <w:r w:rsidRPr="00222B44">
        <w:t xml:space="preserve"> </w:t>
      </w:r>
      <w:r>
        <w:t>and in the</w:t>
      </w:r>
      <w:r w:rsidRPr="00222B44">
        <w:t xml:space="preserve"> </w:t>
      </w:r>
      <w:r>
        <w:t>TDM process</w:t>
      </w:r>
      <w:r w:rsidRPr="00222B44">
        <w:t>. The</w:t>
      </w:r>
      <w:r>
        <w:t xml:space="preserve"> data</w:t>
      </w:r>
      <w:r w:rsidRPr="00222B44">
        <w:t xml:space="preserve"> are aggregated spatially (according to census block groups) as well as temporally (to hourly demand or daily demand) and then merged with census data</w:t>
      </w:r>
      <w:r>
        <w:t xml:space="preserve"> and/or</w:t>
      </w:r>
      <w:r w:rsidRPr="00222B44">
        <w:t xml:space="preserve"> travel surveys to obtain </w:t>
      </w:r>
      <w:r>
        <w:t xml:space="preserve">broader, </w:t>
      </w:r>
      <w:r w:rsidRPr="00222B44">
        <w:t>more accurate results. The efficiency of this approach can be represented by the following metrics: </w:t>
      </w:r>
    </w:p>
    <w:p w14:paraId="65031F60" w14:textId="1B520DDF" w:rsidR="00900D4E" w:rsidRPr="00B9797C" w:rsidRDefault="00900D4E" w:rsidP="009E5489">
      <w:pPr>
        <w:pStyle w:val="ctrbulletedlist"/>
        <w:spacing w:after="40" w:line="240" w:lineRule="auto"/>
        <w:jc w:val="both"/>
      </w:pPr>
      <w:r w:rsidRPr="005A6DBD">
        <w:rPr>
          <w:b/>
          <w:bCs/>
          <w:i/>
          <w:iCs/>
        </w:rPr>
        <w:t>CTI</w:t>
      </w:r>
      <w:r w:rsidRPr="005A6DBD">
        <w:rPr>
          <w:i/>
          <w:iCs/>
        </w:rPr>
        <w:t>:</w:t>
      </w:r>
      <w:r w:rsidRPr="005A6DBD">
        <w:t xml:space="preserve"> The </w:t>
      </w:r>
      <w:r>
        <w:t>fusion of TDS with aggregated and merged ICT data</w:t>
      </w:r>
      <w:r w:rsidRPr="005A6DBD">
        <w:t xml:space="preserve"> can be performed relatively quickly with minimal capital investment (depend</w:t>
      </w:r>
      <w:r>
        <w:t>ing</w:t>
      </w:r>
      <w:r w:rsidRPr="005A6DBD">
        <w:t xml:space="preserve"> on the ICT source). The effort required is also not significantly </w:t>
      </w:r>
      <w:r>
        <w:t>higher than for</w:t>
      </w:r>
      <w:r w:rsidRPr="005A6DBD">
        <w:t xml:space="preserve"> traditional methods. </w:t>
      </w:r>
      <w:r>
        <w:t>The resulting dataset</w:t>
      </w:r>
      <w:r w:rsidRPr="005A6DBD">
        <w:t xml:space="preserve"> does not </w:t>
      </w:r>
      <w:r>
        <w:t>require significant</w:t>
      </w:r>
      <w:r w:rsidRPr="005A6DBD">
        <w:t xml:space="preserve"> storage once aggregated and can be efficiently used for </w:t>
      </w:r>
      <w:r>
        <w:t>TDM</w:t>
      </w:r>
      <w:r w:rsidRPr="005A6DBD">
        <w:t xml:space="preserve">. Hence, the CTI for this strategy: </w:t>
      </w:r>
      <w:r>
        <w:rPr>
          <w:b/>
          <w:bCs/>
        </w:rPr>
        <w:t>HIGH</w:t>
      </w:r>
      <w:r w:rsidR="004D6412">
        <w:rPr>
          <w:bCs/>
        </w:rPr>
        <w:t>.</w:t>
      </w:r>
    </w:p>
    <w:p w14:paraId="43D79598" w14:textId="77777777" w:rsidR="00900D4E" w:rsidRPr="00B9797C" w:rsidRDefault="00900D4E" w:rsidP="009E5489">
      <w:pPr>
        <w:pStyle w:val="ctrbulletedlist"/>
        <w:spacing w:after="40" w:line="240" w:lineRule="auto"/>
        <w:jc w:val="both"/>
      </w:pPr>
      <w:r w:rsidRPr="005A6DBD">
        <w:rPr>
          <w:b/>
          <w:bCs/>
          <w:i/>
          <w:iCs/>
        </w:rPr>
        <w:t>CCI</w:t>
      </w:r>
      <w:r w:rsidRPr="005A6DBD">
        <w:rPr>
          <w:i/>
          <w:iCs/>
        </w:rPr>
        <w:t xml:space="preserve">: </w:t>
      </w:r>
      <w:r w:rsidRPr="005A6DBD">
        <w:t xml:space="preserve">Because the data lacks demographics and relies on aggregation of traffic counts, the completeness of this approach could be limited. </w:t>
      </w:r>
      <w:r>
        <w:t>T</w:t>
      </w:r>
      <w:r w:rsidRPr="005A6DBD">
        <w:t xml:space="preserve">he coverage depends on the depth and density of the data collected by the ICT source. The </w:t>
      </w:r>
      <w:r>
        <w:t>CCI</w:t>
      </w:r>
      <w:r w:rsidRPr="005A6DBD">
        <w:t xml:space="preserve"> </w:t>
      </w:r>
      <w:r>
        <w:t>for</w:t>
      </w:r>
      <w:r w:rsidRPr="005A6DBD">
        <w:t xml:space="preserve"> this strategy</w:t>
      </w:r>
      <w:r>
        <w:t>:</w:t>
      </w:r>
      <w:r w:rsidRPr="005A6DBD">
        <w:t xml:space="preserve"> </w:t>
      </w:r>
      <w:r w:rsidRPr="005A6DBD">
        <w:rPr>
          <w:b/>
          <w:bCs/>
        </w:rPr>
        <w:t>MEDIUM</w:t>
      </w:r>
      <w:r w:rsidRPr="004D6412">
        <w:rPr>
          <w:bCs/>
        </w:rPr>
        <w:t>.</w:t>
      </w:r>
      <w:r w:rsidRPr="005A6DBD">
        <w:rPr>
          <w:b/>
          <w:bCs/>
        </w:rPr>
        <w:t xml:space="preserve"> </w:t>
      </w:r>
    </w:p>
    <w:p w14:paraId="4092BB64" w14:textId="77777777" w:rsidR="00900D4E" w:rsidRPr="00B9797C" w:rsidRDefault="00900D4E" w:rsidP="009E5489">
      <w:pPr>
        <w:pStyle w:val="ctrbulletedlist"/>
        <w:spacing w:after="40" w:line="240" w:lineRule="auto"/>
        <w:jc w:val="both"/>
      </w:pPr>
      <w:r w:rsidRPr="005A6DBD">
        <w:rPr>
          <w:b/>
          <w:bCs/>
          <w:i/>
          <w:iCs/>
        </w:rPr>
        <w:t>RII:</w:t>
      </w:r>
      <w:r w:rsidRPr="005A6DBD">
        <w:rPr>
          <w:i/>
          <w:iCs/>
        </w:rPr>
        <w:t xml:space="preserve"> </w:t>
      </w:r>
      <w:r w:rsidRPr="005A6DBD">
        <w:t xml:space="preserve">The “additional information” provided by this strategy depends on the density and accuracy of the data collected through the ICT source. </w:t>
      </w:r>
      <w:r>
        <w:t>Moderate</w:t>
      </w:r>
      <w:r w:rsidRPr="005A6DBD">
        <w:t xml:space="preserve"> resourcefulness </w:t>
      </w:r>
      <w:r>
        <w:t>can be anticipated from</w:t>
      </w:r>
      <w:r w:rsidRPr="005A6DBD">
        <w:t xml:space="preserve"> Merge 1 in the context of policy making, as it offers a more </w:t>
      </w:r>
      <w:r>
        <w:t>accurate reflection of actual travel</w:t>
      </w:r>
      <w:r w:rsidRPr="005A6DBD">
        <w:t xml:space="preserve">, and hence could be relied upon to make better decisions. </w:t>
      </w:r>
      <w:r>
        <w:t>Therefore</w:t>
      </w:r>
      <w:r w:rsidRPr="005A6DBD">
        <w:t>, this approach</w:t>
      </w:r>
      <w:r>
        <w:t xml:space="preserve"> is an improvement over traditional methods for</w:t>
      </w:r>
      <w:r w:rsidRPr="005A6DBD">
        <w:t xml:space="preserve"> TDM. </w:t>
      </w:r>
      <w:r>
        <w:t>T</w:t>
      </w:r>
      <w:r w:rsidRPr="005A6DBD">
        <w:t xml:space="preserve">he RII for this strategy: </w:t>
      </w:r>
      <w:r w:rsidRPr="005A6DBD">
        <w:rPr>
          <w:b/>
          <w:bCs/>
        </w:rPr>
        <w:t>MEDIUM</w:t>
      </w:r>
      <w:r w:rsidRPr="004D6412">
        <w:rPr>
          <w:bCs/>
        </w:rPr>
        <w:t>.</w:t>
      </w:r>
      <w:r w:rsidRPr="005A6DBD">
        <w:rPr>
          <w:b/>
          <w:bCs/>
        </w:rPr>
        <w:t xml:space="preserve"> </w:t>
      </w:r>
    </w:p>
    <w:p w14:paraId="582BB6A1" w14:textId="4A2D6AF2" w:rsidR="00900D4E" w:rsidRPr="00502475" w:rsidRDefault="00900D4E" w:rsidP="009E5489">
      <w:pPr>
        <w:pStyle w:val="ctrbulletedlist"/>
        <w:spacing w:after="0" w:line="240" w:lineRule="auto"/>
        <w:jc w:val="both"/>
      </w:pPr>
      <w:r w:rsidRPr="005A6DBD">
        <w:rPr>
          <w:b/>
          <w:bCs/>
          <w:i/>
          <w:iCs/>
        </w:rPr>
        <w:lastRenderedPageBreak/>
        <w:t>CRI:</w:t>
      </w:r>
      <w:r w:rsidRPr="005A6DBD">
        <w:rPr>
          <w:i/>
          <w:iCs/>
        </w:rPr>
        <w:t xml:space="preserve"> </w:t>
      </w:r>
      <w:r w:rsidRPr="005A6DBD">
        <w:t xml:space="preserve">The closeness to reality of the developed model </w:t>
      </w:r>
      <w:r>
        <w:t xml:space="preserve">using the ICT data source </w:t>
      </w:r>
      <w:r w:rsidRPr="005A6DBD">
        <w:t xml:space="preserve">will depend on the </w:t>
      </w:r>
      <w:r>
        <w:t xml:space="preserve">quality of the </w:t>
      </w:r>
      <w:r w:rsidRPr="005A6DBD">
        <w:t xml:space="preserve">census </w:t>
      </w:r>
      <w:r>
        <w:t>or</w:t>
      </w:r>
      <w:r w:rsidRPr="005A6DBD">
        <w:t xml:space="preserve"> travel survey</w:t>
      </w:r>
      <w:r>
        <w:t xml:space="preserve"> data</w:t>
      </w:r>
      <w:r w:rsidRPr="005A6DBD">
        <w:t xml:space="preserve"> and the amount of data collected by the ICT source. As the collected demographic data will not be </w:t>
      </w:r>
      <w:r>
        <w:t>representative</w:t>
      </w:r>
      <w:r w:rsidRPr="005A6DBD">
        <w:t xml:space="preserve"> enough for a very large area, adding the more accurate observed travel demand for calibration could balance that. </w:t>
      </w:r>
      <w:r>
        <w:t>T</w:t>
      </w:r>
      <w:r w:rsidRPr="005A6DBD">
        <w:t>his strategy could be used for medium</w:t>
      </w:r>
      <w:r>
        <w:t>-</w:t>
      </w:r>
      <w:r w:rsidRPr="005A6DBD">
        <w:t>term planning purposes</w:t>
      </w:r>
      <w:r>
        <w:t>, as it</w:t>
      </w:r>
      <w:r w:rsidRPr="005A6DBD">
        <w:t xml:space="preserve"> represent</w:t>
      </w:r>
      <w:r>
        <w:t>s</w:t>
      </w:r>
      <w:r w:rsidRPr="005A6DBD">
        <w:t xml:space="preserve"> </w:t>
      </w:r>
      <w:r>
        <w:t>moderate</w:t>
      </w:r>
      <w:r w:rsidRPr="005A6DBD">
        <w:t xml:space="preserve"> closeness to reality. </w:t>
      </w:r>
      <w:r>
        <w:t>T</w:t>
      </w:r>
      <w:r w:rsidRPr="005A6DBD">
        <w:t xml:space="preserve">he CRI for this strategy: </w:t>
      </w:r>
      <w:r w:rsidRPr="005A6DBD">
        <w:rPr>
          <w:b/>
          <w:bCs/>
        </w:rPr>
        <w:t>MEDIUM</w:t>
      </w:r>
      <w:r w:rsidRPr="004D6412">
        <w:rPr>
          <w:bCs/>
        </w:rPr>
        <w:t>.</w:t>
      </w:r>
      <w:r w:rsidRPr="005A6DBD">
        <w:rPr>
          <w:b/>
          <w:bCs/>
        </w:rPr>
        <w:t xml:space="preserve"> </w:t>
      </w:r>
    </w:p>
    <w:p w14:paraId="4B6CB196" w14:textId="77777777" w:rsidR="00502475" w:rsidRPr="005A6DBD" w:rsidRDefault="00502475" w:rsidP="009E5489">
      <w:pPr>
        <w:pStyle w:val="ctrbulletedlist"/>
        <w:numPr>
          <w:ilvl w:val="0"/>
          <w:numId w:val="0"/>
        </w:numPr>
        <w:spacing w:after="0" w:line="240" w:lineRule="auto"/>
        <w:ind w:left="720"/>
        <w:jc w:val="both"/>
      </w:pPr>
    </w:p>
    <w:p w14:paraId="200A2D62" w14:textId="77777777" w:rsidR="00900D4E" w:rsidRPr="00222B44" w:rsidRDefault="00900D4E" w:rsidP="009E5489">
      <w:pPr>
        <w:pStyle w:val="Heading3"/>
        <w:numPr>
          <w:ilvl w:val="2"/>
          <w:numId w:val="28"/>
        </w:numPr>
        <w:spacing w:before="0" w:line="240" w:lineRule="auto"/>
        <w:ind w:left="540"/>
      </w:pPr>
      <w:bookmarkStart w:id="17" w:name="_Toc119831074"/>
      <w:r w:rsidRPr="00222B44">
        <w:t>Demographic Merge (Merge 2)</w:t>
      </w:r>
      <w:bookmarkEnd w:id="17"/>
    </w:p>
    <w:p w14:paraId="417BDBD9" w14:textId="22469061" w:rsidR="00900D4E" w:rsidRDefault="00900D4E" w:rsidP="009E5489">
      <w:pPr>
        <w:pStyle w:val="ctrbodytext"/>
        <w:spacing w:after="40" w:line="240" w:lineRule="auto"/>
        <w:jc w:val="both"/>
      </w:pPr>
      <w:r w:rsidRPr="00222B44">
        <w:t xml:space="preserve">This approach involves merging </w:t>
      </w:r>
      <w:r>
        <w:t>an</w:t>
      </w:r>
      <w:r w:rsidRPr="00222B44">
        <w:t xml:space="preserve"> ICT source to </w:t>
      </w:r>
      <w:r>
        <w:t>a</w:t>
      </w:r>
      <w:r w:rsidRPr="00222B44">
        <w:t xml:space="preserve"> </w:t>
      </w:r>
      <w:r>
        <w:t>TDS</w:t>
      </w:r>
      <w:r w:rsidRPr="00222B44">
        <w:t xml:space="preserve"> with the help of </w:t>
      </w:r>
      <w:r w:rsidRPr="004D7CDF">
        <w:rPr>
          <w:i/>
        </w:rPr>
        <w:t>identifiers</w:t>
      </w:r>
      <w:r w:rsidRPr="00222B44">
        <w:t xml:space="preserve">. </w:t>
      </w:r>
      <w:r>
        <w:t>It</w:t>
      </w:r>
      <w:r w:rsidRPr="00222B44">
        <w:t xml:space="preserve"> could provide additional information about a particular “type” of individual</w:t>
      </w:r>
      <w:r>
        <w:t xml:space="preserve"> by fusing</w:t>
      </w:r>
      <w:r w:rsidRPr="00222B44">
        <w:t xml:space="preserve"> some additional sociodemographic variables </w:t>
      </w:r>
      <w:r>
        <w:t>with</w:t>
      </w:r>
      <w:r w:rsidRPr="00222B44">
        <w:t xml:space="preserve"> trip details. This strategy could be evaluated as follows:</w:t>
      </w:r>
    </w:p>
    <w:p w14:paraId="47ADE61A" w14:textId="77777777" w:rsidR="00900D4E" w:rsidRPr="005A6DBD" w:rsidRDefault="00900D4E" w:rsidP="009E5489">
      <w:pPr>
        <w:pStyle w:val="ctrbulletedlist"/>
        <w:spacing w:after="40" w:line="240" w:lineRule="auto"/>
        <w:jc w:val="both"/>
      </w:pPr>
      <w:r w:rsidRPr="005A6DBD">
        <w:rPr>
          <w:b/>
          <w:bCs/>
          <w:i/>
          <w:iCs/>
        </w:rPr>
        <w:t xml:space="preserve">CTI: </w:t>
      </w:r>
      <w:r w:rsidRPr="005A6DBD">
        <w:t xml:space="preserve">This approach would require more time </w:t>
      </w:r>
      <w:r>
        <w:t>and</w:t>
      </w:r>
      <w:r w:rsidRPr="005A6DBD">
        <w:t xml:space="preserve"> effort, as it involve</w:t>
      </w:r>
      <w:r>
        <w:t>s</w:t>
      </w:r>
      <w:r w:rsidRPr="005A6DBD">
        <w:t xml:space="preserve"> matching </w:t>
      </w:r>
      <w:r w:rsidRPr="004D7CDF">
        <w:rPr>
          <w:i/>
        </w:rPr>
        <w:t>identifiers</w:t>
      </w:r>
      <w:r w:rsidRPr="005A6DBD">
        <w:t xml:space="preserve"> with individuals, as well as generalizing individuals on the basis of sociodemographics. The cost depends on the amount of data captured by the ICT source, but </w:t>
      </w:r>
      <w:r w:rsidRPr="006A5334">
        <w:t>generally</w:t>
      </w:r>
      <w:r w:rsidRPr="005A6DBD">
        <w:t xml:space="preserve"> obtaining disaggregated data </w:t>
      </w:r>
      <w:r>
        <w:t>is</w:t>
      </w:r>
      <w:r w:rsidRPr="005A6DBD">
        <w:t xml:space="preserve"> expensive and will </w:t>
      </w:r>
      <w:r>
        <w:t>also lead to higher</w:t>
      </w:r>
      <w:r w:rsidRPr="005A6DBD">
        <w:t xml:space="preserve"> storage</w:t>
      </w:r>
      <w:r>
        <w:t xml:space="preserve"> costs (more data volume means larger storage size requirements)</w:t>
      </w:r>
      <w:r w:rsidRPr="005A6DBD">
        <w:t xml:space="preserve">. </w:t>
      </w:r>
      <w:r>
        <w:t>T</w:t>
      </w:r>
      <w:r w:rsidRPr="005A6DBD">
        <w:t xml:space="preserve">he CTI for Merge 2: </w:t>
      </w:r>
      <w:r>
        <w:rPr>
          <w:b/>
          <w:bCs/>
        </w:rPr>
        <w:t>LOW</w:t>
      </w:r>
      <w:r w:rsidRPr="004D6412">
        <w:rPr>
          <w:bCs/>
        </w:rPr>
        <w:t>.</w:t>
      </w:r>
    </w:p>
    <w:p w14:paraId="75615E37" w14:textId="77777777" w:rsidR="00900D4E" w:rsidRPr="00B9797C" w:rsidRDefault="00900D4E" w:rsidP="009E5489">
      <w:pPr>
        <w:pStyle w:val="ctrbulletedlist"/>
        <w:spacing w:after="40" w:line="240" w:lineRule="auto"/>
        <w:jc w:val="both"/>
      </w:pPr>
      <w:r w:rsidRPr="005A6DBD">
        <w:rPr>
          <w:b/>
          <w:bCs/>
          <w:i/>
          <w:iCs/>
        </w:rPr>
        <w:t xml:space="preserve">CCI: </w:t>
      </w:r>
      <w:r>
        <w:t>T</w:t>
      </w:r>
      <w:r w:rsidRPr="005A6DBD">
        <w:t>he kinds of ICT sources</w:t>
      </w:r>
      <w:r>
        <w:t xml:space="preserve"> appropriate for Merge 2</w:t>
      </w:r>
      <w:r w:rsidRPr="005A6DBD">
        <w:t xml:space="preserve"> contain demographic </w:t>
      </w:r>
      <w:r w:rsidRPr="004D7CDF">
        <w:rPr>
          <w:i/>
        </w:rPr>
        <w:t>identifiers</w:t>
      </w:r>
      <w:r>
        <w:t xml:space="preserve"> and thus</w:t>
      </w:r>
      <w:r w:rsidRPr="005A6DBD">
        <w:t xml:space="preserve"> will provide more “complete” information. However, the coverage will depend on the depth and quality of data collected. </w:t>
      </w:r>
      <w:r>
        <w:t>T</w:t>
      </w:r>
      <w:r w:rsidRPr="005A6DBD">
        <w:t>he CCI for Merge 2</w:t>
      </w:r>
      <w:r>
        <w:t>:</w:t>
      </w:r>
      <w:r w:rsidRPr="005A6DBD">
        <w:t xml:space="preserve"> </w:t>
      </w:r>
      <w:r w:rsidRPr="005A6DBD">
        <w:rPr>
          <w:b/>
          <w:bCs/>
        </w:rPr>
        <w:t>HIGH</w:t>
      </w:r>
      <w:r w:rsidRPr="004D6412">
        <w:rPr>
          <w:bCs/>
        </w:rPr>
        <w:t xml:space="preserve">. </w:t>
      </w:r>
    </w:p>
    <w:p w14:paraId="33685DF7" w14:textId="75D2A2C7" w:rsidR="00900D4E" w:rsidRPr="00840A94" w:rsidRDefault="00900D4E" w:rsidP="009E5489">
      <w:pPr>
        <w:pStyle w:val="ctrbulletedlist"/>
        <w:spacing w:after="40" w:line="240" w:lineRule="auto"/>
        <w:jc w:val="both"/>
      </w:pPr>
      <w:r w:rsidRPr="005A6DBD">
        <w:rPr>
          <w:b/>
          <w:bCs/>
          <w:i/>
          <w:iCs/>
        </w:rPr>
        <w:t>R</w:t>
      </w:r>
      <w:r w:rsidR="002D6498">
        <w:rPr>
          <w:b/>
          <w:bCs/>
          <w:i/>
          <w:iCs/>
        </w:rPr>
        <w:t>I</w:t>
      </w:r>
      <w:r w:rsidRPr="005A6DBD">
        <w:rPr>
          <w:b/>
          <w:bCs/>
          <w:i/>
          <w:iCs/>
        </w:rPr>
        <w:t xml:space="preserve">I: </w:t>
      </w:r>
      <w:r w:rsidRPr="005A6DBD">
        <w:t xml:space="preserve">The </w:t>
      </w:r>
      <w:r>
        <w:t xml:space="preserve">amount of </w:t>
      </w:r>
      <w:r w:rsidRPr="005A6DBD">
        <w:t>additional information provided by the ICT source in this case is clearly higher than</w:t>
      </w:r>
      <w:r>
        <w:t xml:space="preserve"> in</w:t>
      </w:r>
      <w:r w:rsidRPr="005A6DBD">
        <w:t xml:space="preserve"> Merge 1, as it enables </w:t>
      </w:r>
      <w:r>
        <w:t>modelers</w:t>
      </w:r>
      <w:r w:rsidRPr="005A6DBD">
        <w:t xml:space="preserve"> to relate the trip </w:t>
      </w:r>
      <w:r>
        <w:t xml:space="preserve">details and </w:t>
      </w:r>
      <w:r w:rsidRPr="005A6DBD">
        <w:t>attributes</w:t>
      </w:r>
      <w:r>
        <w:t xml:space="preserve"> (such as trip purpose)</w:t>
      </w:r>
      <w:r w:rsidRPr="005A6DBD">
        <w:t xml:space="preserve"> at an individual level. This would allow </w:t>
      </w:r>
      <w:r>
        <w:t>them</w:t>
      </w:r>
      <w:r w:rsidRPr="005A6DBD">
        <w:t xml:space="preserve"> to build a model </w:t>
      </w:r>
      <w:r w:rsidRPr="006A5334">
        <w:t>with</w:t>
      </w:r>
      <w:r w:rsidRPr="005A6DBD">
        <w:t xml:space="preserve"> a larger sample size (as </w:t>
      </w:r>
      <w:r>
        <w:t>compared</w:t>
      </w:r>
      <w:r w:rsidRPr="005A6DBD">
        <w:t xml:space="preserve"> to generalized census-level data). However, not all data points collected by ICT will be useful, </w:t>
      </w:r>
      <w:r>
        <w:t xml:space="preserve">as </w:t>
      </w:r>
      <w:r w:rsidRPr="005A6DBD">
        <w:t xml:space="preserve">demographics </w:t>
      </w:r>
      <w:r>
        <w:t xml:space="preserve">won’t necessarily correspond </w:t>
      </w:r>
      <w:r w:rsidRPr="005A6DBD">
        <w:t xml:space="preserve">to all </w:t>
      </w:r>
      <w:r w:rsidRPr="004D7CDF">
        <w:rPr>
          <w:i/>
        </w:rPr>
        <w:t>identifiers</w:t>
      </w:r>
      <w:r w:rsidRPr="005A6DBD">
        <w:t xml:space="preserve">. </w:t>
      </w:r>
      <w:r>
        <w:t>The</w:t>
      </w:r>
      <w:r w:rsidRPr="005A6DBD">
        <w:t xml:space="preserve"> R</w:t>
      </w:r>
      <w:r w:rsidR="002D6498">
        <w:t>I</w:t>
      </w:r>
      <w:r w:rsidRPr="005A6DBD">
        <w:t xml:space="preserve">I </w:t>
      </w:r>
      <w:r>
        <w:t>for</w:t>
      </w:r>
      <w:r w:rsidRPr="005A6DBD">
        <w:t xml:space="preserve"> Merge 2: </w:t>
      </w:r>
      <w:r w:rsidRPr="005A6DBD">
        <w:rPr>
          <w:b/>
          <w:bCs/>
        </w:rPr>
        <w:t>MEDIUM</w:t>
      </w:r>
      <w:r w:rsidRPr="004D6412">
        <w:rPr>
          <w:bCs/>
        </w:rPr>
        <w:t>.</w:t>
      </w:r>
    </w:p>
    <w:p w14:paraId="45E99B7B" w14:textId="5D192362" w:rsidR="00900D4E" w:rsidRPr="00502475" w:rsidRDefault="00900D4E" w:rsidP="009E5489">
      <w:pPr>
        <w:pStyle w:val="ctrbulletedlist"/>
        <w:spacing w:after="0" w:line="240" w:lineRule="auto"/>
        <w:jc w:val="both"/>
      </w:pPr>
      <w:r w:rsidRPr="005A6DBD">
        <w:rPr>
          <w:b/>
          <w:bCs/>
          <w:i/>
          <w:iCs/>
        </w:rPr>
        <w:t xml:space="preserve">CRI: </w:t>
      </w:r>
      <w:r w:rsidRPr="005A6DBD">
        <w:t xml:space="preserve">This approach is expected to result in more accurate travel demand models, as it covers a larger sample </w:t>
      </w:r>
      <w:r>
        <w:t>that</w:t>
      </w:r>
      <w:r w:rsidRPr="005A6DBD">
        <w:t xml:space="preserve"> could explain more variance in travel demand and travel behavior in general. The presence of </w:t>
      </w:r>
      <w:r w:rsidRPr="004D7CDF">
        <w:rPr>
          <w:i/>
        </w:rPr>
        <w:t>identifiers</w:t>
      </w:r>
      <w:r w:rsidRPr="005A6DBD">
        <w:t xml:space="preserve"> would help </w:t>
      </w:r>
      <w:r>
        <w:t>modelers</w:t>
      </w:r>
      <w:r w:rsidRPr="005A6DBD">
        <w:t xml:space="preserve"> analyze travel </w:t>
      </w:r>
      <w:r w:rsidRPr="006A5334">
        <w:t>behavior</w:t>
      </w:r>
      <w:r w:rsidRPr="005A6DBD">
        <w:t xml:space="preserve"> at a disaggregated level. The level of reality represented will of course depend on the quality of </w:t>
      </w:r>
      <w:r>
        <w:t xml:space="preserve">the </w:t>
      </w:r>
      <w:r w:rsidRPr="005A6DBD">
        <w:t xml:space="preserve">ICT data source, but </w:t>
      </w:r>
      <w:r>
        <w:t>the merged dataset</w:t>
      </w:r>
      <w:r w:rsidRPr="005A6DBD">
        <w:t xml:space="preserve"> is expected to yield better results </w:t>
      </w:r>
      <w:r>
        <w:t xml:space="preserve">than TDS alone </w:t>
      </w:r>
      <w:r w:rsidRPr="005A6DBD">
        <w:t xml:space="preserve">in most scenarios. Keeping all that in mind, </w:t>
      </w:r>
      <w:r>
        <w:t>t</w:t>
      </w:r>
      <w:r w:rsidRPr="005A6DBD">
        <w:t xml:space="preserve">he CRI for Merge 2: </w:t>
      </w:r>
      <w:r w:rsidRPr="005A6DBD">
        <w:rPr>
          <w:b/>
          <w:bCs/>
        </w:rPr>
        <w:t>MEDIUM</w:t>
      </w:r>
      <w:r w:rsidRPr="004D6412">
        <w:rPr>
          <w:bCs/>
        </w:rPr>
        <w:t>. </w:t>
      </w:r>
    </w:p>
    <w:p w14:paraId="286F507A" w14:textId="77777777" w:rsidR="00502475" w:rsidRPr="005A6DBD" w:rsidRDefault="00502475" w:rsidP="009E5489">
      <w:pPr>
        <w:pStyle w:val="ctrbulletedlist"/>
        <w:numPr>
          <w:ilvl w:val="0"/>
          <w:numId w:val="0"/>
        </w:numPr>
        <w:spacing w:after="0" w:line="240" w:lineRule="auto"/>
        <w:ind w:left="720"/>
        <w:jc w:val="both"/>
      </w:pPr>
    </w:p>
    <w:p w14:paraId="2DFE93DA" w14:textId="77777777" w:rsidR="00900D4E" w:rsidRPr="00222B44" w:rsidRDefault="00900D4E" w:rsidP="009E5489">
      <w:pPr>
        <w:pStyle w:val="Heading3"/>
        <w:numPr>
          <w:ilvl w:val="2"/>
          <w:numId w:val="28"/>
        </w:numPr>
        <w:spacing w:before="0" w:line="240" w:lineRule="auto"/>
        <w:ind w:left="540"/>
      </w:pPr>
      <w:bookmarkStart w:id="18" w:name="_Toc119831075"/>
      <w:r w:rsidRPr="00222B44">
        <w:t>Demographic Add</w:t>
      </w:r>
      <w:r>
        <w:t xml:space="preserve"> (Add)</w:t>
      </w:r>
      <w:bookmarkEnd w:id="18"/>
    </w:p>
    <w:p w14:paraId="1A7AE7B1" w14:textId="6EC31FF6" w:rsidR="00900D4E" w:rsidRPr="00222B44" w:rsidRDefault="00900D4E" w:rsidP="009E5489">
      <w:pPr>
        <w:pStyle w:val="ctrbodytext"/>
        <w:spacing w:after="40" w:line="240" w:lineRule="auto"/>
        <w:jc w:val="both"/>
      </w:pPr>
      <w:r w:rsidRPr="00222B44">
        <w:t xml:space="preserve">If </w:t>
      </w:r>
      <w:r>
        <w:t>an</w:t>
      </w:r>
      <w:r w:rsidRPr="00222B44">
        <w:t xml:space="preserve"> ICT dataset includes demographic data but cannot be used independently, as it covers only a part of the </w:t>
      </w:r>
      <w:r>
        <w:t>area’s population</w:t>
      </w:r>
      <w:r w:rsidRPr="00222B44">
        <w:t xml:space="preserve">, it can be </w:t>
      </w:r>
      <w:r>
        <w:t>rendered</w:t>
      </w:r>
      <w:r w:rsidRPr="00222B44">
        <w:t xml:space="preserve"> us</w:t>
      </w:r>
      <w:r>
        <w:t>able</w:t>
      </w:r>
      <w:r w:rsidRPr="00222B44">
        <w:t xml:space="preserve"> by appending it </w:t>
      </w:r>
      <w:r>
        <w:t>to</w:t>
      </w:r>
      <w:r w:rsidRPr="00222B44">
        <w:t xml:space="preserve"> traditional data as additional data points. This could help enlarge </w:t>
      </w:r>
      <w:r>
        <w:t>the</w:t>
      </w:r>
      <w:r w:rsidRPr="00222B44">
        <w:t xml:space="preserve"> sample and </w:t>
      </w:r>
      <w:r>
        <w:t>better represent elements</w:t>
      </w:r>
      <w:r w:rsidRPr="00222B44">
        <w:t xml:space="preserve"> of the population </w:t>
      </w:r>
      <w:r>
        <w:t>that</w:t>
      </w:r>
      <w:r w:rsidRPr="00222B44">
        <w:t xml:space="preserve"> could be missed by traditional survey methods. The efficiency of this approach is </w:t>
      </w:r>
      <w:r>
        <w:t>assessed</w:t>
      </w:r>
      <w:r w:rsidRPr="00222B44">
        <w:t xml:space="preserve"> by the metrics below:</w:t>
      </w:r>
    </w:p>
    <w:p w14:paraId="78172E70" w14:textId="77777777" w:rsidR="00900D4E" w:rsidRPr="005A6DBD" w:rsidRDefault="00900D4E" w:rsidP="009E5489">
      <w:pPr>
        <w:pStyle w:val="ctrbulletedlist"/>
        <w:spacing w:after="40" w:line="240" w:lineRule="auto"/>
        <w:jc w:val="both"/>
      </w:pPr>
      <w:r w:rsidRPr="005A6DBD">
        <w:rPr>
          <w:b/>
          <w:bCs/>
          <w:i/>
          <w:iCs/>
        </w:rPr>
        <w:t xml:space="preserve">CTI: </w:t>
      </w:r>
      <w:r w:rsidRPr="005A6DBD">
        <w:t xml:space="preserve">If the ICT source is in the same format as the </w:t>
      </w:r>
      <w:r>
        <w:t>TDS</w:t>
      </w:r>
      <w:r w:rsidRPr="005A6DBD">
        <w:t xml:space="preserve">, this approach does not </w:t>
      </w:r>
      <w:r>
        <w:t>require</w:t>
      </w:r>
      <w:r w:rsidRPr="005A6DBD">
        <w:t xml:space="preserve"> significant time. The </w:t>
      </w:r>
      <w:r>
        <w:t>cost is more likely to be on the high end</w:t>
      </w:r>
      <w:r w:rsidRPr="005A6DBD">
        <w:t xml:space="preserve">, as </w:t>
      </w:r>
      <w:r>
        <w:t>modelers need</w:t>
      </w:r>
      <w:r w:rsidRPr="005A6DBD">
        <w:t xml:space="preserve"> more variables from the ICT source. The CTI for Add: </w:t>
      </w:r>
      <w:r>
        <w:rPr>
          <w:b/>
          <w:bCs/>
        </w:rPr>
        <w:t>LOW</w:t>
      </w:r>
      <w:r w:rsidRPr="004D6412">
        <w:rPr>
          <w:bCs/>
        </w:rPr>
        <w:t>. </w:t>
      </w:r>
    </w:p>
    <w:p w14:paraId="2C5D8749" w14:textId="77777777" w:rsidR="00900D4E" w:rsidRPr="004D6412" w:rsidRDefault="00900D4E" w:rsidP="009E5489">
      <w:pPr>
        <w:pStyle w:val="ctrbulletedlist"/>
        <w:spacing w:after="40" w:line="240" w:lineRule="auto"/>
        <w:jc w:val="both"/>
      </w:pPr>
      <w:r w:rsidRPr="00840A94">
        <w:rPr>
          <w:b/>
          <w:bCs/>
          <w:i/>
          <w:iCs/>
        </w:rPr>
        <w:t xml:space="preserve">CCI: </w:t>
      </w:r>
      <w:r w:rsidRPr="005A6DBD">
        <w:t>This approach provides additional data points to already</w:t>
      </w:r>
      <w:r>
        <w:t>-</w:t>
      </w:r>
      <w:r w:rsidRPr="005A6DBD">
        <w:t>existing traditional household survey</w:t>
      </w:r>
      <w:r>
        <w:t xml:space="preserve"> data</w:t>
      </w:r>
      <w:r w:rsidRPr="005A6DBD">
        <w:t>. The completeness depend</w:t>
      </w:r>
      <w:r>
        <w:t>s</w:t>
      </w:r>
      <w:r w:rsidRPr="005A6DBD">
        <w:t xml:space="preserve"> on the number of variables obtained by </w:t>
      </w:r>
      <w:r w:rsidRPr="005A6DBD">
        <w:lastRenderedPageBreak/>
        <w:t xml:space="preserve">the ICT source, but in general this method enlarges the sample and can potentially capture unreported trips. Hence, the </w:t>
      </w:r>
      <w:r>
        <w:t>CCI for this strategy</w:t>
      </w:r>
      <w:r w:rsidRPr="005A6DBD">
        <w:t xml:space="preserve">: </w:t>
      </w:r>
      <w:r w:rsidRPr="00840A94">
        <w:rPr>
          <w:b/>
          <w:bCs/>
        </w:rPr>
        <w:t>MEDIUM</w:t>
      </w:r>
      <w:r w:rsidRPr="004D6412">
        <w:rPr>
          <w:bCs/>
        </w:rPr>
        <w:t>.</w:t>
      </w:r>
    </w:p>
    <w:p w14:paraId="1B1BB418" w14:textId="4610CCD3" w:rsidR="00900D4E" w:rsidRPr="00B9797C" w:rsidRDefault="00900D4E" w:rsidP="009E5489">
      <w:pPr>
        <w:pStyle w:val="ctrbulletedlist"/>
        <w:spacing w:after="40" w:line="240" w:lineRule="auto"/>
        <w:jc w:val="both"/>
      </w:pPr>
      <w:r w:rsidRPr="00840A94">
        <w:rPr>
          <w:b/>
          <w:bCs/>
          <w:i/>
          <w:iCs/>
        </w:rPr>
        <w:t>R</w:t>
      </w:r>
      <w:r w:rsidR="002D6498">
        <w:rPr>
          <w:b/>
          <w:bCs/>
          <w:i/>
          <w:iCs/>
        </w:rPr>
        <w:t>I</w:t>
      </w:r>
      <w:r w:rsidRPr="00840A94">
        <w:rPr>
          <w:b/>
          <w:bCs/>
          <w:i/>
          <w:iCs/>
        </w:rPr>
        <w:t xml:space="preserve">I: </w:t>
      </w:r>
      <w:r w:rsidRPr="005A6DBD">
        <w:t xml:space="preserve">The ICT sources </w:t>
      </w:r>
      <w:r>
        <w:t>that</w:t>
      </w:r>
      <w:r w:rsidRPr="005A6DBD">
        <w:t xml:space="preserve"> </w:t>
      </w:r>
      <w:r>
        <w:t>are appropriate for</w:t>
      </w:r>
      <w:r w:rsidRPr="005A6DBD">
        <w:t xml:space="preserve"> this strategy </w:t>
      </w:r>
      <w:r>
        <w:t>can</w:t>
      </w:r>
      <w:r w:rsidRPr="005A6DBD">
        <w:t xml:space="preserve"> great</w:t>
      </w:r>
      <w:r>
        <w:t>ly</w:t>
      </w:r>
      <w:r w:rsidRPr="005A6DBD">
        <w:t xml:space="preserve"> enrich traditional datasets. The</w:t>
      </w:r>
      <w:r>
        <w:t xml:space="preserve">y </w:t>
      </w:r>
      <w:r w:rsidRPr="005A6DBD">
        <w:t>significantly increase</w:t>
      </w:r>
      <w:r>
        <w:t xml:space="preserve"> the sample’s overall information level, which leads to</w:t>
      </w:r>
      <w:r w:rsidRPr="005A6DBD">
        <w:t xml:space="preserve"> better-inform</w:t>
      </w:r>
      <w:r>
        <w:t>ed</w:t>
      </w:r>
      <w:r w:rsidRPr="005A6DBD">
        <w:t xml:space="preserve"> travel demand models. The </w:t>
      </w:r>
      <w:r>
        <w:t xml:space="preserve">additional information these data sources can </w:t>
      </w:r>
      <w:r w:rsidRPr="006A5334">
        <w:t>provide</w:t>
      </w:r>
      <w:r>
        <w:t xml:space="preserve"> to policy makers</w:t>
      </w:r>
      <w:r w:rsidRPr="005A6DBD">
        <w:t xml:space="preserve"> also increases, as the data points obtained from ICT cover a </w:t>
      </w:r>
      <w:r>
        <w:t>vast geospatial</w:t>
      </w:r>
      <w:r w:rsidRPr="005A6DBD">
        <w:t xml:space="preserve"> area, and sources can be aggregated or disaggregated </w:t>
      </w:r>
      <w:r>
        <w:t>as needed to address the issues of interest to policy makers</w:t>
      </w:r>
      <w:r w:rsidRPr="005A6DBD">
        <w:t>. Hence, the R</w:t>
      </w:r>
      <w:r w:rsidR="002D6498">
        <w:t>I</w:t>
      </w:r>
      <w:r w:rsidRPr="005A6DBD">
        <w:t>I for Add</w:t>
      </w:r>
      <w:r>
        <w:t>:</w:t>
      </w:r>
      <w:r w:rsidRPr="005A6DBD">
        <w:t xml:space="preserve"> </w:t>
      </w:r>
      <w:r w:rsidRPr="00840A94">
        <w:rPr>
          <w:b/>
          <w:bCs/>
        </w:rPr>
        <w:t>HIGH</w:t>
      </w:r>
      <w:r w:rsidRPr="004D6412">
        <w:rPr>
          <w:bCs/>
        </w:rPr>
        <w:t>.</w:t>
      </w:r>
      <w:r w:rsidRPr="00840A94">
        <w:rPr>
          <w:b/>
          <w:bCs/>
        </w:rPr>
        <w:t xml:space="preserve"> </w:t>
      </w:r>
    </w:p>
    <w:p w14:paraId="10D8B585" w14:textId="3F1CDB00" w:rsidR="00900D4E" w:rsidRPr="00502475" w:rsidRDefault="00900D4E" w:rsidP="009E5489">
      <w:pPr>
        <w:pStyle w:val="ctrbulletedlist"/>
        <w:spacing w:after="0" w:line="240" w:lineRule="auto"/>
        <w:jc w:val="both"/>
      </w:pPr>
      <w:r w:rsidRPr="005A6DBD">
        <w:rPr>
          <w:b/>
          <w:bCs/>
          <w:i/>
          <w:iCs/>
        </w:rPr>
        <w:t xml:space="preserve">CRI: </w:t>
      </w:r>
      <w:r w:rsidRPr="005A6DBD">
        <w:t xml:space="preserve">The </w:t>
      </w:r>
      <w:r>
        <w:t>CRI</w:t>
      </w:r>
      <w:r w:rsidRPr="005A6DBD">
        <w:t xml:space="preserve"> of this method can</w:t>
      </w:r>
      <w:r>
        <w:t xml:space="preserve"> reasonably</w:t>
      </w:r>
      <w:r w:rsidRPr="005A6DBD">
        <w:t xml:space="preserve"> be </w:t>
      </w:r>
      <w:r>
        <w:t>assumed</w:t>
      </w:r>
      <w:r w:rsidRPr="005A6DBD">
        <w:t xml:space="preserve"> to be higher than </w:t>
      </w:r>
      <w:r>
        <w:t xml:space="preserve">for </w:t>
      </w:r>
      <w:r w:rsidRPr="005A6DBD">
        <w:t xml:space="preserve">Merge 1 and Merge 2, as the data points obtained by ICT are “complete” and have accurate recordings of </w:t>
      </w:r>
      <w:r w:rsidRPr="006A5334">
        <w:t>sociodemographic</w:t>
      </w:r>
      <w:r w:rsidRPr="005A6DBD">
        <w:t xml:space="preserve"> variables and trip attributes, with minim</w:t>
      </w:r>
      <w:r>
        <w:t>al</w:t>
      </w:r>
      <w:r w:rsidRPr="005A6DBD">
        <w:t xml:space="preserve"> discrepancies. The models built through this method will </w:t>
      </w:r>
      <w:r>
        <w:t>be based on</w:t>
      </w:r>
      <w:r w:rsidRPr="005A6DBD">
        <w:t xml:space="preserve"> a mix of traditional and ICT data points and </w:t>
      </w:r>
      <w:r>
        <w:t>will</w:t>
      </w:r>
      <w:r w:rsidRPr="005A6DBD">
        <w:t xml:space="preserve"> </w:t>
      </w:r>
      <w:r>
        <w:t>provide</w:t>
      </w:r>
      <w:r w:rsidRPr="005A6DBD">
        <w:t xml:space="preserve"> a broader overall picture of travel behavior. This strategy can be safely used for medium</w:t>
      </w:r>
      <w:r>
        <w:t>-</w:t>
      </w:r>
      <w:r w:rsidRPr="005A6DBD">
        <w:t xml:space="preserve"> to long</w:t>
      </w:r>
      <w:r>
        <w:t>-</w:t>
      </w:r>
      <w:r w:rsidRPr="005A6DBD">
        <w:t xml:space="preserve">term planning purposes. Overall, the CRI for Add: </w:t>
      </w:r>
      <w:r w:rsidRPr="005A6DBD">
        <w:rPr>
          <w:b/>
          <w:bCs/>
        </w:rPr>
        <w:t>HIGH</w:t>
      </w:r>
      <w:r w:rsidRPr="004D6412">
        <w:rPr>
          <w:bCs/>
        </w:rPr>
        <w:t>. </w:t>
      </w:r>
    </w:p>
    <w:p w14:paraId="510A5FD9" w14:textId="77777777" w:rsidR="00502475" w:rsidRPr="005A6DBD" w:rsidRDefault="00502475" w:rsidP="009E5489">
      <w:pPr>
        <w:pStyle w:val="ctrbulletedlist"/>
        <w:numPr>
          <w:ilvl w:val="0"/>
          <w:numId w:val="0"/>
        </w:numPr>
        <w:spacing w:after="0" w:line="240" w:lineRule="auto"/>
        <w:ind w:left="720"/>
        <w:jc w:val="both"/>
      </w:pPr>
    </w:p>
    <w:p w14:paraId="64B856A7" w14:textId="77777777" w:rsidR="00900D4E" w:rsidRPr="00222B44" w:rsidRDefault="00900D4E" w:rsidP="009E5489">
      <w:pPr>
        <w:pStyle w:val="Heading3"/>
        <w:numPr>
          <w:ilvl w:val="2"/>
          <w:numId w:val="28"/>
        </w:numPr>
        <w:spacing w:before="0" w:line="240" w:lineRule="auto"/>
        <w:ind w:left="540"/>
      </w:pPr>
      <w:bookmarkStart w:id="19" w:name="_Toc119831076"/>
      <w:r w:rsidRPr="00222B44">
        <w:t>Independent Use:</w:t>
      </w:r>
      <w:bookmarkEnd w:id="19"/>
      <w:r w:rsidRPr="00222B44">
        <w:t> </w:t>
      </w:r>
    </w:p>
    <w:p w14:paraId="0EE12C5F" w14:textId="58ECA59F" w:rsidR="00900D4E" w:rsidRPr="00222B44" w:rsidRDefault="00900D4E" w:rsidP="009E5489">
      <w:pPr>
        <w:pStyle w:val="ctrbodytext"/>
        <w:spacing w:after="40" w:line="240" w:lineRule="auto"/>
        <w:jc w:val="both"/>
      </w:pPr>
      <w:r w:rsidRPr="00222B44">
        <w:t xml:space="preserve">In an ideal case, an ICT source can be used independently, i.e., without merging it with </w:t>
      </w:r>
      <w:r>
        <w:t>TDS</w:t>
      </w:r>
      <w:r w:rsidRPr="00222B44">
        <w:t>. This can only be done if the ICT source contains complete demographic information along with the trip attributes and covers a reasonable sample size</w:t>
      </w:r>
      <w:r>
        <w:t xml:space="preserve">. More often than not, ICT data sources used independently have a “constant collection” or real-time aspect to them, allowing use of the data for more than just TDM purposes. </w:t>
      </w:r>
      <w:r w:rsidRPr="00222B44">
        <w:t>This approach can be useful to make travel demand models for specific mode types</w:t>
      </w:r>
      <w:r>
        <w:t>.</w:t>
      </w:r>
      <w:r w:rsidRPr="00222B44">
        <w:t xml:space="preserve"> </w:t>
      </w:r>
      <w:r>
        <w:t>F</w:t>
      </w:r>
      <w:r w:rsidRPr="00222B44">
        <w:t>or example, Uber can efficiently build a travel demand model for ride hailing trips</w:t>
      </w:r>
      <w:r>
        <w:t xml:space="preserve"> using its own data</w:t>
      </w:r>
      <w:r w:rsidRPr="00222B44">
        <w:t xml:space="preserve">, as it has both demographic and trip attributes. </w:t>
      </w:r>
      <w:r>
        <w:t>This method often leads to other challenges, though, which are analyzed below, along with the metrics ratings:</w:t>
      </w:r>
    </w:p>
    <w:p w14:paraId="6F6FFAF8" w14:textId="77777777" w:rsidR="00900D4E" w:rsidRPr="004D6412" w:rsidRDefault="00900D4E" w:rsidP="009E5489">
      <w:pPr>
        <w:pStyle w:val="ctrbulletedlist"/>
        <w:spacing w:after="40" w:line="240" w:lineRule="auto"/>
        <w:jc w:val="both"/>
        <w:rPr>
          <w:bCs/>
        </w:rPr>
      </w:pPr>
      <w:r w:rsidRPr="005A6DBD">
        <w:rPr>
          <w:b/>
          <w:bCs/>
          <w:i/>
          <w:iCs/>
        </w:rPr>
        <w:t xml:space="preserve">CTI: </w:t>
      </w:r>
      <w:r w:rsidRPr="005A6DBD">
        <w:t xml:space="preserve">The cost of this type of data is </w:t>
      </w:r>
      <w:r>
        <w:t>typically very</w:t>
      </w:r>
      <w:r w:rsidRPr="005A6DBD">
        <w:t xml:space="preserve"> high, and dealing with such a volume of data and making it usable </w:t>
      </w:r>
      <w:r w:rsidRPr="006A5334">
        <w:t>also</w:t>
      </w:r>
      <w:r w:rsidRPr="005A6DBD">
        <w:t xml:space="preserve"> require</w:t>
      </w:r>
      <w:r>
        <w:t>s</w:t>
      </w:r>
      <w:r w:rsidRPr="005A6DBD">
        <w:t xml:space="preserve"> expertise. If obtained in raw format, this type of data will require </w:t>
      </w:r>
      <w:r>
        <w:t>significant</w:t>
      </w:r>
      <w:r w:rsidRPr="005A6DBD">
        <w:t xml:space="preserve"> cleaning and pre-processing </w:t>
      </w:r>
      <w:r>
        <w:t>before TDM</w:t>
      </w:r>
      <w:r w:rsidRPr="005A6DBD">
        <w:t xml:space="preserve"> use. The overall CTI for th</w:t>
      </w:r>
      <w:r>
        <w:t>is approach</w:t>
      </w:r>
      <w:r w:rsidRPr="005A6DBD">
        <w:t xml:space="preserve">: </w:t>
      </w:r>
      <w:r>
        <w:rPr>
          <w:b/>
          <w:bCs/>
        </w:rPr>
        <w:t>LOW</w:t>
      </w:r>
      <w:r w:rsidRPr="004D6412">
        <w:rPr>
          <w:bCs/>
        </w:rPr>
        <w:t>.</w:t>
      </w:r>
    </w:p>
    <w:p w14:paraId="35FC00B8" w14:textId="77777777" w:rsidR="00900D4E" w:rsidRPr="00B9797C" w:rsidRDefault="00900D4E" w:rsidP="009E5489">
      <w:pPr>
        <w:pStyle w:val="ctrbulletedlist"/>
        <w:spacing w:after="40" w:line="240" w:lineRule="auto"/>
        <w:jc w:val="both"/>
      </w:pPr>
      <w:r w:rsidRPr="005A6DBD">
        <w:rPr>
          <w:b/>
          <w:bCs/>
          <w:i/>
          <w:iCs/>
        </w:rPr>
        <w:t xml:space="preserve">CCI: </w:t>
      </w:r>
      <w:r w:rsidRPr="005A6DBD">
        <w:t xml:space="preserve">The </w:t>
      </w:r>
      <w:r>
        <w:t xml:space="preserve">kind of </w:t>
      </w:r>
      <w:r w:rsidRPr="005A6DBD">
        <w:t>source</w:t>
      </w:r>
      <w:r>
        <w:t xml:space="preserve"> necessary for this method</w:t>
      </w:r>
      <w:r w:rsidRPr="005A6DBD">
        <w:t xml:space="preserve"> </w:t>
      </w:r>
      <w:r>
        <w:t>typically must</w:t>
      </w:r>
      <w:r w:rsidRPr="005A6DBD">
        <w:t xml:space="preserve"> be complete. However, coverage varies from source to source</w:t>
      </w:r>
      <w:r>
        <w:t>.</w:t>
      </w:r>
      <w:r w:rsidRPr="005A6DBD">
        <w:t xml:space="preserve"> Although </w:t>
      </w:r>
      <w:r>
        <w:t>sources eligible for Independent Use</w:t>
      </w:r>
      <w:r w:rsidRPr="005A6DBD">
        <w:t xml:space="preserve"> can be good </w:t>
      </w:r>
      <w:r w:rsidRPr="006A5334">
        <w:t>tools</w:t>
      </w:r>
      <w:r w:rsidRPr="005A6DBD">
        <w:t xml:space="preserve"> to </w:t>
      </w:r>
      <w:r>
        <w:t>model</w:t>
      </w:r>
      <w:r w:rsidRPr="005A6DBD">
        <w:t xml:space="preserve"> particular types of trips (</w:t>
      </w:r>
      <w:r>
        <w:t xml:space="preserve">typically </w:t>
      </w:r>
      <w:r w:rsidRPr="005A6DBD">
        <w:t>mode-based;</w:t>
      </w:r>
      <w:r>
        <w:t xml:space="preserve"> e.g.,</w:t>
      </w:r>
      <w:r w:rsidRPr="005A6DBD">
        <w:t xml:space="preserve"> bike</w:t>
      </w:r>
      <w:r>
        <w:t xml:space="preserve"> or</w:t>
      </w:r>
      <w:r w:rsidRPr="005A6DBD">
        <w:t xml:space="preserve"> ride-hailing), </w:t>
      </w:r>
      <w:r>
        <w:t>they often do not provide</w:t>
      </w:r>
      <w:r w:rsidRPr="005A6DBD">
        <w:t xml:space="preserve"> data </w:t>
      </w:r>
      <w:r>
        <w:t>that</w:t>
      </w:r>
      <w:r w:rsidRPr="005A6DBD">
        <w:t xml:space="preserve"> covers </w:t>
      </w:r>
      <w:r>
        <w:t xml:space="preserve">overall trips for </w:t>
      </w:r>
      <w:r w:rsidRPr="005A6DBD">
        <w:t xml:space="preserve">a large part of the population. </w:t>
      </w:r>
      <w:r>
        <w:t>T</w:t>
      </w:r>
      <w:r w:rsidRPr="005A6DBD">
        <w:t>his strategy</w:t>
      </w:r>
      <w:r>
        <w:t>’s CCI rating:</w:t>
      </w:r>
      <w:r w:rsidRPr="005A6DBD">
        <w:t xml:space="preserve"> </w:t>
      </w:r>
      <w:r w:rsidRPr="005A6DBD">
        <w:rPr>
          <w:b/>
          <w:bCs/>
        </w:rPr>
        <w:t>MEDIUM</w:t>
      </w:r>
      <w:r w:rsidRPr="005A6DBD">
        <w:t>.</w:t>
      </w:r>
    </w:p>
    <w:p w14:paraId="1FB459CE" w14:textId="462C682E" w:rsidR="00900D4E" w:rsidRPr="005A6DBD" w:rsidRDefault="00900D4E" w:rsidP="009E5489">
      <w:pPr>
        <w:pStyle w:val="ctrbulletedlist"/>
        <w:spacing w:after="40" w:line="240" w:lineRule="auto"/>
        <w:jc w:val="both"/>
      </w:pPr>
      <w:r w:rsidRPr="005A6DBD">
        <w:rPr>
          <w:b/>
          <w:bCs/>
          <w:i/>
          <w:iCs/>
        </w:rPr>
        <w:t>R</w:t>
      </w:r>
      <w:r w:rsidR="002D6498">
        <w:rPr>
          <w:b/>
          <w:bCs/>
          <w:i/>
          <w:iCs/>
        </w:rPr>
        <w:t>I</w:t>
      </w:r>
      <w:r w:rsidRPr="005A6DBD">
        <w:rPr>
          <w:b/>
          <w:bCs/>
          <w:i/>
          <w:iCs/>
        </w:rPr>
        <w:t xml:space="preserve">I: </w:t>
      </w:r>
      <w:r w:rsidRPr="005A6DBD">
        <w:t xml:space="preserve">ICT datasets </w:t>
      </w:r>
      <w:r>
        <w:t>that</w:t>
      </w:r>
      <w:r w:rsidRPr="005A6DBD">
        <w:t xml:space="preserve"> contain complete demographic and trip characteristics are expected to provide far better insights compared to </w:t>
      </w:r>
      <w:r>
        <w:t>TDS</w:t>
      </w:r>
      <w:r w:rsidRPr="005A6DBD">
        <w:t>,</w:t>
      </w:r>
      <w:r>
        <w:t xml:space="preserve"> due to their greater</w:t>
      </w:r>
      <w:r w:rsidRPr="005A6DBD">
        <w:t xml:space="preserve"> volume and accuracy. </w:t>
      </w:r>
      <w:r>
        <w:t xml:space="preserve">When ICT sources that continuously collect and pass on data are used, it </w:t>
      </w:r>
      <w:r w:rsidRPr="006A5334">
        <w:t>requires</w:t>
      </w:r>
      <w:r>
        <w:t xml:space="preserve"> planners to quickly adjust and improve their models.</w:t>
      </w:r>
      <w:r w:rsidRPr="005A6DBD">
        <w:t xml:space="preserve"> This can be a great tool for</w:t>
      </w:r>
      <w:r>
        <w:t xml:space="preserve"> increasing the dynamism and responsiveness of</w:t>
      </w:r>
      <w:r w:rsidRPr="005A6DBD">
        <w:t xml:space="preserve"> transportation policy and planning. The R</w:t>
      </w:r>
      <w:r w:rsidR="002D6498">
        <w:t>I</w:t>
      </w:r>
      <w:r w:rsidRPr="005A6DBD">
        <w:t>I for this strategy</w:t>
      </w:r>
      <w:r>
        <w:t>:</w:t>
      </w:r>
      <w:r w:rsidRPr="005A6DBD">
        <w:t xml:space="preserve"> </w:t>
      </w:r>
      <w:r w:rsidRPr="005A6DBD">
        <w:rPr>
          <w:b/>
          <w:bCs/>
        </w:rPr>
        <w:t>HIGH</w:t>
      </w:r>
      <w:r w:rsidRPr="004D6412">
        <w:rPr>
          <w:bCs/>
        </w:rPr>
        <w:t xml:space="preserve">. </w:t>
      </w:r>
    </w:p>
    <w:p w14:paraId="64E5E7D6" w14:textId="7D12DA1F" w:rsidR="00900D4E" w:rsidRDefault="00900D4E" w:rsidP="009E5489">
      <w:pPr>
        <w:pStyle w:val="ctrbulletedlist"/>
        <w:spacing w:after="0" w:line="240" w:lineRule="auto"/>
        <w:jc w:val="both"/>
        <w:rPr>
          <w:b/>
          <w:bCs/>
        </w:rPr>
      </w:pPr>
      <w:r w:rsidRPr="005A6DBD">
        <w:rPr>
          <w:b/>
          <w:bCs/>
          <w:i/>
          <w:iCs/>
        </w:rPr>
        <w:t xml:space="preserve">CRI: </w:t>
      </w:r>
      <w:r w:rsidRPr="005A6DBD">
        <w:t>Data collected through ICT sources are very close to reality as they are directly collected from the field</w:t>
      </w:r>
      <w:r>
        <w:t>, which</w:t>
      </w:r>
      <w:r w:rsidRPr="005A6DBD">
        <w:t xml:space="preserve"> minim</w:t>
      </w:r>
      <w:r>
        <w:t>izes</w:t>
      </w:r>
      <w:r w:rsidRPr="005A6DBD">
        <w:t xml:space="preserve"> errors. </w:t>
      </w:r>
      <w:r>
        <w:t xml:space="preserve">Also, if the acquired ICT data is continuously updated, it will </w:t>
      </w:r>
      <w:r w:rsidRPr="006A5334">
        <w:t>maintain</w:t>
      </w:r>
      <w:r>
        <w:t xml:space="preserve"> this closeness to reality throughout the modeling and calibration process. </w:t>
      </w:r>
      <w:r w:rsidRPr="005A6DBD">
        <w:t xml:space="preserve">If historical data is also </w:t>
      </w:r>
      <w:r>
        <w:t>acquired</w:t>
      </w:r>
      <w:r w:rsidRPr="005A6DBD">
        <w:t xml:space="preserve">, </w:t>
      </w:r>
      <w:r>
        <w:t>it can be used</w:t>
      </w:r>
      <w:r w:rsidRPr="005A6DBD">
        <w:t xml:space="preserve"> </w:t>
      </w:r>
      <w:r>
        <w:t>for</w:t>
      </w:r>
      <w:r w:rsidRPr="005A6DBD">
        <w:t xml:space="preserve"> compar</w:t>
      </w:r>
      <w:r>
        <w:t>ison</w:t>
      </w:r>
      <w:r w:rsidRPr="005A6DBD">
        <w:t xml:space="preserve"> and</w:t>
      </w:r>
      <w:r>
        <w:t xml:space="preserve"> to</w:t>
      </w:r>
      <w:r w:rsidRPr="005A6DBD">
        <w:t xml:space="preserve"> study changes in demographics and travel patterns</w:t>
      </w:r>
      <w:r>
        <w:t>;</w:t>
      </w:r>
      <w:r w:rsidRPr="005A6DBD">
        <w:t xml:space="preserve"> w</w:t>
      </w:r>
      <w:r>
        <w:t xml:space="preserve">hen </w:t>
      </w:r>
      <w:r w:rsidRPr="005A6DBD">
        <w:t>aggregat</w:t>
      </w:r>
      <w:r>
        <w:t>ed appropriately</w:t>
      </w:r>
      <w:r w:rsidRPr="005A6DBD">
        <w:t xml:space="preserve">, </w:t>
      </w:r>
      <w:r>
        <w:t xml:space="preserve">this </w:t>
      </w:r>
      <w:r>
        <w:lastRenderedPageBreak/>
        <w:t>can</w:t>
      </w:r>
      <w:r w:rsidRPr="005A6DBD">
        <w:t xml:space="preserve"> provide </w:t>
      </w:r>
      <w:r>
        <w:t>important</w:t>
      </w:r>
      <w:r w:rsidRPr="005A6DBD">
        <w:t xml:space="preserve"> insights. This strategy can be used very efficiently for both short- and long-term planning purposes. Hence, the CRI for this strategy</w:t>
      </w:r>
      <w:r>
        <w:t>:</w:t>
      </w:r>
      <w:r w:rsidRPr="005A6DBD">
        <w:t xml:space="preserve"> </w:t>
      </w:r>
      <w:r w:rsidRPr="005A6DBD">
        <w:rPr>
          <w:b/>
          <w:bCs/>
        </w:rPr>
        <w:t>HIGH</w:t>
      </w:r>
      <w:r w:rsidRPr="004D6412">
        <w:rPr>
          <w:bCs/>
        </w:rPr>
        <w:t>. </w:t>
      </w:r>
    </w:p>
    <w:p w14:paraId="68DB11DE" w14:textId="77777777" w:rsidR="00502475" w:rsidRDefault="00502475" w:rsidP="009E5489">
      <w:pPr>
        <w:pStyle w:val="ctrbodytext"/>
        <w:spacing w:after="0" w:line="240" w:lineRule="auto"/>
        <w:jc w:val="both"/>
      </w:pPr>
    </w:p>
    <w:p w14:paraId="0FB3153C" w14:textId="760BC936" w:rsidR="009A728B" w:rsidRDefault="001669B9" w:rsidP="009E5489">
      <w:pPr>
        <w:pStyle w:val="Heading1"/>
        <w:numPr>
          <w:ilvl w:val="0"/>
          <w:numId w:val="28"/>
        </w:numPr>
        <w:spacing w:before="0" w:line="240" w:lineRule="auto"/>
      </w:pPr>
      <w:r>
        <w:t>CONCLUSIONS</w:t>
      </w:r>
    </w:p>
    <w:bookmarkEnd w:id="15"/>
    <w:p w14:paraId="11D42BC4" w14:textId="137389D5" w:rsidR="00EE6AC5" w:rsidRDefault="001669B9" w:rsidP="009E5489">
      <w:pPr>
        <w:pStyle w:val="ctrbodytext"/>
        <w:spacing w:after="0" w:line="240" w:lineRule="auto"/>
        <w:jc w:val="both"/>
      </w:pPr>
      <w:r>
        <w:t>In this paper, we</w:t>
      </w:r>
      <w:r w:rsidR="005E2279" w:rsidRPr="006B756E">
        <w:t xml:space="preserve"> have proposed</w:t>
      </w:r>
      <w:r w:rsidR="005E2279">
        <w:t xml:space="preserve"> a </w:t>
      </w:r>
      <w:r w:rsidR="005E2279" w:rsidRPr="006B756E">
        <w:t xml:space="preserve">flexible </w:t>
      </w:r>
      <w:r>
        <w:t xml:space="preserve">guideline </w:t>
      </w:r>
      <w:r w:rsidR="005E2279">
        <w:t xml:space="preserve">framework </w:t>
      </w:r>
      <w:r w:rsidR="005E2279" w:rsidRPr="006B756E">
        <w:t xml:space="preserve">that is adaptable </w:t>
      </w:r>
      <w:r w:rsidR="005E2279">
        <w:t xml:space="preserve">and customizable </w:t>
      </w:r>
      <w:r w:rsidR="005E2279" w:rsidRPr="006B756E">
        <w:t>to the amount of information</w:t>
      </w:r>
      <w:r w:rsidR="005E2279">
        <w:t xml:space="preserve"> in</w:t>
      </w:r>
      <w:r w:rsidR="005E2279" w:rsidRPr="006B756E">
        <w:t xml:space="preserve"> the source. The proposed framework broadly categorizes ICT data source</w:t>
      </w:r>
      <w:r w:rsidR="005E2279">
        <w:t>s</w:t>
      </w:r>
      <w:r w:rsidR="005E2279" w:rsidRPr="006B756E">
        <w:t xml:space="preserve"> and recommends strateg</w:t>
      </w:r>
      <w:r>
        <w:t>ies</w:t>
      </w:r>
      <w:r w:rsidR="005E2279" w:rsidRPr="006B756E">
        <w:t xml:space="preserve"> to integrate ICT</w:t>
      </w:r>
      <w:r>
        <w:t>-based</w:t>
      </w:r>
      <w:r w:rsidR="005E2279" w:rsidRPr="006B756E">
        <w:t xml:space="preserve"> and traditionally sourced data</w:t>
      </w:r>
      <w:r>
        <w:t xml:space="preserve">. Of course, we should emphasize here that, </w:t>
      </w:r>
      <w:bookmarkStart w:id="20" w:name="_Hlk109466963"/>
      <w:bookmarkStart w:id="21" w:name="_Hlk109206092"/>
      <w:r w:rsidR="00951801">
        <w:t>to understand urban activities, it is insufficient to identify statistical travel patterns of human beings (the emphasis of emerging big-data sources)</w:t>
      </w:r>
      <w:r>
        <w:t>,</w:t>
      </w:r>
      <w:r w:rsidR="00951801">
        <w:t xml:space="preserve"> while ignoring the purpose and content of their activities (more the emphasis of traditional household travel survey data collection programs). Data collected on “where” and “when” individuals travel must be supplemented with the “whys” and “with whom</w:t>
      </w:r>
      <w:r>
        <w:t>s</w:t>
      </w:r>
      <w:r w:rsidR="00951801">
        <w:t>”</w:t>
      </w:r>
      <w:r>
        <w:t>. Besides, the majority of ICT data sources require large amounts of time, capital and effort to collect, process and organize the raw data. And, in cases where data has already been processed and organized, as is data obtained from third-parties, such as StreetLight or Inrix, there is limited information on how specific travel-related parameters have been estimated (such as daily VMT or population numbers). This leads to much third-party-processed ICT data to essentially be a “black box” to modelers.</w:t>
      </w:r>
      <w:r w:rsidR="00951801">
        <w:t xml:space="preserve"> </w:t>
      </w:r>
      <w:bookmarkStart w:id="22" w:name="_Hlk65662898"/>
      <w:r>
        <w:t>But, overall, the</w:t>
      </w:r>
      <w:r w:rsidR="00951801">
        <w:t xml:space="preserve"> shift in data collection is not so much a traditional-versus-emerging data debate as much as it is a means to best harness the relative strengths of the different data sources to provide the most complete picture of human and vehicular movements, </w:t>
      </w:r>
      <w:r>
        <w:t xml:space="preserve">and </w:t>
      </w:r>
      <w:r w:rsidR="00951801">
        <w:t xml:space="preserve">in </w:t>
      </w:r>
      <w:r>
        <w:t xml:space="preserve">as </w:t>
      </w:r>
      <w:r w:rsidR="00951801">
        <w:t>efficient, comprehensive, and effective manner</w:t>
      </w:r>
      <w:r>
        <w:t xml:space="preserve"> as possible</w:t>
      </w:r>
      <w:r w:rsidR="00951801">
        <w:t xml:space="preserve">. </w:t>
      </w:r>
      <w:r w:rsidR="00EE6AC5" w:rsidRPr="00983F62">
        <w:t>If integrated effectively, ICT data can prove valuable for urban and rural transport planning and design, informed safety assessments and crash countermeasure measures, infrastructure design and maintenance, and travel demand management.</w:t>
      </w:r>
    </w:p>
    <w:bookmarkEnd w:id="22"/>
    <w:p w14:paraId="220DF8C5" w14:textId="7E673B3B" w:rsidR="009A728B" w:rsidRDefault="009A728B" w:rsidP="009E5489">
      <w:pPr>
        <w:spacing w:after="0" w:line="240" w:lineRule="auto"/>
        <w:jc w:val="left"/>
      </w:pPr>
    </w:p>
    <w:bookmarkEnd w:id="20"/>
    <w:p w14:paraId="5CE18654" w14:textId="77777777" w:rsidR="00D61A38" w:rsidRDefault="00D61A38" w:rsidP="009E5489">
      <w:pPr>
        <w:spacing w:after="0" w:line="240" w:lineRule="auto"/>
        <w:rPr>
          <w:b/>
        </w:rPr>
      </w:pPr>
      <w:r>
        <w:rPr>
          <w:b/>
        </w:rPr>
        <w:t>ACKNOWLEDGEMENTS</w:t>
      </w:r>
    </w:p>
    <w:p w14:paraId="52EB30F0" w14:textId="579F7CD3" w:rsidR="00D61A38" w:rsidRDefault="00D61A38" w:rsidP="009E5489">
      <w:pPr>
        <w:spacing w:after="0" w:line="240" w:lineRule="auto"/>
      </w:pPr>
      <w:bookmarkStart w:id="23" w:name="_Hlk106714961"/>
      <w:r w:rsidRPr="001A345C">
        <w:t xml:space="preserve">This research was partially supported by the </w:t>
      </w:r>
      <w:r w:rsidR="0004673F" w:rsidRPr="00D426FD">
        <w:t>U.S. Department of Transportation through the Center for Understanding Future Travel Behavior and Demand (TBD) (Grant No. 69A3552344815 and No. 69A3552348320)</w:t>
      </w:r>
      <w:r w:rsidR="0004673F">
        <w:t xml:space="preserve">, and by the </w:t>
      </w:r>
      <w:r w:rsidRPr="001A345C">
        <w:rPr>
          <w:bCs/>
        </w:rPr>
        <w:t>Texas Department of Transportation (TxDOT) under</w:t>
      </w:r>
      <w:r w:rsidRPr="001A345C">
        <w:rPr>
          <w:bCs/>
          <w:color w:val="FF0000"/>
        </w:rPr>
        <w:t xml:space="preserve"> </w:t>
      </w:r>
      <w:r w:rsidRPr="001A345C">
        <w:rPr>
          <w:bCs/>
        </w:rPr>
        <w:t>project 0-7</w:t>
      </w:r>
      <w:r w:rsidR="000030D1">
        <w:rPr>
          <w:bCs/>
        </w:rPr>
        <w:t>134</w:t>
      </w:r>
      <w:r w:rsidRPr="001A345C">
        <w:rPr>
          <w:bCs/>
        </w:rPr>
        <w:t xml:space="preserve">. </w:t>
      </w:r>
      <w:r w:rsidR="00904974" w:rsidRPr="001A345C">
        <w:rPr>
          <w:bCs/>
        </w:rPr>
        <w:t xml:space="preserve">The authors would like to thank </w:t>
      </w:r>
      <w:r w:rsidR="00874A00" w:rsidRPr="00874A00">
        <w:rPr>
          <w:bCs/>
        </w:rPr>
        <w:t>Wade Odell, David Freidenfeld, Farideh Dassi, James Kuhr, Jeremy</w:t>
      </w:r>
      <w:r w:rsidR="00874A00">
        <w:rPr>
          <w:bCs/>
        </w:rPr>
        <w:t xml:space="preserve"> </w:t>
      </w:r>
      <w:r w:rsidR="00874A00" w:rsidRPr="00874A00">
        <w:rPr>
          <w:bCs/>
        </w:rPr>
        <w:t>Rogers, Cleo Williams, and Catherine Wolff of TxDOT for their support and</w:t>
      </w:r>
      <w:r w:rsidR="00874A00">
        <w:rPr>
          <w:bCs/>
        </w:rPr>
        <w:t xml:space="preserve"> </w:t>
      </w:r>
      <w:r w:rsidR="00874A00" w:rsidRPr="00874A00">
        <w:rPr>
          <w:bCs/>
        </w:rPr>
        <w:t>constructive advice throughout this project.</w:t>
      </w:r>
      <w:r w:rsidRPr="001A345C">
        <w:t xml:space="preserve"> The authors</w:t>
      </w:r>
      <w:r>
        <w:t xml:space="preserve"> are grateful to Lisa Macias</w:t>
      </w:r>
      <w:r w:rsidR="005C3D65">
        <w:t>,</w:t>
      </w:r>
      <w:r w:rsidR="00904974">
        <w:t xml:space="preserve"> Sarah McGavick</w:t>
      </w:r>
      <w:r w:rsidR="005C3D65">
        <w:t>, Gina Blazanin</w:t>
      </w:r>
      <w:r w:rsidR="00874A00">
        <w:t>, and Natalia Ruiz Juri</w:t>
      </w:r>
      <w:r w:rsidR="00904974">
        <w:t xml:space="preserve"> </w:t>
      </w:r>
      <w:r w:rsidR="00CA6E2A">
        <w:t xml:space="preserve">for </w:t>
      </w:r>
      <w:r>
        <w:t xml:space="preserve">help in </w:t>
      </w:r>
      <w:r w:rsidR="000030D1">
        <w:t>framework development</w:t>
      </w:r>
      <w:r w:rsidR="00CA6E2A">
        <w:t xml:space="preserve">, and Lisa Macias for additional help </w:t>
      </w:r>
      <w:bookmarkEnd w:id="23"/>
      <w:r w:rsidR="00CF1CE8" w:rsidRPr="00AF56F9">
        <w:t>in formatting this document</w:t>
      </w:r>
      <w:r>
        <w:t>.</w:t>
      </w:r>
    </w:p>
    <w:p w14:paraId="451FA8FC" w14:textId="77948BE2" w:rsidR="009A728B" w:rsidRDefault="009A728B" w:rsidP="009E5489">
      <w:pPr>
        <w:spacing w:after="0" w:line="240" w:lineRule="auto"/>
        <w:ind w:left="720" w:hanging="720"/>
        <w:rPr>
          <w:b/>
          <w:color w:val="222222"/>
          <w:shd w:val="clear" w:color="auto" w:fill="FFFFFF"/>
        </w:rPr>
      </w:pPr>
      <w:bookmarkStart w:id="24" w:name="_Hlk109802544"/>
      <w:bookmarkEnd w:id="21"/>
    </w:p>
    <w:p w14:paraId="18C751FE" w14:textId="18ABF251" w:rsidR="009E5489" w:rsidRPr="009E5489" w:rsidRDefault="009E5489" w:rsidP="009E5489">
      <w:pPr>
        <w:spacing w:after="0" w:line="240" w:lineRule="auto"/>
        <w:ind w:left="720" w:hanging="720"/>
        <w:rPr>
          <w:b/>
          <w:caps/>
          <w:color w:val="222222"/>
          <w:shd w:val="clear" w:color="auto" w:fill="FFFFFF"/>
        </w:rPr>
      </w:pPr>
      <w:r w:rsidRPr="009E5489">
        <w:rPr>
          <w:b/>
          <w:caps/>
          <w:color w:val="222222"/>
          <w:shd w:val="clear" w:color="auto" w:fill="FFFFFF"/>
        </w:rPr>
        <w:t>Author Contribution Statement</w:t>
      </w:r>
    </w:p>
    <w:p w14:paraId="177BC76C" w14:textId="5D31D921" w:rsidR="009E5489" w:rsidRDefault="009E5489" w:rsidP="009E5489">
      <w:pPr>
        <w:spacing w:after="0" w:line="240" w:lineRule="auto"/>
      </w:pPr>
      <w:r>
        <w:t>The authors confirm contribution to the paper as follows: study conception and design: K.E. Asmussen, V. Verma, C.R. Bhat; data collection: K.E. Asmussen, V. Verma, C.R. Bhat; analysis and interpretation of results: K.E. Asmussen, V. Verma, C.R. Bhat; draft manuscript preparation: K.E. Asmussen, V. Verma, C.R. Bhat. All authors reviewed the results and approved the final version of the manuscript.</w:t>
      </w:r>
    </w:p>
    <w:p w14:paraId="5C63B1FC" w14:textId="77777777" w:rsidR="009E5489" w:rsidRPr="009E5489" w:rsidRDefault="009E5489" w:rsidP="009E5489">
      <w:pPr>
        <w:spacing w:after="0" w:line="240" w:lineRule="auto"/>
        <w:rPr>
          <w:bCs/>
          <w:color w:val="222222"/>
          <w:shd w:val="clear" w:color="auto" w:fill="FFFFFF"/>
        </w:rPr>
      </w:pPr>
    </w:p>
    <w:p w14:paraId="3F51C316" w14:textId="63AED49E" w:rsidR="00B73A3E" w:rsidRPr="008B2C75" w:rsidRDefault="00B73A3E" w:rsidP="009E5489">
      <w:pPr>
        <w:spacing w:after="0" w:line="240" w:lineRule="auto"/>
        <w:ind w:left="720" w:hanging="720"/>
        <w:rPr>
          <w:b/>
          <w:color w:val="222222"/>
          <w:shd w:val="clear" w:color="auto" w:fill="FFFFFF"/>
        </w:rPr>
      </w:pPr>
      <w:r w:rsidRPr="008B2C75">
        <w:rPr>
          <w:b/>
          <w:color w:val="222222"/>
          <w:shd w:val="clear" w:color="auto" w:fill="FFFFFF"/>
        </w:rPr>
        <w:t>REFERENCES</w:t>
      </w:r>
    </w:p>
    <w:bookmarkEnd w:id="24"/>
    <w:p w14:paraId="532FCDA6" w14:textId="2B6F23DF" w:rsidR="00A06955" w:rsidRPr="00874A00" w:rsidRDefault="00874A00" w:rsidP="009E5489">
      <w:pPr>
        <w:pStyle w:val="ctrreferenceslisting"/>
        <w:numPr>
          <w:ilvl w:val="0"/>
          <w:numId w:val="21"/>
        </w:numPr>
        <w:ind w:left="360"/>
        <w:jc w:val="both"/>
      </w:pPr>
      <w:r w:rsidRPr="00342CE6">
        <w:t>Cherchi, E. and Bhat, C.R.</w:t>
      </w:r>
      <w:r w:rsidR="00612166">
        <w:t xml:space="preserve"> (</w:t>
      </w:r>
      <w:r w:rsidRPr="00342CE6">
        <w:t>2018</w:t>
      </w:r>
      <w:r w:rsidR="00612166">
        <w:t>)</w:t>
      </w:r>
      <w:r w:rsidRPr="00342CE6">
        <w:t>. Data analytics and fusion in a world of multiple sensing and information capture mechanisms, 11th International Conference on Transport Survey Methods</w:t>
      </w:r>
      <w:r w:rsidR="001161B4">
        <w:t>.</w:t>
      </w:r>
      <w:r w:rsidRPr="00342CE6">
        <w:t xml:space="preserve"> </w:t>
      </w:r>
      <w:r w:rsidRPr="00612166">
        <w:rPr>
          <w:i/>
          <w:iCs/>
        </w:rPr>
        <w:t>Transportation Research Procedia</w:t>
      </w:r>
      <w:r w:rsidRPr="004D6412">
        <w:rPr>
          <w:iCs/>
        </w:rPr>
        <w:t xml:space="preserve">, </w:t>
      </w:r>
      <w:r w:rsidRPr="00612166">
        <w:rPr>
          <w:i/>
          <w:iCs/>
        </w:rPr>
        <w:t>32</w:t>
      </w:r>
      <w:r w:rsidRPr="00342CE6">
        <w:t>, 416–420.</w:t>
      </w:r>
    </w:p>
    <w:sectPr w:rsidR="00A06955" w:rsidRPr="00874A00" w:rsidSect="006953E5">
      <w:footerReference w:type="default" r:id="rId20"/>
      <w:pgSz w:w="12240" w:h="15840"/>
      <w:pgMar w:top="13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6D44D" w14:textId="77777777" w:rsidR="00960D64" w:rsidRDefault="00960D64" w:rsidP="006062B8">
      <w:pPr>
        <w:spacing w:after="0" w:line="240" w:lineRule="auto"/>
      </w:pPr>
      <w:r>
        <w:separator/>
      </w:r>
    </w:p>
  </w:endnote>
  <w:endnote w:type="continuationSeparator" w:id="0">
    <w:p w14:paraId="3F7D1858" w14:textId="77777777" w:rsidR="00960D64" w:rsidRDefault="00960D64" w:rsidP="0060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E3DB" w14:textId="7CE1688D" w:rsidR="009A728B" w:rsidRDefault="009A728B">
    <w:pPr>
      <w:pStyle w:val="Footer"/>
      <w:jc w:val="right"/>
    </w:pPr>
  </w:p>
  <w:p w14:paraId="5ECFE14A" w14:textId="77777777" w:rsidR="009A728B" w:rsidRDefault="009A72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834112"/>
      <w:docPartObj>
        <w:docPartGallery w:val="Page Numbers (Bottom of Page)"/>
        <w:docPartUnique/>
      </w:docPartObj>
    </w:sdtPr>
    <w:sdtEndPr>
      <w:rPr>
        <w:noProof/>
        <w:sz w:val="22"/>
        <w:szCs w:val="22"/>
      </w:rPr>
    </w:sdtEndPr>
    <w:sdtContent>
      <w:p w14:paraId="3500FEC3" w14:textId="77777777" w:rsidR="007052F2" w:rsidRPr="0004673F" w:rsidRDefault="007052F2" w:rsidP="00D54414">
        <w:pPr>
          <w:pStyle w:val="Footer"/>
          <w:jc w:val="center"/>
          <w:rPr>
            <w:sz w:val="22"/>
            <w:szCs w:val="22"/>
          </w:rPr>
        </w:pPr>
        <w:r w:rsidRPr="0004673F">
          <w:rPr>
            <w:sz w:val="22"/>
            <w:szCs w:val="22"/>
          </w:rPr>
          <w:fldChar w:fldCharType="begin"/>
        </w:r>
        <w:r w:rsidRPr="0004673F">
          <w:rPr>
            <w:sz w:val="22"/>
            <w:szCs w:val="22"/>
          </w:rPr>
          <w:instrText xml:space="preserve"> PAGE   \* MERGEFORMAT </w:instrText>
        </w:r>
        <w:r w:rsidRPr="0004673F">
          <w:rPr>
            <w:sz w:val="22"/>
            <w:szCs w:val="22"/>
          </w:rPr>
          <w:fldChar w:fldCharType="separate"/>
        </w:r>
        <w:r w:rsidRPr="0004673F">
          <w:rPr>
            <w:noProof/>
            <w:sz w:val="22"/>
            <w:szCs w:val="22"/>
          </w:rPr>
          <w:t>1</w:t>
        </w:r>
        <w:r w:rsidRPr="0004673F">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87263"/>
      <w:docPartObj>
        <w:docPartGallery w:val="Page Numbers (Bottom of Page)"/>
        <w:docPartUnique/>
      </w:docPartObj>
    </w:sdtPr>
    <w:sdtEndPr>
      <w:rPr>
        <w:noProof/>
      </w:rPr>
    </w:sdtEndPr>
    <w:sdtContent>
      <w:p w14:paraId="76D19ECE" w14:textId="51984B34" w:rsidR="009A728B" w:rsidRDefault="009A728B" w:rsidP="004D6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9652" w14:textId="77777777" w:rsidR="00960D64" w:rsidRDefault="00960D64" w:rsidP="006062B8">
      <w:pPr>
        <w:spacing w:after="0" w:line="240" w:lineRule="auto"/>
      </w:pPr>
      <w:r>
        <w:separator/>
      </w:r>
    </w:p>
  </w:footnote>
  <w:footnote w:type="continuationSeparator" w:id="0">
    <w:p w14:paraId="445B554C" w14:textId="77777777" w:rsidR="00960D64" w:rsidRDefault="00960D64" w:rsidP="006062B8">
      <w:pPr>
        <w:spacing w:after="0" w:line="240" w:lineRule="auto"/>
      </w:pPr>
      <w:r>
        <w:continuationSeparator/>
      </w:r>
    </w:p>
  </w:footnote>
  <w:footnote w:id="1">
    <w:p w14:paraId="26E12E01" w14:textId="77777777" w:rsidR="00951801" w:rsidRDefault="00951801" w:rsidP="00951801">
      <w:pPr>
        <w:pStyle w:val="FootnoteText"/>
      </w:pPr>
      <w:r>
        <w:rPr>
          <w:vertAlign w:val="superscript"/>
        </w:rPr>
        <w:footnoteRef/>
      </w:r>
      <w:r>
        <w:rPr>
          <w:vertAlign w:val="superscript"/>
        </w:rPr>
        <w:t xml:space="preserve"> </w:t>
      </w:r>
      <w:r>
        <w:t>The label “true” data is used here simply to highlight the fact that emerging data are not “filtered” by the respondents when interviewed. “True” is not used with the meaning of “free of bias” as all systems have their own limitations, which might be technical, stem from data transformation, or relate to user manipulation (for example, fraud or multiple validation occurrences within smart card data). Providers of these data also do not always give access to the original data, but sometimes only to processed data.</w:t>
      </w:r>
    </w:p>
  </w:footnote>
  <w:footnote w:id="2">
    <w:p w14:paraId="66F077F8" w14:textId="3E94DEFF" w:rsidR="002063A1" w:rsidRDefault="002063A1" w:rsidP="002063A1">
      <w:pPr>
        <w:pStyle w:val="FootnoteText"/>
      </w:pPr>
      <w:r>
        <w:rPr>
          <w:rStyle w:val="FootnoteReference"/>
        </w:rPr>
        <w:footnoteRef/>
      </w:r>
      <w:r>
        <w:t xml:space="preserve"> Of course, any mapping of these three </w:t>
      </w:r>
      <w:r w:rsidR="003D100B">
        <w:t>strategies (conversion, translation, and integration)</w:t>
      </w:r>
      <w:r>
        <w:t xml:space="preserve"> to a general fusion method will involve generalizations and qualitative</w:t>
      </w:r>
      <w:r w:rsidRPr="006B756E">
        <w:t xml:space="preserve"> </w:t>
      </w:r>
      <w:r>
        <w:t xml:space="preserve">judgments. </w:t>
      </w:r>
      <w:r w:rsidRPr="006B756E">
        <w:t>A</w:t>
      </w:r>
      <w:r>
        <w:t>n</w:t>
      </w:r>
      <w:r w:rsidRPr="006B756E">
        <w:t xml:space="preserve"> </w:t>
      </w:r>
      <w:r>
        <w:t xml:space="preserve">accurate </w:t>
      </w:r>
      <w:r w:rsidRPr="006B756E">
        <w:t xml:space="preserve">rating </w:t>
      </w:r>
      <w:r>
        <w:t xml:space="preserve">would </w:t>
      </w:r>
      <w:r w:rsidRPr="006B756E">
        <w:t xml:space="preserve">depend just as much on the quality of the specific data in an ICT source as on the integration </w:t>
      </w:r>
      <w:r>
        <w:t>method</w:t>
      </w:r>
      <w:r w:rsidRPr="006B756E">
        <w:t xml:space="preserve">. </w:t>
      </w:r>
      <w:r>
        <w:t>But our framework should provide a general sense of the potential value of any ICT data source’s integration into any TDM process. The</w:t>
      </w:r>
      <w:r w:rsidR="00691108">
        <w:t xml:space="preserve"> assessment </w:t>
      </w:r>
      <w:r>
        <w:t xml:space="preserve">criteria employed here include </w:t>
      </w:r>
      <w:r w:rsidR="00691108">
        <w:t>(</w:t>
      </w:r>
      <w:r>
        <w:t xml:space="preserve">1) the relative </w:t>
      </w:r>
      <w:r w:rsidRPr="002063A1">
        <w:rPr>
          <w:u w:val="single"/>
        </w:rPr>
        <w:t>time</w:t>
      </w:r>
      <w:r>
        <w:t xml:space="preserve"> frame for accurately translating, converting, and integrating the ICT data, </w:t>
      </w:r>
      <w:r w:rsidR="00691108">
        <w:t>(</w:t>
      </w:r>
      <w:r>
        <w:t xml:space="preserve">2) the </w:t>
      </w:r>
      <w:r w:rsidRPr="002063A1">
        <w:rPr>
          <w:u w:val="single"/>
        </w:rPr>
        <w:t>capital</w:t>
      </w:r>
      <w:r>
        <w:t xml:space="preserve"> cost to acquire, convert, and integrate the ICT data, and </w:t>
      </w:r>
      <w:r w:rsidR="00691108">
        <w:t>(</w:t>
      </w:r>
      <w:r>
        <w:t xml:space="preserve">3) the amount of additional </w:t>
      </w:r>
      <w:r w:rsidRPr="002063A1">
        <w:rPr>
          <w:u w:val="single"/>
        </w:rPr>
        <w:t>effort</w:t>
      </w:r>
      <w:r>
        <w:t>, thought, strategizing, and labor required to complete the translation, conversion, and integration</w:t>
      </w:r>
      <w:r w:rsidR="004A20A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7213" w14:textId="5EB83E9A" w:rsidR="0004673F" w:rsidRPr="006953E5" w:rsidRDefault="0004673F" w:rsidP="00695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1BE7"/>
    <w:multiLevelType w:val="hybridMultilevel"/>
    <w:tmpl w:val="570A8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A0BF6"/>
    <w:multiLevelType w:val="multilevel"/>
    <w:tmpl w:val="0409001D"/>
    <w:numStyleLink w:val="Singlepunch"/>
  </w:abstractNum>
  <w:abstractNum w:abstractNumId="2" w15:restartNumberingAfterBreak="0">
    <w:nsid w:val="0DE421B9"/>
    <w:multiLevelType w:val="hybridMultilevel"/>
    <w:tmpl w:val="EDE2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629"/>
    <w:multiLevelType w:val="hybridMultilevel"/>
    <w:tmpl w:val="57AE1CF8"/>
    <w:lvl w:ilvl="0" w:tplc="F616370A">
      <w:start w:val="1"/>
      <w:numFmt w:val="bullet"/>
      <w:lvlText w:val=""/>
      <w:lvlJc w:val="left"/>
      <w:pPr>
        <w:ind w:left="720" w:hanging="360"/>
      </w:pPr>
      <w:rPr>
        <w:rFonts w:ascii="Symbol" w:hAnsi="Symbol" w:hint="default"/>
      </w:rPr>
    </w:lvl>
    <w:lvl w:ilvl="1" w:tplc="1F72D8C8">
      <w:start w:val="1"/>
      <w:numFmt w:val="bullet"/>
      <w:pStyle w:val="ctrbulletedsublis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F51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7F6DD2"/>
    <w:multiLevelType w:val="hybridMultilevel"/>
    <w:tmpl w:val="AD8E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E3F9D"/>
    <w:multiLevelType w:val="hybridMultilevel"/>
    <w:tmpl w:val="C4BCE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27059"/>
    <w:multiLevelType w:val="hybridMultilevel"/>
    <w:tmpl w:val="D2DCB9A0"/>
    <w:lvl w:ilvl="0" w:tplc="F616370A">
      <w:start w:val="1"/>
      <w:numFmt w:val="bullet"/>
      <w:pStyle w:val="ctr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14C10"/>
    <w:multiLevelType w:val="hybridMultilevel"/>
    <w:tmpl w:val="ACA00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F18C8"/>
    <w:multiLevelType w:val="hybridMultilevel"/>
    <w:tmpl w:val="EC449646"/>
    <w:lvl w:ilvl="0" w:tplc="0409000F">
      <w:start w:val="1"/>
      <w:numFmt w:val="decimal"/>
      <w:lvlText w:val="%1."/>
      <w:lvlJc w:val="left"/>
      <w:pPr>
        <w:ind w:left="720" w:hanging="360"/>
      </w:pPr>
      <w:rPr>
        <w:rFonts w:hint="default"/>
      </w:rPr>
    </w:lvl>
    <w:lvl w:ilvl="1" w:tplc="58F2AEC4">
      <w:start w:val="1"/>
      <w:numFmt w:val="bullet"/>
      <w:lvlText w:val="o"/>
      <w:lvlJc w:val="left"/>
      <w:pPr>
        <w:ind w:left="1440" w:hanging="360"/>
      </w:pPr>
      <w:rPr>
        <w:rFonts w:ascii="Symbol" w:hAnsi="Symbol"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7500E"/>
    <w:multiLevelType w:val="hybridMultilevel"/>
    <w:tmpl w:val="F642EB7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1" w15:restartNumberingAfterBreak="0">
    <w:nsid w:val="37DC3F78"/>
    <w:multiLevelType w:val="hybridMultilevel"/>
    <w:tmpl w:val="2AE26B58"/>
    <w:lvl w:ilvl="0" w:tplc="7188E35C">
      <w:start w:val="2"/>
      <w:numFmt w:val="decimal"/>
      <w:lvlText w:val="%1."/>
      <w:lvlJc w:val="left"/>
      <w:pPr>
        <w:tabs>
          <w:tab w:val="num" w:pos="720"/>
        </w:tabs>
        <w:ind w:left="720" w:hanging="360"/>
      </w:pPr>
    </w:lvl>
    <w:lvl w:ilvl="1" w:tplc="BE38E300" w:tentative="1">
      <w:start w:val="1"/>
      <w:numFmt w:val="decimal"/>
      <w:lvlText w:val="%2."/>
      <w:lvlJc w:val="left"/>
      <w:pPr>
        <w:tabs>
          <w:tab w:val="num" w:pos="1440"/>
        </w:tabs>
        <w:ind w:left="1440" w:hanging="360"/>
      </w:pPr>
    </w:lvl>
    <w:lvl w:ilvl="2" w:tplc="35D22B78" w:tentative="1">
      <w:start w:val="1"/>
      <w:numFmt w:val="decimal"/>
      <w:lvlText w:val="%3."/>
      <w:lvlJc w:val="left"/>
      <w:pPr>
        <w:tabs>
          <w:tab w:val="num" w:pos="2160"/>
        </w:tabs>
        <w:ind w:left="2160" w:hanging="360"/>
      </w:pPr>
    </w:lvl>
    <w:lvl w:ilvl="3" w:tplc="1B061476" w:tentative="1">
      <w:start w:val="1"/>
      <w:numFmt w:val="decimal"/>
      <w:lvlText w:val="%4."/>
      <w:lvlJc w:val="left"/>
      <w:pPr>
        <w:tabs>
          <w:tab w:val="num" w:pos="2880"/>
        </w:tabs>
        <w:ind w:left="2880" w:hanging="360"/>
      </w:pPr>
    </w:lvl>
    <w:lvl w:ilvl="4" w:tplc="5E0EBDDA" w:tentative="1">
      <w:start w:val="1"/>
      <w:numFmt w:val="decimal"/>
      <w:lvlText w:val="%5."/>
      <w:lvlJc w:val="left"/>
      <w:pPr>
        <w:tabs>
          <w:tab w:val="num" w:pos="3600"/>
        </w:tabs>
        <w:ind w:left="3600" w:hanging="360"/>
      </w:pPr>
    </w:lvl>
    <w:lvl w:ilvl="5" w:tplc="0DDE40D8" w:tentative="1">
      <w:start w:val="1"/>
      <w:numFmt w:val="decimal"/>
      <w:lvlText w:val="%6."/>
      <w:lvlJc w:val="left"/>
      <w:pPr>
        <w:tabs>
          <w:tab w:val="num" w:pos="4320"/>
        </w:tabs>
        <w:ind w:left="4320" w:hanging="360"/>
      </w:pPr>
    </w:lvl>
    <w:lvl w:ilvl="6" w:tplc="F78EC35C" w:tentative="1">
      <w:start w:val="1"/>
      <w:numFmt w:val="decimal"/>
      <w:lvlText w:val="%7."/>
      <w:lvlJc w:val="left"/>
      <w:pPr>
        <w:tabs>
          <w:tab w:val="num" w:pos="5040"/>
        </w:tabs>
        <w:ind w:left="5040" w:hanging="360"/>
      </w:pPr>
    </w:lvl>
    <w:lvl w:ilvl="7" w:tplc="189A1224" w:tentative="1">
      <w:start w:val="1"/>
      <w:numFmt w:val="decimal"/>
      <w:lvlText w:val="%8."/>
      <w:lvlJc w:val="left"/>
      <w:pPr>
        <w:tabs>
          <w:tab w:val="num" w:pos="5760"/>
        </w:tabs>
        <w:ind w:left="5760" w:hanging="360"/>
      </w:pPr>
    </w:lvl>
    <w:lvl w:ilvl="8" w:tplc="613257DC" w:tentative="1">
      <w:start w:val="1"/>
      <w:numFmt w:val="decimal"/>
      <w:lvlText w:val="%9."/>
      <w:lvlJc w:val="left"/>
      <w:pPr>
        <w:tabs>
          <w:tab w:val="num" w:pos="6480"/>
        </w:tabs>
        <w:ind w:left="6480" w:hanging="360"/>
      </w:pPr>
    </w:lvl>
  </w:abstractNum>
  <w:abstractNum w:abstractNumId="12" w15:restartNumberingAfterBreak="0">
    <w:nsid w:val="385E2971"/>
    <w:multiLevelType w:val="hybridMultilevel"/>
    <w:tmpl w:val="F61AE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466A7"/>
    <w:multiLevelType w:val="multilevel"/>
    <w:tmpl w:val="0409001F"/>
    <w:lvl w:ilvl="0">
      <w:start w:val="1"/>
      <w:numFmt w:val="decimal"/>
      <w:lvlText w:val="%1."/>
      <w:lvlJc w:val="left"/>
      <w:pPr>
        <w:ind w:left="810" w:hanging="360"/>
      </w:p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4" w15:restartNumberingAfterBreak="0">
    <w:nsid w:val="3BEE575E"/>
    <w:multiLevelType w:val="hybridMultilevel"/>
    <w:tmpl w:val="C52E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A3491"/>
    <w:multiLevelType w:val="hybridMultilevel"/>
    <w:tmpl w:val="A60CC8E2"/>
    <w:lvl w:ilvl="0" w:tplc="0409000F">
      <w:start w:val="1"/>
      <w:numFmt w:val="decimal"/>
      <w:lvlText w:val="%1."/>
      <w:lvlJc w:val="left"/>
      <w:pPr>
        <w:ind w:left="720" w:hanging="360"/>
      </w:pPr>
      <w:rPr>
        <w:rFonts w:hint="default"/>
        <w:b w:val="0"/>
      </w:rPr>
    </w:lvl>
    <w:lvl w:ilvl="1" w:tplc="58F2AEC4">
      <w:start w:val="1"/>
      <w:numFmt w:val="bullet"/>
      <w:lvlText w:val="o"/>
      <w:lvlJc w:val="left"/>
      <w:pPr>
        <w:ind w:left="1440" w:hanging="360"/>
      </w:pPr>
      <w:rPr>
        <w:rFonts w:ascii="Symbol" w:hAnsi="Symbol"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E2998"/>
    <w:multiLevelType w:val="multilevel"/>
    <w:tmpl w:val="2D5A43BC"/>
    <w:lvl w:ilvl="0">
      <w:start w:val="1"/>
      <w:numFmt w:val="decimal"/>
      <w:lvlText w:val="%1."/>
      <w:lvlJc w:val="left"/>
      <w:pPr>
        <w:ind w:left="360" w:hanging="360"/>
      </w:pPr>
      <w:rPr>
        <w:b/>
      </w:rPr>
    </w:lvl>
    <w:lvl w:ilvl="1">
      <w:start w:val="1"/>
      <w:numFmt w:val="decimal"/>
      <w:lvlText w:val="%1.%2."/>
      <w:lvlJc w:val="left"/>
      <w:pPr>
        <w:ind w:left="792" w:hanging="432"/>
      </w:pPr>
      <w:rPr>
        <w:rFonts w:hint="default"/>
        <w:b/>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BB2297"/>
    <w:multiLevelType w:val="hybridMultilevel"/>
    <w:tmpl w:val="64E2B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492A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686A24"/>
    <w:multiLevelType w:val="hybridMultilevel"/>
    <w:tmpl w:val="808C1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6066CA"/>
    <w:multiLevelType w:val="hybridMultilevel"/>
    <w:tmpl w:val="43EC3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04764"/>
    <w:multiLevelType w:val="multilevel"/>
    <w:tmpl w:val="36B659C4"/>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77F74F0"/>
    <w:multiLevelType w:val="hybridMultilevel"/>
    <w:tmpl w:val="C680B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82915"/>
    <w:multiLevelType w:val="hybridMultilevel"/>
    <w:tmpl w:val="16B0C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A55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D802FC"/>
    <w:multiLevelType w:val="hybridMultilevel"/>
    <w:tmpl w:val="3C948058"/>
    <w:lvl w:ilvl="0" w:tplc="97DC403A">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280B2F"/>
    <w:multiLevelType w:val="hybridMultilevel"/>
    <w:tmpl w:val="5DA4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607C1F"/>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9" w15:restartNumberingAfterBreak="0">
    <w:nsid w:val="61680D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D72665"/>
    <w:multiLevelType w:val="hybridMultilevel"/>
    <w:tmpl w:val="7B2EF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9036868"/>
    <w:multiLevelType w:val="hybridMultilevel"/>
    <w:tmpl w:val="43406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4111B"/>
    <w:multiLevelType w:val="hybridMultilevel"/>
    <w:tmpl w:val="E842C760"/>
    <w:lvl w:ilvl="0" w:tplc="4E5CA924">
      <w:start w:val="1"/>
      <w:numFmt w:val="decimal"/>
      <w:lvlText w:val="%1."/>
      <w:lvlJc w:val="left"/>
      <w:pPr>
        <w:tabs>
          <w:tab w:val="num" w:pos="720"/>
        </w:tabs>
        <w:ind w:left="720" w:hanging="360"/>
      </w:pPr>
    </w:lvl>
    <w:lvl w:ilvl="1" w:tplc="41AA6E5E" w:tentative="1">
      <w:start w:val="1"/>
      <w:numFmt w:val="decimal"/>
      <w:lvlText w:val="%2."/>
      <w:lvlJc w:val="left"/>
      <w:pPr>
        <w:tabs>
          <w:tab w:val="num" w:pos="1440"/>
        </w:tabs>
        <w:ind w:left="1440" w:hanging="360"/>
      </w:pPr>
    </w:lvl>
    <w:lvl w:ilvl="2" w:tplc="A73AD8EE" w:tentative="1">
      <w:start w:val="1"/>
      <w:numFmt w:val="decimal"/>
      <w:lvlText w:val="%3."/>
      <w:lvlJc w:val="left"/>
      <w:pPr>
        <w:tabs>
          <w:tab w:val="num" w:pos="2160"/>
        </w:tabs>
        <w:ind w:left="2160" w:hanging="360"/>
      </w:pPr>
    </w:lvl>
    <w:lvl w:ilvl="3" w:tplc="A7B209E6" w:tentative="1">
      <w:start w:val="1"/>
      <w:numFmt w:val="decimal"/>
      <w:lvlText w:val="%4."/>
      <w:lvlJc w:val="left"/>
      <w:pPr>
        <w:tabs>
          <w:tab w:val="num" w:pos="2880"/>
        </w:tabs>
        <w:ind w:left="2880" w:hanging="360"/>
      </w:pPr>
    </w:lvl>
    <w:lvl w:ilvl="4" w:tplc="164475DA" w:tentative="1">
      <w:start w:val="1"/>
      <w:numFmt w:val="decimal"/>
      <w:lvlText w:val="%5."/>
      <w:lvlJc w:val="left"/>
      <w:pPr>
        <w:tabs>
          <w:tab w:val="num" w:pos="3600"/>
        </w:tabs>
        <w:ind w:left="3600" w:hanging="360"/>
      </w:pPr>
    </w:lvl>
    <w:lvl w:ilvl="5" w:tplc="8A02F908" w:tentative="1">
      <w:start w:val="1"/>
      <w:numFmt w:val="decimal"/>
      <w:lvlText w:val="%6."/>
      <w:lvlJc w:val="left"/>
      <w:pPr>
        <w:tabs>
          <w:tab w:val="num" w:pos="4320"/>
        </w:tabs>
        <w:ind w:left="4320" w:hanging="360"/>
      </w:pPr>
    </w:lvl>
    <w:lvl w:ilvl="6" w:tplc="5978EB08" w:tentative="1">
      <w:start w:val="1"/>
      <w:numFmt w:val="decimal"/>
      <w:lvlText w:val="%7."/>
      <w:lvlJc w:val="left"/>
      <w:pPr>
        <w:tabs>
          <w:tab w:val="num" w:pos="5040"/>
        </w:tabs>
        <w:ind w:left="5040" w:hanging="360"/>
      </w:pPr>
    </w:lvl>
    <w:lvl w:ilvl="7" w:tplc="2DCAF082" w:tentative="1">
      <w:start w:val="1"/>
      <w:numFmt w:val="decimal"/>
      <w:lvlText w:val="%8."/>
      <w:lvlJc w:val="left"/>
      <w:pPr>
        <w:tabs>
          <w:tab w:val="num" w:pos="5760"/>
        </w:tabs>
        <w:ind w:left="5760" w:hanging="360"/>
      </w:pPr>
    </w:lvl>
    <w:lvl w:ilvl="8" w:tplc="48345B1E" w:tentative="1">
      <w:start w:val="1"/>
      <w:numFmt w:val="decimal"/>
      <w:lvlText w:val="%9."/>
      <w:lvlJc w:val="left"/>
      <w:pPr>
        <w:tabs>
          <w:tab w:val="num" w:pos="6480"/>
        </w:tabs>
        <w:ind w:left="6480" w:hanging="360"/>
      </w:pPr>
    </w:lvl>
  </w:abstractNum>
  <w:abstractNum w:abstractNumId="33" w15:restartNumberingAfterBreak="0">
    <w:nsid w:val="714A01BA"/>
    <w:multiLevelType w:val="hybridMultilevel"/>
    <w:tmpl w:val="E140F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DF2B75"/>
    <w:multiLevelType w:val="hybridMultilevel"/>
    <w:tmpl w:val="C25E4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733F41"/>
    <w:multiLevelType w:val="hybridMultilevel"/>
    <w:tmpl w:val="DD20A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60344C"/>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rPr>
        <w:rFonts w:hint="default"/>
        <w:b/>
        <w:bCs/>
      </w:rPr>
    </w:lvl>
    <w:lvl w:ilvl="2">
      <w:start w:val="1"/>
      <w:numFmt w:val="decimal"/>
      <w:lvlText w:val="%1.%2.%3."/>
      <w:lvlJc w:val="left"/>
      <w:pPr>
        <w:ind w:left="20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F44D5A"/>
    <w:multiLevelType w:val="hybridMultilevel"/>
    <w:tmpl w:val="43EC3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29"/>
  </w:num>
  <w:num w:numId="4">
    <w:abstractNumId w:val="4"/>
  </w:num>
  <w:num w:numId="5">
    <w:abstractNumId w:val="34"/>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0"/>
  </w:num>
  <w:num w:numId="9">
    <w:abstractNumId w:val="33"/>
  </w:num>
  <w:num w:numId="10">
    <w:abstractNumId w:val="25"/>
  </w:num>
  <w:num w:numId="11">
    <w:abstractNumId w:val="5"/>
  </w:num>
  <w:num w:numId="12">
    <w:abstractNumId w:val="18"/>
  </w:num>
  <w:num w:numId="13">
    <w:abstractNumId w:val="1"/>
  </w:num>
  <w:num w:numId="14">
    <w:abstractNumId w:val="21"/>
  </w:num>
  <w:num w:numId="15">
    <w:abstractNumId w:val="37"/>
  </w:num>
  <w:num w:numId="16">
    <w:abstractNumId w:val="24"/>
  </w:num>
  <w:num w:numId="17">
    <w:abstractNumId w:val="14"/>
  </w:num>
  <w:num w:numId="18">
    <w:abstractNumId w:val="35"/>
  </w:num>
  <w:num w:numId="19">
    <w:abstractNumId w:val="22"/>
  </w:num>
  <w:num w:numId="20">
    <w:abstractNumId w:val="10"/>
  </w:num>
  <w:num w:numId="21">
    <w:abstractNumId w:val="6"/>
  </w:num>
  <w:num w:numId="22">
    <w:abstractNumId w:val="7"/>
  </w:num>
  <w:num w:numId="23">
    <w:abstractNumId w:val="2"/>
  </w:num>
  <w:num w:numId="24">
    <w:abstractNumId w:val="20"/>
  </w:num>
  <w:num w:numId="25">
    <w:abstractNumId w:val="0"/>
  </w:num>
  <w:num w:numId="26">
    <w:abstractNumId w:val="31"/>
  </w:num>
  <w:num w:numId="27">
    <w:abstractNumId w:val="23"/>
  </w:num>
  <w:num w:numId="28">
    <w:abstractNumId w:val="36"/>
  </w:num>
  <w:num w:numId="29">
    <w:abstractNumId w:val="15"/>
  </w:num>
  <w:num w:numId="30">
    <w:abstractNumId w:val="12"/>
  </w:num>
  <w:num w:numId="31">
    <w:abstractNumId w:val="27"/>
  </w:num>
  <w:num w:numId="32">
    <w:abstractNumId w:val="9"/>
  </w:num>
  <w:num w:numId="33">
    <w:abstractNumId w:val="26"/>
  </w:num>
  <w:num w:numId="34">
    <w:abstractNumId w:val="8"/>
  </w:num>
  <w:num w:numId="35">
    <w:abstractNumId w:val="28"/>
  </w:num>
  <w:num w:numId="36">
    <w:abstractNumId w:val="13"/>
  </w:num>
  <w:num w:numId="37">
    <w:abstractNumId w:val="32"/>
  </w:num>
  <w:num w:numId="38">
    <w:abstractNumId w:val="11"/>
  </w:num>
  <w:num w:numId="39">
    <w:abstractNumId w:val="1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B8"/>
    <w:rsid w:val="000030D1"/>
    <w:rsid w:val="000045E9"/>
    <w:rsid w:val="0000636D"/>
    <w:rsid w:val="00007012"/>
    <w:rsid w:val="00007EFB"/>
    <w:rsid w:val="0001194B"/>
    <w:rsid w:val="00013A71"/>
    <w:rsid w:val="00015DB8"/>
    <w:rsid w:val="00017861"/>
    <w:rsid w:val="000212C1"/>
    <w:rsid w:val="00027E41"/>
    <w:rsid w:val="000365C7"/>
    <w:rsid w:val="00036DC4"/>
    <w:rsid w:val="000400A8"/>
    <w:rsid w:val="00045CC6"/>
    <w:rsid w:val="0004665F"/>
    <w:rsid w:val="0004673F"/>
    <w:rsid w:val="00047CC3"/>
    <w:rsid w:val="00050BEF"/>
    <w:rsid w:val="00057C23"/>
    <w:rsid w:val="00060CB6"/>
    <w:rsid w:val="00062232"/>
    <w:rsid w:val="00065C9F"/>
    <w:rsid w:val="000668FA"/>
    <w:rsid w:val="00072FE9"/>
    <w:rsid w:val="0007415D"/>
    <w:rsid w:val="000741DC"/>
    <w:rsid w:val="000819B9"/>
    <w:rsid w:val="000835E8"/>
    <w:rsid w:val="00083D46"/>
    <w:rsid w:val="00084489"/>
    <w:rsid w:val="00092EB7"/>
    <w:rsid w:val="000A11D4"/>
    <w:rsid w:val="000A3498"/>
    <w:rsid w:val="000A5BC2"/>
    <w:rsid w:val="000A6EA2"/>
    <w:rsid w:val="000A7D7E"/>
    <w:rsid w:val="000B100A"/>
    <w:rsid w:val="000B179C"/>
    <w:rsid w:val="000B411A"/>
    <w:rsid w:val="000C1E44"/>
    <w:rsid w:val="000C2636"/>
    <w:rsid w:val="000C2815"/>
    <w:rsid w:val="000C4B81"/>
    <w:rsid w:val="000C5297"/>
    <w:rsid w:val="000C5516"/>
    <w:rsid w:val="000C7E60"/>
    <w:rsid w:val="000D00CA"/>
    <w:rsid w:val="000D1E20"/>
    <w:rsid w:val="000D74C1"/>
    <w:rsid w:val="000E0786"/>
    <w:rsid w:val="000E141D"/>
    <w:rsid w:val="001033CB"/>
    <w:rsid w:val="0010416B"/>
    <w:rsid w:val="00104578"/>
    <w:rsid w:val="00111736"/>
    <w:rsid w:val="001161B4"/>
    <w:rsid w:val="00122011"/>
    <w:rsid w:val="001230D5"/>
    <w:rsid w:val="0012399E"/>
    <w:rsid w:val="001251D5"/>
    <w:rsid w:val="00132AE5"/>
    <w:rsid w:val="00142334"/>
    <w:rsid w:val="00143172"/>
    <w:rsid w:val="00144286"/>
    <w:rsid w:val="00144F11"/>
    <w:rsid w:val="00146C4B"/>
    <w:rsid w:val="00150736"/>
    <w:rsid w:val="00152376"/>
    <w:rsid w:val="001530C8"/>
    <w:rsid w:val="001531B0"/>
    <w:rsid w:val="00154728"/>
    <w:rsid w:val="001656CE"/>
    <w:rsid w:val="001669B9"/>
    <w:rsid w:val="00166ED9"/>
    <w:rsid w:val="00172A88"/>
    <w:rsid w:val="00173E47"/>
    <w:rsid w:val="00177186"/>
    <w:rsid w:val="001836AB"/>
    <w:rsid w:val="00183EEC"/>
    <w:rsid w:val="0018651F"/>
    <w:rsid w:val="00186FE5"/>
    <w:rsid w:val="00187951"/>
    <w:rsid w:val="001942B8"/>
    <w:rsid w:val="00194A54"/>
    <w:rsid w:val="00194D94"/>
    <w:rsid w:val="001A0A2B"/>
    <w:rsid w:val="001A1B9F"/>
    <w:rsid w:val="001A345C"/>
    <w:rsid w:val="001A51D4"/>
    <w:rsid w:val="001B16FC"/>
    <w:rsid w:val="001B3839"/>
    <w:rsid w:val="001B426F"/>
    <w:rsid w:val="001C0597"/>
    <w:rsid w:val="001C31FD"/>
    <w:rsid w:val="001C4512"/>
    <w:rsid w:val="001C5071"/>
    <w:rsid w:val="001C5605"/>
    <w:rsid w:val="001C69D0"/>
    <w:rsid w:val="001D5395"/>
    <w:rsid w:val="001D5E54"/>
    <w:rsid w:val="001E1B9E"/>
    <w:rsid w:val="001E4945"/>
    <w:rsid w:val="001E5562"/>
    <w:rsid w:val="001E7D10"/>
    <w:rsid w:val="001F05C8"/>
    <w:rsid w:val="001F1D28"/>
    <w:rsid w:val="001F1F2F"/>
    <w:rsid w:val="001F244B"/>
    <w:rsid w:val="001F2913"/>
    <w:rsid w:val="001F6327"/>
    <w:rsid w:val="001F7B74"/>
    <w:rsid w:val="0020169E"/>
    <w:rsid w:val="00201C87"/>
    <w:rsid w:val="00204BF1"/>
    <w:rsid w:val="002055FD"/>
    <w:rsid w:val="002063A1"/>
    <w:rsid w:val="00207843"/>
    <w:rsid w:val="002104E5"/>
    <w:rsid w:val="00212581"/>
    <w:rsid w:val="0021723C"/>
    <w:rsid w:val="00221DF1"/>
    <w:rsid w:val="00222664"/>
    <w:rsid w:val="00227EA0"/>
    <w:rsid w:val="0023161C"/>
    <w:rsid w:val="0023549D"/>
    <w:rsid w:val="00240F69"/>
    <w:rsid w:val="0024210D"/>
    <w:rsid w:val="00246759"/>
    <w:rsid w:val="002564CF"/>
    <w:rsid w:val="002606A5"/>
    <w:rsid w:val="00266B9C"/>
    <w:rsid w:val="00267200"/>
    <w:rsid w:val="00267339"/>
    <w:rsid w:val="00267657"/>
    <w:rsid w:val="002735D2"/>
    <w:rsid w:val="00281A5B"/>
    <w:rsid w:val="00282FC5"/>
    <w:rsid w:val="002839D9"/>
    <w:rsid w:val="00283B25"/>
    <w:rsid w:val="002870AF"/>
    <w:rsid w:val="0029119D"/>
    <w:rsid w:val="00292FE2"/>
    <w:rsid w:val="00294BF5"/>
    <w:rsid w:val="002966C0"/>
    <w:rsid w:val="00296C95"/>
    <w:rsid w:val="00296DE3"/>
    <w:rsid w:val="00297182"/>
    <w:rsid w:val="002A03B4"/>
    <w:rsid w:val="002A7550"/>
    <w:rsid w:val="002B0978"/>
    <w:rsid w:val="002B1897"/>
    <w:rsid w:val="002B35D7"/>
    <w:rsid w:val="002B5D52"/>
    <w:rsid w:val="002B68D8"/>
    <w:rsid w:val="002B6E04"/>
    <w:rsid w:val="002C0770"/>
    <w:rsid w:val="002C1411"/>
    <w:rsid w:val="002C25F5"/>
    <w:rsid w:val="002C51A0"/>
    <w:rsid w:val="002C7091"/>
    <w:rsid w:val="002D27F0"/>
    <w:rsid w:val="002D5B73"/>
    <w:rsid w:val="002D6498"/>
    <w:rsid w:val="002E06E7"/>
    <w:rsid w:val="002E5921"/>
    <w:rsid w:val="002E69A6"/>
    <w:rsid w:val="002F0B18"/>
    <w:rsid w:val="002F1466"/>
    <w:rsid w:val="002F2E54"/>
    <w:rsid w:val="002F5800"/>
    <w:rsid w:val="002F6B91"/>
    <w:rsid w:val="002F776A"/>
    <w:rsid w:val="00310AE7"/>
    <w:rsid w:val="00312715"/>
    <w:rsid w:val="00312720"/>
    <w:rsid w:val="00316206"/>
    <w:rsid w:val="00320B55"/>
    <w:rsid w:val="0032276E"/>
    <w:rsid w:val="00325F6D"/>
    <w:rsid w:val="00334A0C"/>
    <w:rsid w:val="003360B3"/>
    <w:rsid w:val="00342AC1"/>
    <w:rsid w:val="003459BC"/>
    <w:rsid w:val="0035147E"/>
    <w:rsid w:val="00354A2D"/>
    <w:rsid w:val="00360F5D"/>
    <w:rsid w:val="003611CB"/>
    <w:rsid w:val="003673BC"/>
    <w:rsid w:val="0036743C"/>
    <w:rsid w:val="00367B1E"/>
    <w:rsid w:val="00371674"/>
    <w:rsid w:val="003725BA"/>
    <w:rsid w:val="00372B79"/>
    <w:rsid w:val="003733EE"/>
    <w:rsid w:val="00373F76"/>
    <w:rsid w:val="003749F9"/>
    <w:rsid w:val="003755C8"/>
    <w:rsid w:val="00376906"/>
    <w:rsid w:val="00380EC9"/>
    <w:rsid w:val="00381D18"/>
    <w:rsid w:val="0038238B"/>
    <w:rsid w:val="003828D3"/>
    <w:rsid w:val="003853CB"/>
    <w:rsid w:val="00392EAD"/>
    <w:rsid w:val="00393E22"/>
    <w:rsid w:val="00395227"/>
    <w:rsid w:val="003A237E"/>
    <w:rsid w:val="003A57CD"/>
    <w:rsid w:val="003B1071"/>
    <w:rsid w:val="003B15D0"/>
    <w:rsid w:val="003B1B91"/>
    <w:rsid w:val="003B2D87"/>
    <w:rsid w:val="003B33DD"/>
    <w:rsid w:val="003B4399"/>
    <w:rsid w:val="003B770B"/>
    <w:rsid w:val="003C006E"/>
    <w:rsid w:val="003C0A9F"/>
    <w:rsid w:val="003C0E29"/>
    <w:rsid w:val="003C1494"/>
    <w:rsid w:val="003C3459"/>
    <w:rsid w:val="003D0366"/>
    <w:rsid w:val="003D0905"/>
    <w:rsid w:val="003D0BD2"/>
    <w:rsid w:val="003D100B"/>
    <w:rsid w:val="003D184D"/>
    <w:rsid w:val="003D2BAF"/>
    <w:rsid w:val="003D5E60"/>
    <w:rsid w:val="003D6D18"/>
    <w:rsid w:val="003E1264"/>
    <w:rsid w:val="003E64BC"/>
    <w:rsid w:val="003E7500"/>
    <w:rsid w:val="003F53C3"/>
    <w:rsid w:val="003F6A41"/>
    <w:rsid w:val="003F73EE"/>
    <w:rsid w:val="004042D8"/>
    <w:rsid w:val="0040621C"/>
    <w:rsid w:val="00411137"/>
    <w:rsid w:val="00412095"/>
    <w:rsid w:val="00417A8D"/>
    <w:rsid w:val="00420025"/>
    <w:rsid w:val="00420CC7"/>
    <w:rsid w:val="00422A3C"/>
    <w:rsid w:val="004236A8"/>
    <w:rsid w:val="00424F6C"/>
    <w:rsid w:val="00426C7F"/>
    <w:rsid w:val="004274B5"/>
    <w:rsid w:val="00432BA6"/>
    <w:rsid w:val="00433D6A"/>
    <w:rsid w:val="0043776B"/>
    <w:rsid w:val="00441758"/>
    <w:rsid w:val="00441F8D"/>
    <w:rsid w:val="004426D3"/>
    <w:rsid w:val="00442D17"/>
    <w:rsid w:val="00443B90"/>
    <w:rsid w:val="00443F1B"/>
    <w:rsid w:val="0044718B"/>
    <w:rsid w:val="00451ACF"/>
    <w:rsid w:val="0045310A"/>
    <w:rsid w:val="00453E77"/>
    <w:rsid w:val="00460AB6"/>
    <w:rsid w:val="00461329"/>
    <w:rsid w:val="004613B6"/>
    <w:rsid w:val="004657D0"/>
    <w:rsid w:val="0046654E"/>
    <w:rsid w:val="004724DF"/>
    <w:rsid w:val="004767BE"/>
    <w:rsid w:val="004868BD"/>
    <w:rsid w:val="00486D61"/>
    <w:rsid w:val="00493375"/>
    <w:rsid w:val="00494999"/>
    <w:rsid w:val="00495292"/>
    <w:rsid w:val="00496190"/>
    <w:rsid w:val="004A1D1B"/>
    <w:rsid w:val="004A20AC"/>
    <w:rsid w:val="004A7F83"/>
    <w:rsid w:val="004B0472"/>
    <w:rsid w:val="004B5C25"/>
    <w:rsid w:val="004C0291"/>
    <w:rsid w:val="004C2DB7"/>
    <w:rsid w:val="004C5332"/>
    <w:rsid w:val="004C5DE6"/>
    <w:rsid w:val="004C78B5"/>
    <w:rsid w:val="004C78B9"/>
    <w:rsid w:val="004D00EC"/>
    <w:rsid w:val="004D0A65"/>
    <w:rsid w:val="004D0B3C"/>
    <w:rsid w:val="004D2F86"/>
    <w:rsid w:val="004D51A8"/>
    <w:rsid w:val="004D6412"/>
    <w:rsid w:val="004D6477"/>
    <w:rsid w:val="004D6F71"/>
    <w:rsid w:val="004D7F6A"/>
    <w:rsid w:val="004E02A9"/>
    <w:rsid w:val="004E16F4"/>
    <w:rsid w:val="004E5EFF"/>
    <w:rsid w:val="004F5F68"/>
    <w:rsid w:val="004F6DDC"/>
    <w:rsid w:val="005006CE"/>
    <w:rsid w:val="005011ED"/>
    <w:rsid w:val="00502475"/>
    <w:rsid w:val="005028FD"/>
    <w:rsid w:val="00503CDF"/>
    <w:rsid w:val="0050619F"/>
    <w:rsid w:val="00506AF6"/>
    <w:rsid w:val="00510232"/>
    <w:rsid w:val="00510FD9"/>
    <w:rsid w:val="0051347B"/>
    <w:rsid w:val="005159E1"/>
    <w:rsid w:val="0051625A"/>
    <w:rsid w:val="00517752"/>
    <w:rsid w:val="005220E9"/>
    <w:rsid w:val="00524658"/>
    <w:rsid w:val="00524D46"/>
    <w:rsid w:val="0052581B"/>
    <w:rsid w:val="00525BC4"/>
    <w:rsid w:val="00531872"/>
    <w:rsid w:val="00532AEE"/>
    <w:rsid w:val="00532C6B"/>
    <w:rsid w:val="00540A1A"/>
    <w:rsid w:val="00542A13"/>
    <w:rsid w:val="00546750"/>
    <w:rsid w:val="00546EB6"/>
    <w:rsid w:val="005476CD"/>
    <w:rsid w:val="00547B54"/>
    <w:rsid w:val="00550A32"/>
    <w:rsid w:val="00550E09"/>
    <w:rsid w:val="00551143"/>
    <w:rsid w:val="00551D7C"/>
    <w:rsid w:val="00551F7E"/>
    <w:rsid w:val="005537F6"/>
    <w:rsid w:val="00570E9B"/>
    <w:rsid w:val="00577518"/>
    <w:rsid w:val="00577D3B"/>
    <w:rsid w:val="005820AF"/>
    <w:rsid w:val="00582885"/>
    <w:rsid w:val="00582F4B"/>
    <w:rsid w:val="005857ED"/>
    <w:rsid w:val="00586673"/>
    <w:rsid w:val="00592596"/>
    <w:rsid w:val="005936E5"/>
    <w:rsid w:val="005943ED"/>
    <w:rsid w:val="00594D1A"/>
    <w:rsid w:val="00595315"/>
    <w:rsid w:val="00596EE0"/>
    <w:rsid w:val="005A09F2"/>
    <w:rsid w:val="005A2878"/>
    <w:rsid w:val="005A2D5A"/>
    <w:rsid w:val="005A470F"/>
    <w:rsid w:val="005A50DB"/>
    <w:rsid w:val="005B3C26"/>
    <w:rsid w:val="005B7C60"/>
    <w:rsid w:val="005C0838"/>
    <w:rsid w:val="005C0D1A"/>
    <w:rsid w:val="005C16B0"/>
    <w:rsid w:val="005C295E"/>
    <w:rsid w:val="005C3D65"/>
    <w:rsid w:val="005C3FD3"/>
    <w:rsid w:val="005C47E4"/>
    <w:rsid w:val="005C78C6"/>
    <w:rsid w:val="005D0E4F"/>
    <w:rsid w:val="005D2A89"/>
    <w:rsid w:val="005E2279"/>
    <w:rsid w:val="005E4948"/>
    <w:rsid w:val="005F2781"/>
    <w:rsid w:val="005F3416"/>
    <w:rsid w:val="005F41A9"/>
    <w:rsid w:val="005F4532"/>
    <w:rsid w:val="005F4C52"/>
    <w:rsid w:val="005F5477"/>
    <w:rsid w:val="005F6EC3"/>
    <w:rsid w:val="005F7110"/>
    <w:rsid w:val="006060B0"/>
    <w:rsid w:val="00606209"/>
    <w:rsid w:val="006062B8"/>
    <w:rsid w:val="0060670A"/>
    <w:rsid w:val="00612166"/>
    <w:rsid w:val="006123FE"/>
    <w:rsid w:val="00615E97"/>
    <w:rsid w:val="0062187E"/>
    <w:rsid w:val="00623301"/>
    <w:rsid w:val="00624516"/>
    <w:rsid w:val="00630A3B"/>
    <w:rsid w:val="00632305"/>
    <w:rsid w:val="00633800"/>
    <w:rsid w:val="00637C62"/>
    <w:rsid w:val="006400E8"/>
    <w:rsid w:val="006407F4"/>
    <w:rsid w:val="006409F0"/>
    <w:rsid w:val="00641244"/>
    <w:rsid w:val="00642174"/>
    <w:rsid w:val="00644A51"/>
    <w:rsid w:val="006476E7"/>
    <w:rsid w:val="00655E0A"/>
    <w:rsid w:val="0065730B"/>
    <w:rsid w:val="00661F51"/>
    <w:rsid w:val="00662E89"/>
    <w:rsid w:val="00667820"/>
    <w:rsid w:val="00671E03"/>
    <w:rsid w:val="0068157B"/>
    <w:rsid w:val="006819C3"/>
    <w:rsid w:val="0068338B"/>
    <w:rsid w:val="00687DD3"/>
    <w:rsid w:val="00691108"/>
    <w:rsid w:val="006953E5"/>
    <w:rsid w:val="006A3AB7"/>
    <w:rsid w:val="006A54D7"/>
    <w:rsid w:val="006A55B8"/>
    <w:rsid w:val="006A7DF3"/>
    <w:rsid w:val="006A7F72"/>
    <w:rsid w:val="006B1673"/>
    <w:rsid w:val="006B2353"/>
    <w:rsid w:val="006B515B"/>
    <w:rsid w:val="006C35A7"/>
    <w:rsid w:val="006C3C1A"/>
    <w:rsid w:val="006C41ED"/>
    <w:rsid w:val="006C74F4"/>
    <w:rsid w:val="006D0F83"/>
    <w:rsid w:val="006D798E"/>
    <w:rsid w:val="006E159E"/>
    <w:rsid w:val="006E38CC"/>
    <w:rsid w:val="006E58F0"/>
    <w:rsid w:val="006E7BFF"/>
    <w:rsid w:val="006F02AC"/>
    <w:rsid w:val="006F14C4"/>
    <w:rsid w:val="006F2089"/>
    <w:rsid w:val="006F5C6B"/>
    <w:rsid w:val="00701C08"/>
    <w:rsid w:val="0070263D"/>
    <w:rsid w:val="007052F2"/>
    <w:rsid w:val="00706F74"/>
    <w:rsid w:val="00707657"/>
    <w:rsid w:val="007119D2"/>
    <w:rsid w:val="00712327"/>
    <w:rsid w:val="00712FB0"/>
    <w:rsid w:val="00720BE1"/>
    <w:rsid w:val="00723DD3"/>
    <w:rsid w:val="00724917"/>
    <w:rsid w:val="00725CC1"/>
    <w:rsid w:val="00725DC2"/>
    <w:rsid w:val="007314D2"/>
    <w:rsid w:val="00731604"/>
    <w:rsid w:val="00734752"/>
    <w:rsid w:val="00735346"/>
    <w:rsid w:val="0073603D"/>
    <w:rsid w:val="00736E37"/>
    <w:rsid w:val="00736EDE"/>
    <w:rsid w:val="00740334"/>
    <w:rsid w:val="007412CB"/>
    <w:rsid w:val="00743405"/>
    <w:rsid w:val="00743CBE"/>
    <w:rsid w:val="007565C2"/>
    <w:rsid w:val="00756C45"/>
    <w:rsid w:val="00757E6F"/>
    <w:rsid w:val="00762BD4"/>
    <w:rsid w:val="007647A8"/>
    <w:rsid w:val="00776CDD"/>
    <w:rsid w:val="00780780"/>
    <w:rsid w:val="007856AB"/>
    <w:rsid w:val="00790748"/>
    <w:rsid w:val="00795153"/>
    <w:rsid w:val="00797F06"/>
    <w:rsid w:val="007A12C4"/>
    <w:rsid w:val="007A47F1"/>
    <w:rsid w:val="007B0FF3"/>
    <w:rsid w:val="007B3621"/>
    <w:rsid w:val="007B444E"/>
    <w:rsid w:val="007B5F5F"/>
    <w:rsid w:val="007C1538"/>
    <w:rsid w:val="007C250A"/>
    <w:rsid w:val="007C3F01"/>
    <w:rsid w:val="007C5495"/>
    <w:rsid w:val="007C5A9E"/>
    <w:rsid w:val="007C5F48"/>
    <w:rsid w:val="007D096A"/>
    <w:rsid w:val="007D3D74"/>
    <w:rsid w:val="007D7BE1"/>
    <w:rsid w:val="007E14DF"/>
    <w:rsid w:val="007E514E"/>
    <w:rsid w:val="007E5F0F"/>
    <w:rsid w:val="007F0AD9"/>
    <w:rsid w:val="007F2E5C"/>
    <w:rsid w:val="007F703E"/>
    <w:rsid w:val="008049EA"/>
    <w:rsid w:val="008055F4"/>
    <w:rsid w:val="008069B8"/>
    <w:rsid w:val="0081190E"/>
    <w:rsid w:val="00814E2F"/>
    <w:rsid w:val="0081519F"/>
    <w:rsid w:val="00817029"/>
    <w:rsid w:val="008173BC"/>
    <w:rsid w:val="00822B00"/>
    <w:rsid w:val="00823F5A"/>
    <w:rsid w:val="00824C94"/>
    <w:rsid w:val="00830327"/>
    <w:rsid w:val="0083190C"/>
    <w:rsid w:val="00832FF5"/>
    <w:rsid w:val="008332CC"/>
    <w:rsid w:val="00836D66"/>
    <w:rsid w:val="00840037"/>
    <w:rsid w:val="0084133B"/>
    <w:rsid w:val="00841D6F"/>
    <w:rsid w:val="00850CBB"/>
    <w:rsid w:val="0085247C"/>
    <w:rsid w:val="0085266A"/>
    <w:rsid w:val="008528C9"/>
    <w:rsid w:val="008528FA"/>
    <w:rsid w:val="00855610"/>
    <w:rsid w:val="008565AA"/>
    <w:rsid w:val="008570C7"/>
    <w:rsid w:val="008614D4"/>
    <w:rsid w:val="00862CD9"/>
    <w:rsid w:val="00863190"/>
    <w:rsid w:val="008644D2"/>
    <w:rsid w:val="0086491D"/>
    <w:rsid w:val="00865090"/>
    <w:rsid w:val="00865752"/>
    <w:rsid w:val="008712C0"/>
    <w:rsid w:val="008722E8"/>
    <w:rsid w:val="00874601"/>
    <w:rsid w:val="00874A00"/>
    <w:rsid w:val="008825B7"/>
    <w:rsid w:val="00884243"/>
    <w:rsid w:val="00885DE5"/>
    <w:rsid w:val="00887D03"/>
    <w:rsid w:val="00893043"/>
    <w:rsid w:val="00893A37"/>
    <w:rsid w:val="00894D8E"/>
    <w:rsid w:val="008A28EB"/>
    <w:rsid w:val="008A5F8C"/>
    <w:rsid w:val="008B0D4B"/>
    <w:rsid w:val="008B312E"/>
    <w:rsid w:val="008B6888"/>
    <w:rsid w:val="008B70CD"/>
    <w:rsid w:val="008C015C"/>
    <w:rsid w:val="008C0FFD"/>
    <w:rsid w:val="008C3913"/>
    <w:rsid w:val="008C39FB"/>
    <w:rsid w:val="008C4FF4"/>
    <w:rsid w:val="008C5F9B"/>
    <w:rsid w:val="008D1471"/>
    <w:rsid w:val="008D3798"/>
    <w:rsid w:val="008E5185"/>
    <w:rsid w:val="008E7885"/>
    <w:rsid w:val="008E7CD7"/>
    <w:rsid w:val="008F2222"/>
    <w:rsid w:val="008F230A"/>
    <w:rsid w:val="008F3DFF"/>
    <w:rsid w:val="008F5D2C"/>
    <w:rsid w:val="008F789B"/>
    <w:rsid w:val="00900D4E"/>
    <w:rsid w:val="00904974"/>
    <w:rsid w:val="00904EB0"/>
    <w:rsid w:val="00905DE5"/>
    <w:rsid w:val="0090650E"/>
    <w:rsid w:val="009073AA"/>
    <w:rsid w:val="00910C3D"/>
    <w:rsid w:val="009111D6"/>
    <w:rsid w:val="00911CD9"/>
    <w:rsid w:val="0091306D"/>
    <w:rsid w:val="00913BCC"/>
    <w:rsid w:val="00916218"/>
    <w:rsid w:val="00916EBB"/>
    <w:rsid w:val="009172A4"/>
    <w:rsid w:val="00921CF0"/>
    <w:rsid w:val="00921E54"/>
    <w:rsid w:val="009242DD"/>
    <w:rsid w:val="009253B0"/>
    <w:rsid w:val="00926AC3"/>
    <w:rsid w:val="00932190"/>
    <w:rsid w:val="00934CBD"/>
    <w:rsid w:val="00935C89"/>
    <w:rsid w:val="00936FA6"/>
    <w:rsid w:val="00942B98"/>
    <w:rsid w:val="009437B6"/>
    <w:rsid w:val="00944ACF"/>
    <w:rsid w:val="00945D3A"/>
    <w:rsid w:val="00951801"/>
    <w:rsid w:val="00952BD9"/>
    <w:rsid w:val="00952DF7"/>
    <w:rsid w:val="00952EBE"/>
    <w:rsid w:val="00954439"/>
    <w:rsid w:val="00955CE4"/>
    <w:rsid w:val="009575A9"/>
    <w:rsid w:val="00960D64"/>
    <w:rsid w:val="0096426E"/>
    <w:rsid w:val="00970A4B"/>
    <w:rsid w:val="00972450"/>
    <w:rsid w:val="009763BE"/>
    <w:rsid w:val="00980216"/>
    <w:rsid w:val="00981FF2"/>
    <w:rsid w:val="00987A1A"/>
    <w:rsid w:val="0099035D"/>
    <w:rsid w:val="009927C9"/>
    <w:rsid w:val="00993B80"/>
    <w:rsid w:val="009A41A7"/>
    <w:rsid w:val="009A4212"/>
    <w:rsid w:val="009A728B"/>
    <w:rsid w:val="009B4A8A"/>
    <w:rsid w:val="009C0BE4"/>
    <w:rsid w:val="009C1AD2"/>
    <w:rsid w:val="009C7EF7"/>
    <w:rsid w:val="009D0F6E"/>
    <w:rsid w:val="009D61D0"/>
    <w:rsid w:val="009E4357"/>
    <w:rsid w:val="009E4E8A"/>
    <w:rsid w:val="009E5489"/>
    <w:rsid w:val="009E5891"/>
    <w:rsid w:val="009E67A6"/>
    <w:rsid w:val="009E6A2B"/>
    <w:rsid w:val="009F06D2"/>
    <w:rsid w:val="009F4AA2"/>
    <w:rsid w:val="009F615D"/>
    <w:rsid w:val="009F64CA"/>
    <w:rsid w:val="00A06955"/>
    <w:rsid w:val="00A0698A"/>
    <w:rsid w:val="00A06A74"/>
    <w:rsid w:val="00A12831"/>
    <w:rsid w:val="00A13355"/>
    <w:rsid w:val="00A158DB"/>
    <w:rsid w:val="00A165DC"/>
    <w:rsid w:val="00A16FC5"/>
    <w:rsid w:val="00A1710A"/>
    <w:rsid w:val="00A2012B"/>
    <w:rsid w:val="00A2541E"/>
    <w:rsid w:val="00A257BB"/>
    <w:rsid w:val="00A3317C"/>
    <w:rsid w:val="00A34BC9"/>
    <w:rsid w:val="00A35E17"/>
    <w:rsid w:val="00A42433"/>
    <w:rsid w:val="00A42BFE"/>
    <w:rsid w:val="00A42FFB"/>
    <w:rsid w:val="00A46BEF"/>
    <w:rsid w:val="00A50DC4"/>
    <w:rsid w:val="00A5396D"/>
    <w:rsid w:val="00A55D94"/>
    <w:rsid w:val="00A567CB"/>
    <w:rsid w:val="00A62318"/>
    <w:rsid w:val="00A6363C"/>
    <w:rsid w:val="00A670E6"/>
    <w:rsid w:val="00A712E4"/>
    <w:rsid w:val="00A7278B"/>
    <w:rsid w:val="00A73AC1"/>
    <w:rsid w:val="00A8323C"/>
    <w:rsid w:val="00A92F75"/>
    <w:rsid w:val="00A96F54"/>
    <w:rsid w:val="00A97174"/>
    <w:rsid w:val="00AA0ED4"/>
    <w:rsid w:val="00AA1BB7"/>
    <w:rsid w:val="00AA1EC4"/>
    <w:rsid w:val="00AA36EF"/>
    <w:rsid w:val="00AA3E0A"/>
    <w:rsid w:val="00AA761B"/>
    <w:rsid w:val="00AB1A7B"/>
    <w:rsid w:val="00AB4F72"/>
    <w:rsid w:val="00AC002D"/>
    <w:rsid w:val="00AC0B38"/>
    <w:rsid w:val="00AC0E45"/>
    <w:rsid w:val="00AC1247"/>
    <w:rsid w:val="00AC139B"/>
    <w:rsid w:val="00AD0057"/>
    <w:rsid w:val="00AD4F72"/>
    <w:rsid w:val="00AD6B54"/>
    <w:rsid w:val="00AE2CED"/>
    <w:rsid w:val="00AE30E2"/>
    <w:rsid w:val="00AE34BE"/>
    <w:rsid w:val="00AF21F9"/>
    <w:rsid w:val="00AF4537"/>
    <w:rsid w:val="00AF5F72"/>
    <w:rsid w:val="00AF63C4"/>
    <w:rsid w:val="00B04EE3"/>
    <w:rsid w:val="00B10C7F"/>
    <w:rsid w:val="00B2011F"/>
    <w:rsid w:val="00B24282"/>
    <w:rsid w:val="00B3481B"/>
    <w:rsid w:val="00B360BF"/>
    <w:rsid w:val="00B36D2D"/>
    <w:rsid w:val="00B36FF9"/>
    <w:rsid w:val="00B3790F"/>
    <w:rsid w:val="00B4409A"/>
    <w:rsid w:val="00B47A19"/>
    <w:rsid w:val="00B529FA"/>
    <w:rsid w:val="00B53277"/>
    <w:rsid w:val="00B540F9"/>
    <w:rsid w:val="00B57341"/>
    <w:rsid w:val="00B60D60"/>
    <w:rsid w:val="00B63FBD"/>
    <w:rsid w:val="00B72D15"/>
    <w:rsid w:val="00B73A3E"/>
    <w:rsid w:val="00B74383"/>
    <w:rsid w:val="00B74C83"/>
    <w:rsid w:val="00B7724C"/>
    <w:rsid w:val="00B81630"/>
    <w:rsid w:val="00B81D13"/>
    <w:rsid w:val="00B8215C"/>
    <w:rsid w:val="00B87A82"/>
    <w:rsid w:val="00B90C1D"/>
    <w:rsid w:val="00B919DB"/>
    <w:rsid w:val="00B95BBC"/>
    <w:rsid w:val="00B96B6E"/>
    <w:rsid w:val="00BA053E"/>
    <w:rsid w:val="00BA1D47"/>
    <w:rsid w:val="00BA296F"/>
    <w:rsid w:val="00BA4AB6"/>
    <w:rsid w:val="00BA4F42"/>
    <w:rsid w:val="00BB12EE"/>
    <w:rsid w:val="00BC152A"/>
    <w:rsid w:val="00BC36A9"/>
    <w:rsid w:val="00BC5272"/>
    <w:rsid w:val="00BC630E"/>
    <w:rsid w:val="00BC7608"/>
    <w:rsid w:val="00BD6789"/>
    <w:rsid w:val="00BE1A5C"/>
    <w:rsid w:val="00BE5511"/>
    <w:rsid w:val="00BF1ADC"/>
    <w:rsid w:val="00BF28A5"/>
    <w:rsid w:val="00BF420C"/>
    <w:rsid w:val="00BF481D"/>
    <w:rsid w:val="00C03751"/>
    <w:rsid w:val="00C05B98"/>
    <w:rsid w:val="00C063B6"/>
    <w:rsid w:val="00C06B1E"/>
    <w:rsid w:val="00C174E3"/>
    <w:rsid w:val="00C21BEF"/>
    <w:rsid w:val="00C21CAD"/>
    <w:rsid w:val="00C21DD9"/>
    <w:rsid w:val="00C221ED"/>
    <w:rsid w:val="00C26C94"/>
    <w:rsid w:val="00C272AF"/>
    <w:rsid w:val="00C32927"/>
    <w:rsid w:val="00C33AF6"/>
    <w:rsid w:val="00C33D01"/>
    <w:rsid w:val="00C356D0"/>
    <w:rsid w:val="00C3648D"/>
    <w:rsid w:val="00C3766B"/>
    <w:rsid w:val="00C426E8"/>
    <w:rsid w:val="00C50534"/>
    <w:rsid w:val="00C5088C"/>
    <w:rsid w:val="00C6044D"/>
    <w:rsid w:val="00C62D2D"/>
    <w:rsid w:val="00C65441"/>
    <w:rsid w:val="00C65C00"/>
    <w:rsid w:val="00C674E4"/>
    <w:rsid w:val="00C721B5"/>
    <w:rsid w:val="00C74A28"/>
    <w:rsid w:val="00C76745"/>
    <w:rsid w:val="00C77949"/>
    <w:rsid w:val="00C816C9"/>
    <w:rsid w:val="00C87E50"/>
    <w:rsid w:val="00C91E24"/>
    <w:rsid w:val="00C929B2"/>
    <w:rsid w:val="00C92BBE"/>
    <w:rsid w:val="00C92BF3"/>
    <w:rsid w:val="00C93D1D"/>
    <w:rsid w:val="00C9787A"/>
    <w:rsid w:val="00CA0D27"/>
    <w:rsid w:val="00CA4ADC"/>
    <w:rsid w:val="00CA5129"/>
    <w:rsid w:val="00CA5A96"/>
    <w:rsid w:val="00CA5B9C"/>
    <w:rsid w:val="00CA6E2A"/>
    <w:rsid w:val="00CA6E9C"/>
    <w:rsid w:val="00CB0C58"/>
    <w:rsid w:val="00CB2F18"/>
    <w:rsid w:val="00CB462F"/>
    <w:rsid w:val="00CC1926"/>
    <w:rsid w:val="00CC19B5"/>
    <w:rsid w:val="00CC61C0"/>
    <w:rsid w:val="00CC728E"/>
    <w:rsid w:val="00CC7564"/>
    <w:rsid w:val="00CD3B1D"/>
    <w:rsid w:val="00CD5C29"/>
    <w:rsid w:val="00CE54B3"/>
    <w:rsid w:val="00CE61C9"/>
    <w:rsid w:val="00CE6FA6"/>
    <w:rsid w:val="00CF1717"/>
    <w:rsid w:val="00CF1CE8"/>
    <w:rsid w:val="00CF5792"/>
    <w:rsid w:val="00CF7124"/>
    <w:rsid w:val="00CF77BB"/>
    <w:rsid w:val="00D00163"/>
    <w:rsid w:val="00D05726"/>
    <w:rsid w:val="00D10CFE"/>
    <w:rsid w:val="00D1122B"/>
    <w:rsid w:val="00D12670"/>
    <w:rsid w:val="00D16A8D"/>
    <w:rsid w:val="00D2034F"/>
    <w:rsid w:val="00D20D54"/>
    <w:rsid w:val="00D2384A"/>
    <w:rsid w:val="00D243F3"/>
    <w:rsid w:val="00D2667C"/>
    <w:rsid w:val="00D30295"/>
    <w:rsid w:val="00D336A2"/>
    <w:rsid w:val="00D33C4A"/>
    <w:rsid w:val="00D33F55"/>
    <w:rsid w:val="00D347B1"/>
    <w:rsid w:val="00D44D6D"/>
    <w:rsid w:val="00D46748"/>
    <w:rsid w:val="00D51C7B"/>
    <w:rsid w:val="00D568BB"/>
    <w:rsid w:val="00D61A38"/>
    <w:rsid w:val="00D62526"/>
    <w:rsid w:val="00D63286"/>
    <w:rsid w:val="00D636AE"/>
    <w:rsid w:val="00D822D1"/>
    <w:rsid w:val="00D8382E"/>
    <w:rsid w:val="00D83DAD"/>
    <w:rsid w:val="00D8660E"/>
    <w:rsid w:val="00D91C2A"/>
    <w:rsid w:val="00D9328A"/>
    <w:rsid w:val="00D96E09"/>
    <w:rsid w:val="00D972A2"/>
    <w:rsid w:val="00DA1E41"/>
    <w:rsid w:val="00DA3648"/>
    <w:rsid w:val="00DA4B99"/>
    <w:rsid w:val="00DB1C4E"/>
    <w:rsid w:val="00DB2471"/>
    <w:rsid w:val="00DB77C4"/>
    <w:rsid w:val="00DB7CE0"/>
    <w:rsid w:val="00DC1057"/>
    <w:rsid w:val="00DC50AC"/>
    <w:rsid w:val="00DC65A5"/>
    <w:rsid w:val="00DD0172"/>
    <w:rsid w:val="00DD47E3"/>
    <w:rsid w:val="00DD796D"/>
    <w:rsid w:val="00DE390C"/>
    <w:rsid w:val="00DE4D0E"/>
    <w:rsid w:val="00DE531E"/>
    <w:rsid w:val="00DE6AB0"/>
    <w:rsid w:val="00DF1283"/>
    <w:rsid w:val="00DF178F"/>
    <w:rsid w:val="00DF1AB8"/>
    <w:rsid w:val="00DF1B0E"/>
    <w:rsid w:val="00DF2B13"/>
    <w:rsid w:val="00DF3D8D"/>
    <w:rsid w:val="00DF7B5A"/>
    <w:rsid w:val="00DF7CD9"/>
    <w:rsid w:val="00E00145"/>
    <w:rsid w:val="00E10F8C"/>
    <w:rsid w:val="00E118CB"/>
    <w:rsid w:val="00E136D1"/>
    <w:rsid w:val="00E15922"/>
    <w:rsid w:val="00E15FA1"/>
    <w:rsid w:val="00E21168"/>
    <w:rsid w:val="00E21EA0"/>
    <w:rsid w:val="00E220AE"/>
    <w:rsid w:val="00E22412"/>
    <w:rsid w:val="00E263EC"/>
    <w:rsid w:val="00E3059F"/>
    <w:rsid w:val="00E31C55"/>
    <w:rsid w:val="00E334BE"/>
    <w:rsid w:val="00E341A9"/>
    <w:rsid w:val="00E34995"/>
    <w:rsid w:val="00E34A1A"/>
    <w:rsid w:val="00E35030"/>
    <w:rsid w:val="00E411B8"/>
    <w:rsid w:val="00E41C99"/>
    <w:rsid w:val="00E42935"/>
    <w:rsid w:val="00E44D4B"/>
    <w:rsid w:val="00E45673"/>
    <w:rsid w:val="00E52075"/>
    <w:rsid w:val="00E523FF"/>
    <w:rsid w:val="00E52750"/>
    <w:rsid w:val="00E53A83"/>
    <w:rsid w:val="00E6094C"/>
    <w:rsid w:val="00E61364"/>
    <w:rsid w:val="00E6219F"/>
    <w:rsid w:val="00E631AF"/>
    <w:rsid w:val="00E71337"/>
    <w:rsid w:val="00E750F0"/>
    <w:rsid w:val="00E76622"/>
    <w:rsid w:val="00E80C1D"/>
    <w:rsid w:val="00E85A3C"/>
    <w:rsid w:val="00E91FEA"/>
    <w:rsid w:val="00E92BC3"/>
    <w:rsid w:val="00E946BE"/>
    <w:rsid w:val="00E951D2"/>
    <w:rsid w:val="00E9540B"/>
    <w:rsid w:val="00E96A46"/>
    <w:rsid w:val="00EA1576"/>
    <w:rsid w:val="00EB0319"/>
    <w:rsid w:val="00EB2A89"/>
    <w:rsid w:val="00EB521F"/>
    <w:rsid w:val="00EC058C"/>
    <w:rsid w:val="00EC1774"/>
    <w:rsid w:val="00EC1F65"/>
    <w:rsid w:val="00EC2767"/>
    <w:rsid w:val="00EC3A69"/>
    <w:rsid w:val="00ED063B"/>
    <w:rsid w:val="00ED1998"/>
    <w:rsid w:val="00ED632D"/>
    <w:rsid w:val="00EE015D"/>
    <w:rsid w:val="00EE3275"/>
    <w:rsid w:val="00EE3C5C"/>
    <w:rsid w:val="00EE439A"/>
    <w:rsid w:val="00EE5CF5"/>
    <w:rsid w:val="00EE6AC5"/>
    <w:rsid w:val="00EF6E6C"/>
    <w:rsid w:val="00F01081"/>
    <w:rsid w:val="00F05C39"/>
    <w:rsid w:val="00F063A9"/>
    <w:rsid w:val="00F1198B"/>
    <w:rsid w:val="00F15954"/>
    <w:rsid w:val="00F20864"/>
    <w:rsid w:val="00F20DBF"/>
    <w:rsid w:val="00F21319"/>
    <w:rsid w:val="00F2140D"/>
    <w:rsid w:val="00F23746"/>
    <w:rsid w:val="00F24D67"/>
    <w:rsid w:val="00F25CF5"/>
    <w:rsid w:val="00F311B8"/>
    <w:rsid w:val="00F33C82"/>
    <w:rsid w:val="00F40178"/>
    <w:rsid w:val="00F40C8C"/>
    <w:rsid w:val="00F4125B"/>
    <w:rsid w:val="00F431BB"/>
    <w:rsid w:val="00F44715"/>
    <w:rsid w:val="00F45A75"/>
    <w:rsid w:val="00F4629D"/>
    <w:rsid w:val="00F4638F"/>
    <w:rsid w:val="00F46E45"/>
    <w:rsid w:val="00F5110D"/>
    <w:rsid w:val="00F516D9"/>
    <w:rsid w:val="00F51A2B"/>
    <w:rsid w:val="00F524A9"/>
    <w:rsid w:val="00F57505"/>
    <w:rsid w:val="00F627DF"/>
    <w:rsid w:val="00F62D51"/>
    <w:rsid w:val="00F64150"/>
    <w:rsid w:val="00F6783E"/>
    <w:rsid w:val="00F7364C"/>
    <w:rsid w:val="00F7679D"/>
    <w:rsid w:val="00F77957"/>
    <w:rsid w:val="00F82A05"/>
    <w:rsid w:val="00F860F0"/>
    <w:rsid w:val="00FA3479"/>
    <w:rsid w:val="00FA5375"/>
    <w:rsid w:val="00FA7B2B"/>
    <w:rsid w:val="00FA7C09"/>
    <w:rsid w:val="00FB0D44"/>
    <w:rsid w:val="00FB515F"/>
    <w:rsid w:val="00FB74FD"/>
    <w:rsid w:val="00FC0204"/>
    <w:rsid w:val="00FC0291"/>
    <w:rsid w:val="00FC31D6"/>
    <w:rsid w:val="00FC333F"/>
    <w:rsid w:val="00FC40B0"/>
    <w:rsid w:val="00FD20E2"/>
    <w:rsid w:val="00FD3C5B"/>
    <w:rsid w:val="00FD6915"/>
    <w:rsid w:val="00FD6E42"/>
    <w:rsid w:val="00FD72AD"/>
    <w:rsid w:val="00FD7A8F"/>
    <w:rsid w:val="00FE041E"/>
    <w:rsid w:val="00FE0F03"/>
    <w:rsid w:val="00FE1A2F"/>
    <w:rsid w:val="00FE256D"/>
    <w:rsid w:val="00FE3F81"/>
    <w:rsid w:val="00FE4A2C"/>
    <w:rsid w:val="00FF36BD"/>
    <w:rsid w:val="00FF3BED"/>
    <w:rsid w:val="00FF5189"/>
    <w:rsid w:val="00FF5507"/>
    <w:rsid w:val="00FF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88F9"/>
  <w15:chartTrackingRefBased/>
  <w15:docId w15:val="{709CE77A-3857-4AF7-92F1-6E1504F2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2B8"/>
    <w:pPr>
      <w:spacing w:line="276"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6062B8"/>
    <w:pPr>
      <w:keepNext/>
      <w:keepLines/>
      <w:spacing w:before="240" w:after="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2C25F5"/>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D27F0"/>
    <w:pPr>
      <w:keepNext/>
      <w:keepLines/>
      <w:spacing w:before="40" w:after="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2B8"/>
    <w:rPr>
      <w:rFonts w:ascii="Times New Roman" w:eastAsiaTheme="majorEastAsia" w:hAnsi="Times New Roman" w:cstheme="majorBidi"/>
      <w:b/>
      <w:caps/>
      <w:sz w:val="24"/>
      <w:szCs w:val="32"/>
    </w:rPr>
  </w:style>
  <w:style w:type="paragraph" w:styleId="FootnoteText">
    <w:name w:val="footnote text"/>
    <w:basedOn w:val="Normal"/>
    <w:link w:val="FootnoteTextChar"/>
    <w:uiPriority w:val="99"/>
    <w:unhideWhenUsed/>
    <w:rsid w:val="006062B8"/>
    <w:pPr>
      <w:spacing w:after="0" w:line="240" w:lineRule="auto"/>
    </w:pPr>
    <w:rPr>
      <w:sz w:val="20"/>
      <w:szCs w:val="20"/>
    </w:rPr>
  </w:style>
  <w:style w:type="character" w:customStyle="1" w:styleId="FootnoteTextChar">
    <w:name w:val="Footnote Text Char"/>
    <w:basedOn w:val="DefaultParagraphFont"/>
    <w:link w:val="FootnoteText"/>
    <w:uiPriority w:val="99"/>
    <w:rsid w:val="006062B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062B8"/>
    <w:rPr>
      <w:vertAlign w:val="superscript"/>
    </w:rPr>
  </w:style>
  <w:style w:type="table" w:styleId="TableGrid">
    <w:name w:val="Table Grid"/>
    <w:basedOn w:val="TableNormal"/>
    <w:uiPriority w:val="39"/>
    <w:rsid w:val="00BF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25F5"/>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D27F0"/>
    <w:rPr>
      <w:rFonts w:ascii="Times New Roman" w:eastAsiaTheme="majorEastAsia" w:hAnsi="Times New Roman" w:cstheme="majorBidi"/>
      <w:i/>
      <w:sz w:val="24"/>
      <w:szCs w:val="24"/>
    </w:rPr>
  </w:style>
  <w:style w:type="paragraph" w:styleId="ListParagraph">
    <w:name w:val="List Paragraph"/>
    <w:basedOn w:val="Normal"/>
    <w:uiPriority w:val="34"/>
    <w:qFormat/>
    <w:rsid w:val="00E3059F"/>
    <w:pPr>
      <w:ind w:left="720"/>
      <w:contextualSpacing/>
    </w:pPr>
  </w:style>
  <w:style w:type="paragraph" w:styleId="Header">
    <w:name w:val="header"/>
    <w:basedOn w:val="Normal"/>
    <w:link w:val="HeaderChar"/>
    <w:uiPriority w:val="99"/>
    <w:unhideWhenUsed/>
    <w:rsid w:val="00DE5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31E"/>
    <w:rPr>
      <w:rFonts w:ascii="Times New Roman" w:hAnsi="Times New Roman" w:cs="Times New Roman"/>
      <w:sz w:val="24"/>
      <w:szCs w:val="24"/>
    </w:rPr>
  </w:style>
  <w:style w:type="paragraph" w:styleId="Footer">
    <w:name w:val="footer"/>
    <w:basedOn w:val="Normal"/>
    <w:link w:val="FooterChar"/>
    <w:uiPriority w:val="99"/>
    <w:unhideWhenUsed/>
    <w:rsid w:val="00DE5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31E"/>
    <w:rPr>
      <w:rFonts w:ascii="Times New Roman" w:hAnsi="Times New Roman" w:cs="Times New Roman"/>
      <w:sz w:val="24"/>
      <w:szCs w:val="24"/>
    </w:rPr>
  </w:style>
  <w:style w:type="character" w:customStyle="1" w:styleId="Style1Char">
    <w:name w:val="Style1 Char"/>
    <w:basedOn w:val="DefaultParagraphFont"/>
    <w:link w:val="Style1"/>
    <w:locked/>
    <w:rsid w:val="00B4409A"/>
    <w:rPr>
      <w:rFonts w:ascii="Times New Roman" w:eastAsiaTheme="majorEastAsia" w:hAnsi="Times New Roman" w:cs="Times New Roman"/>
      <w:b/>
      <w:bCs/>
      <w:sz w:val="24"/>
      <w:szCs w:val="24"/>
    </w:rPr>
  </w:style>
  <w:style w:type="paragraph" w:customStyle="1" w:styleId="Style1">
    <w:name w:val="Style1"/>
    <w:basedOn w:val="Heading1"/>
    <w:link w:val="Style1Char"/>
    <w:qFormat/>
    <w:rsid w:val="00B4409A"/>
    <w:pPr>
      <w:tabs>
        <w:tab w:val="left" w:pos="540"/>
      </w:tabs>
      <w:spacing w:before="0"/>
    </w:pPr>
    <w:rPr>
      <w:rFonts w:cs="Times New Roman"/>
      <w:bCs/>
      <w:caps w:val="0"/>
      <w:szCs w:val="24"/>
    </w:rPr>
  </w:style>
  <w:style w:type="paragraph" w:styleId="BalloonText">
    <w:name w:val="Balloon Text"/>
    <w:basedOn w:val="Normal"/>
    <w:link w:val="BalloonTextChar"/>
    <w:uiPriority w:val="99"/>
    <w:semiHidden/>
    <w:unhideWhenUsed/>
    <w:rsid w:val="003C3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459"/>
    <w:rPr>
      <w:rFonts w:ascii="Segoe UI" w:hAnsi="Segoe UI" w:cs="Segoe UI"/>
      <w:sz w:val="18"/>
      <w:szCs w:val="18"/>
    </w:rPr>
  </w:style>
  <w:style w:type="paragraph" w:customStyle="1" w:styleId="Default">
    <w:name w:val="Default"/>
    <w:rsid w:val="00582F4B"/>
    <w:pPr>
      <w:autoSpaceDE w:val="0"/>
      <w:autoSpaceDN w:val="0"/>
      <w:adjustRightInd w:val="0"/>
      <w:spacing w:after="0" w:line="240" w:lineRule="auto"/>
    </w:pPr>
    <w:rPr>
      <w:rFonts w:ascii="Charis SIL" w:hAnsi="Charis SIL" w:cs="Charis SIL"/>
      <w:color w:val="000000"/>
      <w:sz w:val="24"/>
      <w:szCs w:val="24"/>
    </w:rPr>
  </w:style>
  <w:style w:type="paragraph" w:styleId="Revision">
    <w:name w:val="Revision"/>
    <w:hidden/>
    <w:uiPriority w:val="99"/>
    <w:semiHidden/>
    <w:rsid w:val="00AA1EC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332CC"/>
    <w:rPr>
      <w:color w:val="0000FF"/>
      <w:u w:val="single"/>
    </w:rPr>
  </w:style>
  <w:style w:type="character" w:styleId="CommentReference">
    <w:name w:val="annotation reference"/>
    <w:basedOn w:val="DefaultParagraphFont"/>
    <w:uiPriority w:val="99"/>
    <w:semiHidden/>
    <w:unhideWhenUsed/>
    <w:rsid w:val="00FD20E2"/>
    <w:rPr>
      <w:sz w:val="16"/>
      <w:szCs w:val="16"/>
    </w:rPr>
  </w:style>
  <w:style w:type="paragraph" w:styleId="CommentText">
    <w:name w:val="annotation text"/>
    <w:basedOn w:val="Normal"/>
    <w:link w:val="CommentTextChar"/>
    <w:uiPriority w:val="99"/>
    <w:semiHidden/>
    <w:unhideWhenUsed/>
    <w:rsid w:val="00FD20E2"/>
    <w:pPr>
      <w:spacing w:line="240" w:lineRule="auto"/>
    </w:pPr>
    <w:rPr>
      <w:sz w:val="20"/>
      <w:szCs w:val="20"/>
    </w:rPr>
  </w:style>
  <w:style w:type="character" w:customStyle="1" w:styleId="CommentTextChar">
    <w:name w:val="Comment Text Char"/>
    <w:basedOn w:val="DefaultParagraphFont"/>
    <w:link w:val="CommentText"/>
    <w:uiPriority w:val="99"/>
    <w:semiHidden/>
    <w:rsid w:val="00FD20E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20E2"/>
    <w:rPr>
      <w:b/>
      <w:bCs/>
    </w:rPr>
  </w:style>
  <w:style w:type="character" w:customStyle="1" w:styleId="CommentSubjectChar">
    <w:name w:val="Comment Subject Char"/>
    <w:basedOn w:val="CommentTextChar"/>
    <w:link w:val="CommentSubject"/>
    <w:uiPriority w:val="99"/>
    <w:semiHidden/>
    <w:rsid w:val="00FD20E2"/>
    <w:rPr>
      <w:rFonts w:ascii="Times New Roman" w:hAnsi="Times New Roman" w:cs="Times New Roman"/>
      <w:b/>
      <w:bCs/>
      <w:sz w:val="20"/>
      <w:szCs w:val="20"/>
    </w:rPr>
  </w:style>
  <w:style w:type="paragraph" w:customStyle="1" w:styleId="text">
    <w:name w:val="text"/>
    <w:aliases w:val="t"/>
    <w:basedOn w:val="Normal"/>
    <w:next w:val="Normal"/>
    <w:rsid w:val="00316206"/>
    <w:pPr>
      <w:autoSpaceDE w:val="0"/>
      <w:autoSpaceDN w:val="0"/>
      <w:adjustRightInd w:val="0"/>
      <w:spacing w:after="0" w:line="240" w:lineRule="auto"/>
      <w:jc w:val="left"/>
    </w:pPr>
    <w:rPr>
      <w:rFonts w:eastAsia="Times New Roman"/>
      <w:bCs/>
      <w:lang w:val="en-IN" w:eastAsia="en-IN"/>
    </w:rPr>
  </w:style>
  <w:style w:type="character" w:customStyle="1" w:styleId="FootnoteTextChar1">
    <w:name w:val="Footnote Text Char1"/>
    <w:uiPriority w:val="99"/>
    <w:locked/>
    <w:rsid w:val="007D3D74"/>
    <w:rPr>
      <w:rFonts w:cs="Times New Roman"/>
      <w:sz w:val="20"/>
    </w:rPr>
  </w:style>
  <w:style w:type="numbering" w:customStyle="1" w:styleId="Singlepunch">
    <w:name w:val="Single punch"/>
    <w:rsid w:val="00AD4F72"/>
    <w:pPr>
      <w:numPr>
        <w:numId w:val="12"/>
      </w:numPr>
    </w:pPr>
  </w:style>
  <w:style w:type="paragraph" w:customStyle="1" w:styleId="footnote">
    <w:name w:val="footnote"/>
    <w:basedOn w:val="FootnoteText"/>
    <w:link w:val="footnoteChar"/>
    <w:qFormat/>
    <w:rsid w:val="00644A51"/>
    <w:rPr>
      <w:rFonts w:eastAsiaTheme="minorEastAsia"/>
      <w:lang w:eastAsia="zh-CN" w:bidi="he-IL"/>
    </w:rPr>
  </w:style>
  <w:style w:type="character" w:customStyle="1" w:styleId="footnoteChar">
    <w:name w:val="footnote Char"/>
    <w:basedOn w:val="FootnoteTextChar"/>
    <w:link w:val="footnote"/>
    <w:rsid w:val="00644A51"/>
    <w:rPr>
      <w:rFonts w:ascii="Times New Roman" w:eastAsiaTheme="minorEastAsia" w:hAnsi="Times New Roman" w:cs="Times New Roman"/>
      <w:sz w:val="20"/>
      <w:szCs w:val="20"/>
      <w:lang w:eastAsia="zh-CN" w:bidi="he-IL"/>
    </w:rPr>
  </w:style>
  <w:style w:type="paragraph" w:styleId="Caption">
    <w:name w:val="caption"/>
    <w:basedOn w:val="Normal"/>
    <w:next w:val="Normal"/>
    <w:uiPriority w:val="35"/>
    <w:semiHidden/>
    <w:unhideWhenUsed/>
    <w:qFormat/>
    <w:rsid w:val="00ED063B"/>
    <w:pPr>
      <w:spacing w:after="200" w:line="240" w:lineRule="auto"/>
      <w:jc w:val="left"/>
    </w:pPr>
    <w:rPr>
      <w:rFonts w:asciiTheme="minorHAnsi" w:hAnsiTheme="minorHAnsi" w:cstheme="minorBidi"/>
      <w:i/>
      <w:iCs/>
      <w:color w:val="44546A" w:themeColor="text2"/>
      <w:sz w:val="18"/>
      <w:szCs w:val="18"/>
    </w:rPr>
  </w:style>
  <w:style w:type="character" w:styleId="Emphasis">
    <w:name w:val="Emphasis"/>
    <w:basedOn w:val="DefaultParagraphFont"/>
    <w:uiPriority w:val="20"/>
    <w:qFormat/>
    <w:rsid w:val="00D61A38"/>
    <w:rPr>
      <w:i/>
      <w:iCs/>
    </w:rPr>
  </w:style>
  <w:style w:type="character" w:styleId="FollowedHyperlink">
    <w:name w:val="FollowedHyperlink"/>
    <w:basedOn w:val="DefaultParagraphFont"/>
    <w:uiPriority w:val="99"/>
    <w:semiHidden/>
    <w:unhideWhenUsed/>
    <w:rsid w:val="00B73A3E"/>
    <w:rPr>
      <w:color w:val="954F72" w:themeColor="followedHyperlink"/>
      <w:u w:val="single"/>
    </w:rPr>
  </w:style>
  <w:style w:type="character" w:styleId="UnresolvedMention">
    <w:name w:val="Unresolved Mention"/>
    <w:basedOn w:val="DefaultParagraphFont"/>
    <w:uiPriority w:val="99"/>
    <w:semiHidden/>
    <w:unhideWhenUsed/>
    <w:rsid w:val="00942B98"/>
    <w:rPr>
      <w:color w:val="605E5C"/>
      <w:shd w:val="clear" w:color="auto" w:fill="E1DFDD"/>
    </w:rPr>
  </w:style>
  <w:style w:type="character" w:styleId="LineNumber">
    <w:name w:val="line number"/>
    <w:basedOn w:val="DefaultParagraphFont"/>
    <w:uiPriority w:val="99"/>
    <w:semiHidden/>
    <w:unhideWhenUsed/>
    <w:rsid w:val="009A728B"/>
  </w:style>
  <w:style w:type="paragraph" w:customStyle="1" w:styleId="ctrbodytext">
    <w:name w:val="ctr body text"/>
    <w:basedOn w:val="Normal"/>
    <w:qFormat/>
    <w:rsid w:val="00743405"/>
    <w:pPr>
      <w:spacing w:after="200"/>
      <w:jc w:val="left"/>
    </w:pPr>
  </w:style>
  <w:style w:type="paragraph" w:customStyle="1" w:styleId="ctrbulletedlist">
    <w:name w:val="ctr bulleted list"/>
    <w:basedOn w:val="ctrbodytext"/>
    <w:qFormat/>
    <w:rsid w:val="00743405"/>
    <w:pPr>
      <w:numPr>
        <w:numId w:val="22"/>
      </w:numPr>
      <w:spacing w:after="120"/>
    </w:pPr>
  </w:style>
  <w:style w:type="paragraph" w:customStyle="1" w:styleId="ctrbulletedsublist">
    <w:name w:val="ctr bulleted sublist"/>
    <w:basedOn w:val="ctrbulletedlist"/>
    <w:qFormat/>
    <w:rsid w:val="00743405"/>
    <w:pPr>
      <w:numPr>
        <w:ilvl w:val="1"/>
        <w:numId w:val="40"/>
      </w:numPr>
    </w:pPr>
  </w:style>
  <w:style w:type="paragraph" w:customStyle="1" w:styleId="ctrtabletitle">
    <w:name w:val="ctr table title"/>
    <w:basedOn w:val="Normal"/>
    <w:qFormat/>
    <w:rsid w:val="005B7C60"/>
    <w:pPr>
      <w:keepNext/>
      <w:spacing w:before="240" w:after="60" w:line="240" w:lineRule="auto"/>
      <w:jc w:val="center"/>
    </w:pPr>
    <w:rPr>
      <w:rFonts w:ascii="Arial" w:eastAsia="Times New Roman" w:hAnsi="Arial" w:cs="Arial"/>
      <w:b/>
      <w:bCs/>
      <w:sz w:val="20"/>
      <w:szCs w:val="20"/>
    </w:rPr>
  </w:style>
  <w:style w:type="paragraph" w:customStyle="1" w:styleId="ctrbody">
    <w:name w:val="ctr body"/>
    <w:basedOn w:val="Normal"/>
    <w:link w:val="ctrbodyChar"/>
    <w:qFormat/>
    <w:rsid w:val="005B7C60"/>
    <w:pPr>
      <w:spacing w:after="200"/>
      <w:ind w:right="418"/>
    </w:pPr>
  </w:style>
  <w:style w:type="character" w:customStyle="1" w:styleId="ctrbodyChar">
    <w:name w:val="ctr body Char"/>
    <w:basedOn w:val="DefaultParagraphFont"/>
    <w:link w:val="ctrbody"/>
    <w:rsid w:val="005B7C60"/>
    <w:rPr>
      <w:rFonts w:ascii="Times New Roman" w:hAnsi="Times New Roman" w:cs="Times New Roman"/>
      <w:sz w:val="24"/>
      <w:szCs w:val="24"/>
    </w:rPr>
  </w:style>
  <w:style w:type="paragraph" w:customStyle="1" w:styleId="Els-body-text">
    <w:name w:val="Els-body-text"/>
    <w:link w:val="Els-body-textChar"/>
    <w:rsid w:val="005B7C60"/>
    <w:pPr>
      <w:spacing w:after="0" w:line="240" w:lineRule="exact"/>
      <w:ind w:firstLine="238"/>
      <w:jc w:val="both"/>
    </w:pPr>
    <w:rPr>
      <w:rFonts w:ascii="Times New Roman" w:eastAsia="SimSun" w:hAnsi="Times New Roman" w:cs="Times New Roman"/>
      <w:sz w:val="20"/>
      <w:szCs w:val="20"/>
    </w:rPr>
  </w:style>
  <w:style w:type="character" w:customStyle="1" w:styleId="Els-body-textChar">
    <w:name w:val="Els-body-text Char"/>
    <w:basedOn w:val="DefaultParagraphFont"/>
    <w:link w:val="Els-body-text"/>
    <w:rsid w:val="005B7C60"/>
    <w:rPr>
      <w:rFonts w:ascii="Times New Roman" w:eastAsia="SimSun" w:hAnsi="Times New Roman" w:cs="Times New Roman"/>
      <w:sz w:val="20"/>
      <w:szCs w:val="20"/>
    </w:rPr>
  </w:style>
  <w:style w:type="paragraph" w:customStyle="1" w:styleId="ctrfigurecaption">
    <w:name w:val="ctr figure caption"/>
    <w:basedOn w:val="Caption"/>
    <w:qFormat/>
    <w:rsid w:val="00916EBB"/>
    <w:pPr>
      <w:spacing w:before="60" w:after="240"/>
      <w:jc w:val="center"/>
    </w:pPr>
    <w:rPr>
      <w:rFonts w:ascii="Arial" w:eastAsia="Times New Roman" w:hAnsi="Arial" w:cs="Arial"/>
      <w:bCs/>
      <w:iCs w:val="0"/>
      <w:color w:val="auto"/>
      <w:sz w:val="20"/>
      <w:szCs w:val="20"/>
    </w:rPr>
  </w:style>
  <w:style w:type="paragraph" w:customStyle="1" w:styleId="BodyText1">
    <w:name w:val="Body Text1"/>
    <w:basedOn w:val="Normal"/>
    <w:qFormat/>
    <w:rsid w:val="007052F2"/>
    <w:pPr>
      <w:shd w:val="clear" w:color="auto" w:fill="FFFFFF"/>
    </w:pPr>
    <w:rPr>
      <w:rFonts w:eastAsia="Times New Roman"/>
      <w:color w:val="222222"/>
    </w:rPr>
  </w:style>
  <w:style w:type="paragraph" w:customStyle="1" w:styleId="ctrreferenceslisting">
    <w:name w:val="ctr references listing"/>
    <w:basedOn w:val="Normal"/>
    <w:qFormat/>
    <w:rsid w:val="00874A00"/>
    <w:pPr>
      <w:autoSpaceDE w:val="0"/>
      <w:autoSpaceDN w:val="0"/>
      <w:adjustRightInd w:val="0"/>
      <w:spacing w:before="120" w:after="0" w:line="240" w:lineRule="auto"/>
      <w:ind w:left="720" w:hanging="720"/>
      <w:jc w:val="left"/>
    </w:pPr>
    <w:rPr>
      <w:rFonts w:eastAsia="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9905">
      <w:bodyDiv w:val="1"/>
      <w:marLeft w:val="0"/>
      <w:marRight w:val="0"/>
      <w:marTop w:val="0"/>
      <w:marBottom w:val="0"/>
      <w:divBdr>
        <w:top w:val="none" w:sz="0" w:space="0" w:color="auto"/>
        <w:left w:val="none" w:sz="0" w:space="0" w:color="auto"/>
        <w:bottom w:val="none" w:sz="0" w:space="0" w:color="auto"/>
        <w:right w:val="none" w:sz="0" w:space="0" w:color="auto"/>
      </w:divBdr>
    </w:div>
    <w:div w:id="316617312">
      <w:bodyDiv w:val="1"/>
      <w:marLeft w:val="0"/>
      <w:marRight w:val="0"/>
      <w:marTop w:val="0"/>
      <w:marBottom w:val="0"/>
      <w:divBdr>
        <w:top w:val="none" w:sz="0" w:space="0" w:color="auto"/>
        <w:left w:val="none" w:sz="0" w:space="0" w:color="auto"/>
        <w:bottom w:val="none" w:sz="0" w:space="0" w:color="auto"/>
        <w:right w:val="none" w:sz="0" w:space="0" w:color="auto"/>
      </w:divBdr>
    </w:div>
    <w:div w:id="330060711">
      <w:bodyDiv w:val="1"/>
      <w:marLeft w:val="0"/>
      <w:marRight w:val="0"/>
      <w:marTop w:val="0"/>
      <w:marBottom w:val="0"/>
      <w:divBdr>
        <w:top w:val="none" w:sz="0" w:space="0" w:color="auto"/>
        <w:left w:val="none" w:sz="0" w:space="0" w:color="auto"/>
        <w:bottom w:val="none" w:sz="0" w:space="0" w:color="auto"/>
        <w:right w:val="none" w:sz="0" w:space="0" w:color="auto"/>
      </w:divBdr>
    </w:div>
    <w:div w:id="334765811">
      <w:bodyDiv w:val="1"/>
      <w:marLeft w:val="0"/>
      <w:marRight w:val="0"/>
      <w:marTop w:val="0"/>
      <w:marBottom w:val="0"/>
      <w:divBdr>
        <w:top w:val="none" w:sz="0" w:space="0" w:color="auto"/>
        <w:left w:val="none" w:sz="0" w:space="0" w:color="auto"/>
        <w:bottom w:val="none" w:sz="0" w:space="0" w:color="auto"/>
        <w:right w:val="none" w:sz="0" w:space="0" w:color="auto"/>
      </w:divBdr>
    </w:div>
    <w:div w:id="758021641">
      <w:bodyDiv w:val="1"/>
      <w:marLeft w:val="0"/>
      <w:marRight w:val="0"/>
      <w:marTop w:val="0"/>
      <w:marBottom w:val="0"/>
      <w:divBdr>
        <w:top w:val="none" w:sz="0" w:space="0" w:color="auto"/>
        <w:left w:val="none" w:sz="0" w:space="0" w:color="auto"/>
        <w:bottom w:val="none" w:sz="0" w:space="0" w:color="auto"/>
        <w:right w:val="none" w:sz="0" w:space="0" w:color="auto"/>
      </w:divBdr>
    </w:div>
    <w:div w:id="1090395631">
      <w:bodyDiv w:val="1"/>
      <w:marLeft w:val="0"/>
      <w:marRight w:val="0"/>
      <w:marTop w:val="0"/>
      <w:marBottom w:val="0"/>
      <w:divBdr>
        <w:top w:val="none" w:sz="0" w:space="0" w:color="auto"/>
        <w:left w:val="none" w:sz="0" w:space="0" w:color="auto"/>
        <w:bottom w:val="none" w:sz="0" w:space="0" w:color="auto"/>
        <w:right w:val="none" w:sz="0" w:space="0" w:color="auto"/>
      </w:divBdr>
      <w:divsChild>
        <w:div w:id="965159960">
          <w:marLeft w:val="806"/>
          <w:marRight w:val="0"/>
          <w:marTop w:val="0"/>
          <w:marBottom w:val="0"/>
          <w:divBdr>
            <w:top w:val="none" w:sz="0" w:space="0" w:color="auto"/>
            <w:left w:val="none" w:sz="0" w:space="0" w:color="auto"/>
            <w:bottom w:val="none" w:sz="0" w:space="0" w:color="auto"/>
            <w:right w:val="none" w:sz="0" w:space="0" w:color="auto"/>
          </w:divBdr>
        </w:div>
        <w:div w:id="427118926">
          <w:marLeft w:val="806"/>
          <w:marRight w:val="0"/>
          <w:marTop w:val="0"/>
          <w:marBottom w:val="0"/>
          <w:divBdr>
            <w:top w:val="none" w:sz="0" w:space="0" w:color="auto"/>
            <w:left w:val="none" w:sz="0" w:space="0" w:color="auto"/>
            <w:bottom w:val="none" w:sz="0" w:space="0" w:color="auto"/>
            <w:right w:val="none" w:sz="0" w:space="0" w:color="auto"/>
          </w:divBdr>
        </w:div>
      </w:divsChild>
    </w:div>
    <w:div w:id="1433815193">
      <w:bodyDiv w:val="1"/>
      <w:marLeft w:val="0"/>
      <w:marRight w:val="0"/>
      <w:marTop w:val="0"/>
      <w:marBottom w:val="0"/>
      <w:divBdr>
        <w:top w:val="none" w:sz="0" w:space="0" w:color="auto"/>
        <w:left w:val="none" w:sz="0" w:space="0" w:color="auto"/>
        <w:bottom w:val="none" w:sz="0" w:space="0" w:color="auto"/>
        <w:right w:val="none" w:sz="0" w:space="0" w:color="auto"/>
      </w:divBdr>
    </w:div>
    <w:div w:id="1709529646">
      <w:bodyDiv w:val="1"/>
      <w:marLeft w:val="0"/>
      <w:marRight w:val="0"/>
      <w:marTop w:val="0"/>
      <w:marBottom w:val="0"/>
      <w:divBdr>
        <w:top w:val="none" w:sz="0" w:space="0" w:color="auto"/>
        <w:left w:val="none" w:sz="0" w:space="0" w:color="auto"/>
        <w:bottom w:val="none" w:sz="0" w:space="0" w:color="auto"/>
        <w:right w:val="none" w:sz="0" w:space="0" w:color="auto"/>
      </w:divBdr>
    </w:div>
    <w:div w:id="197606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mussen29@utexas.edu" TargetMode="Externa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bhat@mail.utexas.edu"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vivek.verma@utexas.edu"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A61A3-2DBA-4B6A-824A-3018DB50D30D}">
  <we:reference id="wa104382081" version="1.35.0.0" store="en-US" storeType="OMEX"/>
  <we:alternateReferences>
    <we:reference id="wa104382081" version="1.35.0.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0DBC-BB53-47EC-9A50-4490BA58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6816</Words>
  <Characters>38857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Asmussen, Katherine</dc:creator>
  <cp:keywords/>
  <dc:description/>
  <cp:lastModifiedBy>Macias, Lisa J</cp:lastModifiedBy>
  <cp:revision>2</cp:revision>
  <cp:lastPrinted>2023-07-29T21:26:00Z</cp:lastPrinted>
  <dcterms:created xsi:type="dcterms:W3CDTF">2023-08-02T03:46:00Z</dcterms:created>
  <dcterms:modified xsi:type="dcterms:W3CDTF">2023-08-02T03:46:00Z</dcterms:modified>
</cp:coreProperties>
</file>